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6220F" w14:textId="77777777" w:rsidR="00556863" w:rsidRDefault="00556863" w:rsidP="007C1BAA">
      <w:pPr>
        <w:pStyle w:val="Title2"/>
        <w:rPr>
          <w:color w:val="auto"/>
          <w:sz w:val="40"/>
        </w:rPr>
      </w:pPr>
      <w:r w:rsidRPr="00556863">
        <w:rPr>
          <w:color w:val="auto"/>
          <w:sz w:val="40"/>
        </w:rPr>
        <w:t xml:space="preserve">Cost recovery for Technology Appraisals (TA) and Highly Specialised Technologies (HST) – 2023-24 review </w:t>
      </w:r>
    </w:p>
    <w:p w14:paraId="79565BE8" w14:textId="7C5ABF9F" w:rsidR="00922020" w:rsidRDefault="007C1BAA" w:rsidP="007C1BAA">
      <w:pPr>
        <w:pStyle w:val="Title2"/>
      </w:pPr>
      <w:r>
        <w:t>NICE response to consultation</w:t>
      </w:r>
    </w:p>
    <w:p w14:paraId="0F7DDA09" w14:textId="1B9623F3" w:rsidR="00A305CB" w:rsidRDefault="00A305CB" w:rsidP="007C1BAA">
      <w:pPr>
        <w:pStyle w:val="Heading1"/>
      </w:pPr>
      <w:r>
        <w:t>Executive summary</w:t>
      </w:r>
    </w:p>
    <w:p w14:paraId="0ACF8E09" w14:textId="76869F3C" w:rsidR="00AB2C52" w:rsidRDefault="004933DE" w:rsidP="00EF0875">
      <w:pPr>
        <w:pStyle w:val="ParagraphNumbered"/>
        <w:ind w:left="426" w:hanging="426"/>
      </w:pPr>
      <w:r>
        <w:t>In November</w:t>
      </w:r>
      <w:r w:rsidR="005B7216">
        <w:t xml:space="preserve"> </w:t>
      </w:r>
      <w:r>
        <w:t xml:space="preserve">2023, </w:t>
      </w:r>
      <w:r w:rsidR="00E8789A">
        <w:t>NICE conducted</w:t>
      </w:r>
      <w:r>
        <w:t xml:space="preserve"> a consultation </w:t>
      </w:r>
      <w:r w:rsidR="00A03BEF">
        <w:t xml:space="preserve">on </w:t>
      </w:r>
      <w:r w:rsidR="003A49B4">
        <w:t>the processes and procedures of</w:t>
      </w:r>
      <w:r w:rsidR="00A03BEF">
        <w:t xml:space="preserve"> cost recovery for </w:t>
      </w:r>
      <w:r w:rsidR="003A49B4">
        <w:t xml:space="preserve">the </w:t>
      </w:r>
      <w:r w:rsidR="00A03BEF" w:rsidRPr="00A03BEF">
        <w:t>Technology Appraisals (TA) and Highly Specialised Technologies (HST)</w:t>
      </w:r>
      <w:r w:rsidR="00A03BEF">
        <w:t xml:space="preserve"> work programme. </w:t>
      </w:r>
    </w:p>
    <w:p w14:paraId="5783E3B5" w14:textId="04598246" w:rsidR="00567F1E" w:rsidRPr="00BC708D" w:rsidRDefault="00567F1E" w:rsidP="009423AD">
      <w:pPr>
        <w:pStyle w:val="ParagraphNumbered"/>
        <w:ind w:left="425" w:hanging="425"/>
      </w:pPr>
      <w:r>
        <w:t xml:space="preserve">The review was carried out in response to the </w:t>
      </w:r>
      <w:hyperlink r:id="rId8" w:history="1">
        <w:r w:rsidRPr="00945583">
          <w:rPr>
            <w:rStyle w:val="Hyperlink"/>
          </w:rPr>
          <w:t>2018 Department of Health and Social Care (DHSC) consultation on NICE technology appraisal and highly specialised technologies work programme (charging and appeals)</w:t>
        </w:r>
      </w:hyperlink>
      <w:r w:rsidRPr="00F70BCE">
        <w:t>,</w:t>
      </w:r>
      <w:r>
        <w:t xml:space="preserve"> where a commitment (section 6.4) was made to monitor the impact of the charges in the first year and formally review the </w:t>
      </w:r>
      <w:r w:rsidRPr="00F70BCE">
        <w:t xml:space="preserve">charging regime at the end of the second year and </w:t>
      </w:r>
      <w:r>
        <w:t xml:space="preserve">after </w:t>
      </w:r>
      <w:r w:rsidRPr="00F70BCE">
        <w:t xml:space="preserve">as required. </w:t>
      </w:r>
    </w:p>
    <w:p w14:paraId="79C3892B" w14:textId="5CC6668E" w:rsidR="00567F1E" w:rsidRDefault="00567F1E" w:rsidP="009423AD">
      <w:pPr>
        <w:pStyle w:val="ParagraphNumbered"/>
        <w:ind w:left="426" w:hanging="426"/>
      </w:pPr>
      <w:r>
        <w:t>Annual reviews of the cost base and inflationary uplifts to the fees were applied in years 3 (2022-23) and 4 (2023-24). In addition to reviewing the cost base and fees, the 2023</w:t>
      </w:r>
      <w:r w:rsidR="3F2C6D16">
        <w:t>-24</w:t>
      </w:r>
      <w:r>
        <w:t xml:space="preserve"> review considered the structure, mechanism, and application of charging.</w:t>
      </w:r>
    </w:p>
    <w:p w14:paraId="303B72A4" w14:textId="691E2317" w:rsidR="00AB2AF4" w:rsidRPr="00AB2AF4" w:rsidRDefault="00AB2AF4" w:rsidP="009423AD">
      <w:pPr>
        <w:pStyle w:val="ParagraphNumbered"/>
        <w:ind w:left="426" w:hanging="426"/>
      </w:pPr>
      <w:r>
        <w:t xml:space="preserve">In April 2024, NICE will be in year 5 of charging </w:t>
      </w:r>
      <w:r w:rsidR="00202F7A">
        <w:t xml:space="preserve">for </w:t>
      </w:r>
      <w:r w:rsidR="00617AFC">
        <w:t xml:space="preserve">the </w:t>
      </w:r>
      <w:r>
        <w:t>TA</w:t>
      </w:r>
      <w:r w:rsidR="000C327B">
        <w:t>-</w:t>
      </w:r>
      <w:r>
        <w:t xml:space="preserve">HST </w:t>
      </w:r>
      <w:r w:rsidR="00202F7A">
        <w:t xml:space="preserve">work </w:t>
      </w:r>
      <w:r w:rsidR="00617AFC">
        <w:t xml:space="preserve">programme </w:t>
      </w:r>
      <w:r>
        <w:t xml:space="preserve">and is yet to achieve full cost recovery. The deficit has reduced each year, but we need to close the gap to comply with </w:t>
      </w:r>
      <w:hyperlink r:id="rId9" w:history="1">
        <w:r w:rsidRPr="00212F06">
          <w:rPr>
            <w:rStyle w:val="Hyperlink"/>
          </w:rPr>
          <w:t>HM Treasury’s guidance, Managing Public Money (MPM)</w:t>
        </w:r>
      </w:hyperlink>
      <w:r>
        <w:t>, and secure the programme's financial sustainability.</w:t>
      </w:r>
    </w:p>
    <w:p w14:paraId="7C71B9BC" w14:textId="6888B139" w:rsidR="01E1392C" w:rsidRDefault="01E1392C" w:rsidP="009423AD">
      <w:pPr>
        <w:pStyle w:val="ParagraphNumbered"/>
        <w:ind w:left="426" w:hanging="426"/>
      </w:pPr>
      <w:r w:rsidRPr="66D89F29" w:rsidDel="01E1392C">
        <w:t>NICE</w:t>
      </w:r>
      <w:r w:rsidRPr="66D89F29">
        <w:t xml:space="preserve"> </w:t>
      </w:r>
      <w:r w:rsidR="57A43CA4" w:rsidRPr="66D89F29">
        <w:t>understands</w:t>
      </w:r>
      <w:r w:rsidR="3A3116FC" w:rsidRPr="66D89F29">
        <w:t xml:space="preserve"> that t</w:t>
      </w:r>
      <w:r w:rsidRPr="66D89F29">
        <w:t xml:space="preserve">he </w:t>
      </w:r>
      <w:r w:rsidR="1AC10791" w:rsidRPr="66D89F29">
        <w:t xml:space="preserve">fee increase </w:t>
      </w:r>
      <w:r w:rsidR="7AF05609" w:rsidRPr="66D89F29">
        <w:t xml:space="preserve">may </w:t>
      </w:r>
      <w:r w:rsidR="61B835C4" w:rsidRPr="003C0875">
        <w:t>contribute</w:t>
      </w:r>
      <w:r w:rsidR="1578A2DB" w:rsidRPr="003C0875">
        <w:t xml:space="preserve"> </w:t>
      </w:r>
      <w:r w:rsidR="61B835C4" w:rsidRPr="003C0875">
        <w:t>to making the UK a difficult environment for industry</w:t>
      </w:r>
      <w:r w:rsidR="377AE15F" w:rsidRPr="003C0875">
        <w:t xml:space="preserve"> and</w:t>
      </w:r>
      <w:r w:rsidR="61B835C4" w:rsidRPr="003C0875">
        <w:t xml:space="preserve"> </w:t>
      </w:r>
      <w:r w:rsidR="24CC8B6F" w:rsidRPr="003C0875">
        <w:t xml:space="preserve">potentially </w:t>
      </w:r>
      <w:r w:rsidR="44869573" w:rsidRPr="003C0875">
        <w:t xml:space="preserve">impacts </w:t>
      </w:r>
      <w:r w:rsidR="61B835C4" w:rsidRPr="003C0875">
        <w:t>the attractiveness of the UK as a launch market</w:t>
      </w:r>
      <w:r w:rsidR="410B4D71" w:rsidRPr="66D89F29">
        <w:t xml:space="preserve">. </w:t>
      </w:r>
      <w:r w:rsidR="007270B9">
        <w:t xml:space="preserve"> </w:t>
      </w:r>
      <w:r w:rsidR="00E03B23">
        <w:t>Reluctantly</w:t>
      </w:r>
      <w:r w:rsidR="007270B9">
        <w:t xml:space="preserve"> we are unable to reduce the fees, </w:t>
      </w:r>
      <w:r w:rsidR="002D38D0">
        <w:t>but we have in response to comments receive</w:t>
      </w:r>
      <w:r w:rsidR="00DB029E">
        <w:t xml:space="preserve">d </w:t>
      </w:r>
      <w:r w:rsidR="009D642E">
        <w:t>provide</w:t>
      </w:r>
      <w:r w:rsidR="00DB029E">
        <w:t>d</w:t>
      </w:r>
      <w:r w:rsidR="009D642E">
        <w:t xml:space="preserve"> further </w:t>
      </w:r>
      <w:r w:rsidR="503301D5" w:rsidRPr="66D89F29">
        <w:t>reasoning for the increase</w:t>
      </w:r>
      <w:r w:rsidR="4836F63A" w:rsidRPr="66D89F29">
        <w:t>.</w:t>
      </w:r>
    </w:p>
    <w:p w14:paraId="55D8220F" w14:textId="5A27F75A" w:rsidR="00645003" w:rsidRPr="00E32C33" w:rsidRDefault="00A52FAA" w:rsidP="66D89F29">
      <w:pPr>
        <w:pStyle w:val="ParagraphNumbered"/>
        <w:ind w:left="426" w:hanging="426"/>
      </w:pPr>
      <w:r>
        <w:lastRenderedPageBreak/>
        <w:t>In response to the fee</w:t>
      </w:r>
      <w:r w:rsidR="00E97893">
        <w:t>dback received to</w:t>
      </w:r>
      <w:r>
        <w:t xml:space="preserve"> the consultation</w:t>
      </w:r>
      <w:r w:rsidR="00E3076C">
        <w:t xml:space="preserve">, the proposals </w:t>
      </w:r>
      <w:r w:rsidR="00E3076C" w:rsidRPr="00E32C33">
        <w:t xml:space="preserve">have been </w:t>
      </w:r>
      <w:r w:rsidR="00732101" w:rsidRPr="00E32C33">
        <w:t xml:space="preserve">revised </w:t>
      </w:r>
      <w:r w:rsidR="00BB3A07" w:rsidRPr="00E32C33">
        <w:t xml:space="preserve">as described in table </w:t>
      </w:r>
      <w:r w:rsidR="00E32C33" w:rsidRPr="00E32C33">
        <w:t>1</w:t>
      </w:r>
      <w:r w:rsidR="00BB3A07" w:rsidRPr="00E32C33">
        <w:t>. Th</w:t>
      </w:r>
      <w:r w:rsidR="00890DD9" w:rsidRPr="00E32C33">
        <w:t>is</w:t>
      </w:r>
      <w:r w:rsidR="00BB3A07" w:rsidRPr="00E32C33">
        <w:t xml:space="preserve"> document lays out the NICE response </w:t>
      </w:r>
      <w:r w:rsidR="00662BA9" w:rsidRPr="00E32C33">
        <w:t xml:space="preserve">to </w:t>
      </w:r>
      <w:r w:rsidR="00BB3A07" w:rsidRPr="00E32C33">
        <w:t xml:space="preserve">support transparency of </w:t>
      </w:r>
      <w:r w:rsidR="00EF2997" w:rsidRPr="00E32C33">
        <w:t xml:space="preserve">the </w:t>
      </w:r>
      <w:r w:rsidR="00BB3A07" w:rsidRPr="00E32C33">
        <w:t>cost recovery processes.</w:t>
      </w:r>
    </w:p>
    <w:p w14:paraId="007E4783" w14:textId="70DC1ECF" w:rsidR="007C0F42" w:rsidRDefault="00E71AC8" w:rsidP="001C690B">
      <w:pPr>
        <w:pStyle w:val="Tableheading"/>
      </w:pPr>
      <w:r w:rsidRPr="00E32C33">
        <w:t xml:space="preserve">Table </w:t>
      </w:r>
      <w:r w:rsidR="00E32C33" w:rsidRPr="00E32C33">
        <w:t>1</w:t>
      </w:r>
      <w:r w:rsidRPr="00E32C33">
        <w:t xml:space="preserve"> – </w:t>
      </w:r>
      <w:r w:rsidR="004B232D" w:rsidRPr="00E32C33">
        <w:t>summary o</w:t>
      </w:r>
      <w:r w:rsidR="00C53A45" w:rsidRPr="00E32C33">
        <w:t xml:space="preserve">f proposals and </w:t>
      </w:r>
      <w:r w:rsidR="00E32C33" w:rsidRPr="00E32C33">
        <w:t>updated procedures</w:t>
      </w:r>
    </w:p>
    <w:tbl>
      <w:tblPr>
        <w:tblStyle w:val="TableGridLight"/>
        <w:tblW w:w="7933" w:type="dxa"/>
        <w:tblInd w:w="426" w:type="dxa"/>
        <w:tblLook w:val="04A0" w:firstRow="1" w:lastRow="0" w:firstColumn="1" w:lastColumn="0" w:noHBand="0" w:noVBand="1"/>
      </w:tblPr>
      <w:tblGrid>
        <w:gridCol w:w="1048"/>
        <w:gridCol w:w="2065"/>
        <w:gridCol w:w="2543"/>
        <w:gridCol w:w="2277"/>
      </w:tblGrid>
      <w:tr w:rsidR="00CE6820" w14:paraId="1082023C" w14:textId="77777777" w:rsidTr="00F06F2A">
        <w:trPr>
          <w:trHeight w:val="300"/>
        </w:trPr>
        <w:tc>
          <w:tcPr>
            <w:tcW w:w="1048" w:type="dxa"/>
          </w:tcPr>
          <w:p w14:paraId="4328555B" w14:textId="35F0C2CF" w:rsidR="00CE6820" w:rsidRDefault="00C16414" w:rsidP="00401D01">
            <w:pPr>
              <w:pStyle w:val="Tableheading"/>
            </w:pPr>
            <w:r>
              <w:t>Number</w:t>
            </w:r>
          </w:p>
        </w:tc>
        <w:tc>
          <w:tcPr>
            <w:tcW w:w="2065" w:type="dxa"/>
          </w:tcPr>
          <w:p w14:paraId="7EF9B6E3" w14:textId="4B889D87" w:rsidR="00CE6820" w:rsidRDefault="00CE6820" w:rsidP="00153DFC">
            <w:pPr>
              <w:pStyle w:val="Tableheading"/>
            </w:pPr>
            <w:r>
              <w:t>Proposal</w:t>
            </w:r>
            <w:r w:rsidR="00530AE1">
              <w:t xml:space="preserve"> </w:t>
            </w:r>
            <w:r w:rsidR="00C16414">
              <w:t>title</w:t>
            </w:r>
          </w:p>
        </w:tc>
        <w:tc>
          <w:tcPr>
            <w:tcW w:w="2543" w:type="dxa"/>
          </w:tcPr>
          <w:p w14:paraId="4CEA2C1C" w14:textId="0362871B" w:rsidR="00CE6820" w:rsidRDefault="000551EE" w:rsidP="00153DFC">
            <w:pPr>
              <w:pStyle w:val="Tableheading"/>
            </w:pPr>
            <w:r>
              <w:t xml:space="preserve">Draft </w:t>
            </w:r>
            <w:r w:rsidR="0064378C">
              <w:t>detail</w:t>
            </w:r>
            <w:r w:rsidR="00BC0695">
              <w:t xml:space="preserve"> </w:t>
            </w:r>
            <w:r w:rsidR="0007652C">
              <w:t>–consultation paper</w:t>
            </w:r>
          </w:p>
        </w:tc>
        <w:tc>
          <w:tcPr>
            <w:tcW w:w="2277" w:type="dxa"/>
          </w:tcPr>
          <w:p w14:paraId="4EAAFB92" w14:textId="2D894B42" w:rsidR="00CE6820" w:rsidRDefault="0007652C" w:rsidP="00153DFC">
            <w:pPr>
              <w:pStyle w:val="Tableheading"/>
            </w:pPr>
            <w:r>
              <w:t>Final detail – updated procedures</w:t>
            </w:r>
          </w:p>
        </w:tc>
      </w:tr>
      <w:tr w:rsidR="00CE6820" w14:paraId="0E4F3151" w14:textId="77777777" w:rsidTr="00F06F2A">
        <w:trPr>
          <w:trHeight w:val="300"/>
        </w:trPr>
        <w:tc>
          <w:tcPr>
            <w:tcW w:w="1048" w:type="dxa"/>
          </w:tcPr>
          <w:p w14:paraId="4A3706BB" w14:textId="5DC41611" w:rsidR="00CE6820" w:rsidRPr="00FE001D" w:rsidRDefault="00CE6820" w:rsidP="00153DFC">
            <w:pPr>
              <w:pStyle w:val="Tablebullet"/>
              <w:numPr>
                <w:ilvl w:val="0"/>
                <w:numId w:val="0"/>
              </w:numPr>
            </w:pPr>
            <w:r>
              <w:t>1</w:t>
            </w:r>
          </w:p>
        </w:tc>
        <w:tc>
          <w:tcPr>
            <w:tcW w:w="2065" w:type="dxa"/>
          </w:tcPr>
          <w:p w14:paraId="669C6461" w14:textId="3AE04EAD" w:rsidR="00CE6820" w:rsidRPr="00153DFC" w:rsidRDefault="00CE6820" w:rsidP="00153DFC">
            <w:pPr>
              <w:pStyle w:val="Tablebullet"/>
              <w:numPr>
                <w:ilvl w:val="0"/>
                <w:numId w:val="0"/>
              </w:numPr>
              <w:rPr>
                <w:sz w:val="20"/>
                <w:szCs w:val="20"/>
              </w:rPr>
            </w:pPr>
            <w:r w:rsidRPr="00153DFC">
              <w:rPr>
                <w:sz w:val="20"/>
                <w:szCs w:val="20"/>
              </w:rPr>
              <w:t>Confirming evaluation timelines and commitment to pay</w:t>
            </w:r>
          </w:p>
        </w:tc>
        <w:tc>
          <w:tcPr>
            <w:tcW w:w="2543" w:type="dxa"/>
          </w:tcPr>
          <w:p w14:paraId="18C3BA01" w14:textId="64929A6B" w:rsidR="00CE6820" w:rsidRPr="00153DFC" w:rsidRDefault="46608538" w:rsidP="0D4D3538">
            <w:pPr>
              <w:pStyle w:val="Tablebullet"/>
              <w:numPr>
                <w:ilvl w:val="0"/>
                <w:numId w:val="0"/>
              </w:numPr>
              <w:rPr>
                <w:sz w:val="20"/>
                <w:szCs w:val="20"/>
              </w:rPr>
            </w:pPr>
            <w:r w:rsidRPr="3BBA2A68">
              <w:rPr>
                <w:sz w:val="20"/>
                <w:szCs w:val="20"/>
              </w:rPr>
              <w:t>R</w:t>
            </w:r>
            <w:r w:rsidR="00D961CB" w:rsidRPr="3BBA2A68">
              <w:rPr>
                <w:sz w:val="20"/>
                <w:szCs w:val="20"/>
              </w:rPr>
              <w:t>equest for Unique Reference Number (URN)</w:t>
            </w:r>
            <w:r w:rsidR="065EEE15" w:rsidRPr="3BBA2A68">
              <w:rPr>
                <w:sz w:val="20"/>
                <w:szCs w:val="20"/>
              </w:rPr>
              <w:t xml:space="preserve"> </w:t>
            </w:r>
            <w:r w:rsidR="00D961CB" w:rsidRPr="3BBA2A68">
              <w:rPr>
                <w:sz w:val="20"/>
                <w:szCs w:val="20"/>
              </w:rPr>
              <w:t>19 months before guidance publication</w:t>
            </w:r>
            <w:r w:rsidR="6C1DB4CF" w:rsidRPr="3BBA2A68">
              <w:rPr>
                <w:sz w:val="20"/>
                <w:szCs w:val="20"/>
              </w:rPr>
              <w:t xml:space="preserve"> - approximately 12 months before Invitation to Participate (IT</w:t>
            </w:r>
            <w:r w:rsidR="107BA2FE" w:rsidRPr="3BBA2A68">
              <w:rPr>
                <w:sz w:val="20"/>
                <w:szCs w:val="20"/>
              </w:rPr>
              <w:t>P</w:t>
            </w:r>
            <w:r w:rsidR="6C1DB4CF" w:rsidRPr="3BBA2A68">
              <w:rPr>
                <w:sz w:val="20"/>
                <w:szCs w:val="20"/>
              </w:rPr>
              <w:t>)</w:t>
            </w:r>
            <w:r w:rsidR="00D961CB" w:rsidRPr="3BBA2A68">
              <w:rPr>
                <w:sz w:val="20"/>
                <w:szCs w:val="20"/>
              </w:rPr>
              <w:t>.</w:t>
            </w:r>
          </w:p>
        </w:tc>
        <w:tc>
          <w:tcPr>
            <w:tcW w:w="2277" w:type="dxa"/>
          </w:tcPr>
          <w:p w14:paraId="27C366E5" w14:textId="41B78043" w:rsidR="00CE6820" w:rsidRPr="00153DFC" w:rsidRDefault="3B9A962F" w:rsidP="66D89F29">
            <w:pPr>
              <w:pStyle w:val="Tablebullet"/>
              <w:numPr>
                <w:ilvl w:val="0"/>
                <w:numId w:val="0"/>
              </w:numPr>
              <w:rPr>
                <w:sz w:val="20"/>
                <w:szCs w:val="20"/>
              </w:rPr>
            </w:pPr>
            <w:r w:rsidRPr="66D89F29">
              <w:rPr>
                <w:sz w:val="20"/>
                <w:szCs w:val="20"/>
              </w:rPr>
              <w:t xml:space="preserve">Change to timeline of </w:t>
            </w:r>
            <w:r w:rsidR="6F63EF54" w:rsidRPr="66D89F29">
              <w:rPr>
                <w:sz w:val="20"/>
                <w:szCs w:val="20"/>
              </w:rPr>
              <w:t xml:space="preserve">URN </w:t>
            </w:r>
            <w:r w:rsidR="540E4A38" w:rsidRPr="66D89F29">
              <w:rPr>
                <w:sz w:val="20"/>
                <w:szCs w:val="20"/>
              </w:rPr>
              <w:t xml:space="preserve">request – </w:t>
            </w:r>
            <w:r w:rsidR="00392932">
              <w:rPr>
                <w:sz w:val="20"/>
                <w:szCs w:val="20"/>
              </w:rPr>
              <w:t>now</w:t>
            </w:r>
            <w:r w:rsidR="540E4A38" w:rsidRPr="66D89F29">
              <w:rPr>
                <w:sz w:val="20"/>
                <w:szCs w:val="20"/>
              </w:rPr>
              <w:t xml:space="preserve"> </w:t>
            </w:r>
            <w:r w:rsidR="6F63EF54" w:rsidRPr="66D89F29">
              <w:rPr>
                <w:sz w:val="20"/>
                <w:szCs w:val="20"/>
              </w:rPr>
              <w:t xml:space="preserve">6 months before Invitation to Participate (ITP). </w:t>
            </w:r>
          </w:p>
        </w:tc>
      </w:tr>
      <w:tr w:rsidR="00CC102C" w14:paraId="458D0058" w14:textId="77777777" w:rsidTr="00F06F2A">
        <w:trPr>
          <w:trHeight w:val="300"/>
        </w:trPr>
        <w:tc>
          <w:tcPr>
            <w:tcW w:w="1048" w:type="dxa"/>
          </w:tcPr>
          <w:p w14:paraId="24286450" w14:textId="394D1998" w:rsidR="00CC102C" w:rsidRPr="00153DFC" w:rsidRDefault="00CC102C" w:rsidP="00153DFC">
            <w:pPr>
              <w:pStyle w:val="Tablebullet"/>
              <w:numPr>
                <w:ilvl w:val="0"/>
                <w:numId w:val="0"/>
              </w:numPr>
            </w:pPr>
            <w:r w:rsidRPr="00153DFC">
              <w:t>2</w:t>
            </w:r>
          </w:p>
        </w:tc>
        <w:tc>
          <w:tcPr>
            <w:tcW w:w="2065" w:type="dxa"/>
          </w:tcPr>
          <w:p w14:paraId="3C9D03CA" w14:textId="4F576399" w:rsidR="00CC102C" w:rsidRPr="00CC102C" w:rsidRDefault="00CC102C" w:rsidP="00CC102C">
            <w:pPr>
              <w:pStyle w:val="Tablebullet"/>
              <w:numPr>
                <w:ilvl w:val="0"/>
                <w:numId w:val="0"/>
              </w:numPr>
              <w:rPr>
                <w:sz w:val="20"/>
                <w:szCs w:val="20"/>
              </w:rPr>
            </w:pPr>
            <w:r w:rsidRPr="0D4D3538">
              <w:rPr>
                <w:sz w:val="20"/>
                <w:szCs w:val="20"/>
              </w:rPr>
              <w:t>Introduction of a change fee</w:t>
            </w:r>
          </w:p>
        </w:tc>
        <w:tc>
          <w:tcPr>
            <w:tcW w:w="2543" w:type="dxa"/>
          </w:tcPr>
          <w:p w14:paraId="6EA73518" w14:textId="2786DB42" w:rsidR="00CC102C" w:rsidRPr="00CC102C" w:rsidRDefault="090B32F3" w:rsidP="00CC102C">
            <w:pPr>
              <w:pStyle w:val="Tablebullet"/>
              <w:numPr>
                <w:ilvl w:val="0"/>
                <w:numId w:val="0"/>
              </w:numPr>
              <w:rPr>
                <w:sz w:val="20"/>
                <w:szCs w:val="20"/>
              </w:rPr>
            </w:pPr>
            <w:r w:rsidRPr="666FDC5E">
              <w:rPr>
                <w:sz w:val="20"/>
                <w:szCs w:val="20"/>
              </w:rPr>
              <w:t>Change fee set at £18,610</w:t>
            </w:r>
            <w:r w:rsidR="008702B5">
              <w:rPr>
                <w:sz w:val="20"/>
                <w:szCs w:val="20"/>
              </w:rPr>
              <w:t>.</w:t>
            </w:r>
            <w:r w:rsidRPr="666FDC5E">
              <w:rPr>
                <w:sz w:val="20"/>
                <w:szCs w:val="20"/>
              </w:rPr>
              <w:t xml:space="preserve"> </w:t>
            </w:r>
          </w:p>
        </w:tc>
        <w:tc>
          <w:tcPr>
            <w:tcW w:w="2277" w:type="dxa"/>
          </w:tcPr>
          <w:p w14:paraId="67BC556B" w14:textId="1C99C0E4" w:rsidR="00CC102C" w:rsidRPr="00CC102C" w:rsidRDefault="56BA2BCF" w:rsidP="66D89F29">
            <w:pPr>
              <w:pStyle w:val="Tablebullet"/>
              <w:numPr>
                <w:ilvl w:val="0"/>
                <w:numId w:val="0"/>
              </w:numPr>
              <w:rPr>
                <w:sz w:val="20"/>
                <w:szCs w:val="20"/>
              </w:rPr>
            </w:pPr>
            <w:r w:rsidRPr="66D89F29">
              <w:rPr>
                <w:sz w:val="20"/>
                <w:szCs w:val="20"/>
              </w:rPr>
              <w:t xml:space="preserve">Change fee </w:t>
            </w:r>
            <w:r w:rsidR="1AED08C8" w:rsidRPr="66D89F29">
              <w:rPr>
                <w:sz w:val="20"/>
                <w:szCs w:val="20"/>
              </w:rPr>
              <w:t xml:space="preserve">reduced to </w:t>
            </w:r>
            <w:r w:rsidRPr="66D89F29">
              <w:rPr>
                <w:sz w:val="20"/>
                <w:szCs w:val="20"/>
              </w:rPr>
              <w:t>£9,305</w:t>
            </w:r>
            <w:r w:rsidR="69EBB154" w:rsidRPr="66D89F29">
              <w:rPr>
                <w:sz w:val="20"/>
                <w:szCs w:val="20"/>
              </w:rPr>
              <w:t xml:space="preserve">. </w:t>
            </w:r>
          </w:p>
          <w:p w14:paraId="1FACDC52" w14:textId="5490F87C" w:rsidR="00CC102C" w:rsidRPr="00CC102C" w:rsidRDefault="69EBB154" w:rsidP="66D89F29">
            <w:pPr>
              <w:pStyle w:val="Tablebullet"/>
              <w:numPr>
                <w:ilvl w:val="0"/>
                <w:numId w:val="0"/>
              </w:numPr>
              <w:rPr>
                <w:sz w:val="20"/>
                <w:szCs w:val="20"/>
              </w:rPr>
            </w:pPr>
            <w:r w:rsidRPr="66D89F29">
              <w:rPr>
                <w:sz w:val="20"/>
                <w:szCs w:val="20"/>
              </w:rPr>
              <w:t xml:space="preserve">Clarity of when and how a change fee will be applied. </w:t>
            </w:r>
          </w:p>
        </w:tc>
      </w:tr>
      <w:tr w:rsidR="00CC102C" w14:paraId="716FB797" w14:textId="77777777" w:rsidTr="00F06F2A">
        <w:trPr>
          <w:trHeight w:val="300"/>
        </w:trPr>
        <w:tc>
          <w:tcPr>
            <w:tcW w:w="1048" w:type="dxa"/>
          </w:tcPr>
          <w:p w14:paraId="4E2D96F8" w14:textId="2AD7DD7C" w:rsidR="00CC102C" w:rsidRPr="00516A6C" w:rsidRDefault="00CC102C" w:rsidP="00516A6C">
            <w:pPr>
              <w:pStyle w:val="Tablebullet"/>
              <w:numPr>
                <w:ilvl w:val="0"/>
                <w:numId w:val="0"/>
              </w:numPr>
            </w:pPr>
            <w:r w:rsidRPr="00516A6C">
              <w:t>3</w:t>
            </w:r>
          </w:p>
        </w:tc>
        <w:tc>
          <w:tcPr>
            <w:tcW w:w="2065" w:type="dxa"/>
          </w:tcPr>
          <w:p w14:paraId="46057FD6" w14:textId="0A22AD70" w:rsidR="00CC102C" w:rsidRDefault="00CC102C" w:rsidP="00CC102C">
            <w:pPr>
              <w:pStyle w:val="Tablebullet"/>
              <w:numPr>
                <w:ilvl w:val="0"/>
                <w:numId w:val="0"/>
              </w:numPr>
              <w:rPr>
                <w:sz w:val="20"/>
                <w:szCs w:val="20"/>
              </w:rPr>
            </w:pPr>
            <w:r w:rsidRPr="0D4D3538">
              <w:rPr>
                <w:sz w:val="20"/>
                <w:szCs w:val="20"/>
              </w:rPr>
              <w:t>A charge for technical engagement</w:t>
            </w:r>
          </w:p>
        </w:tc>
        <w:tc>
          <w:tcPr>
            <w:tcW w:w="2543" w:type="dxa"/>
          </w:tcPr>
          <w:p w14:paraId="5C06031E" w14:textId="7B963210" w:rsidR="00CC102C" w:rsidRPr="00CC102C" w:rsidRDefault="00D7216B" w:rsidP="00CC102C">
            <w:pPr>
              <w:pStyle w:val="Tablebullet"/>
              <w:numPr>
                <w:ilvl w:val="0"/>
                <w:numId w:val="0"/>
              </w:numPr>
              <w:rPr>
                <w:sz w:val="20"/>
                <w:szCs w:val="20"/>
              </w:rPr>
            </w:pPr>
            <w:r>
              <w:rPr>
                <w:sz w:val="20"/>
                <w:szCs w:val="20"/>
              </w:rPr>
              <w:t>A</w:t>
            </w:r>
            <w:r w:rsidR="00ED3994">
              <w:rPr>
                <w:sz w:val="20"/>
                <w:szCs w:val="20"/>
              </w:rPr>
              <w:t>n additional</w:t>
            </w:r>
            <w:r>
              <w:rPr>
                <w:sz w:val="20"/>
                <w:szCs w:val="20"/>
              </w:rPr>
              <w:t xml:space="preserve"> charge for technical engagement</w:t>
            </w:r>
            <w:r w:rsidR="008702B5">
              <w:rPr>
                <w:sz w:val="20"/>
                <w:szCs w:val="20"/>
              </w:rPr>
              <w:t>.</w:t>
            </w:r>
          </w:p>
        </w:tc>
        <w:tc>
          <w:tcPr>
            <w:tcW w:w="2277" w:type="dxa"/>
          </w:tcPr>
          <w:p w14:paraId="6DB26F96" w14:textId="757CA4C2" w:rsidR="00CC102C" w:rsidRPr="00CC102C" w:rsidRDefault="2409D4C9" w:rsidP="00CC102C">
            <w:pPr>
              <w:pStyle w:val="Tablebullet"/>
              <w:numPr>
                <w:ilvl w:val="0"/>
                <w:numId w:val="0"/>
              </w:numPr>
              <w:rPr>
                <w:sz w:val="20"/>
                <w:szCs w:val="20"/>
              </w:rPr>
            </w:pPr>
            <w:r w:rsidRPr="66D89F29">
              <w:rPr>
                <w:sz w:val="20"/>
                <w:szCs w:val="20"/>
              </w:rPr>
              <w:t xml:space="preserve">This proposal will not be </w:t>
            </w:r>
            <w:r w:rsidR="7D6479A7" w:rsidRPr="66D89F29">
              <w:rPr>
                <w:sz w:val="20"/>
                <w:szCs w:val="20"/>
              </w:rPr>
              <w:t>implemented</w:t>
            </w:r>
            <w:r w:rsidR="00224193">
              <w:rPr>
                <w:sz w:val="20"/>
                <w:szCs w:val="20"/>
              </w:rPr>
              <w:t xml:space="preserve"> -</w:t>
            </w:r>
            <w:r w:rsidRPr="66D89F29">
              <w:rPr>
                <w:sz w:val="20"/>
                <w:szCs w:val="20"/>
              </w:rPr>
              <w:t xml:space="preserve"> n</w:t>
            </w:r>
            <w:r w:rsidR="7689F0E6" w:rsidRPr="66D89F29">
              <w:rPr>
                <w:sz w:val="20"/>
                <w:szCs w:val="20"/>
              </w:rPr>
              <w:t>o charge</w:t>
            </w:r>
            <w:r w:rsidR="1B936FBF" w:rsidRPr="66D89F29">
              <w:rPr>
                <w:sz w:val="20"/>
                <w:szCs w:val="20"/>
              </w:rPr>
              <w:t xml:space="preserve"> will be </w:t>
            </w:r>
            <w:r w:rsidR="7689F0E6" w:rsidRPr="66D89F29">
              <w:rPr>
                <w:sz w:val="20"/>
                <w:szCs w:val="20"/>
              </w:rPr>
              <w:t>applicable</w:t>
            </w:r>
            <w:r w:rsidR="7438B2BD" w:rsidRPr="66D89F29">
              <w:rPr>
                <w:sz w:val="20"/>
                <w:szCs w:val="20"/>
              </w:rPr>
              <w:t xml:space="preserve"> for technical </w:t>
            </w:r>
            <w:r w:rsidR="790594CE" w:rsidRPr="66D89F29">
              <w:rPr>
                <w:sz w:val="20"/>
                <w:szCs w:val="20"/>
              </w:rPr>
              <w:t>engagement</w:t>
            </w:r>
            <w:r w:rsidR="7438B2BD" w:rsidRPr="66D89F29">
              <w:rPr>
                <w:sz w:val="20"/>
                <w:szCs w:val="20"/>
              </w:rPr>
              <w:t xml:space="preserve">. </w:t>
            </w:r>
          </w:p>
        </w:tc>
      </w:tr>
      <w:tr w:rsidR="00CC102C" w14:paraId="7DFC3FFC" w14:textId="77777777" w:rsidTr="00F06F2A">
        <w:trPr>
          <w:trHeight w:val="300"/>
        </w:trPr>
        <w:tc>
          <w:tcPr>
            <w:tcW w:w="1048" w:type="dxa"/>
          </w:tcPr>
          <w:p w14:paraId="12E095D8" w14:textId="6DD06ECC" w:rsidR="00CC102C" w:rsidRPr="00516A6C" w:rsidRDefault="00FE001D" w:rsidP="00516A6C">
            <w:pPr>
              <w:pStyle w:val="Tablebullet"/>
              <w:numPr>
                <w:ilvl w:val="0"/>
                <w:numId w:val="0"/>
              </w:numPr>
            </w:pPr>
            <w:r w:rsidRPr="00516A6C">
              <w:t>4</w:t>
            </w:r>
          </w:p>
        </w:tc>
        <w:tc>
          <w:tcPr>
            <w:tcW w:w="2065" w:type="dxa"/>
          </w:tcPr>
          <w:p w14:paraId="4CE140CE" w14:textId="1CE5F4B1" w:rsidR="00CC102C" w:rsidRDefault="004F1D62" w:rsidP="00CC102C">
            <w:pPr>
              <w:pStyle w:val="Tablebullet"/>
              <w:numPr>
                <w:ilvl w:val="0"/>
                <w:numId w:val="0"/>
              </w:numPr>
              <w:rPr>
                <w:sz w:val="20"/>
                <w:szCs w:val="20"/>
              </w:rPr>
            </w:pPr>
            <w:r>
              <w:rPr>
                <w:sz w:val="20"/>
                <w:szCs w:val="20"/>
              </w:rPr>
              <w:t>A</w:t>
            </w:r>
            <w:r w:rsidRPr="0D4D3538">
              <w:rPr>
                <w:sz w:val="20"/>
                <w:szCs w:val="20"/>
              </w:rPr>
              <w:t xml:space="preserve"> </w:t>
            </w:r>
            <w:r w:rsidR="00FE001D" w:rsidRPr="0D4D3538">
              <w:rPr>
                <w:sz w:val="20"/>
                <w:szCs w:val="20"/>
              </w:rPr>
              <w:t>charge for pilot topics and amendments to processes</w:t>
            </w:r>
          </w:p>
        </w:tc>
        <w:tc>
          <w:tcPr>
            <w:tcW w:w="2543" w:type="dxa"/>
          </w:tcPr>
          <w:p w14:paraId="788007A8" w14:textId="74B2EA27" w:rsidR="00CC102C" w:rsidRPr="00CC102C" w:rsidRDefault="591BF4F1" w:rsidP="00CC102C">
            <w:pPr>
              <w:pStyle w:val="Tablebullet"/>
              <w:numPr>
                <w:ilvl w:val="0"/>
                <w:numId w:val="0"/>
              </w:numPr>
              <w:rPr>
                <w:sz w:val="20"/>
                <w:szCs w:val="20"/>
              </w:rPr>
            </w:pPr>
            <w:r w:rsidRPr="3466688A">
              <w:rPr>
                <w:sz w:val="20"/>
                <w:szCs w:val="20"/>
              </w:rPr>
              <w:t xml:space="preserve">Pilots and amendments to be subject to divergent fee. </w:t>
            </w:r>
          </w:p>
        </w:tc>
        <w:tc>
          <w:tcPr>
            <w:tcW w:w="2277" w:type="dxa"/>
          </w:tcPr>
          <w:p w14:paraId="62B2BCA7" w14:textId="0C39D13B" w:rsidR="00CC102C" w:rsidRPr="00CC102C" w:rsidRDefault="591BF4F1" w:rsidP="00CC102C">
            <w:pPr>
              <w:pStyle w:val="Tablebullet"/>
              <w:numPr>
                <w:ilvl w:val="0"/>
                <w:numId w:val="0"/>
              </w:numPr>
              <w:rPr>
                <w:sz w:val="20"/>
                <w:szCs w:val="20"/>
              </w:rPr>
            </w:pPr>
            <w:r w:rsidRPr="7808A82C">
              <w:rPr>
                <w:sz w:val="20"/>
                <w:szCs w:val="20"/>
              </w:rPr>
              <w:t>Clarification of when and how a divergent fee will be applied</w:t>
            </w:r>
            <w:r w:rsidR="005229A8">
              <w:rPr>
                <w:sz w:val="20"/>
                <w:szCs w:val="20"/>
              </w:rPr>
              <w:t xml:space="preserve"> and calculated.</w:t>
            </w:r>
          </w:p>
        </w:tc>
      </w:tr>
      <w:tr w:rsidR="00FE001D" w14:paraId="52EB905F" w14:textId="77777777" w:rsidTr="00F06F2A">
        <w:trPr>
          <w:trHeight w:val="300"/>
        </w:trPr>
        <w:tc>
          <w:tcPr>
            <w:tcW w:w="1048" w:type="dxa"/>
          </w:tcPr>
          <w:p w14:paraId="1D7D49EE" w14:textId="3DDB9EA1" w:rsidR="00FE001D" w:rsidRPr="00516A6C" w:rsidRDefault="00FE001D" w:rsidP="00516A6C">
            <w:pPr>
              <w:pStyle w:val="Tablebullet"/>
              <w:numPr>
                <w:ilvl w:val="0"/>
                <w:numId w:val="0"/>
              </w:numPr>
            </w:pPr>
            <w:r w:rsidRPr="00516A6C">
              <w:t>5</w:t>
            </w:r>
          </w:p>
        </w:tc>
        <w:tc>
          <w:tcPr>
            <w:tcW w:w="2065" w:type="dxa"/>
          </w:tcPr>
          <w:p w14:paraId="6A89E52F" w14:textId="1ED2CDDE" w:rsidR="00FE001D" w:rsidRDefault="00FE001D" w:rsidP="00CC102C">
            <w:pPr>
              <w:pStyle w:val="Tablebullet"/>
              <w:numPr>
                <w:ilvl w:val="0"/>
                <w:numId w:val="0"/>
              </w:numPr>
              <w:rPr>
                <w:sz w:val="20"/>
                <w:szCs w:val="20"/>
              </w:rPr>
            </w:pPr>
            <w:r w:rsidRPr="0D4D3538">
              <w:rPr>
                <w:sz w:val="20"/>
                <w:szCs w:val="20"/>
              </w:rPr>
              <w:t>Update to refund procedures</w:t>
            </w:r>
          </w:p>
        </w:tc>
        <w:tc>
          <w:tcPr>
            <w:tcW w:w="2543" w:type="dxa"/>
          </w:tcPr>
          <w:p w14:paraId="472A1EFB" w14:textId="3A8E4C0F" w:rsidR="00FE001D" w:rsidRPr="00CC102C" w:rsidRDefault="35D5D041" w:rsidP="00CC102C">
            <w:pPr>
              <w:pStyle w:val="Tablebullet"/>
              <w:numPr>
                <w:ilvl w:val="0"/>
                <w:numId w:val="0"/>
              </w:numPr>
              <w:rPr>
                <w:sz w:val="20"/>
                <w:szCs w:val="20"/>
              </w:rPr>
            </w:pPr>
            <w:r w:rsidRPr="66D89F29">
              <w:rPr>
                <w:sz w:val="20"/>
                <w:szCs w:val="20"/>
              </w:rPr>
              <w:t>Refund not applicable post External Assessment Report.</w:t>
            </w:r>
          </w:p>
        </w:tc>
        <w:tc>
          <w:tcPr>
            <w:tcW w:w="2277" w:type="dxa"/>
          </w:tcPr>
          <w:p w14:paraId="066285BB" w14:textId="75CAAB06" w:rsidR="003C2EE1" w:rsidRDefault="003C2EE1" w:rsidP="003C2EE1">
            <w:pPr>
              <w:pStyle w:val="Tablebullet"/>
              <w:numPr>
                <w:ilvl w:val="0"/>
                <w:numId w:val="0"/>
              </w:numPr>
              <w:rPr>
                <w:sz w:val="20"/>
                <w:szCs w:val="20"/>
              </w:rPr>
            </w:pPr>
            <w:r w:rsidRPr="66D89F29">
              <w:rPr>
                <w:sz w:val="20"/>
                <w:szCs w:val="20"/>
              </w:rPr>
              <w:t xml:space="preserve">The key milestones used for cost recovery </w:t>
            </w:r>
            <w:r>
              <w:rPr>
                <w:sz w:val="20"/>
                <w:szCs w:val="20"/>
              </w:rPr>
              <w:t>and refunds are now</w:t>
            </w:r>
            <w:r w:rsidRPr="66D89F29">
              <w:rPr>
                <w:sz w:val="20"/>
                <w:szCs w:val="20"/>
              </w:rPr>
              <w:t xml:space="preserve"> pub</w:t>
            </w:r>
            <w:r>
              <w:rPr>
                <w:sz w:val="20"/>
                <w:szCs w:val="20"/>
              </w:rPr>
              <w:t xml:space="preserve">lic. </w:t>
            </w:r>
          </w:p>
          <w:p w14:paraId="6E4401CE" w14:textId="1BBF0475" w:rsidR="542F4FB0" w:rsidRDefault="542F4FB0" w:rsidP="66D89F29">
            <w:pPr>
              <w:pStyle w:val="Tablebullet"/>
              <w:numPr>
                <w:ilvl w:val="0"/>
                <w:numId w:val="0"/>
              </w:numPr>
              <w:rPr>
                <w:sz w:val="20"/>
                <w:szCs w:val="20"/>
              </w:rPr>
            </w:pPr>
            <w:r w:rsidRPr="66D89F29">
              <w:rPr>
                <w:sz w:val="20"/>
                <w:szCs w:val="20"/>
              </w:rPr>
              <w:t xml:space="preserve">Clarification </w:t>
            </w:r>
            <w:r w:rsidR="003C2EE1">
              <w:rPr>
                <w:sz w:val="20"/>
                <w:szCs w:val="20"/>
              </w:rPr>
              <w:t>when</w:t>
            </w:r>
            <w:r w:rsidR="007B76A7">
              <w:rPr>
                <w:sz w:val="20"/>
                <w:szCs w:val="20"/>
              </w:rPr>
              <w:t xml:space="preserve"> a</w:t>
            </w:r>
            <w:r w:rsidRPr="66D89F29">
              <w:rPr>
                <w:sz w:val="20"/>
                <w:szCs w:val="20"/>
              </w:rPr>
              <w:t xml:space="preserve"> refund will be</w:t>
            </w:r>
            <w:r w:rsidR="007B76A7">
              <w:rPr>
                <w:sz w:val="20"/>
                <w:szCs w:val="20"/>
              </w:rPr>
              <w:t xml:space="preserve"> </w:t>
            </w:r>
            <w:r w:rsidRPr="66D89F29">
              <w:rPr>
                <w:sz w:val="20"/>
                <w:szCs w:val="20"/>
              </w:rPr>
              <w:t>applicable</w:t>
            </w:r>
            <w:r w:rsidR="003C2EE1">
              <w:rPr>
                <w:sz w:val="20"/>
                <w:szCs w:val="20"/>
              </w:rPr>
              <w:t xml:space="preserve"> based on the </w:t>
            </w:r>
            <w:r w:rsidR="00DC228F">
              <w:rPr>
                <w:sz w:val="20"/>
                <w:szCs w:val="20"/>
              </w:rPr>
              <w:t xml:space="preserve">key </w:t>
            </w:r>
            <w:r w:rsidR="003C2EE1">
              <w:rPr>
                <w:sz w:val="20"/>
                <w:szCs w:val="20"/>
              </w:rPr>
              <w:t>milestone</w:t>
            </w:r>
            <w:r w:rsidR="00DC228F">
              <w:rPr>
                <w:sz w:val="20"/>
                <w:szCs w:val="20"/>
              </w:rPr>
              <w:t>s</w:t>
            </w:r>
            <w:r w:rsidR="007B76A7">
              <w:rPr>
                <w:sz w:val="20"/>
                <w:szCs w:val="20"/>
              </w:rPr>
              <w:t>.</w:t>
            </w:r>
          </w:p>
          <w:p w14:paraId="35F35408" w14:textId="157BB197" w:rsidR="00FE001D" w:rsidRPr="00CC102C" w:rsidRDefault="6FB02339" w:rsidP="00CC102C">
            <w:pPr>
              <w:pStyle w:val="Tablebullet"/>
              <w:numPr>
                <w:ilvl w:val="0"/>
                <w:numId w:val="0"/>
              </w:numPr>
              <w:rPr>
                <w:sz w:val="20"/>
                <w:szCs w:val="20"/>
              </w:rPr>
            </w:pPr>
            <w:r w:rsidRPr="66D89F29">
              <w:rPr>
                <w:sz w:val="20"/>
                <w:szCs w:val="20"/>
              </w:rPr>
              <w:t>The a</w:t>
            </w:r>
            <w:r w:rsidR="72919C82" w:rsidRPr="66D89F29">
              <w:rPr>
                <w:sz w:val="20"/>
                <w:szCs w:val="20"/>
              </w:rPr>
              <w:t xml:space="preserve">dministration </w:t>
            </w:r>
            <w:r w:rsidR="007B76A7">
              <w:rPr>
                <w:sz w:val="20"/>
                <w:szCs w:val="20"/>
              </w:rPr>
              <w:t>fee</w:t>
            </w:r>
            <w:r w:rsidR="007B76A7" w:rsidRPr="66D89F29">
              <w:rPr>
                <w:sz w:val="20"/>
                <w:szCs w:val="20"/>
              </w:rPr>
              <w:t xml:space="preserve"> </w:t>
            </w:r>
            <w:r w:rsidR="72919C82" w:rsidRPr="66D89F29">
              <w:rPr>
                <w:sz w:val="20"/>
                <w:szCs w:val="20"/>
              </w:rPr>
              <w:t xml:space="preserve">has been removed. </w:t>
            </w:r>
          </w:p>
        </w:tc>
      </w:tr>
    </w:tbl>
    <w:p w14:paraId="265D6393" w14:textId="1ECEC232" w:rsidR="00645003" w:rsidRDefault="00645003"/>
    <w:p w14:paraId="2FDEAF63" w14:textId="19C996A8" w:rsidR="00E20CD5" w:rsidRPr="00AB2C52" w:rsidRDefault="24A2CDC5" w:rsidP="00153DFC">
      <w:pPr>
        <w:pStyle w:val="ParagraphNumbered"/>
        <w:ind w:left="426" w:hanging="426"/>
      </w:pPr>
      <w:r>
        <w:t xml:space="preserve">The changes described in this paper will </w:t>
      </w:r>
      <w:r w:rsidR="00CA6F42">
        <w:t xml:space="preserve">come into </w:t>
      </w:r>
      <w:r>
        <w:t>effect</w:t>
      </w:r>
      <w:r w:rsidR="00CA6F42">
        <w:t xml:space="preserve"> on</w:t>
      </w:r>
      <w:r w:rsidR="7E8CB925">
        <w:t xml:space="preserve"> 1 April 2024</w:t>
      </w:r>
      <w:r w:rsidR="63875FC4">
        <w:t xml:space="preserve">. </w:t>
      </w:r>
      <w:r w:rsidR="7E8CB925">
        <w:t xml:space="preserve"> </w:t>
      </w:r>
    </w:p>
    <w:p w14:paraId="165F1C1B" w14:textId="09632CFB" w:rsidR="00A305CB" w:rsidRDefault="5F80FB75" w:rsidP="00153DFC">
      <w:pPr>
        <w:pStyle w:val="ParagraphNumbered"/>
        <w:ind w:left="426" w:hanging="426"/>
      </w:pPr>
      <w:r>
        <w:t xml:space="preserve">Following this review, NICE </w:t>
      </w:r>
      <w:r w:rsidR="004A7862">
        <w:t>will</w:t>
      </w:r>
      <w:r>
        <w:t xml:space="preserve"> mov</w:t>
      </w:r>
      <w:r w:rsidR="004A7862">
        <w:t>e</w:t>
      </w:r>
      <w:r>
        <w:t xml:space="preserve"> to a dynamic approach to updating our cost recovery procedures. We will review the procedures in line with </w:t>
      </w:r>
      <w:r>
        <w:lastRenderedPageBreak/>
        <w:t xml:space="preserve">the regular business planning cycle and have listed areas for future consideration at the end of this document.  </w:t>
      </w:r>
    </w:p>
    <w:p w14:paraId="18A92CC1" w14:textId="4CFAFA5A" w:rsidR="00A305CB" w:rsidRDefault="00A305CB" w:rsidP="00EC70FD">
      <w:pPr>
        <w:pStyle w:val="Heading2"/>
      </w:pPr>
      <w:r>
        <w:t>Introduction</w:t>
      </w:r>
    </w:p>
    <w:p w14:paraId="57FAAFBF" w14:textId="082143A8" w:rsidR="004C145B" w:rsidRDefault="7781078A" w:rsidP="00153DFC">
      <w:pPr>
        <w:pStyle w:val="ParagraphNumbered"/>
        <w:ind w:left="426" w:hanging="426"/>
      </w:pPr>
      <w:r>
        <w:t xml:space="preserve">In November 2023, NICE conducted a consultation on the processes and procedures of cost recovery for the </w:t>
      </w:r>
      <w:r w:rsidR="000C327B">
        <w:t>TA-HST</w:t>
      </w:r>
      <w:r>
        <w:t xml:space="preserve"> work programme.</w:t>
      </w:r>
      <w:r w:rsidR="004C145B">
        <w:t xml:space="preserve">   </w:t>
      </w:r>
    </w:p>
    <w:p w14:paraId="1B920125" w14:textId="2B8CA3F3" w:rsidR="004C145B" w:rsidRDefault="00B64DFE" w:rsidP="00153DFC">
      <w:pPr>
        <w:pStyle w:val="ParagraphNumbered"/>
        <w:ind w:left="426" w:hanging="426"/>
      </w:pPr>
      <w:r>
        <w:t>A s</w:t>
      </w:r>
      <w:r w:rsidR="00947B49">
        <w:t xml:space="preserve">takeholder engagement </w:t>
      </w:r>
      <w:r>
        <w:t xml:space="preserve">event </w:t>
      </w:r>
      <w:r w:rsidR="00C71366">
        <w:t>took place</w:t>
      </w:r>
      <w:r>
        <w:t xml:space="preserve"> on </w:t>
      </w:r>
      <w:r w:rsidR="00947B49">
        <w:t xml:space="preserve">2 </w:t>
      </w:r>
      <w:r>
        <w:t>November</w:t>
      </w:r>
      <w:r w:rsidR="00947B49">
        <w:t xml:space="preserve"> 2023</w:t>
      </w:r>
      <w:r>
        <w:t xml:space="preserve">, where </w:t>
      </w:r>
      <w:r w:rsidR="00512D4E">
        <w:t xml:space="preserve">life science </w:t>
      </w:r>
      <w:r>
        <w:t xml:space="preserve">industry </w:t>
      </w:r>
      <w:r w:rsidR="004C145B">
        <w:t xml:space="preserve">organisations and </w:t>
      </w:r>
      <w:r w:rsidR="00EE0EE5">
        <w:t xml:space="preserve">representatives </w:t>
      </w:r>
      <w:r>
        <w:t>were</w:t>
      </w:r>
      <w:r w:rsidR="00947B49">
        <w:t xml:space="preserve"> </w:t>
      </w:r>
      <w:r w:rsidR="00915D7E">
        <w:t xml:space="preserve">provided with an early </w:t>
      </w:r>
      <w:r w:rsidR="00704D38">
        <w:t>view of the proposals and invited to ask question</w:t>
      </w:r>
      <w:r w:rsidR="004F6835">
        <w:t>s</w:t>
      </w:r>
      <w:r w:rsidR="00704D38">
        <w:t xml:space="preserve"> of the panel. </w:t>
      </w:r>
      <w:r w:rsidR="05292BBF">
        <w:t>247</w:t>
      </w:r>
      <w:r w:rsidR="00704D38">
        <w:t xml:space="preserve"> </w:t>
      </w:r>
      <w:r w:rsidR="004C145B">
        <w:t xml:space="preserve">people registered and </w:t>
      </w:r>
      <w:r w:rsidR="222AEA1B">
        <w:t>176</w:t>
      </w:r>
      <w:r w:rsidR="004C145B">
        <w:t xml:space="preserve"> people attended</w:t>
      </w:r>
      <w:r w:rsidR="00D82249">
        <w:t xml:space="preserve"> the event.</w:t>
      </w:r>
    </w:p>
    <w:p w14:paraId="5C15557E" w14:textId="3C9243A1" w:rsidR="00D11E19" w:rsidRDefault="00C55238" w:rsidP="00153DFC">
      <w:pPr>
        <w:pStyle w:val="ParagraphNumbered"/>
        <w:ind w:left="426" w:hanging="426"/>
      </w:pPr>
      <w:r>
        <w:t xml:space="preserve">A total of </w:t>
      </w:r>
      <w:r w:rsidR="2F8C78B5">
        <w:t>27</w:t>
      </w:r>
      <w:r w:rsidR="00D11E19">
        <w:t xml:space="preserve"> stakeholders</w:t>
      </w:r>
      <w:r>
        <w:t>, including pharmaceutical organisations and industry bodies</w:t>
      </w:r>
      <w:r w:rsidR="00D11E19">
        <w:t xml:space="preserve"> provided comments</w:t>
      </w:r>
      <w:r w:rsidR="000A2507">
        <w:t xml:space="preserve"> to the </w:t>
      </w:r>
      <w:r w:rsidR="008F5CBB">
        <w:t>consultation</w:t>
      </w:r>
      <w:r w:rsidR="00D11E19">
        <w:t xml:space="preserve">. </w:t>
      </w:r>
    </w:p>
    <w:p w14:paraId="473CEEF7" w14:textId="6BB6099C" w:rsidR="00A305CB" w:rsidRDefault="00A305CB" w:rsidP="00380E8B">
      <w:pPr>
        <w:pStyle w:val="Heading2"/>
      </w:pPr>
      <w:r>
        <w:t xml:space="preserve">The </w:t>
      </w:r>
      <w:r w:rsidR="00237A89">
        <w:t xml:space="preserve">cost recovery consultation </w:t>
      </w:r>
    </w:p>
    <w:p w14:paraId="0A87FC17" w14:textId="787A782B" w:rsidR="00EF5BBF" w:rsidRDefault="00EF5BBF" w:rsidP="00B674CB">
      <w:pPr>
        <w:pStyle w:val="ParagraphNumbered"/>
      </w:pPr>
      <w:r>
        <w:t>The consultation presented 5 main proposals:</w:t>
      </w:r>
    </w:p>
    <w:p w14:paraId="7F6C4C9A" w14:textId="77777777" w:rsidR="00B674CB" w:rsidRDefault="00B674CB" w:rsidP="00153DFC">
      <w:pPr>
        <w:pStyle w:val="Bullets"/>
        <w:numPr>
          <w:ilvl w:val="0"/>
          <w:numId w:val="25"/>
        </w:numPr>
        <w:tabs>
          <w:tab w:val="clear" w:pos="993"/>
          <w:tab w:val="left" w:pos="1418"/>
        </w:tabs>
        <w:ind w:left="1418"/>
      </w:pPr>
      <w:r>
        <w:t>Confirming evaluation timelines and commitment to pay</w:t>
      </w:r>
    </w:p>
    <w:p w14:paraId="78C3A129" w14:textId="77777777" w:rsidR="00B674CB" w:rsidRDefault="00B674CB" w:rsidP="00153DFC">
      <w:pPr>
        <w:pStyle w:val="Bullets"/>
        <w:numPr>
          <w:ilvl w:val="0"/>
          <w:numId w:val="25"/>
        </w:numPr>
        <w:tabs>
          <w:tab w:val="clear" w:pos="993"/>
          <w:tab w:val="left" w:pos="1418"/>
        </w:tabs>
        <w:ind w:left="1418"/>
      </w:pPr>
      <w:r>
        <w:t>Introduction of a change fee</w:t>
      </w:r>
    </w:p>
    <w:p w14:paraId="040A8D6C" w14:textId="77777777" w:rsidR="00B674CB" w:rsidRDefault="00B674CB" w:rsidP="00153DFC">
      <w:pPr>
        <w:pStyle w:val="Bullets"/>
        <w:numPr>
          <w:ilvl w:val="0"/>
          <w:numId w:val="25"/>
        </w:numPr>
        <w:tabs>
          <w:tab w:val="clear" w:pos="993"/>
          <w:tab w:val="left" w:pos="1418"/>
        </w:tabs>
        <w:ind w:left="1418"/>
      </w:pPr>
      <w:r>
        <w:t>A charge for technical engagement</w:t>
      </w:r>
    </w:p>
    <w:p w14:paraId="23E00E86" w14:textId="77777777" w:rsidR="00B674CB" w:rsidRDefault="00B674CB" w:rsidP="00153DFC">
      <w:pPr>
        <w:pStyle w:val="Bullets"/>
        <w:numPr>
          <w:ilvl w:val="0"/>
          <w:numId w:val="25"/>
        </w:numPr>
        <w:tabs>
          <w:tab w:val="clear" w:pos="993"/>
          <w:tab w:val="left" w:pos="1418"/>
        </w:tabs>
        <w:ind w:left="1418"/>
      </w:pPr>
      <w:r>
        <w:t xml:space="preserve">The charge for pilot topics and amendments to processes </w:t>
      </w:r>
    </w:p>
    <w:p w14:paraId="6599FD8C" w14:textId="77777777" w:rsidR="00B674CB" w:rsidRDefault="00B674CB" w:rsidP="00153DFC">
      <w:pPr>
        <w:pStyle w:val="Bullets"/>
        <w:numPr>
          <w:ilvl w:val="0"/>
          <w:numId w:val="25"/>
        </w:numPr>
        <w:tabs>
          <w:tab w:val="clear" w:pos="993"/>
          <w:tab w:val="left" w:pos="1418"/>
        </w:tabs>
        <w:ind w:left="1418"/>
      </w:pPr>
      <w:r>
        <w:t>Updates to refund procedures</w:t>
      </w:r>
    </w:p>
    <w:p w14:paraId="74D37D7D" w14:textId="6F91AB45" w:rsidR="00EF5BBF" w:rsidRDefault="009D58E8" w:rsidP="00153DFC">
      <w:pPr>
        <w:pStyle w:val="ParagraphNumbered"/>
        <w:spacing w:before="240"/>
        <w:ind w:left="426" w:hanging="426"/>
      </w:pPr>
      <w:r>
        <w:t>Stakeholders</w:t>
      </w:r>
      <w:r w:rsidR="00EF5BBF">
        <w:t xml:space="preserve"> were </w:t>
      </w:r>
      <w:r w:rsidR="00144F68">
        <w:t xml:space="preserve">asked to </w:t>
      </w:r>
      <w:r w:rsidR="00F9716E">
        <w:t xml:space="preserve">provide </w:t>
      </w:r>
      <w:r w:rsidR="00F9716E" w:rsidRPr="00F9716E">
        <w:t xml:space="preserve">feedback on the proposals as laid out </w:t>
      </w:r>
      <w:r w:rsidR="00F9716E" w:rsidRPr="00FE5C1D">
        <w:t xml:space="preserve">in </w:t>
      </w:r>
      <w:r w:rsidR="00B9086A" w:rsidRPr="00FE5C1D">
        <w:t xml:space="preserve">the </w:t>
      </w:r>
      <w:hyperlink r:id="rId10" w:history="1">
        <w:r w:rsidR="00B9086A" w:rsidRPr="00FE5C1D">
          <w:rPr>
            <w:rStyle w:val="Hyperlink"/>
          </w:rPr>
          <w:t>consultation paper</w:t>
        </w:r>
      </w:hyperlink>
      <w:r w:rsidR="00F9716E" w:rsidRPr="00F9716E">
        <w:t xml:space="preserve">.  </w:t>
      </w:r>
      <w:r w:rsidR="00F20A70">
        <w:t xml:space="preserve">For all proposals stakeholders were asked </w:t>
      </w:r>
    </w:p>
    <w:p w14:paraId="6FBA7289" w14:textId="5B3CC454" w:rsidR="001A1332" w:rsidRDefault="001A1332" w:rsidP="007F25B0">
      <w:pPr>
        <w:pStyle w:val="Bullets"/>
        <w:numPr>
          <w:ilvl w:val="0"/>
          <w:numId w:val="30"/>
        </w:numPr>
      </w:pPr>
      <w:r>
        <w:t>Does the paper clearly explain the justification for the proposal?</w:t>
      </w:r>
    </w:p>
    <w:p w14:paraId="14B31A9D" w14:textId="77777777" w:rsidR="00F040BC" w:rsidRDefault="001A1332" w:rsidP="007F25B0">
      <w:pPr>
        <w:pStyle w:val="Bullets"/>
        <w:numPr>
          <w:ilvl w:val="0"/>
          <w:numId w:val="30"/>
        </w:numPr>
      </w:pPr>
      <w:r>
        <w:t>Does the paper provide enough detail on the proposed changes?</w:t>
      </w:r>
    </w:p>
    <w:p w14:paraId="17CFCBF4" w14:textId="77777777" w:rsidR="00F040BC" w:rsidRDefault="00F040BC" w:rsidP="007F25B0">
      <w:pPr>
        <w:pStyle w:val="Bullets"/>
        <w:numPr>
          <w:ilvl w:val="0"/>
          <w:numId w:val="30"/>
        </w:numPr>
      </w:pPr>
      <w:r w:rsidRPr="00F040BC">
        <w:t>What consequences of implementing the proposed changes are there for industry?</w:t>
      </w:r>
    </w:p>
    <w:p w14:paraId="4ED6A2EE" w14:textId="0D4B2B7B" w:rsidR="00F040BC" w:rsidRDefault="00F040BC" w:rsidP="007F25B0">
      <w:pPr>
        <w:pStyle w:val="Bullets"/>
        <w:numPr>
          <w:ilvl w:val="0"/>
          <w:numId w:val="30"/>
        </w:numPr>
      </w:pPr>
      <w:r w:rsidRPr="00F040BC">
        <w:t>Do you have any other feedback to share on the proposal?</w:t>
      </w:r>
    </w:p>
    <w:p w14:paraId="2D5FDA28" w14:textId="3DD7B06A" w:rsidR="05CB5CA3" w:rsidRDefault="05CB5CA3" w:rsidP="00695E29">
      <w:pPr>
        <w:pStyle w:val="ParagraphNumbered"/>
        <w:spacing w:before="240"/>
        <w:ind w:left="425" w:hanging="425"/>
      </w:pPr>
      <w:r>
        <w:lastRenderedPageBreak/>
        <w:t>In response to the review, the charging procedures have been updated and replace any information previously published on the NICE website.</w:t>
      </w:r>
    </w:p>
    <w:p w14:paraId="5307AF2A" w14:textId="22A51CFF" w:rsidR="008C3F77" w:rsidRDefault="008C3F77" w:rsidP="008C3F77">
      <w:pPr>
        <w:pStyle w:val="Heading1"/>
        <w:rPr>
          <w:lang w:eastAsia="en-GB"/>
        </w:rPr>
      </w:pPr>
      <w:r>
        <w:rPr>
          <w:lang w:eastAsia="en-GB"/>
        </w:rPr>
        <w:t xml:space="preserve">Findings from the </w:t>
      </w:r>
      <w:r w:rsidR="00A305CB">
        <w:rPr>
          <w:lang w:eastAsia="en-GB"/>
        </w:rPr>
        <w:t>consultation, NICE response</w:t>
      </w:r>
      <w:r w:rsidR="00CF474A">
        <w:rPr>
          <w:lang w:eastAsia="en-GB"/>
        </w:rPr>
        <w:t>,</w:t>
      </w:r>
      <w:r w:rsidR="00A305CB">
        <w:rPr>
          <w:lang w:eastAsia="en-GB"/>
        </w:rPr>
        <w:t xml:space="preserve"> and next steps</w:t>
      </w:r>
    </w:p>
    <w:p w14:paraId="10BAD3B8" w14:textId="4D85DB15" w:rsidR="009E11ED" w:rsidRDefault="00380E8B" w:rsidP="007C1BAA">
      <w:pPr>
        <w:pStyle w:val="Heading2"/>
      </w:pPr>
      <w:r>
        <w:t>Fees for 2024-25</w:t>
      </w:r>
    </w:p>
    <w:p w14:paraId="2B907D4F" w14:textId="32D96B4A" w:rsidR="00235A9F" w:rsidRPr="00235A9F" w:rsidRDefault="00235A9F" w:rsidP="001C690B">
      <w:pPr>
        <w:pStyle w:val="ParagraphNumbered"/>
        <w:tabs>
          <w:tab w:val="clear" w:pos="426"/>
          <w:tab w:val="left" w:pos="709"/>
        </w:tabs>
        <w:ind w:left="567" w:hanging="567"/>
      </w:pPr>
      <w:r>
        <w:t xml:space="preserve">NICE did not </w:t>
      </w:r>
      <w:r w:rsidR="43D19580">
        <w:t>specifically</w:t>
      </w:r>
      <w:r>
        <w:t xml:space="preserve"> </w:t>
      </w:r>
      <w:r w:rsidRPr="002B211F">
        <w:t>ask for comment</w:t>
      </w:r>
      <w:r>
        <w:t>s</w:t>
      </w:r>
      <w:r w:rsidRPr="002B211F">
        <w:t xml:space="preserve"> on the new fees</w:t>
      </w:r>
      <w:r>
        <w:t xml:space="preserve">, but </w:t>
      </w:r>
      <w:r w:rsidR="00A84F50">
        <w:t>received comments</w:t>
      </w:r>
      <w:r w:rsidR="001E3FCA">
        <w:t xml:space="preserve"> referencing the fees and the background</w:t>
      </w:r>
      <w:r w:rsidR="00DB2C30">
        <w:t xml:space="preserve"> that was </w:t>
      </w:r>
      <w:r w:rsidR="00DB2C30" w:rsidRPr="007339A4">
        <w:t xml:space="preserve">provided in </w:t>
      </w:r>
      <w:r w:rsidRPr="007339A4">
        <w:t xml:space="preserve">the </w:t>
      </w:r>
      <w:hyperlink r:id="rId11" w:history="1">
        <w:r w:rsidRPr="007339A4">
          <w:rPr>
            <w:rStyle w:val="Hyperlink"/>
          </w:rPr>
          <w:t>consultation paper</w:t>
        </w:r>
      </w:hyperlink>
      <w:r w:rsidR="00DB2C30" w:rsidRPr="007339A4">
        <w:t>.</w:t>
      </w:r>
      <w:r w:rsidRPr="007339A4">
        <w:t xml:space="preserve"> </w:t>
      </w:r>
    </w:p>
    <w:p w14:paraId="121E352B" w14:textId="56D5F271" w:rsidR="00A305CB" w:rsidRDefault="00A305CB" w:rsidP="00380E8B">
      <w:pPr>
        <w:pStyle w:val="Heading3"/>
      </w:pPr>
      <w:r>
        <w:t xml:space="preserve">Summary of comments </w:t>
      </w:r>
    </w:p>
    <w:p w14:paraId="4A9EB422" w14:textId="3B0B7484" w:rsidR="003B172A" w:rsidRPr="00DD4CB2" w:rsidRDefault="00E92C98" w:rsidP="001C690B">
      <w:pPr>
        <w:pStyle w:val="ParagraphNumbered"/>
        <w:ind w:left="426" w:hanging="426"/>
      </w:pPr>
      <w:r w:rsidRPr="00DD4CB2">
        <w:t>C</w:t>
      </w:r>
      <w:r w:rsidR="00E31FEA" w:rsidRPr="00DD4CB2">
        <w:t xml:space="preserve">omments </w:t>
      </w:r>
      <w:r w:rsidRPr="00DD4CB2">
        <w:t xml:space="preserve">on the </w:t>
      </w:r>
      <w:r w:rsidR="00695E29" w:rsidRPr="00DD4CB2">
        <w:t xml:space="preserve">increased </w:t>
      </w:r>
      <w:r w:rsidRPr="00DD4CB2">
        <w:t>24-25 fees were heard</w:t>
      </w:r>
      <w:r w:rsidR="00E31FEA" w:rsidRPr="00DD4CB2">
        <w:t xml:space="preserve"> </w:t>
      </w:r>
      <w:r w:rsidR="00836EBC" w:rsidRPr="00DD4CB2">
        <w:t>throughout</w:t>
      </w:r>
      <w:r w:rsidRPr="00DD4CB2">
        <w:t xml:space="preserve"> </w:t>
      </w:r>
      <w:r w:rsidR="00C22D7D" w:rsidRPr="00DD4CB2">
        <w:t>all</w:t>
      </w:r>
      <w:r w:rsidRPr="00DD4CB2">
        <w:t xml:space="preserve"> </w:t>
      </w:r>
      <w:r w:rsidR="00836EBC" w:rsidRPr="00DD4CB2">
        <w:t>the</w:t>
      </w:r>
      <w:r w:rsidR="004354FA" w:rsidRPr="00DD4CB2">
        <w:t xml:space="preserve"> proposals</w:t>
      </w:r>
      <w:r w:rsidR="008602AE" w:rsidRPr="00DD4CB2">
        <w:t xml:space="preserve">. The comments </w:t>
      </w:r>
      <w:r w:rsidR="00836EBC" w:rsidRPr="00DD4CB2">
        <w:t>focussed on</w:t>
      </w:r>
      <w:r w:rsidR="008602AE" w:rsidRPr="00DD4CB2">
        <w:t xml:space="preserve"> the following key themes: </w:t>
      </w:r>
    </w:p>
    <w:p w14:paraId="5F048227" w14:textId="5E0A01D4" w:rsidR="00036509" w:rsidRPr="00DD4CB2" w:rsidRDefault="006C5208" w:rsidP="003B172A">
      <w:pPr>
        <w:pStyle w:val="ParagraphNumbered"/>
        <w:numPr>
          <w:ilvl w:val="1"/>
          <w:numId w:val="20"/>
        </w:numPr>
      </w:pPr>
      <w:r w:rsidRPr="00DD4CB2">
        <w:t>A</w:t>
      </w:r>
      <w:r w:rsidR="00FE1034" w:rsidRPr="00DD4CB2">
        <w:t xml:space="preserve"> 23% increase to fees</w:t>
      </w:r>
      <w:r w:rsidRPr="00DD4CB2">
        <w:t xml:space="preserve"> is too high</w:t>
      </w:r>
      <w:r w:rsidR="005007FD">
        <w:t>.</w:t>
      </w:r>
    </w:p>
    <w:p w14:paraId="501A45D1" w14:textId="77471FA4" w:rsidR="00AD73CD" w:rsidRPr="00DD4CB2" w:rsidRDefault="580103B3" w:rsidP="003B172A">
      <w:pPr>
        <w:pStyle w:val="ParagraphNumbered"/>
        <w:numPr>
          <w:ilvl w:val="1"/>
          <w:numId w:val="20"/>
        </w:numPr>
      </w:pPr>
      <w:r w:rsidRPr="00DD4CB2">
        <w:t>Transparency</w:t>
      </w:r>
      <w:r w:rsidR="005E5DFA" w:rsidRPr="00DD4CB2">
        <w:t xml:space="preserve"> </w:t>
      </w:r>
      <w:r w:rsidR="00806EE5" w:rsidRPr="00DD4CB2">
        <w:t xml:space="preserve">and granularity of the </w:t>
      </w:r>
      <w:r w:rsidR="005E5DFA" w:rsidRPr="00DD4CB2">
        <w:t>resourc</w:t>
      </w:r>
      <w:r w:rsidR="00806EE5" w:rsidRPr="00DD4CB2">
        <w:t>ing</w:t>
      </w:r>
      <w:r w:rsidR="005E5DFA" w:rsidRPr="00DD4CB2">
        <w:t xml:space="preserve"> requirements </w:t>
      </w:r>
      <w:r w:rsidR="00806EE5" w:rsidRPr="00DD4CB2">
        <w:t xml:space="preserve">for </w:t>
      </w:r>
      <w:r w:rsidR="00AD73CD" w:rsidRPr="00DD4CB2">
        <w:t>evaluations</w:t>
      </w:r>
      <w:r w:rsidR="00FA10B0" w:rsidRPr="00DD4CB2">
        <w:t xml:space="preserve">, </w:t>
      </w:r>
      <w:r w:rsidR="002C0183" w:rsidRPr="00DD4CB2">
        <w:t>and</w:t>
      </w:r>
      <w:r w:rsidR="00FA10B0" w:rsidRPr="00DD4CB2">
        <w:t xml:space="preserve"> how this has been calculated and applied</w:t>
      </w:r>
      <w:r w:rsidR="005E5DFA" w:rsidRPr="00DD4CB2">
        <w:t xml:space="preserve"> is missing</w:t>
      </w:r>
      <w:r w:rsidR="00AD73CD" w:rsidRPr="00DD4CB2">
        <w:t>.</w:t>
      </w:r>
    </w:p>
    <w:p w14:paraId="2F673EAC" w14:textId="40F507FE" w:rsidR="003B172A" w:rsidRPr="00DD4CB2" w:rsidRDefault="00AD73CD" w:rsidP="003B172A">
      <w:pPr>
        <w:pStyle w:val="ParagraphNumbered"/>
        <w:numPr>
          <w:ilvl w:val="1"/>
          <w:numId w:val="20"/>
        </w:numPr>
      </w:pPr>
      <w:r w:rsidRPr="00DD4CB2">
        <w:t xml:space="preserve">Some costs have been built in for </w:t>
      </w:r>
      <w:r w:rsidR="00CF42B6" w:rsidRPr="00DD4CB2">
        <w:t xml:space="preserve">stages which may not feature in every </w:t>
      </w:r>
      <w:r w:rsidR="2567A032" w:rsidRPr="00DD4CB2">
        <w:t>evaluation</w:t>
      </w:r>
      <w:r w:rsidR="00CF42B6" w:rsidRPr="00DD4CB2">
        <w:t xml:space="preserve"> (e.g. </w:t>
      </w:r>
      <w:r w:rsidR="00911664" w:rsidRPr="00DD4CB2">
        <w:t xml:space="preserve">second committee meetings </w:t>
      </w:r>
      <w:r w:rsidR="00CF42B6" w:rsidRPr="00DD4CB2">
        <w:t>ACM2)</w:t>
      </w:r>
      <w:r w:rsidR="005007FD">
        <w:t>.</w:t>
      </w:r>
    </w:p>
    <w:p w14:paraId="3321A567" w14:textId="39B2AE1C" w:rsidR="00534126" w:rsidRPr="00DD4CB2" w:rsidRDefault="00534126" w:rsidP="003B172A">
      <w:pPr>
        <w:pStyle w:val="ParagraphNumbered"/>
        <w:numPr>
          <w:ilvl w:val="1"/>
          <w:numId w:val="20"/>
        </w:numPr>
      </w:pPr>
      <w:r w:rsidRPr="00DD4CB2">
        <w:t xml:space="preserve">Industry should not </w:t>
      </w:r>
      <w:r w:rsidR="00323FB5" w:rsidRPr="00DD4CB2">
        <w:t>support</w:t>
      </w:r>
      <w:r w:rsidR="00EA7624" w:rsidRPr="00DD4CB2">
        <w:t xml:space="preserve"> NICE internal </w:t>
      </w:r>
      <w:r w:rsidR="00323FB5" w:rsidRPr="00DD4CB2">
        <w:t xml:space="preserve">research and development </w:t>
      </w:r>
      <w:r w:rsidR="00695E29" w:rsidRPr="00DD4CB2">
        <w:t>and improvement</w:t>
      </w:r>
      <w:r w:rsidR="00323FB5" w:rsidRPr="00DD4CB2">
        <w:t xml:space="preserve"> functions</w:t>
      </w:r>
      <w:r w:rsidR="00AD73CD" w:rsidRPr="00DD4CB2">
        <w:t>.</w:t>
      </w:r>
    </w:p>
    <w:p w14:paraId="58D8927E" w14:textId="13407D48" w:rsidR="00036509" w:rsidRPr="00DD4CB2" w:rsidRDefault="00AD73CD" w:rsidP="00036509">
      <w:pPr>
        <w:pStyle w:val="ParagraphNumbered"/>
        <w:numPr>
          <w:ilvl w:val="1"/>
          <w:numId w:val="20"/>
        </w:numPr>
      </w:pPr>
      <w:r w:rsidRPr="00DD4CB2">
        <w:t>A</w:t>
      </w:r>
      <w:r w:rsidR="00AA28AE" w:rsidRPr="00DD4CB2">
        <w:t xml:space="preserve"> </w:t>
      </w:r>
      <w:r w:rsidR="00252E7B" w:rsidRPr="00DD4CB2">
        <w:t xml:space="preserve">view </w:t>
      </w:r>
      <w:r w:rsidR="00EF4F52" w:rsidRPr="00DD4CB2">
        <w:t xml:space="preserve">that </w:t>
      </w:r>
      <w:r w:rsidR="00036509" w:rsidRPr="00DD4CB2">
        <w:t xml:space="preserve">NICE </w:t>
      </w:r>
      <w:r w:rsidR="004A17C7" w:rsidRPr="00DD4CB2">
        <w:t>is not acting within the realms of</w:t>
      </w:r>
      <w:r w:rsidR="000C327B">
        <w:t xml:space="preserve"> </w:t>
      </w:r>
      <w:hyperlink r:id="rId12" w:history="1">
        <w:r w:rsidR="000C327B" w:rsidRPr="00212F06">
          <w:rPr>
            <w:rStyle w:val="Hyperlink"/>
          </w:rPr>
          <w:t>HM Treasury’s guidance, Managing Public Money (MPM)</w:t>
        </w:r>
      </w:hyperlink>
      <w:r w:rsidR="004A17C7" w:rsidRPr="00DD4CB2">
        <w:t>.</w:t>
      </w:r>
      <w:r w:rsidR="00AA28AE" w:rsidRPr="00DD4CB2">
        <w:t xml:space="preserve"> </w:t>
      </w:r>
    </w:p>
    <w:p w14:paraId="3DE2BA89" w14:textId="72D8828B" w:rsidR="009D58E8" w:rsidRDefault="009D58E8" w:rsidP="00380E8B">
      <w:pPr>
        <w:pStyle w:val="Heading3"/>
      </w:pPr>
      <w:r w:rsidRPr="00911664">
        <w:t>Our response</w:t>
      </w:r>
    </w:p>
    <w:p w14:paraId="4C7ACFE5" w14:textId="44C004AC" w:rsidR="007B7160" w:rsidRDefault="007B7160" w:rsidP="006D3319">
      <w:pPr>
        <w:pStyle w:val="ParagraphNumbered"/>
        <w:ind w:left="426" w:hanging="426"/>
      </w:pPr>
      <w:r>
        <w:t xml:space="preserve">When setting the fees, NICE followed the principles set out in </w:t>
      </w:r>
      <w:hyperlink r:id="rId13" w:history="1">
        <w:r w:rsidR="000C327B" w:rsidRPr="00212F06">
          <w:rPr>
            <w:rStyle w:val="Hyperlink"/>
          </w:rPr>
          <w:t>HM Treasury’s guidance, Managing Public Money (MPM)</w:t>
        </w:r>
      </w:hyperlink>
      <w:r w:rsidR="000C327B">
        <w:t xml:space="preserve"> </w:t>
      </w:r>
      <w:r>
        <w:t xml:space="preserve">(Chapter 6) and will </w:t>
      </w:r>
      <w:r>
        <w:lastRenderedPageBreak/>
        <w:t>continue to follow these when reviewing fees in the future. The basic principles followed are listed below:</w:t>
      </w:r>
    </w:p>
    <w:p w14:paraId="1E865079" w14:textId="0A641C2C" w:rsidR="007B7160" w:rsidRDefault="007B7160" w:rsidP="007B7160">
      <w:pPr>
        <w:pStyle w:val="ParagraphNumbered"/>
        <w:numPr>
          <w:ilvl w:val="1"/>
          <w:numId w:val="20"/>
        </w:numPr>
      </w:pPr>
      <w:r>
        <w:t>The charge was set to recover full costs (direct costs, indirect costs</w:t>
      </w:r>
      <w:r w:rsidR="00E33BC8">
        <w:t>,</w:t>
      </w:r>
      <w:r>
        <w:t xml:space="preserve"> and overheads).</w:t>
      </w:r>
    </w:p>
    <w:p w14:paraId="21C9E1FD" w14:textId="77777777" w:rsidR="007B7160" w:rsidRDefault="007B7160" w:rsidP="007B7160">
      <w:pPr>
        <w:pStyle w:val="ParagraphNumbered"/>
        <w:numPr>
          <w:ilvl w:val="1"/>
          <w:numId w:val="20"/>
        </w:numPr>
      </w:pPr>
      <w:r>
        <w:t xml:space="preserve">The charge was set to neither profit at the expense of consumers, nor make a loss for taxpayers to subsidise. </w:t>
      </w:r>
    </w:p>
    <w:p w14:paraId="58EF6AF2" w14:textId="77777777" w:rsidR="007B7160" w:rsidRDefault="007B7160" w:rsidP="007B7160">
      <w:pPr>
        <w:pStyle w:val="ParagraphNumbered"/>
        <w:numPr>
          <w:ilvl w:val="1"/>
          <w:numId w:val="20"/>
        </w:numPr>
      </w:pPr>
      <w:r>
        <w:t>Control costs as if the costs were funded by the taxpayer.</w:t>
      </w:r>
    </w:p>
    <w:p w14:paraId="6D3E2F20" w14:textId="1BFE065E" w:rsidR="007B7160" w:rsidRDefault="1AB06188" w:rsidP="00EF349C">
      <w:pPr>
        <w:pStyle w:val="ParagraphNumbered"/>
        <w:numPr>
          <w:ilvl w:val="1"/>
          <w:numId w:val="20"/>
        </w:numPr>
      </w:pPr>
      <w:r>
        <w:t>Will normally require and rely on legislation by ministers (in our case Statutory Instrument 2018 No: 1322).</w:t>
      </w:r>
    </w:p>
    <w:p w14:paraId="1C956965" w14:textId="2148079B" w:rsidR="005149E3" w:rsidRPr="00911664" w:rsidRDefault="005149E3" w:rsidP="00F45581">
      <w:pPr>
        <w:pStyle w:val="ParagraphNumbered"/>
        <w:ind w:left="426" w:hanging="426"/>
      </w:pPr>
      <w:r>
        <w:t xml:space="preserve">The charge does not include any costs that are funded via </w:t>
      </w:r>
      <w:r w:rsidR="00695E29">
        <w:t xml:space="preserve">the </w:t>
      </w:r>
      <w:hyperlink r:id="rId14">
        <w:r w:rsidRPr="66D89F29">
          <w:rPr>
            <w:rStyle w:val="Hyperlink"/>
          </w:rPr>
          <w:t>2024 Voluntary Scheme for Branded Medicines Pricing, Access and Growth</w:t>
        </w:r>
      </w:hyperlink>
      <w:r>
        <w:t>. As outlined above, the only costs included are:</w:t>
      </w:r>
    </w:p>
    <w:p w14:paraId="2AF9165E" w14:textId="7AD9D74B" w:rsidR="005149E3" w:rsidRPr="00911664" w:rsidRDefault="005149E3" w:rsidP="005149E3">
      <w:pPr>
        <w:pStyle w:val="ParagraphNumbered"/>
        <w:numPr>
          <w:ilvl w:val="1"/>
          <w:numId w:val="20"/>
        </w:numPr>
      </w:pPr>
      <w:r>
        <w:t xml:space="preserve">Direct costs - directly incurred and controlled by the </w:t>
      </w:r>
      <w:r w:rsidR="004D7A63">
        <w:t xml:space="preserve">TA-HST </w:t>
      </w:r>
      <w:r>
        <w:t>team. </w:t>
      </w:r>
    </w:p>
    <w:p w14:paraId="30DBE359" w14:textId="77777777" w:rsidR="005149E3" w:rsidRPr="00911664" w:rsidRDefault="005149E3" w:rsidP="005149E3">
      <w:pPr>
        <w:pStyle w:val="ParagraphNumbered"/>
        <w:numPr>
          <w:ilvl w:val="1"/>
          <w:numId w:val="20"/>
        </w:numPr>
      </w:pPr>
      <w:r>
        <w:t>Indirect costs - incurred by support teams essential to guidance delivery.</w:t>
      </w:r>
    </w:p>
    <w:p w14:paraId="7ED4E1DA" w14:textId="3EC8DC69" w:rsidR="005149E3" w:rsidRDefault="6E8941EA" w:rsidP="00EF349C">
      <w:pPr>
        <w:pStyle w:val="ParagraphNumbered"/>
        <w:numPr>
          <w:ilvl w:val="1"/>
          <w:numId w:val="20"/>
        </w:numPr>
      </w:pPr>
      <w:r>
        <w:t>Overheads - a proportion of back office and estates costs allocated to TA-HST activity.</w:t>
      </w:r>
    </w:p>
    <w:p w14:paraId="2ECED245" w14:textId="4673BAC6" w:rsidR="003F5F5B" w:rsidRDefault="003F5F5B" w:rsidP="00F45581">
      <w:pPr>
        <w:pStyle w:val="ParagraphNumbered"/>
        <w:ind w:left="426" w:hanging="426"/>
      </w:pPr>
      <w:r w:rsidRPr="007339A4">
        <w:t xml:space="preserve">Table </w:t>
      </w:r>
      <w:r w:rsidR="007339A4" w:rsidRPr="007339A4">
        <w:t>2</w:t>
      </w:r>
      <w:r>
        <w:t xml:space="preserve"> outlines the changes in the direct and indirect costs and overheads, as well as the expected units of work between 2023-24 and 2024-25. </w:t>
      </w:r>
    </w:p>
    <w:p w14:paraId="3AF9546B" w14:textId="77777777" w:rsidR="00DD4CB2" w:rsidRDefault="00DD4CB2">
      <w:pPr>
        <w:rPr>
          <w:rFonts w:ascii="Arial" w:hAnsi="Arial"/>
          <w:b/>
          <w:sz w:val="22"/>
          <w:highlight w:val="yellow"/>
          <w:lang w:eastAsia="en-US"/>
        </w:rPr>
      </w:pPr>
      <w:r>
        <w:rPr>
          <w:highlight w:val="yellow"/>
        </w:rPr>
        <w:br w:type="page"/>
      </w:r>
    </w:p>
    <w:p w14:paraId="5DBE72AD" w14:textId="1A260409" w:rsidR="005261EF" w:rsidRPr="007B3F3D" w:rsidRDefault="005261EF" w:rsidP="00EF349C">
      <w:pPr>
        <w:pStyle w:val="Tableheading"/>
      </w:pPr>
      <w:r w:rsidRPr="007B3F3D">
        <w:lastRenderedPageBreak/>
        <w:t xml:space="preserve">Table </w:t>
      </w:r>
      <w:r w:rsidR="007B3F3D" w:rsidRPr="007B3F3D">
        <w:t>2</w:t>
      </w:r>
      <w:r w:rsidRPr="007B3F3D">
        <w:t xml:space="preserve"> – </w:t>
      </w:r>
      <w:r w:rsidR="00DB0CAE" w:rsidRPr="007B3F3D">
        <w:t>changes to direct</w:t>
      </w:r>
      <w:r w:rsidR="00592561" w:rsidRPr="007B3F3D">
        <w:t xml:space="preserve">, indirect fees and overheads </w:t>
      </w:r>
    </w:p>
    <w:tbl>
      <w:tblPr>
        <w:tblStyle w:val="TableGridLight"/>
        <w:tblW w:w="6645" w:type="dxa"/>
        <w:tblInd w:w="-5" w:type="dxa"/>
        <w:tblLayout w:type="fixed"/>
        <w:tblLook w:val="0420" w:firstRow="1" w:lastRow="0" w:firstColumn="0" w:lastColumn="0" w:noHBand="0" w:noVBand="1"/>
      </w:tblPr>
      <w:tblGrid>
        <w:gridCol w:w="2215"/>
        <w:gridCol w:w="2215"/>
        <w:gridCol w:w="2215"/>
      </w:tblGrid>
      <w:tr w:rsidR="00A01036" w:rsidRPr="005261EF" w14:paraId="1B3B9AAC" w14:textId="77777777" w:rsidTr="00EF349C">
        <w:trPr>
          <w:trHeight w:val="758"/>
        </w:trPr>
        <w:tc>
          <w:tcPr>
            <w:tcW w:w="2215" w:type="dxa"/>
            <w:hideMark/>
          </w:tcPr>
          <w:p w14:paraId="1031789D" w14:textId="77777777" w:rsidR="00A01036" w:rsidRPr="00EF349C" w:rsidRDefault="00A01036" w:rsidP="005149E3">
            <w:pPr>
              <w:pStyle w:val="Tableheading"/>
              <w:rPr>
                <w:sz w:val="24"/>
              </w:rPr>
            </w:pPr>
            <w:r w:rsidRPr="00EF349C">
              <w:rPr>
                <w:sz w:val="24"/>
              </w:rPr>
              <w:t>Costs (£000)</w:t>
            </w:r>
          </w:p>
        </w:tc>
        <w:tc>
          <w:tcPr>
            <w:tcW w:w="2215" w:type="dxa"/>
            <w:hideMark/>
          </w:tcPr>
          <w:p w14:paraId="54ECD967" w14:textId="77777777" w:rsidR="00A01036" w:rsidRPr="00EF349C" w:rsidRDefault="00A01036" w:rsidP="005149E3">
            <w:pPr>
              <w:pStyle w:val="Tableheading"/>
              <w:rPr>
                <w:sz w:val="24"/>
              </w:rPr>
            </w:pPr>
            <w:r w:rsidRPr="00EF349C">
              <w:rPr>
                <w:sz w:val="24"/>
              </w:rPr>
              <w:t>2023-24</w:t>
            </w:r>
          </w:p>
        </w:tc>
        <w:tc>
          <w:tcPr>
            <w:tcW w:w="2215" w:type="dxa"/>
            <w:hideMark/>
          </w:tcPr>
          <w:p w14:paraId="1D5D315E" w14:textId="77777777" w:rsidR="00A01036" w:rsidRPr="00EF349C" w:rsidRDefault="00A01036" w:rsidP="005149E3">
            <w:pPr>
              <w:pStyle w:val="Tableheading"/>
              <w:rPr>
                <w:sz w:val="24"/>
              </w:rPr>
            </w:pPr>
            <w:r w:rsidRPr="00EF349C">
              <w:rPr>
                <w:sz w:val="24"/>
              </w:rPr>
              <w:t>2024-25</w:t>
            </w:r>
          </w:p>
        </w:tc>
      </w:tr>
      <w:tr w:rsidR="00A01036" w:rsidRPr="005261EF" w14:paraId="5F821566" w14:textId="77777777" w:rsidTr="00EF349C">
        <w:trPr>
          <w:trHeight w:val="523"/>
        </w:trPr>
        <w:tc>
          <w:tcPr>
            <w:tcW w:w="2215" w:type="dxa"/>
            <w:hideMark/>
          </w:tcPr>
          <w:p w14:paraId="58A982D0" w14:textId="77777777" w:rsidR="00A01036" w:rsidRPr="00EF349C" w:rsidRDefault="00A01036" w:rsidP="005149E3">
            <w:pPr>
              <w:pStyle w:val="Tabletext"/>
              <w:rPr>
                <w:sz w:val="24"/>
              </w:rPr>
            </w:pPr>
            <w:r w:rsidRPr="00EF349C">
              <w:rPr>
                <w:sz w:val="24"/>
              </w:rPr>
              <w:t>Direct costs</w:t>
            </w:r>
          </w:p>
        </w:tc>
        <w:tc>
          <w:tcPr>
            <w:tcW w:w="2215" w:type="dxa"/>
          </w:tcPr>
          <w:p w14:paraId="7A0C4697" w14:textId="77777777" w:rsidR="00A01036" w:rsidRPr="00EF349C" w:rsidRDefault="00A01036" w:rsidP="005149E3">
            <w:pPr>
              <w:pStyle w:val="Tabletext"/>
              <w:jc w:val="right"/>
              <w:rPr>
                <w:sz w:val="24"/>
              </w:rPr>
            </w:pPr>
            <w:r w:rsidRPr="00EF349C" w:rsidDel="00145A70">
              <w:rPr>
                <w:sz w:val="24"/>
              </w:rPr>
              <w:t>8,575</w:t>
            </w:r>
          </w:p>
        </w:tc>
        <w:tc>
          <w:tcPr>
            <w:tcW w:w="2215" w:type="dxa"/>
          </w:tcPr>
          <w:p w14:paraId="43FD17AD" w14:textId="77777777" w:rsidR="00A01036" w:rsidRPr="00EF349C" w:rsidRDefault="00A01036" w:rsidP="005149E3">
            <w:pPr>
              <w:pStyle w:val="Tabletext"/>
              <w:jc w:val="right"/>
              <w:rPr>
                <w:sz w:val="24"/>
              </w:rPr>
            </w:pPr>
            <w:r w:rsidRPr="00EF349C" w:rsidDel="00145A70">
              <w:rPr>
                <w:sz w:val="24"/>
              </w:rPr>
              <w:t>9,387</w:t>
            </w:r>
          </w:p>
        </w:tc>
      </w:tr>
      <w:tr w:rsidR="00A01036" w:rsidRPr="005261EF" w14:paraId="4415A6DF" w14:textId="77777777" w:rsidTr="00EF349C">
        <w:trPr>
          <w:trHeight w:val="545"/>
        </w:trPr>
        <w:tc>
          <w:tcPr>
            <w:tcW w:w="2215" w:type="dxa"/>
            <w:hideMark/>
          </w:tcPr>
          <w:p w14:paraId="1C7BC3D2" w14:textId="77777777" w:rsidR="00A01036" w:rsidRPr="00EF349C" w:rsidRDefault="00A01036" w:rsidP="005149E3">
            <w:pPr>
              <w:pStyle w:val="Tabletext"/>
              <w:rPr>
                <w:sz w:val="24"/>
              </w:rPr>
            </w:pPr>
            <w:r w:rsidRPr="00EF349C">
              <w:rPr>
                <w:sz w:val="24"/>
              </w:rPr>
              <w:t>Indirect costs</w:t>
            </w:r>
          </w:p>
        </w:tc>
        <w:tc>
          <w:tcPr>
            <w:tcW w:w="2215" w:type="dxa"/>
          </w:tcPr>
          <w:p w14:paraId="531419FE" w14:textId="77777777" w:rsidR="00A01036" w:rsidRPr="00EF349C" w:rsidRDefault="00A01036" w:rsidP="005149E3">
            <w:pPr>
              <w:pStyle w:val="Tabletext"/>
              <w:jc w:val="right"/>
              <w:rPr>
                <w:sz w:val="24"/>
              </w:rPr>
            </w:pPr>
            <w:r w:rsidRPr="00EF349C" w:rsidDel="00145A70">
              <w:rPr>
                <w:sz w:val="24"/>
              </w:rPr>
              <w:t>2,426</w:t>
            </w:r>
          </w:p>
        </w:tc>
        <w:tc>
          <w:tcPr>
            <w:tcW w:w="2215" w:type="dxa"/>
          </w:tcPr>
          <w:p w14:paraId="453602C9" w14:textId="77777777" w:rsidR="00A01036" w:rsidRPr="00EF349C" w:rsidRDefault="00A01036" w:rsidP="005149E3">
            <w:pPr>
              <w:pStyle w:val="Tabletext"/>
              <w:jc w:val="right"/>
              <w:rPr>
                <w:sz w:val="24"/>
              </w:rPr>
            </w:pPr>
            <w:r w:rsidRPr="00EF349C">
              <w:rPr>
                <w:sz w:val="24"/>
              </w:rPr>
              <w:t>3,113</w:t>
            </w:r>
          </w:p>
        </w:tc>
      </w:tr>
      <w:tr w:rsidR="00A01036" w:rsidRPr="005261EF" w14:paraId="35FB3D45" w14:textId="77777777" w:rsidTr="00EF349C">
        <w:trPr>
          <w:trHeight w:val="523"/>
        </w:trPr>
        <w:tc>
          <w:tcPr>
            <w:tcW w:w="2215" w:type="dxa"/>
            <w:hideMark/>
          </w:tcPr>
          <w:p w14:paraId="0DAF884A" w14:textId="77777777" w:rsidR="00A01036" w:rsidRPr="00EF349C" w:rsidRDefault="00A01036" w:rsidP="005149E3">
            <w:pPr>
              <w:pStyle w:val="Tabletext"/>
              <w:rPr>
                <w:sz w:val="24"/>
              </w:rPr>
            </w:pPr>
            <w:r w:rsidRPr="00EF349C">
              <w:rPr>
                <w:sz w:val="24"/>
              </w:rPr>
              <w:t>Overhead</w:t>
            </w:r>
          </w:p>
        </w:tc>
        <w:tc>
          <w:tcPr>
            <w:tcW w:w="2215" w:type="dxa"/>
          </w:tcPr>
          <w:p w14:paraId="220C391B" w14:textId="77777777" w:rsidR="00A01036" w:rsidRPr="00EF349C" w:rsidRDefault="00A01036" w:rsidP="005149E3">
            <w:pPr>
              <w:pStyle w:val="Tabletext"/>
              <w:jc w:val="right"/>
              <w:rPr>
                <w:sz w:val="24"/>
              </w:rPr>
            </w:pPr>
            <w:r w:rsidRPr="00EF349C" w:rsidDel="00145A70">
              <w:rPr>
                <w:sz w:val="24"/>
              </w:rPr>
              <w:t>1,967</w:t>
            </w:r>
          </w:p>
        </w:tc>
        <w:tc>
          <w:tcPr>
            <w:tcW w:w="2215" w:type="dxa"/>
          </w:tcPr>
          <w:p w14:paraId="49F77974" w14:textId="77777777" w:rsidR="00A01036" w:rsidRPr="00EF349C" w:rsidRDefault="00A01036" w:rsidP="005149E3">
            <w:pPr>
              <w:pStyle w:val="Tabletext"/>
              <w:jc w:val="right"/>
              <w:rPr>
                <w:sz w:val="24"/>
              </w:rPr>
            </w:pPr>
            <w:r w:rsidRPr="00EF349C">
              <w:rPr>
                <w:sz w:val="24"/>
              </w:rPr>
              <w:t>2,389</w:t>
            </w:r>
          </w:p>
        </w:tc>
      </w:tr>
      <w:tr w:rsidR="00A01036" w:rsidRPr="005261EF" w14:paraId="27065823" w14:textId="77777777" w:rsidTr="00EF349C">
        <w:trPr>
          <w:trHeight w:val="758"/>
        </w:trPr>
        <w:tc>
          <w:tcPr>
            <w:tcW w:w="2215" w:type="dxa"/>
            <w:hideMark/>
          </w:tcPr>
          <w:p w14:paraId="026A49A6" w14:textId="77777777" w:rsidR="00A01036" w:rsidRPr="00EF349C" w:rsidRDefault="00A01036" w:rsidP="005149E3">
            <w:pPr>
              <w:pStyle w:val="Tabletext"/>
              <w:rPr>
                <w:sz w:val="24"/>
              </w:rPr>
            </w:pPr>
            <w:r w:rsidRPr="00EF349C">
              <w:rPr>
                <w:b/>
                <w:bCs/>
                <w:sz w:val="24"/>
              </w:rPr>
              <w:t>Total costs</w:t>
            </w:r>
          </w:p>
        </w:tc>
        <w:tc>
          <w:tcPr>
            <w:tcW w:w="2215" w:type="dxa"/>
            <w:hideMark/>
          </w:tcPr>
          <w:p w14:paraId="42982704" w14:textId="77777777" w:rsidR="00A01036" w:rsidRPr="00EF349C" w:rsidRDefault="00A01036" w:rsidP="005149E3">
            <w:pPr>
              <w:pStyle w:val="Tabletext"/>
              <w:jc w:val="right"/>
              <w:rPr>
                <w:sz w:val="24"/>
              </w:rPr>
            </w:pPr>
            <w:r w:rsidRPr="00EF349C">
              <w:rPr>
                <w:b/>
                <w:bCs/>
                <w:sz w:val="24"/>
              </w:rPr>
              <w:t>12,968</w:t>
            </w:r>
          </w:p>
        </w:tc>
        <w:tc>
          <w:tcPr>
            <w:tcW w:w="2215" w:type="dxa"/>
            <w:hideMark/>
          </w:tcPr>
          <w:p w14:paraId="621DA9C2" w14:textId="77777777" w:rsidR="00A01036" w:rsidRPr="00EF349C" w:rsidRDefault="00A01036" w:rsidP="005149E3">
            <w:pPr>
              <w:pStyle w:val="Tabletext"/>
              <w:jc w:val="right"/>
              <w:rPr>
                <w:sz w:val="24"/>
              </w:rPr>
            </w:pPr>
            <w:r w:rsidRPr="00EF349C">
              <w:rPr>
                <w:b/>
                <w:bCs/>
                <w:sz w:val="24"/>
              </w:rPr>
              <w:t>14,889</w:t>
            </w:r>
          </w:p>
        </w:tc>
      </w:tr>
      <w:tr w:rsidR="00A01036" w:rsidRPr="005261EF" w14:paraId="4D00D768" w14:textId="77777777" w:rsidTr="00EF349C">
        <w:trPr>
          <w:trHeight w:val="523"/>
        </w:trPr>
        <w:tc>
          <w:tcPr>
            <w:tcW w:w="2215" w:type="dxa"/>
            <w:hideMark/>
          </w:tcPr>
          <w:p w14:paraId="396FF654" w14:textId="77777777" w:rsidR="00A01036" w:rsidRPr="00EF349C" w:rsidRDefault="00A01036" w:rsidP="005149E3">
            <w:pPr>
              <w:pStyle w:val="Tabletext"/>
              <w:rPr>
                <w:sz w:val="24"/>
              </w:rPr>
            </w:pPr>
            <w:r w:rsidRPr="00EF349C">
              <w:rPr>
                <w:b/>
                <w:bCs/>
                <w:sz w:val="24"/>
              </w:rPr>
              <w:t>Volumes (units)</w:t>
            </w:r>
          </w:p>
        </w:tc>
        <w:tc>
          <w:tcPr>
            <w:tcW w:w="2215" w:type="dxa"/>
            <w:hideMark/>
          </w:tcPr>
          <w:p w14:paraId="1749D686" w14:textId="77777777" w:rsidR="00A01036" w:rsidRPr="00EF349C" w:rsidRDefault="00A01036" w:rsidP="005149E3">
            <w:pPr>
              <w:pStyle w:val="Tabletext"/>
              <w:jc w:val="right"/>
              <w:rPr>
                <w:sz w:val="24"/>
              </w:rPr>
            </w:pPr>
            <w:r w:rsidRPr="00EF349C">
              <w:rPr>
                <w:b/>
                <w:bCs/>
                <w:sz w:val="24"/>
              </w:rPr>
              <w:t>85.5</w:t>
            </w:r>
          </w:p>
        </w:tc>
        <w:tc>
          <w:tcPr>
            <w:tcW w:w="2215" w:type="dxa"/>
            <w:hideMark/>
          </w:tcPr>
          <w:p w14:paraId="06B79CA3" w14:textId="77777777" w:rsidR="00A01036" w:rsidRPr="00EF349C" w:rsidRDefault="00A01036" w:rsidP="005149E3">
            <w:pPr>
              <w:pStyle w:val="Tabletext"/>
              <w:jc w:val="right"/>
              <w:rPr>
                <w:sz w:val="24"/>
              </w:rPr>
            </w:pPr>
            <w:r w:rsidRPr="00EF349C">
              <w:rPr>
                <w:b/>
                <w:bCs/>
                <w:sz w:val="24"/>
              </w:rPr>
              <w:t>80</w:t>
            </w:r>
          </w:p>
        </w:tc>
      </w:tr>
      <w:tr w:rsidR="00A01036" w:rsidRPr="005261EF" w14:paraId="0ACEEFF9" w14:textId="77777777" w:rsidTr="00EF349C">
        <w:trPr>
          <w:trHeight w:val="545"/>
        </w:trPr>
        <w:tc>
          <w:tcPr>
            <w:tcW w:w="2215" w:type="dxa"/>
            <w:hideMark/>
          </w:tcPr>
          <w:p w14:paraId="3454817B" w14:textId="77777777" w:rsidR="00A01036" w:rsidRPr="00EF349C" w:rsidRDefault="00A01036" w:rsidP="005149E3">
            <w:pPr>
              <w:pStyle w:val="Tabletext"/>
              <w:rPr>
                <w:sz w:val="24"/>
              </w:rPr>
            </w:pPr>
            <w:r w:rsidRPr="00EF349C">
              <w:rPr>
                <w:b/>
                <w:bCs/>
                <w:sz w:val="24"/>
              </w:rPr>
              <w:t>Charge (STA)</w:t>
            </w:r>
          </w:p>
        </w:tc>
        <w:tc>
          <w:tcPr>
            <w:tcW w:w="2215" w:type="dxa"/>
            <w:hideMark/>
          </w:tcPr>
          <w:p w14:paraId="28F81737" w14:textId="77777777" w:rsidR="00A01036" w:rsidRPr="00EF349C" w:rsidRDefault="00A01036" w:rsidP="005149E3">
            <w:pPr>
              <w:pStyle w:val="Tabletext"/>
              <w:jc w:val="right"/>
              <w:rPr>
                <w:sz w:val="24"/>
              </w:rPr>
            </w:pPr>
            <w:r w:rsidRPr="00EF349C">
              <w:rPr>
                <w:b/>
                <w:bCs/>
                <w:sz w:val="24"/>
              </w:rPr>
              <w:t>151.7</w:t>
            </w:r>
          </w:p>
        </w:tc>
        <w:tc>
          <w:tcPr>
            <w:tcW w:w="2215" w:type="dxa"/>
            <w:hideMark/>
          </w:tcPr>
          <w:p w14:paraId="509F500D" w14:textId="77777777" w:rsidR="00A01036" w:rsidRPr="00EF349C" w:rsidRDefault="00A01036" w:rsidP="005149E3">
            <w:pPr>
              <w:pStyle w:val="Tabletext"/>
              <w:jc w:val="right"/>
              <w:rPr>
                <w:sz w:val="24"/>
              </w:rPr>
            </w:pPr>
            <w:r w:rsidRPr="00EF349C">
              <w:rPr>
                <w:b/>
                <w:bCs/>
                <w:sz w:val="24"/>
              </w:rPr>
              <w:t>186.1</w:t>
            </w:r>
          </w:p>
        </w:tc>
      </w:tr>
    </w:tbl>
    <w:p w14:paraId="12746185" w14:textId="4D479FD3" w:rsidR="00D047AD" w:rsidRPr="005261EF" w:rsidRDefault="00D047AD" w:rsidP="00EF349C">
      <w:pPr>
        <w:pStyle w:val="ParagraphNumbered"/>
        <w:numPr>
          <w:ilvl w:val="0"/>
          <w:numId w:val="0"/>
        </w:numPr>
        <w:ind w:left="425"/>
      </w:pPr>
    </w:p>
    <w:p w14:paraId="4D215654" w14:textId="77777777" w:rsidR="005964D9" w:rsidRDefault="005964D9" w:rsidP="005964D9">
      <w:pPr>
        <w:pStyle w:val="ParagraphNumbered"/>
      </w:pPr>
      <w:r>
        <w:t>The factors influencing and driving the fee increase include:</w:t>
      </w:r>
    </w:p>
    <w:p w14:paraId="3B3FE90A" w14:textId="5F371109" w:rsidR="00973E93" w:rsidRDefault="00973E93" w:rsidP="00973E93">
      <w:pPr>
        <w:pStyle w:val="ParagraphNumbered"/>
        <w:numPr>
          <w:ilvl w:val="1"/>
          <w:numId w:val="20"/>
        </w:numPr>
        <w:spacing w:before="240"/>
      </w:pPr>
      <w:r>
        <w:t xml:space="preserve">A higher-than-expected </w:t>
      </w:r>
      <w:hyperlink r:id="rId15">
        <w:r w:rsidRPr="66D89F29">
          <w:rPr>
            <w:rStyle w:val="Hyperlink"/>
          </w:rPr>
          <w:t>NHS pay award</w:t>
        </w:r>
      </w:hyperlink>
      <w:r>
        <w:t xml:space="preserve"> granted in 2023-24. An assumed 3% pay award was built into the 2023-24 prices; this was later confirmed to be 5%. NICE absorbed the additional 2% in 2023-24. The decision to absorb the extra cost was taken due to the timing of the NHS pay award</w:t>
      </w:r>
      <w:r w:rsidR="003B7674">
        <w:t>,</w:t>
      </w:r>
      <w:r>
        <w:t xml:space="preserve"> it was agreed that it would not be appropriate to increase prices mid-year. At the time, NICE clarified that this increase would be reflected in the fee from 2024-25 onwards. A pay award of 4% has been assumed for the 2024-25 fees.</w:t>
      </w:r>
    </w:p>
    <w:p w14:paraId="59C04FE1" w14:textId="77777777" w:rsidR="001A5C78" w:rsidRDefault="005964D9" w:rsidP="00EF349C">
      <w:pPr>
        <w:pStyle w:val="ParagraphNumbered"/>
        <w:numPr>
          <w:ilvl w:val="1"/>
          <w:numId w:val="20"/>
        </w:numPr>
      </w:pPr>
      <w:r>
        <w:t xml:space="preserve">The provision and delivery of the TA-HST programme in their totality and the requirement to reflect the resources required to develop modular updates and associated changes to methods and processes. This includes the proportionate approach activity, for example cost comparison and pathways pilots. </w:t>
      </w:r>
    </w:p>
    <w:p w14:paraId="0E9476E4" w14:textId="77777777" w:rsidR="001A5C78" w:rsidRDefault="001A5C78" w:rsidP="001A5C78">
      <w:pPr>
        <w:pStyle w:val="ParagraphNumbered"/>
        <w:numPr>
          <w:ilvl w:val="1"/>
          <w:numId w:val="20"/>
        </w:numPr>
      </w:pPr>
      <w:r>
        <w:t>Included in fees for the first time:</w:t>
      </w:r>
    </w:p>
    <w:p w14:paraId="7A897A63" w14:textId="0FC1FEF6" w:rsidR="001A5C78" w:rsidRDefault="001A5C78" w:rsidP="001A5C78">
      <w:pPr>
        <w:pStyle w:val="ParagraphNumbered"/>
        <w:numPr>
          <w:ilvl w:val="2"/>
          <w:numId w:val="20"/>
        </w:numPr>
      </w:pPr>
      <w:r>
        <w:lastRenderedPageBreak/>
        <w:t>Medicines Optimisation Team – to support cost comparison activity, and standard appraisals.</w:t>
      </w:r>
    </w:p>
    <w:p w14:paraId="07291FB4" w14:textId="77777777" w:rsidR="001A5C78" w:rsidRDefault="00000000" w:rsidP="001A5C78">
      <w:pPr>
        <w:pStyle w:val="ParagraphNumbered"/>
        <w:numPr>
          <w:ilvl w:val="2"/>
          <w:numId w:val="20"/>
        </w:numPr>
        <w:spacing w:before="240"/>
      </w:pPr>
      <w:hyperlink r:id="rId16">
        <w:r w:rsidR="001A5C78" w:rsidRPr="66D89F29">
          <w:rPr>
            <w:rStyle w:val="Hyperlink"/>
          </w:rPr>
          <w:t>Science Policy and Research Team</w:t>
        </w:r>
      </w:hyperlink>
      <w:r w:rsidR="001A5C78">
        <w:t xml:space="preserve"> – supporting the delivery of modular updates and broader research and methods related to TA-HST activity only.</w:t>
      </w:r>
    </w:p>
    <w:p w14:paraId="51E061C9" w14:textId="1194D1F5" w:rsidR="005964D9" w:rsidRDefault="005964D9" w:rsidP="00F45581">
      <w:pPr>
        <w:pStyle w:val="ParagraphNumbered"/>
        <w:ind w:left="426" w:hanging="426"/>
      </w:pPr>
      <w:r>
        <w:t>When reviewing the fees, NICE must also consider the capacity of the work programme. The projected total for 2024-25 is 80 units</w:t>
      </w:r>
      <w:r w:rsidR="001A5C78">
        <w:t xml:space="preserve"> of work</w:t>
      </w:r>
      <w:r>
        <w:t>, based on a combination of previous year’s actual</w:t>
      </w:r>
      <w:r w:rsidR="00AD38A2">
        <w:t xml:space="preserve"> activity</w:t>
      </w:r>
      <w:r w:rsidR="001A5C78">
        <w:t>,</w:t>
      </w:r>
      <w:r>
        <w:t xml:space="preserve"> and forecasted demand in 2024-25 (considering horizon scanning, availability of committee slots and external assessment group capacity). The expected capacity has been revised to ensure that the capacity in place reflects the level of demand and that the fees are set at a level that allows the programme to recover all costs. </w:t>
      </w:r>
    </w:p>
    <w:p w14:paraId="7DB89B6D" w14:textId="7FABD790" w:rsidR="00A01036" w:rsidRDefault="005964D9" w:rsidP="00F45581">
      <w:pPr>
        <w:pStyle w:val="ParagraphNumbered"/>
        <w:ind w:left="426" w:hanging="426"/>
      </w:pPr>
      <w:r>
        <w:t>The work programme delivers the 80 units flexibly, comprising several process types. It is important to emphasise that 80 units do not directly correlate to the number of guidance publications per year.</w:t>
      </w:r>
    </w:p>
    <w:p w14:paraId="1565041B" w14:textId="651D3CCD" w:rsidR="001B4B55" w:rsidRDefault="001B4B55" w:rsidP="00F45581">
      <w:pPr>
        <w:pStyle w:val="ParagraphNumbered"/>
        <w:ind w:left="426" w:hanging="426"/>
      </w:pPr>
      <w:r w:rsidRPr="001B4B55">
        <w:t>NICE </w:t>
      </w:r>
      <w:r>
        <w:t xml:space="preserve">continues to subsidise </w:t>
      </w:r>
      <w:r w:rsidRPr="001B4B55">
        <w:t>a significant amount</w:t>
      </w:r>
      <w:r>
        <w:t xml:space="preserve"> of the TA</w:t>
      </w:r>
      <w:r w:rsidR="0001505B">
        <w:t>-</w:t>
      </w:r>
      <w:r>
        <w:t>HST programme</w:t>
      </w:r>
      <w:r w:rsidR="002B3860">
        <w:t xml:space="preserve"> (see </w:t>
      </w:r>
      <w:r w:rsidR="002B3860" w:rsidRPr="00251619">
        <w:t>table</w:t>
      </w:r>
      <w:r w:rsidR="003F556E" w:rsidRPr="00251619">
        <w:t xml:space="preserve"> </w:t>
      </w:r>
      <w:r w:rsidR="00806EFF">
        <w:t>3</w:t>
      </w:r>
      <w:r w:rsidR="002B3860">
        <w:t>)</w:t>
      </w:r>
      <w:r>
        <w:t xml:space="preserve"> and </w:t>
      </w:r>
      <w:r w:rsidR="00E7081D">
        <w:t>continues</w:t>
      </w:r>
      <w:r>
        <w:t xml:space="preserve"> to do so in </w:t>
      </w:r>
      <w:r w:rsidR="002B3860">
        <w:t xml:space="preserve">23-24 and </w:t>
      </w:r>
      <w:r>
        <w:t>24-25</w:t>
      </w:r>
      <w:r w:rsidRPr="001B4B55">
        <w:t xml:space="preserve">. We need to close the gap to comply with </w:t>
      </w:r>
      <w:hyperlink r:id="rId17" w:history="1">
        <w:r w:rsidR="0001505B" w:rsidRPr="00212F06">
          <w:rPr>
            <w:rStyle w:val="Hyperlink"/>
          </w:rPr>
          <w:t>HM Treasury’s guidance, Managing Public Money (MPM)</w:t>
        </w:r>
      </w:hyperlink>
      <w:r w:rsidR="0001505B">
        <w:t xml:space="preserve">, </w:t>
      </w:r>
      <w:r w:rsidRPr="001B4B55">
        <w:t xml:space="preserve"> and secure the financial sustainability of the programme.</w:t>
      </w:r>
      <w:r w:rsidR="006571D1">
        <w:t xml:space="preserve"> Therefore,</w:t>
      </w:r>
      <w:r w:rsidR="7CFDEE92">
        <w:t xml:space="preserve"> </w:t>
      </w:r>
      <w:r w:rsidR="00BC4A0D">
        <w:t>the</w:t>
      </w:r>
      <w:r w:rsidR="006571D1">
        <w:t xml:space="preserve"> fees</w:t>
      </w:r>
      <w:r w:rsidR="006571D1" w:rsidRPr="006571D1">
        <w:t xml:space="preserve"> will rise as outlined in the original consultation document</w:t>
      </w:r>
      <w:r w:rsidR="006571D1">
        <w:t>.</w:t>
      </w:r>
    </w:p>
    <w:p w14:paraId="00C71864" w14:textId="77777777" w:rsidR="00DD4CB2" w:rsidRDefault="00DD4CB2">
      <w:pPr>
        <w:rPr>
          <w:rFonts w:ascii="Arial" w:hAnsi="Arial"/>
          <w:lang w:eastAsia="en-US"/>
        </w:rPr>
      </w:pPr>
      <w:r>
        <w:br w:type="page"/>
      </w:r>
    </w:p>
    <w:p w14:paraId="649C749A" w14:textId="6CCE3B59" w:rsidR="00015E96" w:rsidRDefault="00015E96" w:rsidP="00015E96">
      <w:pPr>
        <w:pStyle w:val="Tableheading"/>
      </w:pPr>
      <w:r w:rsidRPr="002F083B">
        <w:lastRenderedPageBreak/>
        <w:t xml:space="preserve">Table </w:t>
      </w:r>
      <w:r w:rsidR="00312624" w:rsidRPr="002F083B">
        <w:t>3</w:t>
      </w:r>
      <w:r w:rsidRPr="002F083B">
        <w:t xml:space="preserve"> – </w:t>
      </w:r>
      <w:r w:rsidR="002F083B" w:rsidRPr="002F083B">
        <w:rPr>
          <w:rStyle w:val="ui-provider"/>
        </w:rPr>
        <w:t>TA-HST financial performance 2019-20 to 2022-23</w:t>
      </w:r>
    </w:p>
    <w:tbl>
      <w:tblPr>
        <w:tblStyle w:val="TableGridLight"/>
        <w:tblW w:w="0" w:type="auto"/>
        <w:tblInd w:w="-5" w:type="dxa"/>
        <w:tblLook w:val="04A0" w:firstRow="1" w:lastRow="0" w:firstColumn="1" w:lastColumn="0" w:noHBand="0" w:noVBand="1"/>
      </w:tblPr>
      <w:tblGrid>
        <w:gridCol w:w="1574"/>
        <w:gridCol w:w="1574"/>
        <w:gridCol w:w="1574"/>
        <w:gridCol w:w="1574"/>
        <w:gridCol w:w="1575"/>
      </w:tblGrid>
      <w:tr w:rsidR="005261EF" w14:paraId="509B0A03" w14:textId="77777777" w:rsidTr="00EF349C">
        <w:tc>
          <w:tcPr>
            <w:tcW w:w="1574" w:type="dxa"/>
          </w:tcPr>
          <w:p w14:paraId="23869ADB" w14:textId="13B75D32" w:rsidR="005261EF" w:rsidRPr="00EF349C" w:rsidRDefault="303E4220" w:rsidP="00EF349C">
            <w:pPr>
              <w:pStyle w:val="Tableheading"/>
            </w:pPr>
            <w:r w:rsidRPr="00EF349C">
              <w:rPr>
                <w:sz w:val="24"/>
              </w:rPr>
              <w:t>Financial year</w:t>
            </w:r>
          </w:p>
        </w:tc>
        <w:tc>
          <w:tcPr>
            <w:tcW w:w="1574" w:type="dxa"/>
          </w:tcPr>
          <w:p w14:paraId="7DEF924E" w14:textId="7C7EF790" w:rsidR="005261EF" w:rsidRPr="00EF349C" w:rsidRDefault="303E4220" w:rsidP="00EF349C">
            <w:pPr>
              <w:pStyle w:val="Tableheading"/>
            </w:pPr>
            <w:r w:rsidRPr="00EF349C">
              <w:rPr>
                <w:sz w:val="24"/>
              </w:rPr>
              <w:t>Full cost £'m</w:t>
            </w:r>
          </w:p>
        </w:tc>
        <w:tc>
          <w:tcPr>
            <w:tcW w:w="1574" w:type="dxa"/>
          </w:tcPr>
          <w:p w14:paraId="6ACCB6DD" w14:textId="2DEC5C8E" w:rsidR="005261EF" w:rsidRPr="00EF349C" w:rsidRDefault="303E4220" w:rsidP="00EF349C">
            <w:pPr>
              <w:pStyle w:val="Tableheading"/>
            </w:pPr>
            <w:r w:rsidRPr="00EF349C">
              <w:rPr>
                <w:sz w:val="24"/>
              </w:rPr>
              <w:t>Income £'m</w:t>
            </w:r>
          </w:p>
        </w:tc>
        <w:tc>
          <w:tcPr>
            <w:tcW w:w="1574" w:type="dxa"/>
          </w:tcPr>
          <w:p w14:paraId="4A90384B" w14:textId="5FA77632" w:rsidR="005261EF" w:rsidRPr="00EF349C" w:rsidRDefault="303E4220" w:rsidP="00EF349C">
            <w:pPr>
              <w:pStyle w:val="Tableheading"/>
            </w:pPr>
            <w:r w:rsidRPr="00EF349C">
              <w:rPr>
                <w:sz w:val="24"/>
              </w:rPr>
              <w:t>Deficit £'m</w:t>
            </w:r>
          </w:p>
        </w:tc>
        <w:tc>
          <w:tcPr>
            <w:tcW w:w="1575" w:type="dxa"/>
          </w:tcPr>
          <w:p w14:paraId="19CC6067" w14:textId="366E485D" w:rsidR="005261EF" w:rsidRPr="00EF349C" w:rsidRDefault="303E4220" w:rsidP="00EF349C">
            <w:pPr>
              <w:pStyle w:val="Tableheading"/>
            </w:pPr>
            <w:r w:rsidRPr="00EF349C">
              <w:rPr>
                <w:sz w:val="24"/>
              </w:rPr>
              <w:t>Deficit %</w:t>
            </w:r>
          </w:p>
        </w:tc>
      </w:tr>
      <w:tr w:rsidR="005261EF" w14:paraId="26FCAF49" w14:textId="77777777" w:rsidTr="00EF349C">
        <w:tc>
          <w:tcPr>
            <w:tcW w:w="1574" w:type="dxa"/>
          </w:tcPr>
          <w:p w14:paraId="66DBF093" w14:textId="665D1797" w:rsidR="005261EF" w:rsidRPr="005261EF" w:rsidRDefault="303E4220" w:rsidP="00EF349C">
            <w:pPr>
              <w:pStyle w:val="Tabletext"/>
            </w:pPr>
            <w:r w:rsidRPr="77C5A645">
              <w:rPr>
                <w:sz w:val="24"/>
              </w:rPr>
              <w:t>2019-20</w:t>
            </w:r>
          </w:p>
        </w:tc>
        <w:tc>
          <w:tcPr>
            <w:tcW w:w="1574" w:type="dxa"/>
          </w:tcPr>
          <w:p w14:paraId="1EA92F4A" w14:textId="495E07DF" w:rsidR="005261EF" w:rsidRPr="005261EF" w:rsidRDefault="303E4220" w:rsidP="00EF349C">
            <w:pPr>
              <w:pStyle w:val="Tabletext"/>
              <w:jc w:val="right"/>
            </w:pPr>
            <w:r w:rsidRPr="77C5A645">
              <w:rPr>
                <w:sz w:val="24"/>
              </w:rPr>
              <w:t>9.5</w:t>
            </w:r>
          </w:p>
        </w:tc>
        <w:tc>
          <w:tcPr>
            <w:tcW w:w="1574" w:type="dxa"/>
          </w:tcPr>
          <w:p w14:paraId="5B87F556" w14:textId="3760D34C" w:rsidR="005261EF" w:rsidRPr="005261EF" w:rsidRDefault="303E4220" w:rsidP="00EF349C">
            <w:pPr>
              <w:pStyle w:val="Tabletext"/>
              <w:jc w:val="right"/>
            </w:pPr>
            <w:r w:rsidRPr="77C5A645">
              <w:rPr>
                <w:sz w:val="24"/>
              </w:rPr>
              <w:t>3.6</w:t>
            </w:r>
          </w:p>
        </w:tc>
        <w:tc>
          <w:tcPr>
            <w:tcW w:w="1574" w:type="dxa"/>
          </w:tcPr>
          <w:p w14:paraId="09DBBAB7" w14:textId="1896E9EC" w:rsidR="005261EF" w:rsidRPr="005261EF" w:rsidRDefault="303E4220" w:rsidP="00EF349C">
            <w:pPr>
              <w:pStyle w:val="Tabletext"/>
              <w:jc w:val="right"/>
            </w:pPr>
            <w:r w:rsidRPr="77C5A645">
              <w:rPr>
                <w:sz w:val="24"/>
              </w:rPr>
              <w:t>5.9</w:t>
            </w:r>
          </w:p>
        </w:tc>
        <w:tc>
          <w:tcPr>
            <w:tcW w:w="1575" w:type="dxa"/>
          </w:tcPr>
          <w:p w14:paraId="4D96A31F" w14:textId="7098B801" w:rsidR="005261EF" w:rsidRPr="005261EF" w:rsidRDefault="303E4220" w:rsidP="00EF349C">
            <w:pPr>
              <w:pStyle w:val="Tabletext"/>
              <w:jc w:val="right"/>
            </w:pPr>
            <w:r w:rsidRPr="77C5A645">
              <w:rPr>
                <w:sz w:val="24"/>
              </w:rPr>
              <w:t>62%</w:t>
            </w:r>
          </w:p>
        </w:tc>
      </w:tr>
      <w:tr w:rsidR="005261EF" w14:paraId="6197A2BA" w14:textId="77777777" w:rsidTr="00EF349C">
        <w:tc>
          <w:tcPr>
            <w:tcW w:w="1574" w:type="dxa"/>
          </w:tcPr>
          <w:p w14:paraId="46DD40E3" w14:textId="2B95BB3F" w:rsidR="005261EF" w:rsidRPr="005261EF" w:rsidRDefault="303E4220" w:rsidP="00EF349C">
            <w:pPr>
              <w:pStyle w:val="Tabletext"/>
            </w:pPr>
            <w:r w:rsidRPr="77C5A645">
              <w:rPr>
                <w:sz w:val="24"/>
              </w:rPr>
              <w:t>2020-21</w:t>
            </w:r>
          </w:p>
        </w:tc>
        <w:tc>
          <w:tcPr>
            <w:tcW w:w="1574" w:type="dxa"/>
          </w:tcPr>
          <w:p w14:paraId="310F153D" w14:textId="532568CC" w:rsidR="005261EF" w:rsidRPr="005261EF" w:rsidRDefault="303E4220" w:rsidP="00EF349C">
            <w:pPr>
              <w:pStyle w:val="Tabletext"/>
              <w:jc w:val="right"/>
            </w:pPr>
            <w:r w:rsidRPr="77C5A645">
              <w:rPr>
                <w:sz w:val="24"/>
              </w:rPr>
              <w:t>10.7</w:t>
            </w:r>
          </w:p>
        </w:tc>
        <w:tc>
          <w:tcPr>
            <w:tcW w:w="1574" w:type="dxa"/>
          </w:tcPr>
          <w:p w14:paraId="2AAE97A8" w14:textId="5D323F43" w:rsidR="005261EF" w:rsidRPr="005261EF" w:rsidRDefault="303E4220" w:rsidP="00EF349C">
            <w:pPr>
              <w:pStyle w:val="Tabletext"/>
              <w:jc w:val="right"/>
            </w:pPr>
            <w:r w:rsidRPr="77C5A645">
              <w:rPr>
                <w:sz w:val="24"/>
              </w:rPr>
              <w:t>7.0</w:t>
            </w:r>
          </w:p>
        </w:tc>
        <w:tc>
          <w:tcPr>
            <w:tcW w:w="1574" w:type="dxa"/>
          </w:tcPr>
          <w:p w14:paraId="06FCE159" w14:textId="6BB1CF6B" w:rsidR="005261EF" w:rsidRPr="005261EF" w:rsidRDefault="303E4220" w:rsidP="00EF349C">
            <w:pPr>
              <w:pStyle w:val="Tabletext"/>
              <w:jc w:val="right"/>
            </w:pPr>
            <w:r w:rsidRPr="77C5A645">
              <w:rPr>
                <w:sz w:val="24"/>
              </w:rPr>
              <w:t>3.7</w:t>
            </w:r>
          </w:p>
        </w:tc>
        <w:tc>
          <w:tcPr>
            <w:tcW w:w="1575" w:type="dxa"/>
          </w:tcPr>
          <w:p w14:paraId="2E5DDA97" w14:textId="1F6F3329" w:rsidR="005261EF" w:rsidRPr="005261EF" w:rsidRDefault="303E4220" w:rsidP="00EF349C">
            <w:pPr>
              <w:pStyle w:val="Tabletext"/>
              <w:jc w:val="right"/>
            </w:pPr>
            <w:r w:rsidRPr="77C5A645">
              <w:rPr>
                <w:sz w:val="24"/>
              </w:rPr>
              <w:t>35%</w:t>
            </w:r>
          </w:p>
        </w:tc>
      </w:tr>
      <w:tr w:rsidR="005261EF" w14:paraId="7CEC1AF9" w14:textId="77777777" w:rsidTr="00EF349C">
        <w:tc>
          <w:tcPr>
            <w:tcW w:w="1574" w:type="dxa"/>
          </w:tcPr>
          <w:p w14:paraId="114AAB8A" w14:textId="0A25D550" w:rsidR="005261EF" w:rsidRPr="005261EF" w:rsidRDefault="303E4220" w:rsidP="00EF349C">
            <w:pPr>
              <w:pStyle w:val="Tabletext"/>
            </w:pPr>
            <w:r w:rsidRPr="77C5A645">
              <w:rPr>
                <w:sz w:val="24"/>
              </w:rPr>
              <w:t>2021-22</w:t>
            </w:r>
          </w:p>
        </w:tc>
        <w:tc>
          <w:tcPr>
            <w:tcW w:w="1574" w:type="dxa"/>
          </w:tcPr>
          <w:p w14:paraId="78A38B2C" w14:textId="11F685CE" w:rsidR="005261EF" w:rsidRPr="005261EF" w:rsidRDefault="303E4220" w:rsidP="00EF349C">
            <w:pPr>
              <w:pStyle w:val="Tabletext"/>
              <w:jc w:val="right"/>
            </w:pPr>
            <w:r w:rsidRPr="77C5A645">
              <w:rPr>
                <w:sz w:val="24"/>
              </w:rPr>
              <w:t>11.5</w:t>
            </w:r>
          </w:p>
        </w:tc>
        <w:tc>
          <w:tcPr>
            <w:tcW w:w="1574" w:type="dxa"/>
          </w:tcPr>
          <w:p w14:paraId="351F001C" w14:textId="3977F7D8" w:rsidR="005261EF" w:rsidRPr="005261EF" w:rsidRDefault="303E4220" w:rsidP="00EF349C">
            <w:pPr>
              <w:pStyle w:val="Tabletext"/>
              <w:jc w:val="right"/>
            </w:pPr>
            <w:r w:rsidRPr="77C5A645">
              <w:rPr>
                <w:sz w:val="24"/>
              </w:rPr>
              <w:t>8.6</w:t>
            </w:r>
          </w:p>
        </w:tc>
        <w:tc>
          <w:tcPr>
            <w:tcW w:w="1574" w:type="dxa"/>
          </w:tcPr>
          <w:p w14:paraId="01540605" w14:textId="4A6BE24C" w:rsidR="005261EF" w:rsidRPr="005261EF" w:rsidRDefault="303E4220" w:rsidP="00EF349C">
            <w:pPr>
              <w:pStyle w:val="Tabletext"/>
              <w:jc w:val="right"/>
            </w:pPr>
            <w:r w:rsidRPr="77C5A645">
              <w:rPr>
                <w:sz w:val="24"/>
              </w:rPr>
              <w:t>2.9</w:t>
            </w:r>
          </w:p>
        </w:tc>
        <w:tc>
          <w:tcPr>
            <w:tcW w:w="1575" w:type="dxa"/>
          </w:tcPr>
          <w:p w14:paraId="0F77AB1C" w14:textId="27D56CBB" w:rsidR="005261EF" w:rsidRPr="005261EF" w:rsidRDefault="303E4220" w:rsidP="00EF349C">
            <w:pPr>
              <w:pStyle w:val="Tabletext"/>
              <w:jc w:val="right"/>
            </w:pPr>
            <w:r w:rsidRPr="77C5A645">
              <w:rPr>
                <w:sz w:val="24"/>
              </w:rPr>
              <w:t>25%</w:t>
            </w:r>
          </w:p>
        </w:tc>
      </w:tr>
      <w:tr w:rsidR="005261EF" w14:paraId="07AD9450" w14:textId="77777777" w:rsidTr="00EF349C">
        <w:tc>
          <w:tcPr>
            <w:tcW w:w="1574" w:type="dxa"/>
          </w:tcPr>
          <w:p w14:paraId="08D3CAF1" w14:textId="6029E593" w:rsidR="005261EF" w:rsidRPr="005261EF" w:rsidRDefault="303E4220" w:rsidP="00EF349C">
            <w:pPr>
              <w:pStyle w:val="Tabletext"/>
            </w:pPr>
            <w:r w:rsidRPr="77C5A645">
              <w:rPr>
                <w:sz w:val="24"/>
              </w:rPr>
              <w:t>2022-23</w:t>
            </w:r>
          </w:p>
        </w:tc>
        <w:tc>
          <w:tcPr>
            <w:tcW w:w="1574" w:type="dxa"/>
          </w:tcPr>
          <w:p w14:paraId="401D40D0" w14:textId="71D0961D" w:rsidR="005261EF" w:rsidRPr="005261EF" w:rsidRDefault="303E4220" w:rsidP="00EF349C">
            <w:pPr>
              <w:pStyle w:val="Tabletext"/>
              <w:jc w:val="right"/>
            </w:pPr>
            <w:r w:rsidRPr="77C5A645">
              <w:rPr>
                <w:sz w:val="24"/>
              </w:rPr>
              <w:t>12.6</w:t>
            </w:r>
          </w:p>
        </w:tc>
        <w:tc>
          <w:tcPr>
            <w:tcW w:w="1574" w:type="dxa"/>
          </w:tcPr>
          <w:p w14:paraId="3D4C4D6B" w14:textId="6A1BC26E" w:rsidR="005261EF" w:rsidRPr="005261EF" w:rsidRDefault="303E4220" w:rsidP="00EF349C">
            <w:pPr>
              <w:pStyle w:val="Tabletext"/>
              <w:jc w:val="right"/>
            </w:pPr>
            <w:r w:rsidRPr="77C5A645">
              <w:rPr>
                <w:sz w:val="24"/>
              </w:rPr>
              <w:t>10.2</w:t>
            </w:r>
          </w:p>
        </w:tc>
        <w:tc>
          <w:tcPr>
            <w:tcW w:w="1574" w:type="dxa"/>
          </w:tcPr>
          <w:p w14:paraId="3342E441" w14:textId="45FEE561" w:rsidR="005261EF" w:rsidRPr="005261EF" w:rsidRDefault="303E4220" w:rsidP="00EF349C">
            <w:pPr>
              <w:pStyle w:val="Tabletext"/>
              <w:jc w:val="right"/>
            </w:pPr>
            <w:r w:rsidRPr="77C5A645">
              <w:rPr>
                <w:sz w:val="24"/>
              </w:rPr>
              <w:t>2.4</w:t>
            </w:r>
          </w:p>
        </w:tc>
        <w:tc>
          <w:tcPr>
            <w:tcW w:w="1575" w:type="dxa"/>
          </w:tcPr>
          <w:p w14:paraId="283B580C" w14:textId="5EB297E6" w:rsidR="005261EF" w:rsidRPr="005261EF" w:rsidRDefault="303E4220" w:rsidP="00EF349C">
            <w:pPr>
              <w:pStyle w:val="Tabletext"/>
              <w:jc w:val="right"/>
            </w:pPr>
            <w:r w:rsidRPr="77C5A645">
              <w:rPr>
                <w:sz w:val="24"/>
              </w:rPr>
              <w:t>19%</w:t>
            </w:r>
          </w:p>
        </w:tc>
      </w:tr>
    </w:tbl>
    <w:p w14:paraId="6049F221" w14:textId="77777777" w:rsidR="004D2ADB" w:rsidRDefault="004D2ADB" w:rsidP="00911664">
      <w:pPr>
        <w:pStyle w:val="ParagraphNumbered"/>
        <w:numPr>
          <w:ilvl w:val="0"/>
          <w:numId w:val="0"/>
        </w:numPr>
        <w:ind w:left="425" w:hanging="425"/>
      </w:pPr>
    </w:p>
    <w:p w14:paraId="4C60FBD8" w14:textId="7C8FA50D" w:rsidR="001B4B55" w:rsidRPr="00E73DE3" w:rsidRDefault="008C2D32" w:rsidP="00942108">
      <w:pPr>
        <w:pStyle w:val="ParagraphNumbered"/>
        <w:ind w:left="426" w:hanging="426"/>
        <w:rPr>
          <w:b/>
          <w:bCs/>
          <w:i/>
          <w:iCs/>
        </w:rPr>
      </w:pPr>
      <w:r>
        <w:t xml:space="preserve">TA-HST </w:t>
      </w:r>
      <w:r w:rsidR="00AC50AA">
        <w:t xml:space="preserve">guidance development relies on structured processes and </w:t>
      </w:r>
      <w:r w:rsidR="009717FD">
        <w:t>timelines that are predictable</w:t>
      </w:r>
      <w:r w:rsidR="00614C2D">
        <w:t xml:space="preserve"> and </w:t>
      </w:r>
      <w:r w:rsidR="000B6310">
        <w:t>robust</w:t>
      </w:r>
      <w:r w:rsidR="002C0183">
        <w:t>;</w:t>
      </w:r>
      <w:r w:rsidR="009252B9">
        <w:t xml:space="preserve"> </w:t>
      </w:r>
      <w:r w:rsidR="007F5DB5">
        <w:t>this</w:t>
      </w:r>
      <w:r w:rsidR="009252B9">
        <w:t xml:space="preserve"> </w:t>
      </w:r>
      <w:r w:rsidR="00F50B10">
        <w:t>requires a structured clear charging framework without bespoke pricing.</w:t>
      </w:r>
      <w:r w:rsidR="0001465F">
        <w:t xml:space="preserve"> </w:t>
      </w:r>
      <w:r w:rsidR="00DC4CD8">
        <w:rPr>
          <w:rStyle w:val="ui-provider"/>
        </w:rPr>
        <w:t>During the evaluation process, both NICE and companies can expect to receive a standard and quality of service.</w:t>
      </w:r>
      <w:r w:rsidR="00F50B10">
        <w:t xml:space="preserve"> To </w:t>
      </w:r>
      <w:r w:rsidR="00291FAC">
        <w:t xml:space="preserve">monitor and </w:t>
      </w:r>
      <w:r w:rsidR="00F50B10">
        <w:t>address this</w:t>
      </w:r>
      <w:r w:rsidR="00291FAC">
        <w:t xml:space="preserve"> level of quality, </w:t>
      </w:r>
      <w:r w:rsidR="00CF2448">
        <w:t xml:space="preserve">in 2024-25, </w:t>
      </w:r>
      <w:r w:rsidR="55E4417E">
        <w:t xml:space="preserve">NICE </w:t>
      </w:r>
      <w:r w:rsidR="006A297A">
        <w:t>w</w:t>
      </w:r>
      <w:r w:rsidR="0066246F">
        <w:t xml:space="preserve">ill look to implement </w:t>
      </w:r>
      <w:r w:rsidR="00BC4A1B">
        <w:t xml:space="preserve">an ‘after action review’ </w:t>
      </w:r>
      <w:r w:rsidR="00BF465E">
        <w:t>to take place after guidance publication</w:t>
      </w:r>
      <w:r w:rsidR="008B505F">
        <w:t xml:space="preserve">. This will </w:t>
      </w:r>
      <w:r w:rsidR="00CF2448">
        <w:t>provide an</w:t>
      </w:r>
      <w:r w:rsidR="008B505F">
        <w:t xml:space="preserve"> opportunity for a </w:t>
      </w:r>
      <w:r w:rsidR="00CF2448">
        <w:t>two-way</w:t>
      </w:r>
      <w:r w:rsidR="008B505F">
        <w:t xml:space="preserve"> feedback loop</w:t>
      </w:r>
      <w:r w:rsidR="00291FAC">
        <w:t xml:space="preserve"> between NICE and the company</w:t>
      </w:r>
      <w:r w:rsidR="00CF2448">
        <w:t xml:space="preserve">. </w:t>
      </w:r>
      <w:r w:rsidR="001C5EC9">
        <w:rPr>
          <w:rFonts w:eastAsia="Calibri" w:cs="Arial"/>
        </w:rPr>
        <w:t>Our aim is to implement this for topics with an I</w:t>
      </w:r>
      <w:r w:rsidR="005C5C94">
        <w:rPr>
          <w:rFonts w:eastAsia="Calibri" w:cs="Arial"/>
        </w:rPr>
        <w:t>nvitation to Participate (ITP)</w:t>
      </w:r>
      <w:r w:rsidR="001C5EC9">
        <w:rPr>
          <w:rFonts w:eastAsia="Calibri" w:cs="Arial"/>
        </w:rPr>
        <w:t xml:space="preserve"> from 1 April 2024 onwards. </w:t>
      </w:r>
      <w:r w:rsidR="001C5EC9" w:rsidRPr="007B6251">
        <w:rPr>
          <w:rFonts w:eastAsia="Calibri" w:cs="Arial"/>
        </w:rPr>
        <w:t xml:space="preserve">   </w:t>
      </w:r>
    </w:p>
    <w:p w14:paraId="1D27B4CF" w14:textId="06D3D787" w:rsidR="00A773C7" w:rsidRDefault="00A773C7" w:rsidP="004C1D67">
      <w:pPr>
        <w:pStyle w:val="Heading2"/>
      </w:pPr>
      <w:bookmarkStart w:id="0" w:name="_Ref160717171"/>
      <w:r>
        <w:t xml:space="preserve">Proposal 1 </w:t>
      </w:r>
      <w:r w:rsidR="00F06B7C">
        <w:t xml:space="preserve">– confirming evaluation timelines and </w:t>
      </w:r>
      <w:r w:rsidR="00A347C2">
        <w:t xml:space="preserve">the </w:t>
      </w:r>
      <w:r w:rsidR="00F06B7C">
        <w:t xml:space="preserve">commitment to </w:t>
      </w:r>
      <w:proofErr w:type="gramStart"/>
      <w:r w:rsidR="00F06B7C">
        <w:t>pay</w:t>
      </w:r>
      <w:bookmarkEnd w:id="0"/>
      <w:proofErr w:type="gramEnd"/>
    </w:p>
    <w:p w14:paraId="517EC092" w14:textId="392F83CE" w:rsidR="00545710" w:rsidRPr="00545710" w:rsidDel="00393366" w:rsidRDefault="0067693A" w:rsidP="00440CA6">
      <w:pPr>
        <w:pStyle w:val="ParagraphNumbered"/>
        <w:ind w:left="426" w:hanging="426"/>
      </w:pPr>
      <w:r>
        <w:t xml:space="preserve">To </w:t>
      </w:r>
      <w:r w:rsidR="009A1311">
        <w:t>assist NICE in recovering</w:t>
      </w:r>
      <w:r w:rsidR="00E13C5A">
        <w:t xml:space="preserve"> lost opportunity costs, </w:t>
      </w:r>
      <w:r w:rsidR="0073276C">
        <w:t>reduce the</w:t>
      </w:r>
      <w:r>
        <w:t xml:space="preserve"> impact of topic rescheduling, we proposed </w:t>
      </w:r>
      <w:r w:rsidR="0073276C">
        <w:t xml:space="preserve">expediting </w:t>
      </w:r>
      <w:r w:rsidR="001E2F5F">
        <w:t xml:space="preserve">topic </w:t>
      </w:r>
      <w:r w:rsidR="002868FF">
        <w:t xml:space="preserve">scheduling and </w:t>
      </w:r>
      <w:r w:rsidR="001E2F5F">
        <w:t>requesting U</w:t>
      </w:r>
      <w:r w:rsidR="003D26B5">
        <w:t>nique Reference Number (URN)</w:t>
      </w:r>
      <w:r w:rsidR="002868FF">
        <w:t xml:space="preserve"> to 19 months before guidance </w:t>
      </w:r>
      <w:r w:rsidR="00384E00">
        <w:t>publication</w:t>
      </w:r>
      <w:r w:rsidR="003434AD">
        <w:t>.</w:t>
      </w:r>
      <w:r>
        <w:t xml:space="preserve"> The proposal explained </w:t>
      </w:r>
      <w:r w:rsidR="00594F67">
        <w:t>that the URN must be received for the timeline to be confirmed in the NICE work programme</w:t>
      </w:r>
      <w:r>
        <w:t>.</w:t>
      </w:r>
    </w:p>
    <w:p w14:paraId="6FC12B79" w14:textId="1634CD06" w:rsidR="004C1D67" w:rsidRDefault="004C1D67" w:rsidP="004C1D67">
      <w:pPr>
        <w:pStyle w:val="Heading3"/>
      </w:pPr>
      <w:r>
        <w:t xml:space="preserve">Summary of comments </w:t>
      </w:r>
    </w:p>
    <w:p w14:paraId="0409CC60" w14:textId="27E79BBE" w:rsidR="0026270B" w:rsidRDefault="00F22337" w:rsidP="00E46B2B">
      <w:pPr>
        <w:pStyle w:val="ParagraphNumbered"/>
        <w:ind w:left="426" w:hanging="426"/>
      </w:pPr>
      <w:r>
        <w:t>Most</w:t>
      </w:r>
      <w:r w:rsidR="003C767A">
        <w:t xml:space="preserve"> respondents disagreed with this proposal</w:t>
      </w:r>
      <w:r w:rsidR="005A7EFC">
        <w:t xml:space="preserve">. </w:t>
      </w:r>
      <w:r w:rsidR="00E459DE">
        <w:t xml:space="preserve">Feedback highlighted that </w:t>
      </w:r>
      <w:r w:rsidR="007D04D5">
        <w:t xml:space="preserve">it is too early to </w:t>
      </w:r>
      <w:r w:rsidR="008B25E6">
        <w:t>r</w:t>
      </w:r>
      <w:r w:rsidR="004160D0">
        <w:t xml:space="preserve">equest the </w:t>
      </w:r>
      <w:r w:rsidR="004D7026">
        <w:t>URN</w:t>
      </w:r>
      <w:r>
        <w:t xml:space="preserve"> </w:t>
      </w:r>
      <w:r w:rsidR="00EF0F26">
        <w:t>1</w:t>
      </w:r>
      <w:r w:rsidR="004D7026">
        <w:t xml:space="preserve">9 months </w:t>
      </w:r>
      <w:r w:rsidR="00EF0F26">
        <w:t xml:space="preserve">before </w:t>
      </w:r>
      <w:r w:rsidR="00DB36B1">
        <w:t>guidance publication</w:t>
      </w:r>
      <w:r w:rsidR="00B0794E">
        <w:t>. We heard that</w:t>
      </w:r>
      <w:r w:rsidR="00E236BC">
        <w:t>:</w:t>
      </w:r>
    </w:p>
    <w:p w14:paraId="3FDAA425" w14:textId="37ACCBAF" w:rsidR="0026270B" w:rsidRDefault="0026270B" w:rsidP="000D00DF">
      <w:pPr>
        <w:pStyle w:val="Bullets"/>
        <w:numPr>
          <w:ilvl w:val="0"/>
          <w:numId w:val="40"/>
        </w:numPr>
        <w:ind w:left="993"/>
      </w:pPr>
      <w:r>
        <w:lastRenderedPageBreak/>
        <w:t xml:space="preserve">There is </w:t>
      </w:r>
      <w:r w:rsidR="00065BBA">
        <w:t>significant r</w:t>
      </w:r>
      <w:r w:rsidR="00391A75">
        <w:t xml:space="preserve">egulatory </w:t>
      </w:r>
      <w:proofErr w:type="gramStart"/>
      <w:r w:rsidR="00391A75">
        <w:t>uncertainty</w:t>
      </w:r>
      <w:proofErr w:type="gramEnd"/>
      <w:r w:rsidR="00E93E7B">
        <w:t xml:space="preserve"> </w:t>
      </w:r>
    </w:p>
    <w:p w14:paraId="4F5DBEAE" w14:textId="278BC6F9" w:rsidR="008D006E" w:rsidRDefault="008D006E" w:rsidP="000D00DF">
      <w:pPr>
        <w:pStyle w:val="Bullets"/>
        <w:numPr>
          <w:ilvl w:val="0"/>
          <w:numId w:val="40"/>
        </w:numPr>
        <w:ind w:left="993"/>
      </w:pPr>
      <w:r>
        <w:t xml:space="preserve">It is unrealistic to expect timelines to remain fixed and that NICE should be able to manage this </w:t>
      </w:r>
      <w:proofErr w:type="gramStart"/>
      <w:r>
        <w:t>flexibility</w:t>
      </w:r>
      <w:proofErr w:type="gramEnd"/>
    </w:p>
    <w:p w14:paraId="6144544B" w14:textId="385D017B" w:rsidR="00E5106B" w:rsidRDefault="0026270B" w:rsidP="000D00DF">
      <w:pPr>
        <w:pStyle w:val="Bullets"/>
        <w:numPr>
          <w:ilvl w:val="0"/>
          <w:numId w:val="40"/>
        </w:numPr>
        <w:ind w:left="993"/>
      </w:pPr>
      <w:r>
        <w:t xml:space="preserve">Budgets for health technology assessment </w:t>
      </w:r>
      <w:r w:rsidR="00CB069D">
        <w:t xml:space="preserve">may not be </w:t>
      </w:r>
      <w:proofErr w:type="gramStart"/>
      <w:r w:rsidR="00CB069D">
        <w:t>agreed</w:t>
      </w:r>
      <w:proofErr w:type="gramEnd"/>
    </w:p>
    <w:p w14:paraId="02D7EFD9" w14:textId="630EA4A9" w:rsidR="00E5106B" w:rsidRDefault="00E5106B" w:rsidP="000D00DF">
      <w:pPr>
        <w:pStyle w:val="Bullets"/>
        <w:numPr>
          <w:ilvl w:val="0"/>
          <w:numId w:val="40"/>
        </w:numPr>
        <w:ind w:left="993"/>
      </w:pPr>
      <w:r>
        <w:t>Having th</w:t>
      </w:r>
      <w:r w:rsidR="009E6586">
        <w:t>e URN run over multiple fiscal years</w:t>
      </w:r>
      <w:r w:rsidR="006000BB">
        <w:t xml:space="preserve"> can cause </w:t>
      </w:r>
      <w:proofErr w:type="gramStart"/>
      <w:r w:rsidR="006000BB">
        <w:t>challenges</w:t>
      </w:r>
      <w:proofErr w:type="gramEnd"/>
    </w:p>
    <w:p w14:paraId="024A44FB" w14:textId="43CFC8CD" w:rsidR="006000BB" w:rsidRDefault="00087570" w:rsidP="000D00DF">
      <w:pPr>
        <w:pStyle w:val="Bullets"/>
        <w:numPr>
          <w:ilvl w:val="0"/>
          <w:numId w:val="40"/>
        </w:numPr>
        <w:ind w:left="993"/>
      </w:pPr>
      <w:r>
        <w:t xml:space="preserve">Pivotal trial data is unlikely to be </w:t>
      </w:r>
      <w:proofErr w:type="gramStart"/>
      <w:r w:rsidR="00E34949">
        <w:t>available</w:t>
      </w:r>
      <w:proofErr w:type="gramEnd"/>
    </w:p>
    <w:p w14:paraId="020A7730" w14:textId="15573F69" w:rsidR="00E34949" w:rsidRDefault="009F04B2" w:rsidP="000D00DF">
      <w:pPr>
        <w:pStyle w:val="Bullets"/>
        <w:numPr>
          <w:ilvl w:val="0"/>
          <w:numId w:val="40"/>
        </w:numPr>
        <w:ind w:left="993"/>
      </w:pPr>
      <w:r>
        <w:t xml:space="preserve">Companies </w:t>
      </w:r>
      <w:r w:rsidR="008D1AF8">
        <w:t xml:space="preserve">may not have made a launch </w:t>
      </w:r>
      <w:proofErr w:type="gramStart"/>
      <w:r w:rsidR="008D1AF8">
        <w:t>decision</w:t>
      </w:r>
      <w:proofErr w:type="gramEnd"/>
    </w:p>
    <w:p w14:paraId="69E2437E" w14:textId="2FBA45E6" w:rsidR="00121B4C" w:rsidRDefault="00464ED2" w:rsidP="000D00DF">
      <w:pPr>
        <w:pStyle w:val="ParagraphNumbered"/>
        <w:spacing w:before="240"/>
        <w:ind w:left="426" w:hanging="426"/>
      </w:pPr>
      <w:r>
        <w:t xml:space="preserve">However, we also received comments noting that </w:t>
      </w:r>
      <w:r w:rsidR="00A347C2">
        <w:t xml:space="preserve">greater </w:t>
      </w:r>
      <w:r w:rsidR="00DD0DCC" w:rsidRPr="00DD0DCC">
        <w:t>predictability and efficient resource allocation</w:t>
      </w:r>
      <w:r w:rsidR="008E245C">
        <w:t xml:space="preserve"> is important to industry</w:t>
      </w:r>
      <w:r w:rsidR="00DD0DCC" w:rsidRPr="00DD0DCC">
        <w:t xml:space="preserve">, </w:t>
      </w:r>
      <w:r w:rsidR="004670D0">
        <w:t xml:space="preserve">and </w:t>
      </w:r>
      <w:r w:rsidR="00DD0DCC" w:rsidRPr="00DD0DCC">
        <w:t>earlier scheduling</w:t>
      </w:r>
      <w:r w:rsidR="008E245C">
        <w:t xml:space="preserve"> is welcomed. </w:t>
      </w:r>
    </w:p>
    <w:p w14:paraId="7D86CB3B" w14:textId="32D4838E" w:rsidR="008B25E6" w:rsidRDefault="00E65B08" w:rsidP="000D00DF">
      <w:pPr>
        <w:pStyle w:val="ParagraphNumbered"/>
        <w:ind w:left="426" w:hanging="426"/>
      </w:pPr>
      <w:r>
        <w:t xml:space="preserve">Stakeholders </w:t>
      </w:r>
      <w:r w:rsidR="00FE1891">
        <w:t xml:space="preserve">commented that cost recovery </w:t>
      </w:r>
      <w:r w:rsidR="00053705">
        <w:t>should be aligned with key milestones</w:t>
      </w:r>
      <w:r w:rsidR="00FE1891">
        <w:t xml:space="preserve">, linked to the stages of the evaluation, </w:t>
      </w:r>
      <w:r w:rsidR="00053705">
        <w:t xml:space="preserve">rather than a one-off </w:t>
      </w:r>
      <w:r w:rsidR="0066435D">
        <w:t xml:space="preserve">and upfront </w:t>
      </w:r>
      <w:r w:rsidR="00053705">
        <w:t>payment</w:t>
      </w:r>
      <w:r w:rsidR="0066435D">
        <w:t>.</w:t>
      </w:r>
      <w:r w:rsidR="00CE0833">
        <w:t xml:space="preserve">  </w:t>
      </w:r>
    </w:p>
    <w:p w14:paraId="392E331E" w14:textId="795170AB" w:rsidR="00053705" w:rsidRPr="00C22D7D" w:rsidRDefault="00CE0833" w:rsidP="000D00DF">
      <w:pPr>
        <w:pStyle w:val="ParagraphNumbered"/>
        <w:ind w:left="426" w:hanging="426"/>
      </w:pPr>
      <w:r>
        <w:t>There was also d</w:t>
      </w:r>
      <w:r w:rsidR="00053705">
        <w:t xml:space="preserve">isagreement with </w:t>
      </w:r>
      <w:r>
        <w:t xml:space="preserve">the </w:t>
      </w:r>
      <w:r w:rsidR="00053705">
        <w:t>use of ‘company driven changes’ terminology</w:t>
      </w:r>
      <w:r w:rsidR="005D0F60">
        <w:t>.</w:t>
      </w:r>
    </w:p>
    <w:p w14:paraId="60ADC1C2" w14:textId="002A45CC" w:rsidR="004C1D67" w:rsidRDefault="004C1D67" w:rsidP="004C1D67">
      <w:pPr>
        <w:pStyle w:val="Heading3"/>
      </w:pPr>
      <w:bookmarkStart w:id="1" w:name="_Ref160717258"/>
      <w:r w:rsidRPr="00015E96">
        <w:t>Our response</w:t>
      </w:r>
      <w:bookmarkEnd w:id="1"/>
      <w:r w:rsidRPr="00015E96">
        <w:t xml:space="preserve"> </w:t>
      </w:r>
    </w:p>
    <w:p w14:paraId="6EF14B49" w14:textId="77D359BE" w:rsidR="00A472C5" w:rsidRDefault="00826A3F" w:rsidP="007C1B16">
      <w:pPr>
        <w:pStyle w:val="ParagraphNumbered"/>
        <w:ind w:left="426" w:hanging="426"/>
      </w:pPr>
      <w:r>
        <w:t>Considering</w:t>
      </w:r>
      <w:r w:rsidR="008A40E3">
        <w:t xml:space="preserve"> the comments received </w:t>
      </w:r>
      <w:r w:rsidR="006F1D77">
        <w:t>we will be modifying our approach</w:t>
      </w:r>
      <w:r w:rsidR="00C323AC">
        <w:t xml:space="preserve"> </w:t>
      </w:r>
      <w:r w:rsidR="002B2033">
        <w:t>to</w:t>
      </w:r>
      <w:r w:rsidR="00C323AC">
        <w:t xml:space="preserve"> move forward with the implementation of this proposal</w:t>
      </w:r>
      <w:r w:rsidR="006F1D77">
        <w:t>.</w:t>
      </w:r>
      <w:r w:rsidR="008A40E3">
        <w:t xml:space="preserve"> </w:t>
      </w:r>
      <w:r w:rsidR="00A472C5">
        <w:t>The URN will now be requested approximately 6 calendar months before</w:t>
      </w:r>
      <w:r w:rsidR="00EF6CE8">
        <w:t xml:space="preserve"> the</w:t>
      </w:r>
      <w:r w:rsidR="00A472C5">
        <w:t xml:space="preserve"> IT</w:t>
      </w:r>
      <w:r w:rsidR="00A55324">
        <w:t>P</w:t>
      </w:r>
      <w:r w:rsidR="00EF6CE8">
        <w:t xml:space="preserve"> issue date</w:t>
      </w:r>
      <w:r w:rsidR="00A31935">
        <w:t xml:space="preserve"> and c</w:t>
      </w:r>
      <w:r w:rsidR="005A34F8">
        <w:t>ost recovery initiated at the optimum time for NICE and the company.</w:t>
      </w:r>
    </w:p>
    <w:p w14:paraId="551DBED8" w14:textId="55B7C508" w:rsidR="00020C22" w:rsidRDefault="00283CDF" w:rsidP="00283CDF">
      <w:pPr>
        <w:pStyle w:val="ParagraphNumbered"/>
        <w:ind w:left="426" w:hanging="426"/>
      </w:pPr>
      <w:r>
        <w:t>If the proposal was implemented as written</w:t>
      </w:r>
      <w:r w:rsidR="00687587">
        <w:t xml:space="preserve"> in the consultation</w:t>
      </w:r>
      <w:r>
        <w:t xml:space="preserve">, the URN would </w:t>
      </w:r>
      <w:r w:rsidR="00676211">
        <w:t>have been required</w:t>
      </w:r>
      <w:r>
        <w:t xml:space="preserve"> 19 months before guidance publication; this is approximately 12 months before ITP issue date. We acknowledge that this is too early for companies to manage and for NICE to operationalise. </w:t>
      </w:r>
      <w:r w:rsidR="0017711E">
        <w:t>G</w:t>
      </w:r>
      <w:r w:rsidR="00020C22">
        <w:t>uidance publication was assumed at month 0</w:t>
      </w:r>
      <w:r w:rsidR="00D805DF">
        <w:t xml:space="preserve">, </w:t>
      </w:r>
      <w:r w:rsidR="00051465">
        <w:t>however</w:t>
      </w:r>
      <w:r w:rsidR="00D805DF" w:rsidRPr="00D805DF">
        <w:t xml:space="preserve"> </w:t>
      </w:r>
      <w:r w:rsidR="00642E5D">
        <w:t>cost recovery</w:t>
      </w:r>
      <w:r w:rsidR="00020C22">
        <w:t xml:space="preserve"> </w:t>
      </w:r>
      <w:r w:rsidR="00051465">
        <w:t xml:space="preserve">starts with </w:t>
      </w:r>
      <w:r w:rsidR="00020C22">
        <w:t xml:space="preserve">the ITP </w:t>
      </w:r>
      <w:r w:rsidR="00051465">
        <w:t xml:space="preserve">and </w:t>
      </w:r>
      <w:r w:rsidR="00651E8F">
        <w:t>the timeline for charging has</w:t>
      </w:r>
      <w:r w:rsidR="00020C22">
        <w:t xml:space="preserve"> been </w:t>
      </w:r>
      <w:r w:rsidR="00651E8F">
        <w:t>updated</w:t>
      </w:r>
      <w:r w:rsidR="00020C22">
        <w:t xml:space="preserve"> to reflect this. </w:t>
      </w:r>
    </w:p>
    <w:p w14:paraId="6679F537" w14:textId="5A22208F" w:rsidR="004C1D67" w:rsidRDefault="002B457B" w:rsidP="00AD28EA">
      <w:pPr>
        <w:pStyle w:val="ParagraphNumbered"/>
        <w:ind w:left="426" w:hanging="426"/>
      </w:pPr>
      <w:r>
        <w:lastRenderedPageBreak/>
        <w:t>The</w:t>
      </w:r>
      <w:r w:rsidR="68B57A42">
        <w:t xml:space="preserve"> URN </w:t>
      </w:r>
      <w:r w:rsidR="00231552">
        <w:t xml:space="preserve">must be received before </w:t>
      </w:r>
      <w:r w:rsidR="619FED5F">
        <w:t>the scop</w:t>
      </w:r>
      <w:r w:rsidR="005F5F13">
        <w:t>e</w:t>
      </w:r>
      <w:r w:rsidR="619FED5F">
        <w:t xml:space="preserve"> consultation</w:t>
      </w:r>
      <w:r w:rsidR="00231552">
        <w:t xml:space="preserve"> </w:t>
      </w:r>
      <w:r w:rsidR="00614111">
        <w:t xml:space="preserve">can begin. </w:t>
      </w:r>
      <w:r w:rsidR="236DAA01">
        <w:t>T</w:t>
      </w:r>
      <w:r w:rsidR="667DA8DE">
        <w:t>h</w:t>
      </w:r>
      <w:r w:rsidR="684DA54D">
        <w:t>e URN</w:t>
      </w:r>
      <w:r w:rsidR="00F53DBF">
        <w:t xml:space="preserve"> </w:t>
      </w:r>
      <w:r w:rsidR="001F1A24">
        <w:t xml:space="preserve">signals </w:t>
      </w:r>
      <w:r w:rsidR="49B23A8B">
        <w:t>a</w:t>
      </w:r>
      <w:r w:rsidR="667DA8DE">
        <w:t xml:space="preserve"> </w:t>
      </w:r>
      <w:r w:rsidR="00793EB1">
        <w:t>company’s</w:t>
      </w:r>
      <w:r w:rsidR="00761B40">
        <w:t xml:space="preserve"> </w:t>
      </w:r>
      <w:r w:rsidR="2B580E43">
        <w:t>commit</w:t>
      </w:r>
      <w:r w:rsidR="0022590F">
        <w:t xml:space="preserve">ment </w:t>
      </w:r>
      <w:r w:rsidR="001F1A24">
        <w:t xml:space="preserve">to </w:t>
      </w:r>
      <w:r w:rsidR="00D46171">
        <w:t xml:space="preserve">the </w:t>
      </w:r>
      <w:r w:rsidR="0022590F">
        <w:t xml:space="preserve">scheduled timelines </w:t>
      </w:r>
      <w:r w:rsidR="001F4A84">
        <w:t xml:space="preserve">for the </w:t>
      </w:r>
      <w:r w:rsidR="00F53DBF">
        <w:t>evaluation</w:t>
      </w:r>
      <w:r w:rsidR="001F4A84">
        <w:t xml:space="preserve"> of its </w:t>
      </w:r>
      <w:r w:rsidR="0067131B">
        <w:t>technology</w:t>
      </w:r>
      <w:r w:rsidR="007350D6">
        <w:t>.</w:t>
      </w:r>
    </w:p>
    <w:p w14:paraId="1AD265B9" w14:textId="1F572FE4" w:rsidR="00B447FB" w:rsidRDefault="3865FF21" w:rsidP="00AD28EA">
      <w:pPr>
        <w:pStyle w:val="ParagraphNumbered"/>
        <w:ind w:left="426" w:hanging="426"/>
      </w:pPr>
      <w:r>
        <w:t>NICE reserves the right not to start the eval</w:t>
      </w:r>
      <w:r w:rsidR="4BB2E0FC">
        <w:t>ua</w:t>
      </w:r>
      <w:r>
        <w:t xml:space="preserve">tion until </w:t>
      </w:r>
      <w:r w:rsidR="004F1980">
        <w:t>payment</w:t>
      </w:r>
      <w:r w:rsidR="08417411">
        <w:t xml:space="preserve"> is received</w:t>
      </w:r>
      <w:r w:rsidR="00515459">
        <w:t>. If payment is delayed</w:t>
      </w:r>
      <w:r w:rsidR="00756C02">
        <w:t>,</w:t>
      </w:r>
      <w:r w:rsidR="00007114">
        <w:t xml:space="preserve"> </w:t>
      </w:r>
      <w:r w:rsidR="08417411">
        <w:t>the</w:t>
      </w:r>
      <w:r w:rsidR="00756C02">
        <w:t xml:space="preserve"> original</w:t>
      </w:r>
      <w:r w:rsidR="08417411">
        <w:t xml:space="preserve"> agreed </w:t>
      </w:r>
      <w:r w:rsidR="336DC98C">
        <w:t>timeline</w:t>
      </w:r>
      <w:r w:rsidR="08417411">
        <w:t xml:space="preserve"> </w:t>
      </w:r>
      <w:r w:rsidR="640EFAC6">
        <w:t>may</w:t>
      </w:r>
      <w:r w:rsidR="45329038">
        <w:t xml:space="preserve"> be at risk.</w:t>
      </w:r>
      <w:r w:rsidR="640EFAC6">
        <w:t xml:space="preserve"> </w:t>
      </w:r>
    </w:p>
    <w:p w14:paraId="4A08536C" w14:textId="6B196646" w:rsidR="00F34B74" w:rsidRDefault="00F34B74" w:rsidP="00AD28EA">
      <w:pPr>
        <w:pStyle w:val="ParagraphNumbered"/>
        <w:ind w:left="426" w:hanging="426"/>
      </w:pPr>
      <w:r>
        <w:t xml:space="preserve">We </w:t>
      </w:r>
      <w:r w:rsidR="003E4B4A">
        <w:t>acknowledge</w:t>
      </w:r>
      <w:r>
        <w:t xml:space="preserve"> </w:t>
      </w:r>
      <w:r w:rsidR="003E4B4A">
        <w:t xml:space="preserve">that regulatory timelines </w:t>
      </w:r>
      <w:r w:rsidR="003039CB">
        <w:t>can</w:t>
      </w:r>
      <w:r w:rsidR="00CF20CB">
        <w:t xml:space="preserve"> be </w:t>
      </w:r>
      <w:r w:rsidR="7DF2303E">
        <w:t>un</w:t>
      </w:r>
      <w:r w:rsidR="009237D8">
        <w:t>predictable</w:t>
      </w:r>
      <w:r w:rsidR="00CF20CB">
        <w:t xml:space="preserve"> </w:t>
      </w:r>
      <w:r w:rsidR="00F61E97">
        <w:t>and NICE will continue to engage with companies</w:t>
      </w:r>
      <w:r w:rsidR="00E84C24">
        <w:t xml:space="preserve"> </w:t>
      </w:r>
      <w:r w:rsidR="00F61E97">
        <w:t xml:space="preserve">to </w:t>
      </w:r>
      <w:r w:rsidR="00E84C24">
        <w:t xml:space="preserve">minimise the impact of </w:t>
      </w:r>
      <w:r w:rsidR="00F61E97">
        <w:t xml:space="preserve">regulatory updates </w:t>
      </w:r>
      <w:r w:rsidR="00E84C24">
        <w:t xml:space="preserve">on the TA-HST work programme. </w:t>
      </w:r>
      <w:r w:rsidR="006E4846">
        <w:t xml:space="preserve">NICE </w:t>
      </w:r>
      <w:r w:rsidR="00AF6316">
        <w:t xml:space="preserve">will </w:t>
      </w:r>
      <w:r w:rsidR="006E4846">
        <w:t>continue to</w:t>
      </w:r>
      <w:r w:rsidR="00E84C24">
        <w:t xml:space="preserve"> </w:t>
      </w:r>
      <w:r w:rsidR="00F61E97">
        <w:t xml:space="preserve">drive </w:t>
      </w:r>
      <w:r w:rsidR="00E84C24">
        <w:t>forward with process improvements t</w:t>
      </w:r>
      <w:r w:rsidR="00000FE4">
        <w:t>hat</w:t>
      </w:r>
      <w:r w:rsidR="00E84C24">
        <w:t xml:space="preserve"> support</w:t>
      </w:r>
      <w:r w:rsidR="00F61E97">
        <w:t xml:space="preserve"> a more predictable work programme to better inform financial forecasting, reporting, and resourcing</w:t>
      </w:r>
      <w:r w:rsidR="003039CB">
        <w:t xml:space="preserve">. </w:t>
      </w:r>
    </w:p>
    <w:p w14:paraId="44BD94CC" w14:textId="04AF2E65" w:rsidR="003039CB" w:rsidRDefault="00053998" w:rsidP="00AD28EA">
      <w:pPr>
        <w:pStyle w:val="ParagraphNumbered"/>
        <w:ind w:left="426" w:hanging="426"/>
      </w:pPr>
      <w:r>
        <w:t>I</w:t>
      </w:r>
      <w:r w:rsidR="00C71080">
        <w:t xml:space="preserve">ndustry </w:t>
      </w:r>
      <w:r w:rsidR="000602C7">
        <w:t>requested</w:t>
      </w:r>
      <w:r w:rsidR="00C71080">
        <w:t xml:space="preserve"> NICE to </w:t>
      </w:r>
      <w:r w:rsidR="48F76CC1">
        <w:t>consider</w:t>
      </w:r>
      <w:r w:rsidR="00A64003">
        <w:t xml:space="preserve"> the </w:t>
      </w:r>
      <w:r w:rsidR="00CB24D2">
        <w:t>evalu</w:t>
      </w:r>
      <w:r w:rsidR="124E6F89">
        <w:t>a</w:t>
      </w:r>
      <w:r w:rsidR="00CB24D2">
        <w:t xml:space="preserve">tion </w:t>
      </w:r>
      <w:r w:rsidR="00A64003">
        <w:t>payment schedule</w:t>
      </w:r>
      <w:r w:rsidR="00CB24D2">
        <w:t xml:space="preserve"> </w:t>
      </w:r>
      <w:r w:rsidR="00A64003">
        <w:t xml:space="preserve">and </w:t>
      </w:r>
      <w:r w:rsidR="00FB0CDD">
        <w:t xml:space="preserve">invoicing </w:t>
      </w:r>
      <w:r w:rsidR="00A64003">
        <w:t>process</w:t>
      </w:r>
      <w:r w:rsidR="00793EB1">
        <w:t xml:space="preserve"> and</w:t>
      </w:r>
      <w:r w:rsidR="000602C7">
        <w:t xml:space="preserve"> align this to</w:t>
      </w:r>
      <w:r w:rsidR="00CB24D2">
        <w:t xml:space="preserve"> the key milestones</w:t>
      </w:r>
      <w:r w:rsidR="00452D3F">
        <w:t xml:space="preserve">. </w:t>
      </w:r>
      <w:r w:rsidR="238B97B5">
        <w:t>T</w:t>
      </w:r>
      <w:r w:rsidR="60DB1F65">
        <w:t>here</w:t>
      </w:r>
      <w:r w:rsidR="00906744">
        <w:t xml:space="preserve"> are currently operational limitations to </w:t>
      </w:r>
      <w:r w:rsidR="00D84C09">
        <w:t xml:space="preserve">moving to </w:t>
      </w:r>
      <w:r w:rsidR="60DB1F65">
        <w:t>th</w:t>
      </w:r>
      <w:r w:rsidR="238B97B5">
        <w:t>is</w:t>
      </w:r>
      <w:r w:rsidR="60DB1F65">
        <w:t xml:space="preserve"> </w:t>
      </w:r>
      <w:r w:rsidR="00906744">
        <w:t>approach</w:t>
      </w:r>
      <w:r w:rsidR="00A06499">
        <w:t>,</w:t>
      </w:r>
      <w:r w:rsidR="00906744">
        <w:t xml:space="preserve"> which would require further funding </w:t>
      </w:r>
      <w:r w:rsidR="008E4E6C">
        <w:t>through the cost recovery</w:t>
      </w:r>
      <w:r w:rsidR="00BA4937">
        <w:t xml:space="preserve"> fees</w:t>
      </w:r>
      <w:r w:rsidR="238B97B5">
        <w:t>.</w:t>
      </w:r>
      <w:r w:rsidR="00F359C6">
        <w:t xml:space="preserve"> However,</w:t>
      </w:r>
      <w:r w:rsidR="00547E80">
        <w:t xml:space="preserve"> </w:t>
      </w:r>
      <w:r w:rsidR="00721F8F">
        <w:t xml:space="preserve">NICE commits to </w:t>
      </w:r>
      <w:r w:rsidR="00A40D4B">
        <w:t>further</w:t>
      </w:r>
      <w:r w:rsidR="00721F8F">
        <w:t xml:space="preserve"> reviewing this in 2024-25</w:t>
      </w:r>
      <w:r w:rsidR="00C01857">
        <w:t>.</w:t>
      </w:r>
      <w:r w:rsidR="00721F8F">
        <w:t xml:space="preserve"> </w:t>
      </w:r>
    </w:p>
    <w:p w14:paraId="3376FFEF" w14:textId="09B5FA19" w:rsidR="00F75A77" w:rsidRPr="004C1D67" w:rsidRDefault="00F75A77" w:rsidP="00FB38AA">
      <w:pPr>
        <w:pStyle w:val="ParagraphNumbered"/>
        <w:ind w:left="426" w:hanging="426"/>
      </w:pPr>
      <w:r>
        <w:t xml:space="preserve">We have </w:t>
      </w:r>
      <w:r w:rsidR="00053998">
        <w:t xml:space="preserve">engaged further with </w:t>
      </w:r>
      <w:r w:rsidR="00A347C2">
        <w:t>I</w:t>
      </w:r>
      <w:r w:rsidR="1EF54404">
        <w:t>ndustry</w:t>
      </w:r>
      <w:r w:rsidR="00053998">
        <w:t xml:space="preserve"> to better understand the challenges faced by companies during </w:t>
      </w:r>
      <w:r w:rsidR="00F05336">
        <w:t>the</w:t>
      </w:r>
      <w:r w:rsidR="00053998">
        <w:t xml:space="preserve"> MHRA</w:t>
      </w:r>
      <w:r w:rsidR="00F05336">
        <w:t xml:space="preserve"> regulatory process. We recognise that there are </w:t>
      </w:r>
      <w:r w:rsidR="00EF26B3">
        <w:t xml:space="preserve">also </w:t>
      </w:r>
      <w:r w:rsidR="00F05336">
        <w:t>factors outside of a company’s control</w:t>
      </w:r>
      <w:r w:rsidR="00CA1FB6">
        <w:t xml:space="preserve">, and NICE will </w:t>
      </w:r>
      <w:r w:rsidR="005205EC">
        <w:t xml:space="preserve">continue to </w:t>
      </w:r>
      <w:r w:rsidR="00A51060">
        <w:t>utilise</w:t>
      </w:r>
      <w:r w:rsidR="005205EC">
        <w:t xml:space="preserve"> </w:t>
      </w:r>
      <w:r w:rsidR="00EF26B3">
        <w:t xml:space="preserve">and embed the most appropriate </w:t>
      </w:r>
      <w:r w:rsidR="005205EC">
        <w:t xml:space="preserve">mechanisms </w:t>
      </w:r>
      <w:r w:rsidR="1E859194">
        <w:t xml:space="preserve">to </w:t>
      </w:r>
      <w:r w:rsidR="00EF26B3">
        <w:t xml:space="preserve">access regulatory information e.g. </w:t>
      </w:r>
      <w:hyperlink r:id="rId18">
        <w:r w:rsidR="00BB60D8" w:rsidRPr="3D1672BD">
          <w:rPr>
            <w:rStyle w:val="Hyperlink"/>
          </w:rPr>
          <w:t xml:space="preserve">UK </w:t>
        </w:r>
        <w:proofErr w:type="spellStart"/>
        <w:r w:rsidR="00BB60D8" w:rsidRPr="3D1672BD">
          <w:rPr>
            <w:rStyle w:val="Hyperlink"/>
          </w:rPr>
          <w:t>Pharmascan</w:t>
        </w:r>
        <w:proofErr w:type="spellEnd"/>
      </w:hyperlink>
      <w:r w:rsidR="00BB60D8">
        <w:t xml:space="preserve">, </w:t>
      </w:r>
      <w:hyperlink r:id="rId19">
        <w:r w:rsidR="00BB60D8" w:rsidRPr="3D1672BD">
          <w:rPr>
            <w:rStyle w:val="Hyperlink"/>
          </w:rPr>
          <w:t>MHRA Operational Information Sharing</w:t>
        </w:r>
      </w:hyperlink>
      <w:r w:rsidR="00A51060">
        <w:t xml:space="preserve"> and </w:t>
      </w:r>
      <w:r w:rsidR="00A30887">
        <w:t xml:space="preserve">regular </w:t>
      </w:r>
      <w:r w:rsidR="00897D70">
        <w:t>pipeline meetings</w:t>
      </w:r>
      <w:r w:rsidR="7D90F298">
        <w:t xml:space="preserve"> with </w:t>
      </w:r>
      <w:r w:rsidR="00A347C2">
        <w:t>companies</w:t>
      </w:r>
      <w:r w:rsidR="2D2DEE6F">
        <w:t>.</w:t>
      </w:r>
    </w:p>
    <w:p w14:paraId="52D285C4" w14:textId="54FB21ED" w:rsidR="00832838" w:rsidRDefault="00832838" w:rsidP="004C1D67">
      <w:pPr>
        <w:pStyle w:val="Heading2"/>
      </w:pPr>
      <w:bookmarkStart w:id="2" w:name="_Ref160717233"/>
      <w:r>
        <w:t>Proposal 2 – introduction of a change fee</w:t>
      </w:r>
      <w:bookmarkEnd w:id="2"/>
    </w:p>
    <w:p w14:paraId="3B2F7DA5" w14:textId="4AFBBC57" w:rsidR="0096799E" w:rsidRPr="00545710" w:rsidRDefault="00393366" w:rsidP="00FB38AA">
      <w:pPr>
        <w:pStyle w:val="ParagraphNumbered"/>
        <w:ind w:left="426" w:hanging="426"/>
      </w:pPr>
      <w:r>
        <w:t>To address the impact of topic rescheduling and to recover lost opportunity costs, we proposed implementing a change fee</w:t>
      </w:r>
      <w:r w:rsidR="00F74777">
        <w:t xml:space="preserve">. </w:t>
      </w:r>
      <w:r w:rsidR="00D12F16">
        <w:t>The proposal explained how a</w:t>
      </w:r>
      <w:r w:rsidR="00F74777">
        <w:t xml:space="preserve"> change fee</w:t>
      </w:r>
      <w:r>
        <w:t xml:space="preserve"> of £18,610</w:t>
      </w:r>
      <w:r w:rsidR="004A2874">
        <w:t xml:space="preserve"> </w:t>
      </w:r>
      <w:r w:rsidR="00F74777">
        <w:t xml:space="preserve">would apply if NICE </w:t>
      </w:r>
      <w:r w:rsidR="0049307E">
        <w:t>received a</w:t>
      </w:r>
      <w:r w:rsidR="00525965">
        <w:t xml:space="preserve"> </w:t>
      </w:r>
      <w:r w:rsidR="00525965">
        <w:lastRenderedPageBreak/>
        <w:t>r</w:t>
      </w:r>
      <w:r w:rsidR="005563B1">
        <w:t>equest</w:t>
      </w:r>
      <w:r w:rsidR="00525965">
        <w:t xml:space="preserve"> to change the timelines, </w:t>
      </w:r>
      <w:r w:rsidR="0049307E">
        <w:t>after the</w:t>
      </w:r>
      <w:r w:rsidR="00326B9F">
        <w:t xml:space="preserve">y </w:t>
      </w:r>
      <w:r w:rsidR="00D12F16">
        <w:t>were</w:t>
      </w:r>
      <w:r w:rsidR="00326B9F">
        <w:t xml:space="preserve"> confirmed </w:t>
      </w:r>
      <w:r w:rsidR="00D12F16">
        <w:t>with the</w:t>
      </w:r>
      <w:r w:rsidR="0049307E">
        <w:t xml:space="preserve"> company</w:t>
      </w:r>
      <w:r w:rsidR="00D12F16">
        <w:t>.</w:t>
      </w:r>
    </w:p>
    <w:p w14:paraId="71157964" w14:textId="52BE864C" w:rsidR="004C1D67" w:rsidRDefault="004C1D67" w:rsidP="004C1D67">
      <w:pPr>
        <w:pStyle w:val="Heading3"/>
      </w:pPr>
      <w:r>
        <w:t>Summary of comments</w:t>
      </w:r>
    </w:p>
    <w:p w14:paraId="10B4625D" w14:textId="380AEF3E" w:rsidR="007C2A98" w:rsidRDefault="0011199F" w:rsidP="00FB38AA">
      <w:pPr>
        <w:pStyle w:val="ParagraphNumbered"/>
        <w:ind w:left="426" w:hanging="426"/>
      </w:pPr>
      <w:r>
        <w:t xml:space="preserve">Feedback </w:t>
      </w:r>
      <w:r w:rsidR="0FDFD130">
        <w:t>highlighted</w:t>
      </w:r>
      <w:r>
        <w:t xml:space="preserve"> </w:t>
      </w:r>
      <w:r w:rsidR="0032453A">
        <w:t xml:space="preserve">a </w:t>
      </w:r>
      <w:r w:rsidR="00080FD3">
        <w:t xml:space="preserve">significant </w:t>
      </w:r>
      <w:r w:rsidR="0032453A">
        <w:t xml:space="preserve">risk </w:t>
      </w:r>
      <w:r w:rsidR="00080FD3">
        <w:t>and objection to the proposal</w:t>
      </w:r>
      <w:r w:rsidR="11FF0FFD">
        <w:t>, and</w:t>
      </w:r>
      <w:r>
        <w:t xml:space="preserve"> industry </w:t>
      </w:r>
      <w:r w:rsidR="00CB3DDA">
        <w:t>behaviours</w:t>
      </w:r>
      <w:r>
        <w:t xml:space="preserve"> ma</w:t>
      </w:r>
      <w:r w:rsidR="00072CA8">
        <w:t>y move towards giving</w:t>
      </w:r>
      <w:r w:rsidR="00883394">
        <w:t xml:space="preserve"> conservative timelines </w:t>
      </w:r>
      <w:r w:rsidR="006B09AB">
        <w:t>or be discouraged from committing to evaluation timelines.</w:t>
      </w:r>
      <w:r w:rsidR="005A575E">
        <w:t xml:space="preserve"> We heard that</w:t>
      </w:r>
      <w:r w:rsidR="00DA70B0">
        <w:t xml:space="preserve"> the introduction of the change fee combined with </w:t>
      </w:r>
      <w:r w:rsidR="005A575E">
        <w:t>an early request for the URN (</w:t>
      </w:r>
      <w:r w:rsidR="00113AF7">
        <w:fldChar w:fldCharType="begin"/>
      </w:r>
      <w:r w:rsidR="00113AF7">
        <w:instrText xml:space="preserve"> REF _Ref160717171 \h </w:instrText>
      </w:r>
      <w:r w:rsidR="00113AF7">
        <w:fldChar w:fldCharType="separate"/>
      </w:r>
      <w:r w:rsidR="00113AF7">
        <w:t>Proposal 1 – confirming evaluation timelines and the commitment to pay</w:t>
      </w:r>
      <w:r w:rsidR="00113AF7">
        <w:fldChar w:fldCharType="end"/>
      </w:r>
      <w:r w:rsidR="005A575E">
        <w:t xml:space="preserve">) </w:t>
      </w:r>
      <w:r w:rsidR="00B944AA">
        <w:t>would create a greater risk</w:t>
      </w:r>
      <w:r w:rsidR="002D453B">
        <w:t xml:space="preserve"> of</w:t>
      </w:r>
      <w:r w:rsidR="00B944AA">
        <w:t xml:space="preserve"> </w:t>
      </w:r>
      <w:r w:rsidR="00DA70B0">
        <w:t>a change fee being incurred</w:t>
      </w:r>
      <w:r w:rsidR="00622837">
        <w:t>.</w:t>
      </w:r>
    </w:p>
    <w:p w14:paraId="0BBDD81A" w14:textId="44D4CBDA" w:rsidR="00622837" w:rsidRDefault="00B336C6" w:rsidP="00FB38AA">
      <w:pPr>
        <w:pStyle w:val="ParagraphNumbered"/>
        <w:ind w:left="426" w:hanging="426"/>
      </w:pPr>
      <w:r>
        <w:t xml:space="preserve">Industry noted that it would be unfair to penalise </w:t>
      </w:r>
      <w:r w:rsidR="0086506A">
        <w:t xml:space="preserve">companies for regulatory changes </w:t>
      </w:r>
      <w:r w:rsidR="00494F12">
        <w:t>that are</w:t>
      </w:r>
      <w:r w:rsidR="0086506A">
        <w:t xml:space="preserve"> out of their control</w:t>
      </w:r>
      <w:r w:rsidR="00E769C2">
        <w:t xml:space="preserve"> and </w:t>
      </w:r>
      <w:r w:rsidR="00604F4F">
        <w:t xml:space="preserve">NICE must be able to operate in </w:t>
      </w:r>
      <w:r w:rsidR="00677FC9">
        <w:t xml:space="preserve">an uncertain </w:t>
      </w:r>
      <w:r w:rsidR="00E769C2">
        <w:t xml:space="preserve">regulatory </w:t>
      </w:r>
      <w:r w:rsidR="00677FC9">
        <w:t xml:space="preserve">environment. </w:t>
      </w:r>
    </w:p>
    <w:p w14:paraId="103EC6F6" w14:textId="2DB35E5D" w:rsidR="00677FC9" w:rsidRDefault="00677FC9" w:rsidP="00FB38AA">
      <w:pPr>
        <w:pStyle w:val="ParagraphNumbered"/>
        <w:ind w:left="426" w:hanging="426"/>
      </w:pPr>
      <w:r>
        <w:t xml:space="preserve">We heard that </w:t>
      </w:r>
      <w:r w:rsidR="001B3CE8">
        <w:t xml:space="preserve">it was unclear when the change fee would apply and </w:t>
      </w:r>
      <w:r w:rsidR="004935C1">
        <w:t xml:space="preserve">in what specific </w:t>
      </w:r>
      <w:r w:rsidR="001B3CE8">
        <w:t>scenario</w:t>
      </w:r>
      <w:r w:rsidR="008223DF">
        <w:t xml:space="preserve">s it would be </w:t>
      </w:r>
      <w:r w:rsidR="004935C1">
        <w:t xml:space="preserve">enforced. </w:t>
      </w:r>
    </w:p>
    <w:p w14:paraId="5D1BE85E" w14:textId="2D820D07" w:rsidR="004935C1" w:rsidRPr="007C2A98" w:rsidRDefault="004935C1" w:rsidP="00FB38AA">
      <w:pPr>
        <w:pStyle w:val="ParagraphNumbered"/>
        <w:ind w:left="426" w:hanging="426"/>
      </w:pPr>
      <w:r>
        <w:t>Some stakeholders</w:t>
      </w:r>
      <w:r w:rsidR="00DA70B0">
        <w:t xml:space="preserve"> </w:t>
      </w:r>
      <w:r w:rsidR="008D04D2">
        <w:t xml:space="preserve">explained that the introduction of the change fee combined with </w:t>
      </w:r>
      <w:r w:rsidR="00E60170">
        <w:t>the increased fees for 2</w:t>
      </w:r>
      <w:r w:rsidR="0016432B">
        <w:t xml:space="preserve">024-25 </w:t>
      </w:r>
      <w:r w:rsidR="009411ED">
        <w:t xml:space="preserve">could have negative </w:t>
      </w:r>
      <w:r w:rsidR="1675569C">
        <w:t>impact</w:t>
      </w:r>
      <w:r w:rsidR="00A347C2">
        <w:t>s</w:t>
      </w:r>
      <w:r w:rsidR="009411ED">
        <w:t xml:space="preserve"> on budgets</w:t>
      </w:r>
      <w:r w:rsidR="00BA4954">
        <w:t xml:space="preserve"> </w:t>
      </w:r>
      <w:r w:rsidR="00A347C2">
        <w:t xml:space="preserve">and </w:t>
      </w:r>
      <w:r w:rsidR="00E84A23">
        <w:t>forecasting</w:t>
      </w:r>
      <w:r w:rsidR="00513406">
        <w:t xml:space="preserve"> and</w:t>
      </w:r>
      <w:r w:rsidR="00FB2202">
        <w:t xml:space="preserve"> </w:t>
      </w:r>
      <w:r w:rsidR="00D532A3">
        <w:t xml:space="preserve">may push </w:t>
      </w:r>
      <w:r w:rsidR="00FB2202">
        <w:t>launch</w:t>
      </w:r>
      <w:r w:rsidR="00D532A3">
        <w:t xml:space="preserve">ing </w:t>
      </w:r>
      <w:r w:rsidR="00FB2202">
        <w:t>a medicine in the UK</w:t>
      </w:r>
      <w:r w:rsidR="00D532A3">
        <w:t xml:space="preserve"> at risk</w:t>
      </w:r>
      <w:r w:rsidR="00FB2202">
        <w:t>.</w:t>
      </w:r>
      <w:r w:rsidR="00E84A23">
        <w:t xml:space="preserve">  It was suggested that a sliding scale </w:t>
      </w:r>
      <w:r w:rsidR="005A1449">
        <w:t>of</w:t>
      </w:r>
      <w:r w:rsidR="00615070">
        <w:t xml:space="preserve"> fee</w:t>
      </w:r>
      <w:r w:rsidR="005A1449">
        <w:t>s</w:t>
      </w:r>
      <w:r w:rsidR="00615070">
        <w:t xml:space="preserve"> would be more appropriate than a </w:t>
      </w:r>
      <w:r w:rsidR="005A1449">
        <w:t xml:space="preserve">single </w:t>
      </w:r>
      <w:r w:rsidR="00615070">
        <w:t>flat fee</w:t>
      </w:r>
      <w:r w:rsidR="005A1449">
        <w:t xml:space="preserve"> applied to timeline changes. </w:t>
      </w:r>
    </w:p>
    <w:p w14:paraId="5FDED475" w14:textId="62FECACD" w:rsidR="004C1D67" w:rsidRDefault="004C1D67" w:rsidP="004C1D67">
      <w:pPr>
        <w:pStyle w:val="Heading3"/>
      </w:pPr>
      <w:r>
        <w:t xml:space="preserve">Our response </w:t>
      </w:r>
    </w:p>
    <w:p w14:paraId="74C2D294" w14:textId="43D59E01" w:rsidR="004C1D67" w:rsidRDefault="002B2033" w:rsidP="00FB38AA">
      <w:pPr>
        <w:pStyle w:val="ParagraphNumbered"/>
        <w:ind w:left="426" w:hanging="426"/>
      </w:pPr>
      <w:r>
        <w:t xml:space="preserve">Considering the comments received we will be modifying our approach to move forward with the implementation of this proposal. </w:t>
      </w:r>
      <w:r w:rsidR="008E757C">
        <w:t xml:space="preserve">NICE agrees with comments that the combination of </w:t>
      </w:r>
      <w:r w:rsidR="00404D92">
        <w:rPr>
          <w:highlight w:val="yellow"/>
        </w:rPr>
        <w:fldChar w:fldCharType="begin"/>
      </w:r>
      <w:r w:rsidR="00404D92">
        <w:instrText xml:space="preserve"> REF _Ref160717171 \h </w:instrText>
      </w:r>
      <w:r w:rsidR="00404D92">
        <w:rPr>
          <w:highlight w:val="yellow"/>
        </w:rPr>
      </w:r>
      <w:r w:rsidR="00404D92">
        <w:rPr>
          <w:highlight w:val="yellow"/>
        </w:rPr>
        <w:fldChar w:fldCharType="separate"/>
      </w:r>
      <w:r w:rsidR="00404D92">
        <w:t>Proposal 1 – confirming evaluation timelines and the commitment to pay</w:t>
      </w:r>
      <w:r w:rsidR="00404D92">
        <w:rPr>
          <w:highlight w:val="yellow"/>
        </w:rPr>
        <w:fldChar w:fldCharType="end"/>
      </w:r>
      <w:r w:rsidR="000B3BD7">
        <w:t xml:space="preserve"> </w:t>
      </w:r>
      <w:r w:rsidR="008E757C">
        <w:t xml:space="preserve">and </w:t>
      </w:r>
      <w:r w:rsidR="000B3BD7">
        <w:fldChar w:fldCharType="begin"/>
      </w:r>
      <w:r w:rsidR="000B3BD7">
        <w:instrText xml:space="preserve"> REF _Ref160717233 \h </w:instrText>
      </w:r>
      <w:r w:rsidR="000B3BD7">
        <w:fldChar w:fldCharType="separate"/>
      </w:r>
      <w:r w:rsidR="000B3BD7">
        <w:t>Proposal 2 – introduction of a change fee</w:t>
      </w:r>
      <w:r w:rsidR="000B3BD7">
        <w:fldChar w:fldCharType="end"/>
      </w:r>
      <w:r w:rsidR="00272F51">
        <w:t xml:space="preserve">, </w:t>
      </w:r>
      <w:r w:rsidR="008E757C">
        <w:t xml:space="preserve">as written in the consultation would be difficult to implement; </w:t>
      </w:r>
      <w:r w:rsidR="00E674E0">
        <w:rPr>
          <w:highlight w:val="yellow"/>
        </w:rPr>
        <w:fldChar w:fldCharType="begin"/>
      </w:r>
      <w:r w:rsidR="00E674E0">
        <w:instrText xml:space="preserve"> REF _Ref160717171 \h </w:instrText>
      </w:r>
      <w:r w:rsidR="00E674E0">
        <w:rPr>
          <w:highlight w:val="yellow"/>
        </w:rPr>
      </w:r>
      <w:r w:rsidR="00E674E0">
        <w:rPr>
          <w:highlight w:val="yellow"/>
        </w:rPr>
        <w:fldChar w:fldCharType="separate"/>
      </w:r>
      <w:r w:rsidR="00E674E0">
        <w:t>Proposal 1 – confirming evaluation timelines and the commitment to pay</w:t>
      </w:r>
      <w:r w:rsidR="00E674E0">
        <w:rPr>
          <w:highlight w:val="yellow"/>
        </w:rPr>
        <w:fldChar w:fldCharType="end"/>
      </w:r>
      <w:r w:rsidR="00E674E0">
        <w:t xml:space="preserve"> </w:t>
      </w:r>
      <w:r w:rsidR="008E757C">
        <w:t>has been amended</w:t>
      </w:r>
      <w:r w:rsidR="00272F51">
        <w:t>.</w:t>
      </w:r>
    </w:p>
    <w:p w14:paraId="5BC6366F" w14:textId="77777777" w:rsidR="000B58B7" w:rsidRDefault="4C99E676" w:rsidP="00FB38AA">
      <w:pPr>
        <w:pStyle w:val="ParagraphNumbered"/>
        <w:spacing w:before="240"/>
        <w:ind w:left="426" w:hanging="426"/>
      </w:pPr>
      <w:r>
        <w:lastRenderedPageBreak/>
        <w:t xml:space="preserve">We </w:t>
      </w:r>
      <w:r w:rsidR="07F0019D">
        <w:t xml:space="preserve">have </w:t>
      </w:r>
      <w:r>
        <w:t xml:space="preserve">considered </w:t>
      </w:r>
      <w:r w:rsidR="2560A226">
        <w:t xml:space="preserve">a </w:t>
      </w:r>
      <w:r w:rsidR="1163BDC4">
        <w:t>proportionate change fee</w:t>
      </w:r>
      <w:r w:rsidR="38EA14DF">
        <w:t>,</w:t>
      </w:r>
      <w:r w:rsidR="1163BDC4">
        <w:t xml:space="preserve"> based on the </w:t>
      </w:r>
      <w:r w:rsidR="421278F5">
        <w:t>s</w:t>
      </w:r>
      <w:r w:rsidR="15412D2E">
        <w:t xml:space="preserve">pecifics of the delay for each </w:t>
      </w:r>
      <w:r w:rsidR="609D0A3A">
        <w:t>topic</w:t>
      </w:r>
      <w:r w:rsidR="5F4671AB">
        <w:t xml:space="preserve">. In some cases, </w:t>
      </w:r>
      <w:r w:rsidR="38EA14DF">
        <w:t>a proportionate</w:t>
      </w:r>
      <w:r w:rsidR="5F4671AB">
        <w:t xml:space="preserve"> change fee </w:t>
      </w:r>
      <w:r w:rsidR="5C3B2219">
        <w:t>would be much higher than the proposed figure of 10%.</w:t>
      </w:r>
      <w:r w:rsidR="38EA14DF">
        <w:t xml:space="preserve">  </w:t>
      </w:r>
    </w:p>
    <w:p w14:paraId="705749DA" w14:textId="2901F09F" w:rsidR="00A75B64" w:rsidRDefault="458A3A9B" w:rsidP="00E36AEC">
      <w:pPr>
        <w:pStyle w:val="ParagraphNumbered"/>
        <w:spacing w:before="240"/>
        <w:ind w:left="426" w:hanging="426"/>
      </w:pPr>
      <w:r>
        <w:t>NICE recognises</w:t>
      </w:r>
      <w:r w:rsidR="3291EF33">
        <w:t xml:space="preserve"> predictability is important to industry and </w:t>
      </w:r>
      <w:r w:rsidR="062F90EC">
        <w:t>a smaller</w:t>
      </w:r>
      <w:r w:rsidR="2E2A21AD">
        <w:t xml:space="preserve"> flat fee</w:t>
      </w:r>
      <w:r w:rsidR="3291EF33">
        <w:t xml:space="preserve"> </w:t>
      </w:r>
      <w:r w:rsidR="062F90EC">
        <w:t xml:space="preserve">of 5% </w:t>
      </w:r>
      <w:r w:rsidR="00175822">
        <w:t xml:space="preserve">of the standard </w:t>
      </w:r>
      <w:r w:rsidR="79D0AC79">
        <w:t>S</w:t>
      </w:r>
      <w:r w:rsidR="72B7C50C">
        <w:t xml:space="preserve">ingle </w:t>
      </w:r>
      <w:r w:rsidR="79D0AC79">
        <w:t>T</w:t>
      </w:r>
      <w:r w:rsidR="72B7C50C">
        <w:t xml:space="preserve">echnology </w:t>
      </w:r>
      <w:r w:rsidR="79D0AC79">
        <w:t>A</w:t>
      </w:r>
      <w:r w:rsidR="72B7C50C">
        <w:t>ppraisal (</w:t>
      </w:r>
      <w:r w:rsidR="00175822">
        <w:t>STA</w:t>
      </w:r>
      <w:r w:rsidR="72B7C50C">
        <w:t>)</w:t>
      </w:r>
      <w:r w:rsidR="00953FD5">
        <w:t xml:space="preserve"> fee </w:t>
      </w:r>
      <w:r w:rsidR="062F90EC">
        <w:t xml:space="preserve">will be implemented. </w:t>
      </w:r>
      <w:r w:rsidR="6CAFCC4A">
        <w:t>The fee</w:t>
      </w:r>
      <w:r w:rsidR="00AE1BBE">
        <w:t xml:space="preserve"> recovers topic selection, scoping and scheduling </w:t>
      </w:r>
      <w:r w:rsidR="00AF1B9D">
        <w:t xml:space="preserve">resources </w:t>
      </w:r>
      <w:r w:rsidR="00175822">
        <w:t>and</w:t>
      </w:r>
      <w:r w:rsidR="6CAFCC4A">
        <w:t xml:space="preserve"> </w:t>
      </w:r>
      <w:r w:rsidR="364E410D">
        <w:t xml:space="preserve">mitigates lost opportunity costs for </w:t>
      </w:r>
      <w:r w:rsidR="00717F3A">
        <w:t xml:space="preserve">allocated </w:t>
      </w:r>
      <w:r w:rsidR="364E410D">
        <w:t xml:space="preserve">resources including NICE staff, external assessment groups, </w:t>
      </w:r>
      <w:r w:rsidR="006D1A8B">
        <w:t xml:space="preserve">and </w:t>
      </w:r>
      <w:r w:rsidR="364E410D">
        <w:t>committee slots</w:t>
      </w:r>
      <w:r w:rsidR="00297AB1">
        <w:t>.</w:t>
      </w:r>
      <w:r w:rsidR="00953FD5">
        <w:t xml:space="preserve"> Key milestones and the</w:t>
      </w:r>
      <w:r w:rsidR="00F5512C">
        <w:t xml:space="preserve"> </w:t>
      </w:r>
      <w:r w:rsidR="00F547E5">
        <w:t xml:space="preserve">linked </w:t>
      </w:r>
      <w:r w:rsidR="00953FD5">
        <w:t xml:space="preserve">percentage of guidance evaluation can be viewed in </w:t>
      </w:r>
      <w:r w:rsidR="007B2846">
        <w:rPr>
          <w:highlight w:val="yellow"/>
        </w:rPr>
        <w:fldChar w:fldCharType="begin"/>
      </w:r>
      <w:r w:rsidR="007B2846">
        <w:instrText xml:space="preserve"> REF _Ref160717374 \h </w:instrText>
      </w:r>
      <w:r w:rsidR="007B2846">
        <w:rPr>
          <w:highlight w:val="yellow"/>
        </w:rPr>
      </w:r>
      <w:r w:rsidR="007B2846">
        <w:rPr>
          <w:highlight w:val="yellow"/>
        </w:rPr>
        <w:fldChar w:fldCharType="separate"/>
      </w:r>
      <w:r w:rsidR="007B2846">
        <w:t>Proposal 5 – updates to refund procedures</w:t>
      </w:r>
      <w:r w:rsidR="007B2846">
        <w:rPr>
          <w:highlight w:val="yellow"/>
        </w:rPr>
        <w:fldChar w:fldCharType="end"/>
      </w:r>
      <w:r w:rsidR="00953FD5">
        <w:t>.</w:t>
      </w:r>
    </w:p>
    <w:p w14:paraId="5C0237FD" w14:textId="6B9F8C46" w:rsidR="009E1399" w:rsidRDefault="009E1399" w:rsidP="00CD5FB8">
      <w:pPr>
        <w:pStyle w:val="ParagraphNumbered"/>
        <w:ind w:left="426" w:hanging="426"/>
      </w:pPr>
      <w:r>
        <w:t xml:space="preserve">The change fee will apply if a request to amend the </w:t>
      </w:r>
      <w:r w:rsidR="20BE63D5">
        <w:t>timeline</w:t>
      </w:r>
      <w:r>
        <w:t xml:space="preserve"> is received </w:t>
      </w:r>
      <w:r w:rsidR="007C130F">
        <w:t xml:space="preserve">in the </w:t>
      </w:r>
      <w:r w:rsidR="4FF7EC89">
        <w:t>four</w:t>
      </w:r>
      <w:r w:rsidRPr="002D190C">
        <w:t xml:space="preserve"> calendar months </w:t>
      </w:r>
      <w:r w:rsidR="007C130F">
        <w:t xml:space="preserve">prior </w:t>
      </w:r>
      <w:r w:rsidR="4397D009">
        <w:t xml:space="preserve">to </w:t>
      </w:r>
      <w:r w:rsidRPr="002D190C">
        <w:t>the ITP date.</w:t>
      </w:r>
      <w:r>
        <w:t xml:space="preserve"> </w:t>
      </w:r>
      <w:r w:rsidR="2DD09F97">
        <w:t xml:space="preserve">A change fee can be applied to an evaluation more than once. </w:t>
      </w:r>
      <w:r w:rsidR="00E64A04">
        <w:t xml:space="preserve">See </w:t>
      </w:r>
      <w:r w:rsidR="00C358BF">
        <w:fldChar w:fldCharType="begin"/>
      </w:r>
      <w:r w:rsidR="00C358BF">
        <w:instrText xml:space="preserve"> REF _Ref160719651 \h </w:instrText>
      </w:r>
      <w:r w:rsidR="00C358BF">
        <w:fldChar w:fldCharType="separate"/>
      </w:r>
      <w:r w:rsidR="00C358BF">
        <w:t>Appendix 1 – TA-HST cost recovery change fee process</w:t>
      </w:r>
      <w:r w:rsidR="00C358BF">
        <w:fldChar w:fldCharType="end"/>
      </w:r>
      <w:r w:rsidR="00C358BF">
        <w:t>.</w:t>
      </w:r>
    </w:p>
    <w:p w14:paraId="6E520404" w14:textId="0B6FF3F1" w:rsidR="009E1399" w:rsidRDefault="20E2F195" w:rsidP="009E1399">
      <w:pPr>
        <w:pStyle w:val="ParagraphNumbered"/>
        <w:numPr>
          <w:ilvl w:val="0"/>
          <w:numId w:val="1"/>
        </w:numPr>
        <w:ind w:left="425" w:hanging="425"/>
      </w:pPr>
      <w:r>
        <w:t>A</w:t>
      </w:r>
      <w:r w:rsidR="009E1399">
        <w:t xml:space="preserve"> change fee will </w:t>
      </w:r>
      <w:r w:rsidR="009E1399" w:rsidRPr="00195957">
        <w:rPr>
          <w:b/>
        </w:rPr>
        <w:t>not</w:t>
      </w:r>
      <w:r w:rsidR="009E1399">
        <w:t xml:space="preserve"> apply if: </w:t>
      </w:r>
    </w:p>
    <w:p w14:paraId="1814FB29" w14:textId="54500F2D" w:rsidR="009E1399" w:rsidRDefault="009E1399" w:rsidP="00CD5FB8">
      <w:pPr>
        <w:pStyle w:val="Bullets"/>
        <w:numPr>
          <w:ilvl w:val="0"/>
          <w:numId w:val="41"/>
        </w:numPr>
        <w:ind w:left="851"/>
      </w:pPr>
      <w:r>
        <w:t>An ITP has been issued. In this case, the refund process will be followed</w:t>
      </w:r>
      <w:r w:rsidR="00460EFA">
        <w:t xml:space="preserve"> (if applicable). </w:t>
      </w:r>
      <w:r w:rsidR="001E1B87">
        <w:t xml:space="preserve">See </w:t>
      </w:r>
      <w:r w:rsidR="001E1B87">
        <w:fldChar w:fldCharType="begin"/>
      </w:r>
      <w:r w:rsidR="001E1B87">
        <w:instrText xml:space="preserve"> REF _Ref160717374 \h </w:instrText>
      </w:r>
      <w:r w:rsidR="001E1B87">
        <w:fldChar w:fldCharType="separate"/>
      </w:r>
      <w:r w:rsidR="001E1B87">
        <w:t>Proposal 5 – updates to refund procedures</w:t>
      </w:r>
      <w:r w:rsidR="001E1B87">
        <w:fldChar w:fldCharType="end"/>
      </w:r>
    </w:p>
    <w:p w14:paraId="25F8548F" w14:textId="007AF5BA" w:rsidR="002E46AC" w:rsidRPr="00C84AF6" w:rsidRDefault="00E15826" w:rsidP="00CD5FB8">
      <w:pPr>
        <w:pStyle w:val="Bullets"/>
        <w:numPr>
          <w:ilvl w:val="0"/>
          <w:numId w:val="41"/>
        </w:numPr>
        <w:ind w:left="851"/>
      </w:pPr>
      <w:r w:rsidRPr="00C84AF6">
        <w:t>The company is engaged in a Multiple Technology Appraisal (MTA)</w:t>
      </w:r>
    </w:p>
    <w:p w14:paraId="4562C0C4" w14:textId="0405B890" w:rsidR="009E1399" w:rsidRDefault="00E15826" w:rsidP="00CD5FB8">
      <w:pPr>
        <w:pStyle w:val="Bullets"/>
        <w:numPr>
          <w:ilvl w:val="0"/>
          <w:numId w:val="41"/>
        </w:numPr>
        <w:spacing w:after="240"/>
        <w:ind w:left="851"/>
      </w:pPr>
      <w:r>
        <w:t>NICE initiates the change to timelines</w:t>
      </w:r>
    </w:p>
    <w:p w14:paraId="56A89824" w14:textId="092F5403" w:rsidR="00B9323B" w:rsidRDefault="00163E47" w:rsidP="009D60E2">
      <w:pPr>
        <w:pStyle w:val="ParagraphNumbered"/>
        <w:ind w:left="426" w:hanging="426"/>
      </w:pPr>
      <w:r>
        <w:t>We acknowledge that</w:t>
      </w:r>
      <w:r w:rsidR="0085595C">
        <w:t xml:space="preserve"> companies cannot always predict or control the impact of </w:t>
      </w:r>
      <w:r>
        <w:t>regulatory changes</w:t>
      </w:r>
      <w:r w:rsidR="0085595C">
        <w:t xml:space="preserve"> on licencing timelines</w:t>
      </w:r>
      <w:r w:rsidR="00E06064">
        <w:t xml:space="preserve"> and NICE guidance publication</w:t>
      </w:r>
      <w:r w:rsidR="0085595C">
        <w:t xml:space="preserve">. </w:t>
      </w:r>
      <w:r>
        <w:t xml:space="preserve">NICE will continue to engage with companies to minimise the impact of regulatory updates on the TA-HST work programme. </w:t>
      </w:r>
    </w:p>
    <w:p w14:paraId="405A0F76" w14:textId="02D97908" w:rsidR="00B9323B" w:rsidRDefault="00EB7C07" w:rsidP="009D60E2">
      <w:pPr>
        <w:pStyle w:val="ParagraphNumbered"/>
        <w:ind w:left="426" w:hanging="426"/>
      </w:pPr>
      <w:r>
        <w:t>A</w:t>
      </w:r>
      <w:r w:rsidR="006808BC">
        <w:t xml:space="preserve">s </w:t>
      </w:r>
      <w:r w:rsidR="005C48F7">
        <w:t>explained in the consultation paper, company requests</w:t>
      </w:r>
      <w:r w:rsidR="000029F9">
        <w:t xml:space="preserve"> for scheduling changes </w:t>
      </w:r>
      <w:r w:rsidR="6C9CBCF2">
        <w:t>account</w:t>
      </w:r>
      <w:r w:rsidR="306ABA11">
        <w:t>ed</w:t>
      </w:r>
      <w:r w:rsidR="000029F9">
        <w:t xml:space="preserve"> for 37% of changes to the work programme between April and October 2023</w:t>
      </w:r>
      <w:r w:rsidR="7FC0D188">
        <w:t>.</w:t>
      </w:r>
      <w:r w:rsidR="005C48F7" w:rsidDel="00937E9A">
        <w:t xml:space="preserve"> </w:t>
      </w:r>
      <w:r w:rsidR="00937E9A">
        <w:t xml:space="preserve">The high volume of requests for change </w:t>
      </w:r>
      <w:r w:rsidR="006F6556">
        <w:t>has</w:t>
      </w:r>
      <w:r w:rsidR="583DD259">
        <w:t xml:space="preserve"> a</w:t>
      </w:r>
      <w:r w:rsidR="00937E9A">
        <w:t xml:space="preserve"> significant</w:t>
      </w:r>
      <w:r w:rsidR="005C48F7">
        <w:t xml:space="preserve"> impact on </w:t>
      </w:r>
      <w:r w:rsidR="00CB69A9">
        <w:t xml:space="preserve">the ability to support a predictable work programme.  </w:t>
      </w:r>
      <w:r w:rsidR="002D5B95">
        <w:lastRenderedPageBreak/>
        <w:t xml:space="preserve">The </w:t>
      </w:r>
      <w:r w:rsidR="001F2DC5">
        <w:t>implement</w:t>
      </w:r>
      <w:r w:rsidR="002D5B95">
        <w:t xml:space="preserve">ation of </w:t>
      </w:r>
      <w:r w:rsidR="001F2DC5">
        <w:t>a</w:t>
      </w:r>
      <w:r w:rsidR="000823A9">
        <w:t xml:space="preserve"> change fee</w:t>
      </w:r>
      <w:r w:rsidR="6BEF0D47">
        <w:t xml:space="preserve"> </w:t>
      </w:r>
      <w:r w:rsidR="006F6556">
        <w:t>supports</w:t>
      </w:r>
      <w:r w:rsidR="009F4D7E">
        <w:t xml:space="preserve"> partnership </w:t>
      </w:r>
      <w:r w:rsidR="006F6556">
        <w:t xml:space="preserve">working, </w:t>
      </w:r>
      <w:r w:rsidR="009F4D7E">
        <w:t xml:space="preserve">whereby </w:t>
      </w:r>
      <w:r w:rsidR="008A3080">
        <w:t xml:space="preserve">NICE and </w:t>
      </w:r>
      <w:r w:rsidR="009552EC">
        <w:t xml:space="preserve">companies cooperate </w:t>
      </w:r>
      <w:r w:rsidR="00B95C79">
        <w:t xml:space="preserve">and work </w:t>
      </w:r>
      <w:r w:rsidR="009552EC">
        <w:t>to</w:t>
      </w:r>
      <w:r w:rsidR="00B95C79">
        <w:t>gether</w:t>
      </w:r>
      <w:r w:rsidR="009552EC">
        <w:t xml:space="preserve"> </w:t>
      </w:r>
      <w:r w:rsidR="008B01DC">
        <w:t xml:space="preserve">to </w:t>
      </w:r>
      <w:r w:rsidR="000029F9">
        <w:t xml:space="preserve">schedule </w:t>
      </w:r>
      <w:r w:rsidR="7FC0D188">
        <w:t>evaluation</w:t>
      </w:r>
      <w:r w:rsidR="00A37340">
        <w:t>s</w:t>
      </w:r>
      <w:r w:rsidR="004E317C">
        <w:t xml:space="preserve"> </w:t>
      </w:r>
      <w:r w:rsidR="2C35036F">
        <w:t>at</w:t>
      </w:r>
      <w:r w:rsidR="00BC3776">
        <w:t xml:space="preserve"> the</w:t>
      </w:r>
      <w:r w:rsidR="00F769E1">
        <w:t xml:space="preserve"> </w:t>
      </w:r>
      <w:r w:rsidR="00A61CAB">
        <w:t xml:space="preserve">optimum </w:t>
      </w:r>
      <w:r>
        <w:t xml:space="preserve">point for </w:t>
      </w:r>
      <w:r w:rsidR="00643827">
        <w:t xml:space="preserve">evidence </w:t>
      </w:r>
      <w:r w:rsidR="004305F2">
        <w:t>submission</w:t>
      </w:r>
      <w:r w:rsidR="001B39F6">
        <w:t xml:space="preserve">. </w:t>
      </w:r>
      <w:r w:rsidR="0039404B">
        <w:t xml:space="preserve"> </w:t>
      </w:r>
    </w:p>
    <w:p w14:paraId="6F8E5FF9" w14:textId="310761E3" w:rsidR="00027532" w:rsidRDefault="00027532" w:rsidP="00B9323B">
      <w:pPr>
        <w:pStyle w:val="Heading2"/>
      </w:pPr>
      <w:r w:rsidRPr="00DC41F4" w:rsidDel="000E0A3E">
        <w:t>Proposal</w:t>
      </w:r>
      <w:r w:rsidDel="000E0A3E">
        <w:t xml:space="preserve"> </w:t>
      </w:r>
      <w:r>
        <w:t xml:space="preserve">3 – a charge for technical engagement </w:t>
      </w:r>
    </w:p>
    <w:p w14:paraId="626B6B69" w14:textId="77777777" w:rsidR="00447123" w:rsidRPr="00FF26D1" w:rsidRDefault="00447123" w:rsidP="00447123">
      <w:pPr>
        <w:pStyle w:val="ParagraphNumbered"/>
        <w:numPr>
          <w:ilvl w:val="0"/>
          <w:numId w:val="1"/>
        </w:numPr>
        <w:spacing w:before="240"/>
        <w:ind w:left="426" w:hanging="426"/>
      </w:pPr>
      <w:r>
        <w:t>If NICE decide that technical engagement is required to support a topic's progression and t</w:t>
      </w:r>
      <w:r w:rsidRPr="66D89F29">
        <w:rPr>
          <w:rFonts w:cs="Arial"/>
        </w:rPr>
        <w:t>o recuperate all costs associated with the evaluation, t</w:t>
      </w:r>
      <w:r>
        <w:t xml:space="preserve">he exceptional charge for technical engagement will be fixed at 5% of the STA charge, and payment will be required from the company before final guidance publication. </w:t>
      </w:r>
    </w:p>
    <w:p w14:paraId="6D346EF9" w14:textId="63534270" w:rsidR="00BE1020" w:rsidRDefault="004C1D67" w:rsidP="00ED2870">
      <w:pPr>
        <w:pStyle w:val="Heading3"/>
      </w:pPr>
      <w:r>
        <w:t xml:space="preserve">Summary of comments </w:t>
      </w:r>
    </w:p>
    <w:p w14:paraId="32E69036" w14:textId="7EB776EF" w:rsidR="00BA0A9A" w:rsidRDefault="00234FA2" w:rsidP="009D60E2">
      <w:pPr>
        <w:pStyle w:val="ParagraphNumbered"/>
        <w:ind w:left="426" w:hanging="426"/>
      </w:pPr>
      <w:r>
        <w:t xml:space="preserve">We received some agreement with the proposal, but </w:t>
      </w:r>
      <w:r w:rsidR="00BA0A9A">
        <w:t>most</w:t>
      </w:r>
      <w:r w:rsidR="004F311B">
        <w:t xml:space="preserve"> respondents had concerns</w:t>
      </w:r>
      <w:r w:rsidR="00804137">
        <w:t>.</w:t>
      </w:r>
    </w:p>
    <w:p w14:paraId="031E6916" w14:textId="5293AAB9" w:rsidR="00ED2870" w:rsidRDefault="009A4B1F" w:rsidP="009D60E2">
      <w:pPr>
        <w:pStyle w:val="ParagraphNumbered"/>
        <w:ind w:left="426" w:hanging="426"/>
      </w:pPr>
      <w:r>
        <w:t xml:space="preserve">Industry felt that the charge itself was high and </w:t>
      </w:r>
      <w:r w:rsidR="002E26B2">
        <w:t xml:space="preserve">contradictory. </w:t>
      </w:r>
      <w:r w:rsidR="006A4530">
        <w:t xml:space="preserve">It was identified that NICE </w:t>
      </w:r>
      <w:r w:rsidR="00B35B7C">
        <w:t xml:space="preserve">may recoup extra costs for </w:t>
      </w:r>
      <w:r w:rsidR="007B52E2">
        <w:t>a process which if initiated</w:t>
      </w:r>
      <w:r w:rsidR="00836FE5">
        <w:t>,</w:t>
      </w:r>
      <w:r w:rsidR="00D556B3">
        <w:t xml:space="preserve"> should speed up the evaluation process</w:t>
      </w:r>
      <w:r w:rsidR="00836FE5">
        <w:t xml:space="preserve">. A successful technical engagement </w:t>
      </w:r>
      <w:r w:rsidR="00CD3CF3">
        <w:t xml:space="preserve">should result in </w:t>
      </w:r>
      <w:r w:rsidR="003D19B2">
        <w:t xml:space="preserve">an </w:t>
      </w:r>
      <w:r w:rsidR="1ACF2F08">
        <w:t>evalu</w:t>
      </w:r>
      <w:r w:rsidR="503AFA04">
        <w:t>a</w:t>
      </w:r>
      <w:r w:rsidR="1ACF2F08">
        <w:t>tion</w:t>
      </w:r>
      <w:r w:rsidR="003D19B2">
        <w:t xml:space="preserve"> proceeding straight to final draft guidance after one </w:t>
      </w:r>
      <w:r w:rsidR="00CD3CF3">
        <w:t>committee meeting</w:t>
      </w:r>
      <w:r w:rsidR="00C41140">
        <w:t>,</w:t>
      </w:r>
      <w:r w:rsidR="00062228">
        <w:t xml:space="preserve"> removing any requirement for a second committee meeting to be held.</w:t>
      </w:r>
      <w:r w:rsidR="001647EE">
        <w:t xml:space="preserve"> </w:t>
      </w:r>
      <w:r w:rsidR="00532157">
        <w:t>If technical engagement is added, it is in fact cost sav</w:t>
      </w:r>
      <w:r w:rsidR="00D46D74">
        <w:t>ing and industry felt</w:t>
      </w:r>
      <w:r w:rsidR="00460D19">
        <w:t xml:space="preserve"> in those cases, charges should be reduced. </w:t>
      </w:r>
    </w:p>
    <w:p w14:paraId="0FD03A75" w14:textId="4558B3C5" w:rsidR="00460D19" w:rsidRDefault="00B64A62" w:rsidP="009D60E2">
      <w:pPr>
        <w:pStyle w:val="ParagraphNumbered"/>
        <w:ind w:left="426" w:hanging="426"/>
      </w:pPr>
      <w:r>
        <w:t xml:space="preserve">We heard that </w:t>
      </w:r>
      <w:r w:rsidR="00C43A11">
        <w:t>if the proposal was implemented, and industry were expected to pay, the company should</w:t>
      </w:r>
      <w:r w:rsidR="004E2D36">
        <w:t xml:space="preserve"> also</w:t>
      </w:r>
      <w:r w:rsidR="00C43A11">
        <w:t xml:space="preserve"> be able to </w:t>
      </w:r>
      <w:r w:rsidR="00CD74E0">
        <w:t>request and ask for technical engagement</w:t>
      </w:r>
      <w:r w:rsidR="004E2D36">
        <w:t xml:space="preserve"> to be included</w:t>
      </w:r>
      <w:r w:rsidR="00CD74E0">
        <w:t xml:space="preserve"> </w:t>
      </w:r>
      <w:r w:rsidR="11230CBA">
        <w:t>in an</w:t>
      </w:r>
      <w:r w:rsidR="00CD74E0">
        <w:t xml:space="preserve"> evaluation. </w:t>
      </w:r>
    </w:p>
    <w:p w14:paraId="071BE1C3" w14:textId="79421F8D" w:rsidR="00CD74E0" w:rsidRPr="00ED2870" w:rsidRDefault="0013227E" w:rsidP="009D60E2">
      <w:pPr>
        <w:pStyle w:val="ParagraphNumbered"/>
        <w:ind w:left="426" w:hanging="426"/>
      </w:pPr>
      <w:r>
        <w:t>Some felt that a</w:t>
      </w:r>
      <w:r w:rsidR="00CD74E0">
        <w:t xml:space="preserve"> </w:t>
      </w:r>
      <w:r w:rsidR="002234B2">
        <w:t>5% charge was</w:t>
      </w:r>
      <w:r w:rsidR="00EE36EE">
        <w:t xml:space="preserve"> </w:t>
      </w:r>
      <w:r>
        <w:t xml:space="preserve">too </w:t>
      </w:r>
      <w:r w:rsidR="00EE36EE">
        <w:t>high</w:t>
      </w:r>
      <w:r>
        <w:t xml:space="preserve">, and </w:t>
      </w:r>
      <w:r w:rsidR="001470C6">
        <w:t>acknowledged</w:t>
      </w:r>
      <w:r>
        <w:t xml:space="preserve"> that </w:t>
      </w:r>
      <w:r w:rsidR="001470C6">
        <w:t xml:space="preserve">expert input had recently been removed, meaning </w:t>
      </w:r>
      <w:r w:rsidR="00E83EB5">
        <w:t xml:space="preserve">there is now less engagement. </w:t>
      </w:r>
      <w:r w:rsidR="45572E69">
        <w:t>It was note</w:t>
      </w:r>
      <w:r w:rsidR="2113BE8D">
        <w:t>d</w:t>
      </w:r>
      <w:r w:rsidR="45572E69">
        <w:t xml:space="preserve"> that t</w:t>
      </w:r>
      <w:r w:rsidR="7FD46093">
        <w:t>he</w:t>
      </w:r>
      <w:r w:rsidR="002234B2">
        <w:t xml:space="preserve"> unpredictability of </w:t>
      </w:r>
      <w:r w:rsidR="590DF71A">
        <w:t>inclusion of</w:t>
      </w:r>
      <w:r w:rsidR="7FD46093">
        <w:t xml:space="preserve"> </w:t>
      </w:r>
      <w:r w:rsidR="002234B2">
        <w:t>technical engagement creates uncertainty for budget planning</w:t>
      </w:r>
      <w:r w:rsidR="00E83EB5">
        <w:t xml:space="preserve"> and </w:t>
      </w:r>
      <w:r w:rsidR="590DF71A">
        <w:t xml:space="preserve">could </w:t>
      </w:r>
      <w:r w:rsidR="33CB7E8C">
        <w:t>therefore</w:t>
      </w:r>
      <w:r w:rsidR="00EE36EE">
        <w:t xml:space="preserve"> be a negative </w:t>
      </w:r>
      <w:r w:rsidR="00B8317F">
        <w:lastRenderedPageBreak/>
        <w:t xml:space="preserve">financial </w:t>
      </w:r>
      <w:r w:rsidR="00EE36EE">
        <w:t xml:space="preserve">impact </w:t>
      </w:r>
      <w:r w:rsidR="00B8317F">
        <w:t>on treatments with uncertain evidence bases (e.g. rare diseases)</w:t>
      </w:r>
      <w:r w:rsidR="002234B2">
        <w:t xml:space="preserve">. </w:t>
      </w:r>
      <w:r w:rsidR="00B8317F">
        <w:t xml:space="preserve"> </w:t>
      </w:r>
    </w:p>
    <w:p w14:paraId="3B99CDCD" w14:textId="01239AB1" w:rsidR="004C1D67" w:rsidRDefault="004C1D67" w:rsidP="004C1D67">
      <w:pPr>
        <w:pStyle w:val="Heading3"/>
      </w:pPr>
      <w:r>
        <w:t xml:space="preserve">Our response </w:t>
      </w:r>
    </w:p>
    <w:p w14:paraId="4D025DA6" w14:textId="2BE66E93" w:rsidR="00E31B6C" w:rsidRDefault="00B0796F" w:rsidP="002E6EF1">
      <w:pPr>
        <w:pStyle w:val="ParagraphNumbered"/>
        <w:ind w:left="426" w:hanging="426"/>
      </w:pPr>
      <w:r>
        <w:t xml:space="preserve">Considering the comments received, </w:t>
      </w:r>
      <w:r w:rsidR="00360152">
        <w:t xml:space="preserve">NICE </w:t>
      </w:r>
      <w:r w:rsidR="00873051">
        <w:t xml:space="preserve">has decided </w:t>
      </w:r>
      <w:r w:rsidR="00360152">
        <w:t xml:space="preserve">not </w:t>
      </w:r>
      <w:r w:rsidR="000B66DD">
        <w:t xml:space="preserve">to </w:t>
      </w:r>
      <w:r w:rsidR="003C17F7">
        <w:t xml:space="preserve">implement this proposal at this time. </w:t>
      </w:r>
    </w:p>
    <w:p w14:paraId="39ED31DF" w14:textId="45423A10" w:rsidR="00360152" w:rsidRDefault="00794383" w:rsidP="002E6EF1">
      <w:pPr>
        <w:pStyle w:val="ParagraphNumbered"/>
        <w:ind w:left="426" w:hanging="426"/>
      </w:pPr>
      <w:r>
        <w:t xml:space="preserve">As of 1 January 2024, </w:t>
      </w:r>
      <w:r w:rsidR="00E31B6C">
        <w:t xml:space="preserve">two evaluations in the work programme have had technical engagement included. NICE will continue to monitor the </w:t>
      </w:r>
      <w:r w:rsidR="005B7321">
        <w:t xml:space="preserve">number of </w:t>
      </w:r>
      <w:r w:rsidR="001701CB">
        <w:t>evaluations with</w:t>
      </w:r>
      <w:r w:rsidR="00E31B6C">
        <w:t xml:space="preserve"> technical engagement and </w:t>
      </w:r>
      <w:r w:rsidR="00EC65E5">
        <w:t xml:space="preserve">impact on cost recovery of the work programme. </w:t>
      </w:r>
    </w:p>
    <w:p w14:paraId="412DF088" w14:textId="668AC286" w:rsidR="003C17F7" w:rsidRDefault="003C17F7" w:rsidP="002E6EF1">
      <w:pPr>
        <w:pStyle w:val="ParagraphNumbered"/>
        <w:ind w:left="426" w:hanging="426"/>
      </w:pPr>
      <w:r>
        <w:t xml:space="preserve">NICE agrees that </w:t>
      </w:r>
      <w:r w:rsidR="005C2454">
        <w:t>if used appropriate</w:t>
      </w:r>
      <w:r w:rsidR="00A57E85">
        <w:t>ly</w:t>
      </w:r>
      <w:r w:rsidR="005C2454">
        <w:t xml:space="preserve"> by NICE and the company, technical engagement can </w:t>
      </w:r>
      <w:r w:rsidR="00A57E85">
        <w:t xml:space="preserve">result in the </w:t>
      </w:r>
      <w:r w:rsidR="6C0E2A1D">
        <w:t>evalu</w:t>
      </w:r>
      <w:r w:rsidR="0015B3D8">
        <w:t>a</w:t>
      </w:r>
      <w:r w:rsidR="6C0E2A1D">
        <w:t>tion</w:t>
      </w:r>
      <w:r w:rsidR="00A57E85" w:rsidRPr="00A57E85">
        <w:t xml:space="preserve"> proceeding to final draft guidance after</w:t>
      </w:r>
      <w:r w:rsidR="00BA303F">
        <w:t xml:space="preserve"> the first </w:t>
      </w:r>
      <w:r w:rsidR="00A57E85" w:rsidRPr="00A57E85">
        <w:t>committee meeting</w:t>
      </w:r>
      <w:r w:rsidR="00A57E85">
        <w:t xml:space="preserve">. </w:t>
      </w:r>
    </w:p>
    <w:p w14:paraId="59A757E0" w14:textId="4AA65557" w:rsidR="004C1D67" w:rsidRPr="004C1D67" w:rsidRDefault="00E965B0" w:rsidP="002E6EF1">
      <w:pPr>
        <w:pStyle w:val="ParagraphNumbered"/>
        <w:ind w:left="426" w:hanging="426"/>
      </w:pPr>
      <w:r>
        <w:t>T</w:t>
      </w:r>
      <w:r w:rsidR="008D7A5B">
        <w:t xml:space="preserve">he approach to </w:t>
      </w:r>
      <w:r w:rsidR="00B53821">
        <w:t xml:space="preserve">technical engagement has been </w:t>
      </w:r>
      <w:r w:rsidR="008D7A5B">
        <w:t xml:space="preserve">updated in the </w:t>
      </w:r>
      <w:hyperlink r:id="rId20">
        <w:r w:rsidR="2AFB1136" w:rsidRPr="76E2C99A">
          <w:rPr>
            <w:rStyle w:val="Hyperlink"/>
          </w:rPr>
          <w:t>Health technology evaluations: interim methods and process guide for the proportionate approach to technology appraisal</w:t>
        </w:r>
      </w:hyperlink>
      <w:r>
        <w:t xml:space="preserve"> and t</w:t>
      </w:r>
      <w:r w:rsidR="00402A9D">
        <w:t>he initiation of technical engagement remains a NICE decision</w:t>
      </w:r>
      <w:r>
        <w:t xml:space="preserve">. Companies cannot submit a request for </w:t>
      </w:r>
      <w:r w:rsidR="00304030">
        <w:t xml:space="preserve">technical engagement to be included in the </w:t>
      </w:r>
      <w:r w:rsidR="412D9E5D">
        <w:t>evaluation</w:t>
      </w:r>
      <w:r w:rsidR="00304030">
        <w:t xml:space="preserve"> process. </w:t>
      </w:r>
    </w:p>
    <w:p w14:paraId="68DD997A" w14:textId="1BDB39CE" w:rsidR="008D2306" w:rsidRDefault="008D2306" w:rsidP="004C1D67">
      <w:pPr>
        <w:pStyle w:val="Heading2"/>
      </w:pPr>
      <w:r>
        <w:t>Proposal 4 – the charge for pilot topics and amendments to processes</w:t>
      </w:r>
    </w:p>
    <w:p w14:paraId="4732D058" w14:textId="1570FF09" w:rsidR="00E81844" w:rsidRDefault="00E81844" w:rsidP="00E81844">
      <w:pPr>
        <w:pStyle w:val="ParagraphNumbered"/>
        <w:numPr>
          <w:ilvl w:val="0"/>
          <w:numId w:val="1"/>
        </w:numPr>
        <w:ind w:left="426" w:hanging="426"/>
      </w:pPr>
      <w:r>
        <w:t xml:space="preserve">Where guidance evaluations are delivered via a pilot, topics will be subject to a divergent fee. For example, ‘pathways’ topics will have a different fee during the pilot phase. Should ‘Pathways’ become a standard business-as-usual approach the fee will be written into charging procedures. In this scenario, we expect the fee to be no more than the largest or lowest fee set out within the </w:t>
      </w:r>
      <w:hyperlink r:id="rId21">
        <w:r w:rsidRPr="66D89F29">
          <w:rPr>
            <w:rStyle w:val="Hyperlink"/>
          </w:rPr>
          <w:t>NICE charging procedures.</w:t>
        </w:r>
      </w:hyperlink>
      <w:r>
        <w:t xml:space="preserve"> </w:t>
      </w:r>
    </w:p>
    <w:p w14:paraId="75B8301F" w14:textId="2AF4C70D" w:rsidR="00E81844" w:rsidRPr="00E81844" w:rsidRDefault="00E81844" w:rsidP="00A430A5">
      <w:pPr>
        <w:pStyle w:val="ParagraphNumbered"/>
        <w:numPr>
          <w:ilvl w:val="0"/>
          <w:numId w:val="1"/>
        </w:numPr>
        <w:ind w:left="426" w:hanging="426"/>
      </w:pPr>
      <w:r>
        <w:lastRenderedPageBreak/>
        <w:t xml:space="preserve">In some cases, NICE may have an opportunity with agreement from the company to amend standard processes. In these cases, </w:t>
      </w:r>
      <w:r w:rsidRPr="66D89F29">
        <w:rPr>
          <w:rStyle w:val="ui-provider"/>
        </w:rPr>
        <w:t xml:space="preserve">a </w:t>
      </w:r>
      <w:r w:rsidR="00B5425A">
        <w:rPr>
          <w:rStyle w:val="ui-provider"/>
        </w:rPr>
        <w:t>divergent</w:t>
      </w:r>
      <w:r w:rsidRPr="66D89F29">
        <w:rPr>
          <w:rStyle w:val="ui-provider"/>
        </w:rPr>
        <w:t xml:space="preserve"> fee will be explored assessing the resource and unit capacity to be utilised</w:t>
      </w:r>
      <w:r>
        <w:t xml:space="preserve">. In this scenario, we expect the fee to be no more than the largest or lowest fee set out within the </w:t>
      </w:r>
      <w:hyperlink r:id="rId22">
        <w:r w:rsidRPr="66D89F29">
          <w:rPr>
            <w:rStyle w:val="Hyperlink"/>
          </w:rPr>
          <w:t>NICE charging procedures.</w:t>
        </w:r>
      </w:hyperlink>
      <w:r>
        <w:t xml:space="preserve"> </w:t>
      </w:r>
    </w:p>
    <w:p w14:paraId="55048B28" w14:textId="4CDA2207" w:rsidR="257D620D" w:rsidRDefault="257D620D" w:rsidP="3D1672BD">
      <w:pPr>
        <w:pStyle w:val="Heading3"/>
      </w:pPr>
      <w:r>
        <w:t>Summary of comments</w:t>
      </w:r>
    </w:p>
    <w:p w14:paraId="76D552AB" w14:textId="72647072" w:rsidR="00EC5CD0" w:rsidRDefault="00EC5CD0" w:rsidP="00942108">
      <w:pPr>
        <w:pStyle w:val="ParagraphNumbered"/>
        <w:ind w:left="426" w:hanging="426"/>
      </w:pPr>
      <w:r>
        <w:t xml:space="preserve">We received </w:t>
      </w:r>
      <w:r w:rsidR="00CC29D3">
        <w:t>feedback that the consultation document provided minimal information on the proposal</w:t>
      </w:r>
      <w:r w:rsidR="000D4963">
        <w:t>, it</w:t>
      </w:r>
      <w:r w:rsidR="00CC29D3">
        <w:t xml:space="preserve"> </w:t>
      </w:r>
      <w:r w:rsidR="000C3EA5">
        <w:t xml:space="preserve">lacked justification and detail. </w:t>
      </w:r>
      <w:r w:rsidR="000D4963">
        <w:t>Industry felt that</w:t>
      </w:r>
      <w:r w:rsidR="00902538">
        <w:t xml:space="preserve"> </w:t>
      </w:r>
      <w:r w:rsidR="00FC3B3D">
        <w:t xml:space="preserve">the fees could disincentivise participation and collaboration </w:t>
      </w:r>
      <w:r w:rsidR="008B29DA">
        <w:t xml:space="preserve">in pilots. It was also noted that companies should not be subsidising research and development </w:t>
      </w:r>
      <w:r w:rsidR="00E37197">
        <w:t xml:space="preserve">through </w:t>
      </w:r>
      <w:r w:rsidR="008B29DA">
        <w:t>cost</w:t>
      </w:r>
      <w:r w:rsidR="00E37197">
        <w:t xml:space="preserve"> recovery</w:t>
      </w:r>
      <w:r w:rsidR="008B29DA">
        <w:t xml:space="preserve">. </w:t>
      </w:r>
    </w:p>
    <w:p w14:paraId="7CB33FF5" w14:textId="3608CB3B" w:rsidR="00124DB2" w:rsidRDefault="009075DE" w:rsidP="00942108">
      <w:pPr>
        <w:pStyle w:val="ParagraphNumbered"/>
        <w:ind w:left="426" w:hanging="426"/>
      </w:pPr>
      <w:r>
        <w:t xml:space="preserve">We heard that </w:t>
      </w:r>
      <w:r w:rsidR="006E5351">
        <w:t xml:space="preserve">industry </w:t>
      </w:r>
      <w:r w:rsidR="00194EB6">
        <w:t xml:space="preserve">assume a level of risk when agreeing to be </w:t>
      </w:r>
      <w:r w:rsidR="006E5351">
        <w:t>involve</w:t>
      </w:r>
      <w:r w:rsidR="00194EB6">
        <w:t>d</w:t>
      </w:r>
      <w:r w:rsidR="006E5351">
        <w:t xml:space="preserve"> in </w:t>
      </w:r>
      <w:r w:rsidR="004673F7">
        <w:t>piloting processes and methods</w:t>
      </w:r>
      <w:r w:rsidR="00194EB6">
        <w:t xml:space="preserve"> for an </w:t>
      </w:r>
      <w:r w:rsidR="33594CB1">
        <w:t>evaluation</w:t>
      </w:r>
      <w:r w:rsidR="00002DC8">
        <w:t xml:space="preserve">; this should be reflected in the fee, and the fee should be lower because of this. </w:t>
      </w:r>
    </w:p>
    <w:p w14:paraId="2C1342B8" w14:textId="0CE366CA" w:rsidR="00325636" w:rsidRPr="00EC5CD0" w:rsidRDefault="00325636" w:rsidP="00942108">
      <w:pPr>
        <w:pStyle w:val="ParagraphNumbered"/>
        <w:ind w:left="426" w:hanging="426"/>
      </w:pPr>
      <w:r>
        <w:t>We hea</w:t>
      </w:r>
      <w:r w:rsidR="00700316">
        <w:t>r</w:t>
      </w:r>
      <w:r>
        <w:t xml:space="preserve">d that </w:t>
      </w:r>
      <w:r w:rsidR="003A7FAB">
        <w:t>the statement “we expect</w:t>
      </w:r>
      <w:r w:rsidR="003A7FAB" w:rsidDel="00EC5723">
        <w:t xml:space="preserve"> the </w:t>
      </w:r>
      <w:r w:rsidR="003A7FAB">
        <w:t>fee</w:t>
      </w:r>
      <w:r w:rsidR="003A7FAB" w:rsidDel="00EC5723">
        <w:t xml:space="preserve"> </w:t>
      </w:r>
      <w:r w:rsidR="003A7FAB">
        <w:t>to</w:t>
      </w:r>
      <w:r w:rsidR="003A7FAB" w:rsidDel="00EC5723">
        <w:t xml:space="preserve"> be no more than the largest </w:t>
      </w:r>
      <w:r w:rsidR="003A7FAB">
        <w:t xml:space="preserve">or </w:t>
      </w:r>
      <w:r w:rsidR="003A7FAB" w:rsidDel="00EC5723">
        <w:t xml:space="preserve">lowest fee set out within the </w:t>
      </w:r>
      <w:r w:rsidR="003A7FAB" w:rsidRPr="006555B7" w:rsidDel="00EC5723">
        <w:t>NICE charging procedures</w:t>
      </w:r>
      <w:r w:rsidR="00D066BB">
        <w:t>”</w:t>
      </w:r>
      <w:r w:rsidR="00F80E81">
        <w:t xml:space="preserve"> is unhelpful and </w:t>
      </w:r>
      <w:r>
        <w:t>creates uncertainty for budget planning</w:t>
      </w:r>
      <w:r w:rsidR="00E37197">
        <w:t xml:space="preserve">. </w:t>
      </w:r>
    </w:p>
    <w:p w14:paraId="39BA9536" w14:textId="0F6454AC" w:rsidR="257D620D" w:rsidRDefault="257D620D" w:rsidP="00942108">
      <w:pPr>
        <w:pStyle w:val="Heading3"/>
        <w:ind w:left="426" w:hanging="426"/>
      </w:pPr>
      <w:r>
        <w:t xml:space="preserve">Our response </w:t>
      </w:r>
    </w:p>
    <w:p w14:paraId="7E803E63" w14:textId="69AC993D" w:rsidR="00771942" w:rsidRDefault="00D045CB" w:rsidP="00942108">
      <w:pPr>
        <w:pStyle w:val="ParagraphNumbered"/>
        <w:ind w:left="426" w:hanging="426"/>
      </w:pPr>
      <w:r>
        <w:t>We have carefully considered the responses received and</w:t>
      </w:r>
      <w:r w:rsidR="00995DC5">
        <w:t xml:space="preserve"> </w:t>
      </w:r>
      <w:r w:rsidR="007B4D41">
        <w:t xml:space="preserve">confirm that a divergent fee will apply to </w:t>
      </w:r>
      <w:r w:rsidR="00995DC5" w:rsidRPr="00995DC5">
        <w:t xml:space="preserve">evaluations </w:t>
      </w:r>
      <w:r w:rsidR="00953451">
        <w:t>where standard processes have been amended</w:t>
      </w:r>
      <w:r w:rsidR="00A450A0">
        <w:t>.</w:t>
      </w:r>
    </w:p>
    <w:p w14:paraId="183AB122" w14:textId="75350041" w:rsidR="008E4762" w:rsidRDefault="00A14B85" w:rsidP="00942108">
      <w:pPr>
        <w:pStyle w:val="ParagraphNumbered"/>
        <w:ind w:left="426" w:hanging="426"/>
      </w:pPr>
      <w:r>
        <w:t xml:space="preserve">It is </w:t>
      </w:r>
      <w:r w:rsidR="00650E97">
        <w:t xml:space="preserve">appropriate to apply divergent fees </w:t>
      </w:r>
      <w:r w:rsidR="008E4762">
        <w:t xml:space="preserve">to accurately reflect the </w:t>
      </w:r>
      <w:bookmarkStart w:id="3" w:name="_Hlk159247625"/>
      <w:r w:rsidR="00650E97" w:rsidRPr="004C36C8">
        <w:t>resource and unit capacity</w:t>
      </w:r>
      <w:r w:rsidR="00650E97">
        <w:t xml:space="preserve"> </w:t>
      </w:r>
      <w:bookmarkEnd w:id="3"/>
      <w:r w:rsidR="00650E97" w:rsidRPr="004C36C8">
        <w:t>utilised</w:t>
      </w:r>
      <w:r w:rsidR="00650E97">
        <w:t xml:space="preserve"> by an evaluation.</w:t>
      </w:r>
      <w:r w:rsidR="00FB549E">
        <w:t xml:space="preserve"> These fees have been previously referred to as ‘exceptional charges’ within the charging procedures.</w:t>
      </w:r>
    </w:p>
    <w:p w14:paraId="58B2E22E" w14:textId="27AF558F" w:rsidR="001A519A" w:rsidRDefault="00354B80" w:rsidP="00623E46">
      <w:pPr>
        <w:pStyle w:val="ParagraphNumbered"/>
        <w:ind w:left="426" w:hanging="426"/>
      </w:pPr>
      <w:r>
        <w:t xml:space="preserve">Cost recovery </w:t>
      </w:r>
      <w:r w:rsidR="00F873C4">
        <w:t>will be</w:t>
      </w:r>
      <w:r w:rsidR="004A6A22">
        <w:t xml:space="preserve"> based on the </w:t>
      </w:r>
      <w:r w:rsidR="006B5DF3">
        <w:t>standard</w:t>
      </w:r>
      <w:r w:rsidR="006B7D2D">
        <w:t xml:space="preserve"> f</w:t>
      </w:r>
      <w:r w:rsidR="00970423">
        <w:t xml:space="preserve">ees </w:t>
      </w:r>
      <w:r w:rsidR="006B5DF3">
        <w:t>and</w:t>
      </w:r>
      <w:r w:rsidR="7BCB2169">
        <w:t xml:space="preserve"> </w:t>
      </w:r>
      <w:r w:rsidR="10FC570C">
        <w:t>the key milestone weightings.</w:t>
      </w:r>
      <w:r w:rsidR="33306F31">
        <w:t xml:space="preserve"> </w:t>
      </w:r>
      <w:r w:rsidR="58153B1D">
        <w:t xml:space="preserve">NICE will </w:t>
      </w:r>
      <w:r w:rsidR="20D19CF8">
        <w:t>explore</w:t>
      </w:r>
      <w:r w:rsidR="00970423">
        <w:t xml:space="preserve"> a </w:t>
      </w:r>
      <w:r w:rsidR="00432419">
        <w:t>fee</w:t>
      </w:r>
      <w:r w:rsidR="20D19CF8">
        <w:t xml:space="preserve"> based on</w:t>
      </w:r>
      <w:r w:rsidR="044439D9">
        <w:t xml:space="preserve"> the </w:t>
      </w:r>
      <w:r w:rsidR="6AAE008E">
        <w:t xml:space="preserve">evaluation </w:t>
      </w:r>
      <w:r w:rsidR="00DD2091">
        <w:t xml:space="preserve">direct </w:t>
      </w:r>
      <w:r w:rsidR="16605E97">
        <w:lastRenderedPageBreak/>
        <w:t>resource effort</w:t>
      </w:r>
      <w:r w:rsidR="53193D2A">
        <w:t xml:space="preserve">, </w:t>
      </w:r>
      <w:r w:rsidR="6AAE008E">
        <w:t xml:space="preserve">relevant </w:t>
      </w:r>
      <w:r w:rsidR="53193D2A">
        <w:t>indirect</w:t>
      </w:r>
      <w:r w:rsidR="7290DBAA">
        <w:t xml:space="preserve"> </w:t>
      </w:r>
      <w:r w:rsidR="14FEA122">
        <w:t>costs and overheads</w:t>
      </w:r>
      <w:r w:rsidR="6AAE008E">
        <w:t xml:space="preserve"> </w:t>
      </w:r>
      <w:r w:rsidR="18BD11AD">
        <w:t>using</w:t>
      </w:r>
      <w:r w:rsidR="00973697">
        <w:t xml:space="preserve"> a </w:t>
      </w:r>
      <w:r w:rsidR="18BD11AD">
        <w:t xml:space="preserve">methodology consistent with </w:t>
      </w:r>
      <w:hyperlink r:id="rId23">
        <w:r w:rsidR="00B54479">
          <w:rPr>
            <w:color w:val="005EA5"/>
            <w:u w:val="single"/>
          </w:rPr>
          <w:t>HM Treasury’s guidance, Managing Public Money (MPM)</w:t>
        </w:r>
      </w:hyperlink>
      <w:r w:rsidR="00B54479">
        <w:t>.</w:t>
      </w:r>
      <w:r w:rsidR="587DD286">
        <w:t xml:space="preserve"> </w:t>
      </w:r>
      <w:r w:rsidR="5926B81C">
        <w:t xml:space="preserve">In exceptional cases, it may be necessary to deviate from </w:t>
      </w:r>
      <w:r w:rsidR="00795408">
        <w:t>the standard fees</w:t>
      </w:r>
      <w:r w:rsidR="5926B81C">
        <w:t xml:space="preserve"> to reflect the unit capacity utilised</w:t>
      </w:r>
      <w:r w:rsidR="00265552">
        <w:t>.</w:t>
      </w:r>
      <w:r w:rsidR="00766890">
        <w:t xml:space="preserve"> It is not expected that any fees will exceed the maximum</w:t>
      </w:r>
      <w:r w:rsidR="00D52E1D">
        <w:t xml:space="preserve"> </w:t>
      </w:r>
      <w:r w:rsidR="00082395">
        <w:t>fee in the fee table.</w:t>
      </w:r>
      <w:r w:rsidR="00D52E1D">
        <w:t xml:space="preserve">  </w:t>
      </w:r>
    </w:p>
    <w:p w14:paraId="5455D13C" w14:textId="16A2B748" w:rsidR="00D066BB" w:rsidRDefault="00021E91" w:rsidP="00F36045">
      <w:pPr>
        <w:pStyle w:val="ParagraphNumbered"/>
        <w:ind w:left="426" w:hanging="426"/>
      </w:pPr>
      <w:r>
        <w:t xml:space="preserve">Piloting and testing </w:t>
      </w:r>
      <w:r w:rsidR="00432419">
        <w:t>innovative approaches</w:t>
      </w:r>
      <w:r>
        <w:t xml:space="preserve"> </w:t>
      </w:r>
      <w:r w:rsidR="00E042B3">
        <w:t>will</w:t>
      </w:r>
      <w:r>
        <w:t xml:space="preserve"> not </w:t>
      </w:r>
      <w:r w:rsidR="00E042B3">
        <w:t>always</w:t>
      </w:r>
      <w:r>
        <w:t xml:space="preserve"> cost less</w:t>
      </w:r>
      <w:r w:rsidR="00FB718E">
        <w:t xml:space="preserve">; there is no defined </w:t>
      </w:r>
      <w:r w:rsidR="00217F68">
        <w:t>process,</w:t>
      </w:r>
      <w:r w:rsidR="00FB718E">
        <w:t xml:space="preserve"> and </w:t>
      </w:r>
      <w:r w:rsidR="0090334C">
        <w:t xml:space="preserve">additional </w:t>
      </w:r>
      <w:r w:rsidR="00FE615E">
        <w:t>or</w:t>
      </w:r>
      <w:r w:rsidR="003D2018">
        <w:t xml:space="preserve"> </w:t>
      </w:r>
      <w:r w:rsidR="00153224">
        <w:t xml:space="preserve">fewer </w:t>
      </w:r>
      <w:r w:rsidR="0090334C">
        <w:t xml:space="preserve">NICE </w:t>
      </w:r>
      <w:r w:rsidR="008769E6">
        <w:t xml:space="preserve">resources </w:t>
      </w:r>
      <w:r w:rsidR="00E042B3">
        <w:t xml:space="preserve">may be </w:t>
      </w:r>
      <w:r w:rsidR="008769E6">
        <w:t>used</w:t>
      </w:r>
      <w:r w:rsidR="00FB718E">
        <w:t>.</w:t>
      </w:r>
      <w:r w:rsidR="00217F68">
        <w:t xml:space="preserve">  </w:t>
      </w:r>
      <w:r w:rsidR="00BC3E3D">
        <w:t>NICE track</w:t>
      </w:r>
      <w:r w:rsidR="00BE29E1">
        <w:t>s</w:t>
      </w:r>
      <w:r w:rsidR="00BC3E3D">
        <w:t xml:space="preserve"> </w:t>
      </w:r>
      <w:r w:rsidR="00392508">
        <w:t xml:space="preserve">internal timesheet data </w:t>
      </w:r>
      <w:r w:rsidR="0008097F">
        <w:t>of the</w:t>
      </w:r>
      <w:r w:rsidR="00E97B1D">
        <w:t xml:space="preserve"> TA-HST programme</w:t>
      </w:r>
      <w:r w:rsidR="0008097F">
        <w:t xml:space="preserve">, </w:t>
      </w:r>
      <w:r w:rsidR="00335EBA">
        <w:t xml:space="preserve">and </w:t>
      </w:r>
      <w:r w:rsidR="0008097F">
        <w:t>the</w:t>
      </w:r>
      <w:r w:rsidR="00E97B1D">
        <w:t xml:space="preserve"> insights derived will help inform future cost recovery </w:t>
      </w:r>
      <w:r w:rsidR="00910249">
        <w:t xml:space="preserve">models. </w:t>
      </w:r>
      <w:r w:rsidR="65F8E649">
        <w:t xml:space="preserve"> </w:t>
      </w:r>
    </w:p>
    <w:p w14:paraId="49FFFF8E" w14:textId="38E7D38F" w:rsidR="003611F5" w:rsidRDefault="000E5587" w:rsidP="00F36045">
      <w:pPr>
        <w:pStyle w:val="ParagraphNumbered"/>
        <w:ind w:left="426" w:hanging="426"/>
      </w:pPr>
      <w:r>
        <w:t xml:space="preserve">Previously, </w:t>
      </w:r>
      <w:r w:rsidR="003611F5">
        <w:t>NICE has applied similar methods of cost recovery</w:t>
      </w:r>
      <w:r>
        <w:t xml:space="preserve"> to pilot evaluations.</w:t>
      </w:r>
      <w:r w:rsidR="002A241F">
        <w:t xml:space="preserve">  Once of the </w:t>
      </w:r>
      <w:hyperlink r:id="rId24">
        <w:r w:rsidR="7F8FE2BD" w:rsidRPr="76E2C99A">
          <w:rPr>
            <w:rStyle w:val="Hyperlink"/>
          </w:rPr>
          <w:t>NICE Principle</w:t>
        </w:r>
        <w:r w:rsidR="18784D28" w:rsidRPr="76E2C99A">
          <w:rPr>
            <w:rStyle w:val="Hyperlink"/>
          </w:rPr>
          <w:t>s</w:t>
        </w:r>
      </w:hyperlink>
      <w:r w:rsidR="008916C4">
        <w:t xml:space="preserve"> is to “</w:t>
      </w:r>
      <w:r w:rsidR="002A241F" w:rsidRPr="002A241F">
        <w:t>Describe our approach in process and methods manuals, and review them regularly</w:t>
      </w:r>
      <w:r w:rsidR="008916C4">
        <w:t xml:space="preserve">” </w:t>
      </w:r>
      <w:r w:rsidR="00D36A72">
        <w:t>and</w:t>
      </w:r>
      <w:r w:rsidR="003025A4">
        <w:t xml:space="preserve"> </w:t>
      </w:r>
      <w:r w:rsidR="00FA2143">
        <w:t xml:space="preserve">this </w:t>
      </w:r>
      <w:r w:rsidR="00623034">
        <w:t xml:space="preserve">approach </w:t>
      </w:r>
      <w:r w:rsidR="003025A4">
        <w:t xml:space="preserve">will be included in the </w:t>
      </w:r>
      <w:r w:rsidR="00F010DD">
        <w:t xml:space="preserve">updated procedures. </w:t>
      </w:r>
      <w:r w:rsidR="00D36A72">
        <w:t xml:space="preserve">  </w:t>
      </w:r>
    </w:p>
    <w:p w14:paraId="1819CC88" w14:textId="6C521E5E" w:rsidR="003424FA" w:rsidRDefault="003424FA" w:rsidP="004C1D67">
      <w:pPr>
        <w:pStyle w:val="Heading2"/>
      </w:pPr>
      <w:bookmarkStart w:id="4" w:name="_Ref160717374"/>
      <w:r>
        <w:t xml:space="preserve">Proposal 5 – updates to refund </w:t>
      </w:r>
      <w:proofErr w:type="gramStart"/>
      <w:r>
        <w:t>procedures</w:t>
      </w:r>
      <w:bookmarkEnd w:id="4"/>
      <w:proofErr w:type="gramEnd"/>
    </w:p>
    <w:p w14:paraId="3E837E00" w14:textId="195E3364" w:rsidR="006E415D" w:rsidRPr="00545710" w:rsidRDefault="006E415D" w:rsidP="00296C1E">
      <w:pPr>
        <w:pStyle w:val="ParagraphNumbered"/>
        <w:ind w:left="426" w:hanging="426"/>
      </w:pPr>
      <w:r>
        <w:t xml:space="preserve">To give industry clarity </w:t>
      </w:r>
      <w:r w:rsidR="00AA003B">
        <w:t xml:space="preserve">on refunds, </w:t>
      </w:r>
      <w:r w:rsidR="008604A9">
        <w:t>the consultation paper</w:t>
      </w:r>
      <w:r w:rsidR="00AA003B">
        <w:t xml:space="preserve"> explained that there is no eligibility for a refund once a company has submitted to NICE and the submission review has started</w:t>
      </w:r>
      <w:r w:rsidR="001C6618">
        <w:t xml:space="preserve"> by the Evidence</w:t>
      </w:r>
      <w:r w:rsidR="006245DF">
        <w:t xml:space="preserve"> Assessment Group</w:t>
      </w:r>
      <w:r w:rsidR="007A2072">
        <w:t xml:space="preserve">. We advised that </w:t>
      </w:r>
      <w:r w:rsidR="00857E51" w:rsidRPr="00857E51">
        <w:t xml:space="preserve">NICE </w:t>
      </w:r>
      <w:r w:rsidR="008604A9" w:rsidRPr="00857E51">
        <w:t>would</w:t>
      </w:r>
      <w:r w:rsidR="00857E51" w:rsidRPr="00857E51">
        <w:t xml:space="preserve"> </w:t>
      </w:r>
      <w:r w:rsidR="17BB6B10">
        <w:t>issu</w:t>
      </w:r>
      <w:r w:rsidR="0ABC74D7">
        <w:t>e</w:t>
      </w:r>
      <w:r w:rsidR="17BB6B10">
        <w:t xml:space="preserve"> a </w:t>
      </w:r>
      <w:r w:rsidR="00857E51" w:rsidRPr="00857E51">
        <w:t>refund</w:t>
      </w:r>
      <w:r w:rsidR="00857E51">
        <w:t xml:space="preserve"> </w:t>
      </w:r>
      <w:r w:rsidR="008604A9">
        <w:t xml:space="preserve">for </w:t>
      </w:r>
      <w:r w:rsidR="00857E51" w:rsidRPr="00857E51">
        <w:t xml:space="preserve">topics </w:t>
      </w:r>
      <w:r w:rsidR="008604A9">
        <w:t xml:space="preserve">that </w:t>
      </w:r>
      <w:r w:rsidR="00857E51" w:rsidRPr="00857E51">
        <w:t xml:space="preserve">are rescheduled </w:t>
      </w:r>
      <w:r w:rsidR="003C0AF5">
        <w:t>4 months after the</w:t>
      </w:r>
      <w:r w:rsidR="00857E51">
        <w:t xml:space="preserve"> ITP has been issued</w:t>
      </w:r>
      <w:r w:rsidR="003C0AF5">
        <w:t>,</w:t>
      </w:r>
      <w:r w:rsidR="00857E51">
        <w:t xml:space="preserve"> and when an STA follows the streamlined committee decision process</w:t>
      </w:r>
      <w:r w:rsidR="00DC2D57">
        <w:t>,</w:t>
      </w:r>
      <w:r w:rsidR="00A33CA2">
        <w:t xml:space="preserve"> a</w:t>
      </w:r>
      <w:r w:rsidR="000E6433">
        <w:t xml:space="preserve"> r</w:t>
      </w:r>
      <w:r w:rsidR="00A33CA2">
        <w:t>efund</w:t>
      </w:r>
      <w:r w:rsidR="004E3E22">
        <w:t xml:space="preserve"> matching the cos</w:t>
      </w:r>
      <w:r w:rsidR="00D609D2">
        <w:t>t</w:t>
      </w:r>
      <w:r w:rsidR="004E3E22">
        <w:t xml:space="preserve"> comparison fee wou</w:t>
      </w:r>
      <w:r w:rsidR="00B20027">
        <w:t xml:space="preserve">ld </w:t>
      </w:r>
      <w:r w:rsidR="00A93C3B">
        <w:t>apply</w:t>
      </w:r>
      <w:r w:rsidR="00857E51">
        <w:t xml:space="preserve">. We proposed </w:t>
      </w:r>
      <w:r w:rsidR="00F837B5">
        <w:t xml:space="preserve">to </w:t>
      </w:r>
      <w:r w:rsidR="000C35AF">
        <w:t>retain the</w:t>
      </w:r>
      <w:r w:rsidR="008508E6">
        <w:t xml:space="preserve"> administration charge </w:t>
      </w:r>
      <w:r w:rsidR="000C35AF">
        <w:t>for all refunds</w:t>
      </w:r>
      <w:r w:rsidR="00153DFC">
        <w:t>.</w:t>
      </w:r>
    </w:p>
    <w:p w14:paraId="21A29678" w14:textId="21ED5AFD" w:rsidR="004C1D67" w:rsidRDefault="004C1D67" w:rsidP="004C1D67">
      <w:pPr>
        <w:pStyle w:val="Heading3"/>
      </w:pPr>
      <w:r>
        <w:t xml:space="preserve">Summary of comments </w:t>
      </w:r>
    </w:p>
    <w:p w14:paraId="1DC94CEB" w14:textId="3126632F" w:rsidR="00D07678" w:rsidRDefault="0011442F" w:rsidP="00296C1E">
      <w:pPr>
        <w:pStyle w:val="ParagraphNumbered"/>
        <w:ind w:left="426" w:hanging="426"/>
      </w:pPr>
      <w:r>
        <w:t>F</w:t>
      </w:r>
      <w:r w:rsidR="00923E65">
        <w:t>eedback from</w:t>
      </w:r>
      <w:r w:rsidDel="00501061">
        <w:t xml:space="preserve"> </w:t>
      </w:r>
      <w:r w:rsidR="00501061">
        <w:t xml:space="preserve">industry </w:t>
      </w:r>
      <w:r w:rsidR="00AF7129">
        <w:t>signall</w:t>
      </w:r>
      <w:r>
        <w:t xml:space="preserve">ed </w:t>
      </w:r>
      <w:r w:rsidR="00AF7129">
        <w:t xml:space="preserve">a request for more </w:t>
      </w:r>
      <w:r w:rsidR="169DC56B">
        <w:t>transparency</w:t>
      </w:r>
      <w:r w:rsidR="00AF7129">
        <w:t xml:space="preserve"> on</w:t>
      </w:r>
      <w:r>
        <w:t xml:space="preserve"> </w:t>
      </w:r>
      <w:r w:rsidR="00845DC5">
        <w:t>refund calculation</w:t>
      </w:r>
      <w:r w:rsidR="000E1E97">
        <w:t>s</w:t>
      </w:r>
      <w:r w:rsidR="0073537B">
        <w:t xml:space="preserve">, specifically the </w:t>
      </w:r>
      <w:r w:rsidR="00003A0B">
        <w:t xml:space="preserve">refund amount applicable at each milestone and </w:t>
      </w:r>
      <w:r w:rsidR="00E2065D">
        <w:t xml:space="preserve">explanation as to </w:t>
      </w:r>
      <w:r w:rsidR="3BE21243">
        <w:t xml:space="preserve">why </w:t>
      </w:r>
      <w:r w:rsidR="00E2065D">
        <w:t>a</w:t>
      </w:r>
      <w:r w:rsidR="0090239F">
        <w:t xml:space="preserve"> refund </w:t>
      </w:r>
      <w:r w:rsidR="009162CE">
        <w:t xml:space="preserve">is </w:t>
      </w:r>
      <w:r w:rsidR="00E2065D">
        <w:t xml:space="preserve">not applicable </w:t>
      </w:r>
      <w:r w:rsidR="009162CE">
        <w:t xml:space="preserve">after the </w:t>
      </w:r>
      <w:r w:rsidR="009218F8">
        <w:t>Evid</w:t>
      </w:r>
      <w:r w:rsidR="00DF5817">
        <w:t xml:space="preserve">ence </w:t>
      </w:r>
      <w:r w:rsidR="00585C4D">
        <w:t xml:space="preserve">Assessment Report </w:t>
      </w:r>
      <w:r w:rsidR="00A25B08">
        <w:t xml:space="preserve">(EAR) </w:t>
      </w:r>
      <w:r w:rsidR="00585C4D">
        <w:t xml:space="preserve">has been </w:t>
      </w:r>
      <w:r w:rsidR="00361525">
        <w:t xml:space="preserve">received. </w:t>
      </w:r>
    </w:p>
    <w:p w14:paraId="13B8C279" w14:textId="6D5573D1" w:rsidR="00D82017" w:rsidRDefault="003165C1" w:rsidP="009B49AC">
      <w:pPr>
        <w:pStyle w:val="ParagraphNumbered"/>
        <w:ind w:left="426" w:hanging="426"/>
      </w:pPr>
      <w:r>
        <w:lastRenderedPageBreak/>
        <w:t>We hear</w:t>
      </w:r>
      <w:r w:rsidR="00181295">
        <w:t>d</w:t>
      </w:r>
      <w:r>
        <w:t xml:space="preserve"> that the administrative </w:t>
      </w:r>
      <w:r w:rsidR="00D63081">
        <w:t xml:space="preserve">charge </w:t>
      </w:r>
      <w:r w:rsidR="00181295">
        <w:t xml:space="preserve">is </w:t>
      </w:r>
      <w:r w:rsidR="00964764">
        <w:t xml:space="preserve">unjustified and </w:t>
      </w:r>
      <w:r w:rsidR="00B94B4F">
        <w:t>inconsequential when considering the</w:t>
      </w:r>
      <w:r w:rsidR="000B26D8">
        <w:t xml:space="preserve"> </w:t>
      </w:r>
      <w:r w:rsidR="00D57592">
        <w:t xml:space="preserve">overall </w:t>
      </w:r>
      <w:r w:rsidR="000B26D8">
        <w:t xml:space="preserve">uplift in fees. </w:t>
      </w:r>
    </w:p>
    <w:p w14:paraId="1ACAC539" w14:textId="74409622" w:rsidR="00553F18" w:rsidRDefault="00FE27AC" w:rsidP="009B49AC">
      <w:pPr>
        <w:pStyle w:val="ParagraphNumbered"/>
        <w:ind w:left="426" w:hanging="426"/>
      </w:pPr>
      <w:r>
        <w:t xml:space="preserve">Industry </w:t>
      </w:r>
      <w:r w:rsidR="007D1236">
        <w:t xml:space="preserve">would like </w:t>
      </w:r>
      <w:r w:rsidR="00021C55">
        <w:t>NICE to</w:t>
      </w:r>
      <w:r w:rsidR="007D1236">
        <w:t xml:space="preserve"> </w:t>
      </w:r>
      <w:r w:rsidR="00843771">
        <w:t xml:space="preserve">reconsider the </w:t>
      </w:r>
      <w:r w:rsidR="003C30CF">
        <w:t xml:space="preserve">evaluation payment schedule, </w:t>
      </w:r>
      <w:r w:rsidR="00D461C0">
        <w:t xml:space="preserve">signalling </w:t>
      </w:r>
      <w:r w:rsidR="007D1236">
        <w:t xml:space="preserve">a preference for a phased payment model over </w:t>
      </w:r>
      <w:r w:rsidR="00553F18">
        <w:t xml:space="preserve">a refund process. </w:t>
      </w:r>
      <w:r w:rsidR="00D461C0">
        <w:t>W</w:t>
      </w:r>
      <w:r w:rsidR="00653AAC">
        <w:t xml:space="preserve">e heard that </w:t>
      </w:r>
      <w:r w:rsidR="00624606">
        <w:t>the refund procedure creates</w:t>
      </w:r>
      <w:r w:rsidR="001B5FF5" w:rsidRPr="001B5FF5">
        <w:t xml:space="preserve"> uncertainty for budget</w:t>
      </w:r>
      <w:r w:rsidR="00624606">
        <w:t xml:space="preserve"> setting and financial planning</w:t>
      </w:r>
      <w:r w:rsidR="00965F40">
        <w:t xml:space="preserve">, and that </w:t>
      </w:r>
      <w:r w:rsidR="00114D9F">
        <w:t>companies should not be owed money by statutory organisations.</w:t>
      </w:r>
      <w:r w:rsidR="001B52F6">
        <w:t xml:space="preserve">  </w:t>
      </w:r>
    </w:p>
    <w:p w14:paraId="681BCFF3" w14:textId="287E00AF" w:rsidR="000A516A" w:rsidRPr="000A516A" w:rsidRDefault="00877D35" w:rsidP="00A71B45">
      <w:pPr>
        <w:pStyle w:val="ParagraphNumbered"/>
        <w:ind w:left="426" w:hanging="426"/>
      </w:pPr>
      <w:r>
        <w:t xml:space="preserve">Some also </w:t>
      </w:r>
      <w:r w:rsidR="001177A9">
        <w:t>state</w:t>
      </w:r>
      <w:r w:rsidR="00991F1E">
        <w:t>d</w:t>
      </w:r>
      <w:r w:rsidR="001177A9">
        <w:t xml:space="preserve"> </w:t>
      </w:r>
      <w:r w:rsidR="00991F1E">
        <w:t>it is</w:t>
      </w:r>
      <w:r w:rsidR="001177A9">
        <w:t xml:space="preserve"> unclear </w:t>
      </w:r>
      <w:r w:rsidR="00991F1E">
        <w:t xml:space="preserve">exactly </w:t>
      </w:r>
      <w:r w:rsidR="000A516A">
        <w:t>“</w:t>
      </w:r>
      <w:r w:rsidR="00E035C2">
        <w:t>w</w:t>
      </w:r>
      <w:r w:rsidR="000A516A" w:rsidRPr="000A516A">
        <w:t xml:space="preserve">here an evaluation has required substantially different resources of a standard assessment, alternative refund models may be explored by NICE using a methodology consistent with </w:t>
      </w:r>
      <w:hyperlink r:id="rId25" w:history="1">
        <w:r w:rsidR="00CF5D62" w:rsidRPr="00212F06">
          <w:rPr>
            <w:rStyle w:val="Hyperlink"/>
          </w:rPr>
          <w:t>HM Treasury’s guidance, Managing Public Money (MPM)</w:t>
        </w:r>
      </w:hyperlink>
      <w:r w:rsidR="00475428">
        <w:t>,</w:t>
      </w:r>
      <w:r w:rsidR="000A516A">
        <w:t>”</w:t>
      </w:r>
      <w:r w:rsidR="00475428">
        <w:t xml:space="preserve"> </w:t>
      </w:r>
      <w:r w:rsidR="008E72F0">
        <w:t xml:space="preserve">means. </w:t>
      </w:r>
    </w:p>
    <w:p w14:paraId="75734D49" w14:textId="61E7AEDE" w:rsidR="004C1D67" w:rsidRDefault="004C1D67" w:rsidP="004C1D67">
      <w:pPr>
        <w:pStyle w:val="Heading3"/>
      </w:pPr>
      <w:r>
        <w:t xml:space="preserve">Our response </w:t>
      </w:r>
    </w:p>
    <w:p w14:paraId="7451D079" w14:textId="3FC54D74" w:rsidR="00E53367" w:rsidRDefault="3F865D48" w:rsidP="00125EB1">
      <w:pPr>
        <w:pStyle w:val="ParagraphNumbered"/>
        <w:ind w:left="426" w:hanging="426"/>
      </w:pPr>
      <w:r>
        <w:t xml:space="preserve">We have carefully considered the responses received, and </w:t>
      </w:r>
      <w:r w:rsidR="00F17264">
        <w:rPr>
          <w:highlight w:val="yellow"/>
        </w:rPr>
        <w:fldChar w:fldCharType="begin"/>
      </w:r>
      <w:r w:rsidR="00F17264">
        <w:instrText xml:space="preserve"> REF _Ref160717559 \h </w:instrText>
      </w:r>
      <w:r w:rsidR="00F17264">
        <w:rPr>
          <w:highlight w:val="yellow"/>
        </w:rPr>
      </w:r>
      <w:r w:rsidR="00F17264">
        <w:rPr>
          <w:highlight w:val="yellow"/>
        </w:rPr>
        <w:fldChar w:fldCharType="separate"/>
      </w:r>
      <w:r w:rsidR="00F17264">
        <w:t xml:space="preserve">Appendix </w:t>
      </w:r>
      <w:r w:rsidR="00123AF3">
        <w:t>2</w:t>
      </w:r>
      <w:r w:rsidR="00F17264">
        <w:t xml:space="preserve"> - </w:t>
      </w:r>
      <w:r w:rsidR="00123AF3">
        <w:t>TA-HST cost recovery u</w:t>
      </w:r>
      <w:r w:rsidR="00F17264">
        <w:t>pdated wording for refund procedures</w:t>
      </w:r>
      <w:r w:rsidR="00F17264">
        <w:rPr>
          <w:highlight w:val="yellow"/>
        </w:rPr>
        <w:fldChar w:fldCharType="end"/>
      </w:r>
      <w:r w:rsidR="00E123E0">
        <w:t xml:space="preserve"> </w:t>
      </w:r>
      <w:r>
        <w:t>ha</w:t>
      </w:r>
      <w:r w:rsidR="00E123E0">
        <w:t>s</w:t>
      </w:r>
      <w:r>
        <w:t xml:space="preserve"> been updated</w:t>
      </w:r>
      <w:r w:rsidR="735A3410">
        <w:t xml:space="preserve">. </w:t>
      </w:r>
    </w:p>
    <w:p w14:paraId="13100BFD" w14:textId="4891E7B3" w:rsidR="003139C3" w:rsidRPr="003139C3" w:rsidRDefault="2522AE58" w:rsidP="00125EB1">
      <w:pPr>
        <w:pStyle w:val="ParagraphNumbered"/>
        <w:ind w:left="426" w:hanging="426"/>
      </w:pPr>
      <w:r w:rsidRPr="003139C3">
        <w:t>TA-HST processes have b</w:t>
      </w:r>
      <w:r w:rsidR="007A7EFF">
        <w:t xml:space="preserve">ecome extended </w:t>
      </w:r>
      <w:r w:rsidRPr="003139C3">
        <w:t xml:space="preserve">and complicated over time, in part due to industry request for flexibility. </w:t>
      </w:r>
      <w:r w:rsidR="639075F8" w:rsidRPr="003139C3">
        <w:t>Whilst c</w:t>
      </w:r>
      <w:r w:rsidRPr="003139C3">
        <w:t xml:space="preserve">ost recovery is initiated at the optimum time for NICE and the company, </w:t>
      </w:r>
      <w:r w:rsidR="26B32DCB" w:rsidRPr="003139C3">
        <w:t xml:space="preserve">there may be </w:t>
      </w:r>
      <w:r w:rsidR="24D99B8D" w:rsidRPr="003139C3">
        <w:t>scenarios whe</w:t>
      </w:r>
      <w:r w:rsidR="00A16606">
        <w:t>re</w:t>
      </w:r>
      <w:r w:rsidR="24D99B8D" w:rsidRPr="003139C3">
        <w:t xml:space="preserve"> a refund is necessary</w:t>
      </w:r>
      <w:r w:rsidRPr="003139C3">
        <w:t>.</w:t>
      </w:r>
    </w:p>
    <w:p w14:paraId="1F0B97C9" w14:textId="533B3D12" w:rsidR="0FC1F22B" w:rsidRPr="003139C3" w:rsidRDefault="0FC1F22B" w:rsidP="00125EB1">
      <w:pPr>
        <w:pStyle w:val="ParagraphNumbered"/>
        <w:ind w:left="426" w:hanging="426"/>
        <w:rPr>
          <w:rFonts w:eastAsia="Arial"/>
        </w:rPr>
      </w:pPr>
      <w:r w:rsidRPr="003139C3">
        <w:rPr>
          <w:rFonts w:eastAsia="Arial"/>
        </w:rPr>
        <w:t xml:space="preserve">NICE must recover all costs associated with the evaluation in accordance with existing processes. In line with </w:t>
      </w:r>
      <w:hyperlink r:id="rId26" w:history="1">
        <w:r w:rsidRPr="00195A31">
          <w:rPr>
            <w:rStyle w:val="Hyperlink"/>
            <w:rFonts w:eastAsia="Arial"/>
          </w:rPr>
          <w:t>IFRS 15 Revenue from Contracts with Customers</w:t>
        </w:r>
      </w:hyperlink>
      <w:r w:rsidRPr="003139C3">
        <w:rPr>
          <w:rFonts w:eastAsia="Arial"/>
        </w:rPr>
        <w:t>, income is recognised as and when key milestones are completed. The key milestones are u</w:t>
      </w:r>
      <w:r w:rsidR="480040F8" w:rsidRPr="003139C3">
        <w:rPr>
          <w:rFonts w:eastAsia="Arial"/>
        </w:rPr>
        <w:t>sed as a baseline for refund calculations</w:t>
      </w:r>
      <w:r w:rsidR="00457DBE">
        <w:rPr>
          <w:rFonts w:eastAsia="Arial"/>
        </w:rPr>
        <w:t>, as described in table 4</w:t>
      </w:r>
      <w:r w:rsidR="480040F8" w:rsidRPr="003139C3">
        <w:rPr>
          <w:rFonts w:eastAsia="Arial"/>
        </w:rPr>
        <w:t xml:space="preserve">. The </w:t>
      </w:r>
      <w:r w:rsidR="27D6E5B3" w:rsidRPr="003139C3">
        <w:rPr>
          <w:rFonts w:eastAsia="Arial"/>
        </w:rPr>
        <w:t xml:space="preserve">exact refund </w:t>
      </w:r>
      <w:r w:rsidR="26D5B1CD" w:rsidRPr="003139C3">
        <w:rPr>
          <w:rFonts w:eastAsia="Arial"/>
        </w:rPr>
        <w:t xml:space="preserve">owed </w:t>
      </w:r>
      <w:r w:rsidR="27D6E5B3" w:rsidRPr="003139C3">
        <w:rPr>
          <w:rFonts w:eastAsia="Arial"/>
        </w:rPr>
        <w:t xml:space="preserve">may </w:t>
      </w:r>
      <w:r w:rsidR="53192B59" w:rsidRPr="003139C3">
        <w:rPr>
          <w:rFonts w:eastAsia="Arial"/>
        </w:rPr>
        <w:t xml:space="preserve">differ </w:t>
      </w:r>
      <w:r w:rsidR="2D3C4831" w:rsidRPr="003139C3">
        <w:rPr>
          <w:rFonts w:eastAsia="Arial"/>
        </w:rPr>
        <w:t xml:space="preserve">if additional resources and overheads are utilised. </w:t>
      </w:r>
    </w:p>
    <w:p w14:paraId="19AB533D" w14:textId="77777777" w:rsidR="00F6393D" w:rsidRDefault="00F6393D">
      <w:pPr>
        <w:rPr>
          <w:rFonts w:ascii="Arial" w:eastAsia="Arial" w:hAnsi="Arial"/>
          <w:lang w:eastAsia="en-US"/>
        </w:rPr>
      </w:pPr>
      <w:r>
        <w:rPr>
          <w:rFonts w:eastAsia="Arial"/>
        </w:rPr>
        <w:br w:type="page"/>
      </w:r>
    </w:p>
    <w:p w14:paraId="5847B510" w14:textId="162F1669" w:rsidR="27D6E5B3" w:rsidRPr="0096076C" w:rsidRDefault="27D6E5B3" w:rsidP="003139C3">
      <w:pPr>
        <w:pStyle w:val="Tableheading"/>
        <w:rPr>
          <w:rFonts w:eastAsia="Arial"/>
        </w:rPr>
      </w:pPr>
      <w:r w:rsidRPr="0096076C">
        <w:rPr>
          <w:rFonts w:eastAsia="Arial"/>
        </w:rPr>
        <w:lastRenderedPageBreak/>
        <w:t xml:space="preserve">Table </w:t>
      </w:r>
      <w:r w:rsidR="00C62BFF" w:rsidRPr="0096076C">
        <w:rPr>
          <w:rFonts w:eastAsia="Arial"/>
        </w:rPr>
        <w:t>4</w:t>
      </w:r>
      <w:r w:rsidR="3EEAA555" w:rsidRPr="0096076C">
        <w:rPr>
          <w:rFonts w:eastAsia="Arial"/>
        </w:rPr>
        <w:t xml:space="preserve"> – </w:t>
      </w:r>
      <w:r w:rsidR="00B3183E" w:rsidRPr="0096076C">
        <w:rPr>
          <w:rFonts w:eastAsia="Arial"/>
        </w:rPr>
        <w:t xml:space="preserve">TA-HST cost recovery </w:t>
      </w:r>
      <w:r w:rsidR="008D75CD">
        <w:rPr>
          <w:rFonts w:eastAsia="Arial"/>
        </w:rPr>
        <w:t xml:space="preserve">percentage </w:t>
      </w:r>
      <w:r w:rsidR="008D75CD" w:rsidRPr="008D75CD">
        <w:rPr>
          <w:rFonts w:eastAsia="Arial"/>
        </w:rPr>
        <w:t xml:space="preserve">effort </w:t>
      </w:r>
      <w:r w:rsidR="004B2C11">
        <w:rPr>
          <w:rFonts w:eastAsia="Arial"/>
        </w:rPr>
        <w:t xml:space="preserve">at </w:t>
      </w:r>
      <w:r w:rsidR="008D75CD" w:rsidRPr="008D75CD">
        <w:rPr>
          <w:rFonts w:eastAsia="Arial"/>
        </w:rPr>
        <w:t xml:space="preserve">key </w:t>
      </w:r>
      <w:proofErr w:type="gramStart"/>
      <w:r w:rsidR="008D75CD" w:rsidRPr="008D75CD">
        <w:rPr>
          <w:rFonts w:eastAsia="Arial"/>
        </w:rPr>
        <w:t>milestone</w:t>
      </w:r>
      <w:r w:rsidR="004B2C11">
        <w:rPr>
          <w:rFonts w:eastAsia="Arial"/>
        </w:rPr>
        <w:t>s</w:t>
      </w:r>
      <w:proofErr w:type="gramEnd"/>
    </w:p>
    <w:tbl>
      <w:tblPr>
        <w:tblStyle w:val="TableGridLight"/>
        <w:tblW w:w="0" w:type="auto"/>
        <w:tblInd w:w="425" w:type="dxa"/>
        <w:tblLook w:val="04A0" w:firstRow="1" w:lastRow="0" w:firstColumn="1" w:lastColumn="0" w:noHBand="0" w:noVBand="1"/>
      </w:tblPr>
      <w:tblGrid>
        <w:gridCol w:w="5099"/>
        <w:gridCol w:w="2772"/>
      </w:tblGrid>
      <w:tr w:rsidR="005E1AF8" w14:paraId="16B93702" w14:textId="77777777" w:rsidTr="009C616B">
        <w:tc>
          <w:tcPr>
            <w:tcW w:w="5099" w:type="dxa"/>
          </w:tcPr>
          <w:p w14:paraId="01A7A374" w14:textId="39C33961" w:rsidR="005E1AF8" w:rsidRDefault="76F32A5A" w:rsidP="005F2CF6">
            <w:pPr>
              <w:pStyle w:val="Tableheading"/>
            </w:pPr>
            <w:r>
              <w:t>Key milestones</w:t>
            </w:r>
          </w:p>
        </w:tc>
        <w:tc>
          <w:tcPr>
            <w:tcW w:w="2772" w:type="dxa"/>
          </w:tcPr>
          <w:p w14:paraId="17363C6F" w14:textId="744491C7" w:rsidR="005E1AF8" w:rsidRDefault="76F32A5A" w:rsidP="005F2CF6">
            <w:pPr>
              <w:pStyle w:val="Tableheading"/>
            </w:pPr>
            <w:r>
              <w:t>Weighting (%)</w:t>
            </w:r>
          </w:p>
        </w:tc>
      </w:tr>
      <w:tr w:rsidR="005D728C" w14:paraId="11AEDBD9" w14:textId="77777777" w:rsidTr="009C616B">
        <w:trPr>
          <w:trHeight w:val="300"/>
        </w:trPr>
        <w:tc>
          <w:tcPr>
            <w:tcW w:w="5099" w:type="dxa"/>
          </w:tcPr>
          <w:p w14:paraId="5C27DCF1" w14:textId="129EA9EC" w:rsidR="005D728C" w:rsidRPr="00F6393D" w:rsidRDefault="001E2D07" w:rsidP="005D728C">
            <w:pPr>
              <w:pStyle w:val="Tablebullet"/>
              <w:numPr>
                <w:ilvl w:val="0"/>
                <w:numId w:val="0"/>
              </w:numPr>
              <w:rPr>
                <w:rFonts w:eastAsia="Arial" w:cs="Arial"/>
                <w:color w:val="0E0E0E"/>
                <w:sz w:val="24"/>
                <w:lang w:eastAsia="en-GB"/>
              </w:rPr>
            </w:pPr>
            <w:r w:rsidRPr="00F6393D">
              <w:rPr>
                <w:rFonts w:eastAsia="Arial" w:cs="Arial"/>
                <w:color w:val="0E0E0E"/>
                <w:sz w:val="24"/>
                <w:lang w:eastAsia="en-GB"/>
              </w:rPr>
              <w:t>ITP</w:t>
            </w:r>
            <w:r w:rsidR="001B5D10" w:rsidRPr="00F6393D">
              <w:rPr>
                <w:rFonts w:eastAsia="Arial" w:cs="Arial"/>
                <w:color w:val="0E0E0E"/>
                <w:sz w:val="24"/>
                <w:lang w:eastAsia="en-GB"/>
              </w:rPr>
              <w:t>*</w:t>
            </w:r>
          </w:p>
        </w:tc>
        <w:tc>
          <w:tcPr>
            <w:tcW w:w="2772" w:type="dxa"/>
          </w:tcPr>
          <w:p w14:paraId="7F8E1E58" w14:textId="76E65642" w:rsidR="005D728C" w:rsidRDefault="005D728C" w:rsidP="00724C61">
            <w:pPr>
              <w:pStyle w:val="Tablebullet"/>
              <w:numPr>
                <w:ilvl w:val="0"/>
                <w:numId w:val="0"/>
              </w:numPr>
              <w:jc w:val="right"/>
            </w:pPr>
            <w:r w:rsidRPr="0070505C">
              <w:t>18%</w:t>
            </w:r>
          </w:p>
        </w:tc>
      </w:tr>
      <w:tr w:rsidR="005D728C" w14:paraId="0D391A67" w14:textId="77777777" w:rsidTr="009C616B">
        <w:trPr>
          <w:trHeight w:val="300"/>
        </w:trPr>
        <w:tc>
          <w:tcPr>
            <w:tcW w:w="5099" w:type="dxa"/>
          </w:tcPr>
          <w:p w14:paraId="004C07E4" w14:textId="6AE50406" w:rsidR="005D728C" w:rsidRPr="00F6393D" w:rsidRDefault="005D728C" w:rsidP="005D728C">
            <w:pPr>
              <w:pStyle w:val="Tablebullet"/>
              <w:numPr>
                <w:ilvl w:val="0"/>
                <w:numId w:val="0"/>
              </w:numPr>
              <w:rPr>
                <w:rFonts w:eastAsia="Arial" w:cs="Arial"/>
                <w:color w:val="0E0E0E"/>
                <w:sz w:val="24"/>
                <w:lang w:eastAsia="en-GB"/>
              </w:rPr>
            </w:pPr>
            <w:r w:rsidRPr="00F6393D" w:rsidDel="00320CB7">
              <w:rPr>
                <w:rFonts w:eastAsia="Arial" w:cs="Arial"/>
                <w:color w:val="0E0E0E"/>
                <w:sz w:val="24"/>
                <w:lang w:eastAsia="en-GB"/>
              </w:rPr>
              <w:t>Evidence Submission</w:t>
            </w:r>
          </w:p>
        </w:tc>
        <w:tc>
          <w:tcPr>
            <w:tcW w:w="2772" w:type="dxa"/>
          </w:tcPr>
          <w:p w14:paraId="44321A7D" w14:textId="3E6E56F8" w:rsidR="005D728C" w:rsidRDefault="005D728C" w:rsidP="00724C61">
            <w:pPr>
              <w:pStyle w:val="Tablebullet"/>
              <w:numPr>
                <w:ilvl w:val="0"/>
                <w:numId w:val="0"/>
              </w:numPr>
              <w:jc w:val="right"/>
            </w:pPr>
            <w:r w:rsidRPr="0070505C">
              <w:t>7%</w:t>
            </w:r>
          </w:p>
        </w:tc>
      </w:tr>
      <w:tr w:rsidR="005D728C" w14:paraId="5DAEA629" w14:textId="77777777" w:rsidTr="009C616B">
        <w:trPr>
          <w:trHeight w:val="300"/>
        </w:trPr>
        <w:tc>
          <w:tcPr>
            <w:tcW w:w="5099" w:type="dxa"/>
          </w:tcPr>
          <w:p w14:paraId="56629F01" w14:textId="12E9BF65" w:rsidR="005D728C" w:rsidRDefault="00664CA9" w:rsidP="005D728C">
            <w:pPr>
              <w:pStyle w:val="Tablebullet"/>
              <w:numPr>
                <w:ilvl w:val="0"/>
                <w:numId w:val="0"/>
              </w:numPr>
            </w:pPr>
            <w:r w:rsidRPr="003848D9">
              <w:rPr>
                <w:rFonts w:eastAsia="Arial" w:cs="Arial"/>
                <w:color w:val="0E0E0E"/>
                <w:sz w:val="24"/>
                <w:lang w:eastAsia="en-GB"/>
              </w:rPr>
              <w:t>E</w:t>
            </w:r>
            <w:r>
              <w:rPr>
                <w:rFonts w:eastAsia="Arial" w:cs="Arial"/>
                <w:color w:val="0E0E0E"/>
                <w:sz w:val="24"/>
                <w:lang w:eastAsia="en-GB"/>
              </w:rPr>
              <w:t>vidence Assessment</w:t>
            </w:r>
            <w:r w:rsidR="001E2D07">
              <w:rPr>
                <w:rFonts w:eastAsia="Arial" w:cs="Arial"/>
                <w:color w:val="0E0E0E"/>
                <w:sz w:val="24"/>
                <w:lang w:eastAsia="en-GB"/>
              </w:rPr>
              <w:t xml:space="preserve"> </w:t>
            </w:r>
            <w:r w:rsidR="001E2D07" w:rsidRPr="003848D9">
              <w:rPr>
                <w:rFonts w:eastAsia="Arial" w:cs="Arial"/>
                <w:color w:val="0E0E0E"/>
                <w:sz w:val="24"/>
                <w:lang w:eastAsia="en-GB"/>
              </w:rPr>
              <w:t xml:space="preserve">Report </w:t>
            </w:r>
            <w:r>
              <w:rPr>
                <w:rFonts w:eastAsia="Arial" w:cs="Arial"/>
                <w:color w:val="0E0E0E"/>
                <w:sz w:val="24"/>
                <w:lang w:eastAsia="en-GB"/>
              </w:rPr>
              <w:t xml:space="preserve">(EAR) </w:t>
            </w:r>
            <w:r w:rsidR="00CF5D62">
              <w:rPr>
                <w:rFonts w:eastAsia="Arial" w:cs="Arial"/>
                <w:color w:val="0E0E0E"/>
                <w:sz w:val="24"/>
                <w:lang w:eastAsia="en-GB"/>
              </w:rPr>
              <w:t>d</w:t>
            </w:r>
            <w:r w:rsidR="001E2D07" w:rsidRPr="003848D9">
              <w:rPr>
                <w:rFonts w:eastAsia="Arial" w:cs="Arial"/>
                <w:color w:val="0E0E0E"/>
                <w:sz w:val="24"/>
                <w:lang w:eastAsia="en-GB"/>
              </w:rPr>
              <w:t>eadline</w:t>
            </w:r>
          </w:p>
        </w:tc>
        <w:tc>
          <w:tcPr>
            <w:tcW w:w="2772" w:type="dxa"/>
          </w:tcPr>
          <w:p w14:paraId="6EBF43E1" w14:textId="6988FEB2" w:rsidR="005D728C" w:rsidRDefault="005D728C" w:rsidP="00724C61">
            <w:pPr>
              <w:pStyle w:val="Tablebullet"/>
              <w:numPr>
                <w:ilvl w:val="0"/>
                <w:numId w:val="0"/>
              </w:numPr>
              <w:jc w:val="right"/>
            </w:pPr>
            <w:r w:rsidRPr="0070505C">
              <w:t>7%</w:t>
            </w:r>
          </w:p>
        </w:tc>
      </w:tr>
      <w:tr w:rsidR="005D728C" w14:paraId="63115459" w14:textId="77777777" w:rsidTr="009C616B">
        <w:trPr>
          <w:trHeight w:val="300"/>
        </w:trPr>
        <w:tc>
          <w:tcPr>
            <w:tcW w:w="5099" w:type="dxa"/>
          </w:tcPr>
          <w:p w14:paraId="1065F87A" w14:textId="6A70849A" w:rsidR="005D728C" w:rsidRDefault="00042292" w:rsidP="005D728C">
            <w:pPr>
              <w:pStyle w:val="Tablebullet"/>
              <w:numPr>
                <w:ilvl w:val="0"/>
                <w:numId w:val="0"/>
              </w:numPr>
            </w:pPr>
            <w:r>
              <w:rPr>
                <w:rFonts w:eastAsia="Arial" w:cs="Arial"/>
                <w:color w:val="0E0E0E"/>
                <w:sz w:val="24"/>
                <w:lang w:eastAsia="en-GB"/>
              </w:rPr>
              <w:t>Committee p</w:t>
            </w:r>
            <w:r w:rsidR="005A5D1C">
              <w:rPr>
                <w:rFonts w:eastAsia="Arial" w:cs="Arial"/>
                <w:color w:val="0E0E0E"/>
                <w:sz w:val="24"/>
                <w:lang w:eastAsia="en-GB"/>
              </w:rPr>
              <w:t xml:space="preserve">reparation </w:t>
            </w:r>
            <w:r w:rsidR="00FF1AD4">
              <w:rPr>
                <w:rFonts w:eastAsia="Arial" w:cs="Arial"/>
                <w:color w:val="0E0E0E"/>
                <w:sz w:val="24"/>
                <w:lang w:eastAsia="en-GB"/>
              </w:rPr>
              <w:t xml:space="preserve">stage </w:t>
            </w:r>
            <w:r w:rsidR="00664CA9" w:rsidRPr="003848D9">
              <w:rPr>
                <w:rFonts w:eastAsia="Arial" w:cs="Arial"/>
                <w:color w:val="0E0E0E"/>
                <w:sz w:val="24"/>
                <w:lang w:eastAsia="en-GB"/>
              </w:rPr>
              <w:t>1</w:t>
            </w:r>
          </w:p>
        </w:tc>
        <w:tc>
          <w:tcPr>
            <w:tcW w:w="2772" w:type="dxa"/>
          </w:tcPr>
          <w:p w14:paraId="6177F4C7" w14:textId="41924B63" w:rsidR="005D728C" w:rsidRDefault="005D728C" w:rsidP="00724C61">
            <w:pPr>
              <w:pStyle w:val="Tablebullet"/>
              <w:numPr>
                <w:ilvl w:val="0"/>
                <w:numId w:val="0"/>
              </w:numPr>
              <w:jc w:val="right"/>
            </w:pPr>
            <w:r w:rsidRPr="0070505C">
              <w:t>12%</w:t>
            </w:r>
          </w:p>
        </w:tc>
      </w:tr>
      <w:tr w:rsidR="005D728C" w14:paraId="2AD334D4" w14:textId="77777777" w:rsidTr="009C616B">
        <w:trPr>
          <w:trHeight w:val="300"/>
        </w:trPr>
        <w:tc>
          <w:tcPr>
            <w:tcW w:w="5099" w:type="dxa"/>
          </w:tcPr>
          <w:p w14:paraId="563ED450" w14:textId="77777777" w:rsidR="005D728C" w:rsidRDefault="00042292" w:rsidP="005D728C">
            <w:pPr>
              <w:pStyle w:val="Tablebullet"/>
              <w:numPr>
                <w:ilvl w:val="0"/>
                <w:numId w:val="0"/>
              </w:numPr>
              <w:rPr>
                <w:rFonts w:eastAsia="Arial" w:cs="Arial"/>
                <w:color w:val="0E0E0E"/>
                <w:sz w:val="24"/>
                <w:lang w:eastAsia="en-GB"/>
              </w:rPr>
            </w:pPr>
            <w:r>
              <w:rPr>
                <w:rFonts w:eastAsia="Arial" w:cs="Arial"/>
                <w:color w:val="0E0E0E"/>
                <w:sz w:val="24"/>
                <w:lang w:eastAsia="en-GB"/>
              </w:rPr>
              <w:t>C</w:t>
            </w:r>
            <w:r w:rsidR="00664CA9">
              <w:rPr>
                <w:rFonts w:eastAsia="Arial" w:cs="Arial"/>
                <w:color w:val="0E0E0E"/>
                <w:sz w:val="24"/>
                <w:lang w:eastAsia="en-GB"/>
              </w:rPr>
              <w:t>ommittee meeting</w:t>
            </w:r>
            <w:r w:rsidR="00664CA9" w:rsidRPr="003848D9">
              <w:rPr>
                <w:rFonts w:eastAsia="Arial" w:cs="Arial"/>
                <w:color w:val="0E0E0E"/>
                <w:sz w:val="24"/>
                <w:lang w:eastAsia="en-GB"/>
              </w:rPr>
              <w:t xml:space="preserve"> </w:t>
            </w:r>
            <w:proofErr w:type="gramStart"/>
            <w:r w:rsidR="00664CA9" w:rsidRPr="003848D9">
              <w:rPr>
                <w:rFonts w:eastAsia="Arial" w:cs="Arial"/>
                <w:color w:val="0E0E0E"/>
                <w:sz w:val="24"/>
                <w:lang w:eastAsia="en-GB"/>
              </w:rPr>
              <w:t>1</w:t>
            </w:r>
            <w:proofErr w:type="gramEnd"/>
          </w:p>
          <w:p w14:paraId="722F3B1B" w14:textId="26C699CB" w:rsidR="00F17968" w:rsidRDefault="00F17968" w:rsidP="005D728C">
            <w:pPr>
              <w:pStyle w:val="Tablebullet"/>
              <w:numPr>
                <w:ilvl w:val="0"/>
                <w:numId w:val="0"/>
              </w:numPr>
            </w:pPr>
            <w:r>
              <w:rPr>
                <w:rFonts w:eastAsia="Arial" w:cs="Arial"/>
                <w:color w:val="0E0E0E"/>
                <w:sz w:val="24"/>
              </w:rPr>
              <w:t>(</w:t>
            </w:r>
            <w:r w:rsidRPr="00F17968">
              <w:rPr>
                <w:rFonts w:eastAsia="Arial" w:cs="Arial"/>
                <w:color w:val="0E0E0E"/>
                <w:sz w:val="24"/>
              </w:rPr>
              <w:t>includes post meeting activities and Draft Evaluation Document)</w:t>
            </w:r>
          </w:p>
        </w:tc>
        <w:tc>
          <w:tcPr>
            <w:tcW w:w="2772" w:type="dxa"/>
          </w:tcPr>
          <w:p w14:paraId="53B1EA29" w14:textId="4A8D8FE6" w:rsidR="005D728C" w:rsidRDefault="005D728C" w:rsidP="00724C61">
            <w:pPr>
              <w:pStyle w:val="Tablebullet"/>
              <w:numPr>
                <w:ilvl w:val="0"/>
                <w:numId w:val="0"/>
              </w:numPr>
              <w:jc w:val="right"/>
            </w:pPr>
            <w:r w:rsidRPr="0070505C">
              <w:t>21%</w:t>
            </w:r>
          </w:p>
        </w:tc>
      </w:tr>
      <w:tr w:rsidR="005D728C" w14:paraId="656228D9" w14:textId="77777777" w:rsidTr="009C616B">
        <w:trPr>
          <w:trHeight w:val="300"/>
        </w:trPr>
        <w:tc>
          <w:tcPr>
            <w:tcW w:w="5099" w:type="dxa"/>
          </w:tcPr>
          <w:p w14:paraId="4C0812F5" w14:textId="522C6DAD" w:rsidR="005D728C" w:rsidRDefault="00042292" w:rsidP="005D728C">
            <w:pPr>
              <w:pStyle w:val="Tablebullet"/>
              <w:numPr>
                <w:ilvl w:val="0"/>
                <w:numId w:val="0"/>
              </w:numPr>
              <w:rPr>
                <w:lang w:val="en-US"/>
              </w:rPr>
            </w:pPr>
            <w:r>
              <w:rPr>
                <w:rFonts w:eastAsia="Arial" w:cs="Arial"/>
                <w:color w:val="0E0E0E"/>
                <w:sz w:val="24"/>
                <w:lang w:eastAsia="en-GB"/>
              </w:rPr>
              <w:t>Committee preparation</w:t>
            </w:r>
            <w:r w:rsidR="00AC1C8C">
              <w:rPr>
                <w:rFonts w:eastAsia="Arial" w:cs="Arial"/>
                <w:color w:val="0E0E0E"/>
                <w:sz w:val="24"/>
                <w:lang w:eastAsia="en-GB"/>
              </w:rPr>
              <w:t xml:space="preserve"> stage </w:t>
            </w:r>
            <w:r w:rsidR="00664CA9" w:rsidRPr="003848D9">
              <w:rPr>
                <w:rFonts w:eastAsia="Arial" w:cs="Arial"/>
                <w:color w:val="0E0E0E"/>
                <w:sz w:val="24"/>
                <w:lang w:eastAsia="en-GB"/>
              </w:rPr>
              <w:t>2</w:t>
            </w:r>
          </w:p>
        </w:tc>
        <w:tc>
          <w:tcPr>
            <w:tcW w:w="2772" w:type="dxa"/>
          </w:tcPr>
          <w:p w14:paraId="26C7BD8D" w14:textId="6C885B07" w:rsidR="005D728C" w:rsidRDefault="005D728C" w:rsidP="00724C61">
            <w:pPr>
              <w:pStyle w:val="Tablebullet"/>
              <w:numPr>
                <w:ilvl w:val="0"/>
                <w:numId w:val="0"/>
              </w:numPr>
              <w:jc w:val="right"/>
              <w:rPr>
                <w:lang w:val="en-US"/>
              </w:rPr>
            </w:pPr>
            <w:r w:rsidRPr="0070505C">
              <w:t>8%</w:t>
            </w:r>
          </w:p>
        </w:tc>
      </w:tr>
      <w:tr w:rsidR="005D728C" w14:paraId="1B19D9CC" w14:textId="77777777" w:rsidTr="00CC2670">
        <w:trPr>
          <w:trHeight w:val="300"/>
        </w:trPr>
        <w:tc>
          <w:tcPr>
            <w:tcW w:w="5099" w:type="dxa"/>
          </w:tcPr>
          <w:p w14:paraId="0765EC33" w14:textId="77777777" w:rsidR="005D728C" w:rsidRDefault="00042292" w:rsidP="005D728C">
            <w:pPr>
              <w:pStyle w:val="Tablebullet"/>
              <w:numPr>
                <w:ilvl w:val="0"/>
                <w:numId w:val="0"/>
              </w:numPr>
              <w:rPr>
                <w:rFonts w:eastAsia="Arial" w:cs="Arial"/>
                <w:color w:val="0E0E0E"/>
                <w:sz w:val="24"/>
                <w:lang w:eastAsia="en-GB"/>
              </w:rPr>
            </w:pPr>
            <w:r>
              <w:rPr>
                <w:rFonts w:eastAsia="Arial" w:cs="Arial"/>
                <w:color w:val="0E0E0E"/>
                <w:sz w:val="24"/>
                <w:lang w:eastAsia="en-GB"/>
              </w:rPr>
              <w:t>C</w:t>
            </w:r>
            <w:r w:rsidR="00664CA9">
              <w:rPr>
                <w:rFonts w:eastAsia="Arial" w:cs="Arial"/>
                <w:color w:val="0E0E0E"/>
                <w:sz w:val="24"/>
                <w:lang w:eastAsia="en-GB"/>
              </w:rPr>
              <w:t>ommittee meeting</w:t>
            </w:r>
            <w:r w:rsidR="00664CA9" w:rsidRPr="003848D9">
              <w:rPr>
                <w:rFonts w:eastAsia="Arial" w:cs="Arial"/>
                <w:color w:val="0E0E0E"/>
                <w:sz w:val="24"/>
                <w:lang w:eastAsia="en-GB"/>
              </w:rPr>
              <w:t xml:space="preserve"> </w:t>
            </w:r>
            <w:proofErr w:type="gramStart"/>
            <w:r w:rsidR="00664CA9" w:rsidRPr="003848D9">
              <w:rPr>
                <w:rFonts w:eastAsia="Arial" w:cs="Arial"/>
                <w:color w:val="0E0E0E"/>
                <w:sz w:val="24"/>
                <w:lang w:eastAsia="en-GB"/>
              </w:rPr>
              <w:t>2</w:t>
            </w:r>
            <w:proofErr w:type="gramEnd"/>
          </w:p>
          <w:p w14:paraId="6522BBA4" w14:textId="6FD07E58" w:rsidR="00717C21" w:rsidDel="00320CB7" w:rsidRDefault="00717C21" w:rsidP="005D728C">
            <w:pPr>
              <w:pStyle w:val="Tablebullet"/>
              <w:numPr>
                <w:ilvl w:val="0"/>
                <w:numId w:val="0"/>
              </w:numPr>
            </w:pPr>
            <w:r w:rsidRPr="00717C21">
              <w:t>(includes post meeting activities and Final Evaluation Document)</w:t>
            </w:r>
          </w:p>
        </w:tc>
        <w:tc>
          <w:tcPr>
            <w:tcW w:w="2772" w:type="dxa"/>
          </w:tcPr>
          <w:p w14:paraId="00857659" w14:textId="670C0FDC" w:rsidR="005D728C" w:rsidDel="00320CB7" w:rsidRDefault="005D728C" w:rsidP="00724C61">
            <w:pPr>
              <w:pStyle w:val="Tablebullet"/>
              <w:numPr>
                <w:ilvl w:val="0"/>
                <w:numId w:val="0"/>
              </w:numPr>
              <w:jc w:val="right"/>
            </w:pPr>
            <w:r w:rsidRPr="0070505C">
              <w:t>17%</w:t>
            </w:r>
          </w:p>
        </w:tc>
      </w:tr>
      <w:tr w:rsidR="005D728C" w14:paraId="264FC603" w14:textId="77777777" w:rsidTr="009C616B">
        <w:trPr>
          <w:trHeight w:val="300"/>
        </w:trPr>
        <w:tc>
          <w:tcPr>
            <w:tcW w:w="5099" w:type="dxa"/>
          </w:tcPr>
          <w:p w14:paraId="23D75895" w14:textId="07B8DB55" w:rsidR="005D728C" w:rsidRDefault="00086344" w:rsidP="005D728C">
            <w:pPr>
              <w:pStyle w:val="Tablebullet"/>
              <w:numPr>
                <w:ilvl w:val="0"/>
                <w:numId w:val="0"/>
              </w:numPr>
            </w:pPr>
            <w:r w:rsidRPr="00086344">
              <w:t xml:space="preserve">Guidance </w:t>
            </w:r>
            <w:r w:rsidR="005B653F" w:rsidRPr="0051575D">
              <w:t>Publi</w:t>
            </w:r>
            <w:r w:rsidR="00006576">
              <w:t>cation</w:t>
            </w:r>
          </w:p>
        </w:tc>
        <w:tc>
          <w:tcPr>
            <w:tcW w:w="2772" w:type="dxa"/>
          </w:tcPr>
          <w:p w14:paraId="04F27618" w14:textId="6A945517" w:rsidR="005D728C" w:rsidRDefault="005D728C" w:rsidP="00724C61">
            <w:pPr>
              <w:pStyle w:val="Tablebullet"/>
              <w:numPr>
                <w:ilvl w:val="0"/>
                <w:numId w:val="0"/>
              </w:numPr>
              <w:jc w:val="right"/>
            </w:pPr>
            <w:r w:rsidRPr="0070505C">
              <w:t>10%</w:t>
            </w:r>
          </w:p>
        </w:tc>
      </w:tr>
    </w:tbl>
    <w:p w14:paraId="21C477CB" w14:textId="6A0EFBB3" w:rsidR="00981284" w:rsidRDefault="001B5D10" w:rsidP="005E1AF8">
      <w:pPr>
        <w:pStyle w:val="ParagraphNumbered"/>
        <w:numPr>
          <w:ilvl w:val="0"/>
          <w:numId w:val="0"/>
        </w:numPr>
        <w:ind w:left="425" w:hanging="425"/>
      </w:pPr>
      <w:r>
        <w:t>*</w:t>
      </w:r>
      <w:proofErr w:type="gramStart"/>
      <w:r>
        <w:t>includes</w:t>
      </w:r>
      <w:proofErr w:type="gramEnd"/>
      <w:r>
        <w:t xml:space="preserve"> pre ITP resource such as topic selection, scoping and scheduling</w:t>
      </w:r>
    </w:p>
    <w:p w14:paraId="0E77C9B7" w14:textId="0E272C0F" w:rsidR="00E4254D" w:rsidRDefault="00D35553" w:rsidP="00927C0A">
      <w:pPr>
        <w:pStyle w:val="ParagraphNumbered"/>
        <w:ind w:left="426" w:hanging="426"/>
      </w:pPr>
      <w:r>
        <w:t>R</w:t>
      </w:r>
      <w:r w:rsidR="00F46F9B">
        <w:t>efunds</w:t>
      </w:r>
      <w:r>
        <w:t xml:space="preserve"> are not </w:t>
      </w:r>
      <w:r w:rsidR="00F46F9B">
        <w:t xml:space="preserve">applicable </w:t>
      </w:r>
      <w:r>
        <w:t xml:space="preserve">when an </w:t>
      </w:r>
      <w:r w:rsidR="00F46F9B">
        <w:t xml:space="preserve">evaluation </w:t>
      </w:r>
      <w:r w:rsidR="00A75D6F">
        <w:t>has started or passed</w:t>
      </w:r>
      <w:r>
        <w:t xml:space="preserve"> the </w:t>
      </w:r>
      <w:r w:rsidR="00F35295">
        <w:t xml:space="preserve">committee </w:t>
      </w:r>
      <w:r>
        <w:t xml:space="preserve">preparation stage for the </w:t>
      </w:r>
      <w:r w:rsidR="00165B1A">
        <w:t>first committee meeting</w:t>
      </w:r>
      <w:r>
        <w:t>.</w:t>
      </w:r>
      <w:r w:rsidR="00165B1A">
        <w:t xml:space="preserve"> </w:t>
      </w:r>
      <w:r w:rsidR="00F46F9B">
        <w:t xml:space="preserve"> This </w:t>
      </w:r>
      <w:r w:rsidR="00665E04">
        <w:t xml:space="preserve">reflects the </w:t>
      </w:r>
      <w:r w:rsidR="00512F00">
        <w:t xml:space="preserve">utilisation of </w:t>
      </w:r>
      <w:r w:rsidR="00297AB1">
        <w:t xml:space="preserve">resources </w:t>
      </w:r>
      <w:r w:rsidR="00512F00">
        <w:t xml:space="preserve">such as </w:t>
      </w:r>
      <w:r w:rsidR="00297AB1" w:rsidRPr="00297AB1">
        <w:t>NICE staff, external assessment groups</w:t>
      </w:r>
      <w:r w:rsidR="00512F00">
        <w:t xml:space="preserve"> and </w:t>
      </w:r>
      <w:r w:rsidR="00297AB1" w:rsidRPr="00297AB1">
        <w:t>committee slots</w:t>
      </w:r>
      <w:r w:rsidR="00512F00">
        <w:t xml:space="preserve"> which cannot be reallocated. </w:t>
      </w:r>
    </w:p>
    <w:p w14:paraId="589758B7" w14:textId="030F0CC3" w:rsidR="00D93B68" w:rsidRDefault="00873ACC" w:rsidP="00D85FBB">
      <w:pPr>
        <w:pStyle w:val="ParagraphNumbered"/>
        <w:ind w:left="426" w:hanging="426"/>
      </w:pPr>
      <w:r>
        <w:t xml:space="preserve">A refund </w:t>
      </w:r>
      <w:r w:rsidR="00F96FED">
        <w:t>remains</w:t>
      </w:r>
      <w:r>
        <w:t xml:space="preserve"> applicable i</w:t>
      </w:r>
      <w:r w:rsidR="00D93B68">
        <w:t xml:space="preserve">f the </w:t>
      </w:r>
      <w:r w:rsidR="705CA735">
        <w:t>evalu</w:t>
      </w:r>
      <w:r w:rsidR="09A868D6">
        <w:t>a</w:t>
      </w:r>
      <w:r w:rsidR="705CA735">
        <w:t>tion</w:t>
      </w:r>
      <w:r w:rsidR="00D93B68">
        <w:t xml:space="preserve"> cannot be completed</w:t>
      </w:r>
      <w:r w:rsidR="00D93B68" w:rsidRPr="009A1596">
        <w:t xml:space="preserve"> after it has started</w:t>
      </w:r>
      <w:r w:rsidR="00D30F16">
        <w:t xml:space="preserve">, </w:t>
      </w:r>
      <w:r w:rsidR="003815D6">
        <w:t xml:space="preserve">in the case that </w:t>
      </w:r>
      <w:r w:rsidR="00D93B68" w:rsidRPr="009A1596">
        <w:t>the technology does not receive regulatory approval</w:t>
      </w:r>
      <w:r w:rsidR="00D30F16">
        <w:t xml:space="preserve">. </w:t>
      </w:r>
      <w:r w:rsidR="00D93B68" w:rsidRPr="009A1596">
        <w:t xml:space="preserve">NICE will refund the amount paid less any costs incurred during the </w:t>
      </w:r>
      <w:r w:rsidR="00D93B68">
        <w:t>evaluation</w:t>
      </w:r>
      <w:r w:rsidR="0097594A">
        <w:t xml:space="preserve"> dependent on the </w:t>
      </w:r>
      <w:r w:rsidR="00D85FBB">
        <w:t>milestone stage</w:t>
      </w:r>
      <w:r w:rsidR="00D30F16">
        <w:t>,</w:t>
      </w:r>
      <w:r w:rsidR="00483B06">
        <w:t xml:space="preserve"> </w:t>
      </w:r>
      <w:r w:rsidR="00D85FBB">
        <w:t>including when</w:t>
      </w:r>
      <w:r w:rsidR="007D70C6">
        <w:t xml:space="preserve"> it</w:t>
      </w:r>
      <w:r w:rsidR="00AA10F3">
        <w:t xml:space="preserve"> </w:t>
      </w:r>
      <w:r w:rsidR="00483B06" w:rsidRPr="00483B06">
        <w:t>has started or passed the</w:t>
      </w:r>
      <w:r w:rsidR="008335D0">
        <w:t xml:space="preserve"> committee</w:t>
      </w:r>
      <w:r w:rsidR="00483B06" w:rsidRPr="00483B06">
        <w:t xml:space="preserve"> preparation stage for the first committee meeting</w:t>
      </w:r>
      <w:r w:rsidR="008335D0">
        <w:t>.</w:t>
      </w:r>
    </w:p>
    <w:p w14:paraId="24479D2C" w14:textId="4D7E9AA8" w:rsidR="7E0C8C4A" w:rsidRDefault="7E0C8C4A" w:rsidP="00927C0A">
      <w:pPr>
        <w:pStyle w:val="ParagraphNumbered"/>
        <w:ind w:left="426" w:hanging="426"/>
      </w:pPr>
      <w:r w:rsidRPr="76E2C99A">
        <w:t>If on completion of</w:t>
      </w:r>
      <w:r w:rsidR="00D91A12">
        <w:t xml:space="preserve"> an</w:t>
      </w:r>
      <w:r w:rsidRPr="76E2C99A">
        <w:t xml:space="preserve"> evaluation NICE recognises </w:t>
      </w:r>
      <w:r w:rsidR="00D91A12">
        <w:t xml:space="preserve">that </w:t>
      </w:r>
      <w:r w:rsidRPr="76E2C99A">
        <w:t xml:space="preserve">it has not used all resources included in the full fee amount, we will initiate discussions with the company and consider </w:t>
      </w:r>
      <w:r w:rsidR="598E8D10" w:rsidRPr="76E2C99A">
        <w:t xml:space="preserve">if a </w:t>
      </w:r>
      <w:r w:rsidRPr="76E2C99A">
        <w:t>refund</w:t>
      </w:r>
      <w:r w:rsidR="2C980503" w:rsidRPr="76E2C99A">
        <w:t xml:space="preserve"> is </w:t>
      </w:r>
      <w:r w:rsidR="000C6C44">
        <w:t>appropriate</w:t>
      </w:r>
      <w:r w:rsidR="2C980503" w:rsidRPr="76E2C99A">
        <w:t xml:space="preserve">. </w:t>
      </w:r>
    </w:p>
    <w:p w14:paraId="4E41686C" w14:textId="7A00EB90" w:rsidR="7514D02A" w:rsidRDefault="7514D02A" w:rsidP="00927C0A">
      <w:pPr>
        <w:pStyle w:val="ParagraphNumbered"/>
        <w:ind w:left="426" w:hanging="426"/>
      </w:pPr>
      <w:r>
        <w:t>The standard administration charge has been removed from the procedures and will not apply to refunds processed after 1 April 2024.</w:t>
      </w:r>
    </w:p>
    <w:p w14:paraId="3A78B15D" w14:textId="59E9F00D" w:rsidR="00021C55" w:rsidRPr="00D07678" w:rsidRDefault="00D04F42" w:rsidP="00927C0A">
      <w:pPr>
        <w:pStyle w:val="ParagraphNumbered"/>
        <w:ind w:left="426" w:hanging="426"/>
      </w:pPr>
      <w:r>
        <w:lastRenderedPageBreak/>
        <w:t xml:space="preserve">As explained </w:t>
      </w:r>
      <w:r w:rsidR="0065025A">
        <w:t>previously,</w:t>
      </w:r>
      <w:r>
        <w:t xml:space="preserve"> t</w:t>
      </w:r>
      <w:r w:rsidR="32DDC7B0">
        <w:t>here</w:t>
      </w:r>
      <w:r w:rsidR="00021C55">
        <w:t xml:space="preserve"> are currently operational limitations to changing </w:t>
      </w:r>
      <w:r w:rsidR="00D566DC">
        <w:t>the</w:t>
      </w:r>
      <w:r w:rsidR="00021C55">
        <w:t xml:space="preserve"> approach</w:t>
      </w:r>
      <w:r w:rsidR="00D566DC">
        <w:t xml:space="preserve"> to the evaluation payment schedule</w:t>
      </w:r>
      <w:r w:rsidR="00021C55">
        <w:t xml:space="preserve">, which would require further funding </w:t>
      </w:r>
      <w:r w:rsidR="00FA4E1C">
        <w:t>through cost recovery</w:t>
      </w:r>
      <w:r w:rsidR="00021C55">
        <w:t>. However</w:t>
      </w:r>
      <w:r w:rsidR="00021C55" w:rsidDel="00A06499">
        <w:t>,</w:t>
      </w:r>
      <w:r w:rsidR="00021C55">
        <w:t xml:space="preserve"> NICE commits to reviewing this in 2024-25</w:t>
      </w:r>
      <w:r w:rsidR="00C659F5">
        <w:t xml:space="preserve">. </w:t>
      </w:r>
    </w:p>
    <w:p w14:paraId="7579C89C" w14:textId="32AE99D4" w:rsidR="00721F8F" w:rsidRDefault="00721F8F" w:rsidP="00721F8F">
      <w:pPr>
        <w:pStyle w:val="Heading2"/>
      </w:pPr>
      <w:r>
        <w:t xml:space="preserve">Future </w:t>
      </w:r>
      <w:r w:rsidR="00C02F9C">
        <w:t>considerations</w:t>
      </w:r>
    </w:p>
    <w:p w14:paraId="7531E968" w14:textId="6756F2C3" w:rsidR="00297711" w:rsidRDefault="00297711" w:rsidP="00125EB1">
      <w:pPr>
        <w:pStyle w:val="ParagraphNumbered"/>
        <w:ind w:left="426" w:hanging="426"/>
      </w:pPr>
      <w:r>
        <w:t xml:space="preserve">The following areas </w:t>
      </w:r>
      <w:r w:rsidR="002178CD">
        <w:t>will be</w:t>
      </w:r>
      <w:r>
        <w:t xml:space="preserve"> considered</w:t>
      </w:r>
      <w:r w:rsidR="002178CD">
        <w:t xml:space="preserve"> via a </w:t>
      </w:r>
      <w:r w:rsidR="000810C8">
        <w:t xml:space="preserve">future </w:t>
      </w:r>
      <w:r w:rsidR="002178CD">
        <w:t>dy</w:t>
      </w:r>
      <w:r w:rsidR="002178CD" w:rsidRPr="002178CD">
        <w:t xml:space="preserve">namic approach to updating </w:t>
      </w:r>
      <w:r w:rsidR="000810C8">
        <w:t>cost recovery</w:t>
      </w:r>
      <w:r w:rsidR="002178CD">
        <w:t>, as part of</w:t>
      </w:r>
      <w:r w:rsidR="002178CD" w:rsidRPr="002178CD">
        <w:t xml:space="preserve"> the regular business planning cycle</w:t>
      </w:r>
      <w:r w:rsidR="000810C8">
        <w:t>.</w:t>
      </w:r>
    </w:p>
    <w:p w14:paraId="1036BC89" w14:textId="77777777" w:rsidR="00320984" w:rsidRDefault="00320984" w:rsidP="00320984">
      <w:pPr>
        <w:pStyle w:val="Bullets"/>
        <w:numPr>
          <w:ilvl w:val="0"/>
          <w:numId w:val="37"/>
        </w:numPr>
        <w:ind w:left="993" w:hanging="426"/>
        <w:rPr>
          <w:rFonts w:eastAsia="Arial" w:cs="Arial"/>
        </w:rPr>
      </w:pPr>
      <w:r w:rsidRPr="1F4CBB5A">
        <w:rPr>
          <w:rFonts w:eastAsia="Arial" w:cs="Arial"/>
        </w:rPr>
        <w:t>The</w:t>
      </w:r>
      <w:r w:rsidRPr="2949E1FD">
        <w:rPr>
          <w:rFonts w:eastAsia="Arial" w:cs="Arial"/>
        </w:rPr>
        <w:t xml:space="preserve"> impact of</w:t>
      </w:r>
      <w:r w:rsidRPr="142CC3C9">
        <w:rPr>
          <w:rFonts w:eastAsia="Arial" w:cs="Arial"/>
        </w:rPr>
        <w:t xml:space="preserve"> the rate of committee members that will receive renumeration in 2024-25. </w:t>
      </w:r>
    </w:p>
    <w:p w14:paraId="1EEB98DB" w14:textId="77777777" w:rsidR="00320984" w:rsidRPr="00E573CE" w:rsidRDefault="00320984" w:rsidP="00320984">
      <w:pPr>
        <w:pStyle w:val="Bullets"/>
        <w:numPr>
          <w:ilvl w:val="0"/>
          <w:numId w:val="37"/>
        </w:numPr>
        <w:ind w:left="993" w:hanging="426"/>
        <w:rPr>
          <w:rFonts w:eastAsia="Arial" w:cs="Arial"/>
        </w:rPr>
      </w:pPr>
      <w:r w:rsidRPr="163926DA">
        <w:rPr>
          <w:rFonts w:eastAsia="Arial" w:cs="Arial"/>
        </w:rPr>
        <w:t>NICE's pension contributions are set to increase from 1 April 2024. This hasn’t been factored into the 2024-25 fees but will be included in the future.</w:t>
      </w:r>
    </w:p>
    <w:p w14:paraId="4C08E4D2" w14:textId="77777777" w:rsidR="003A15DA" w:rsidRDefault="003A15DA" w:rsidP="003A15DA">
      <w:pPr>
        <w:pStyle w:val="Bullets"/>
        <w:numPr>
          <w:ilvl w:val="0"/>
          <w:numId w:val="37"/>
        </w:numPr>
        <w:ind w:left="993" w:hanging="426"/>
      </w:pPr>
      <w:r>
        <w:t xml:space="preserve">A review of the small company criteria and discount. </w:t>
      </w:r>
    </w:p>
    <w:p w14:paraId="609EEF1C" w14:textId="179D4190" w:rsidR="00C02F9C" w:rsidRPr="00C02F9C" w:rsidRDefault="00CD7EF1" w:rsidP="00134B94">
      <w:pPr>
        <w:pStyle w:val="Bullets"/>
        <w:numPr>
          <w:ilvl w:val="0"/>
          <w:numId w:val="37"/>
        </w:numPr>
        <w:ind w:left="993" w:hanging="426"/>
      </w:pPr>
      <w:r>
        <w:t>A review of</w:t>
      </w:r>
      <w:r w:rsidR="00C02F9C">
        <w:t xml:space="preserve"> the eval</w:t>
      </w:r>
      <w:r w:rsidR="2F6983FC">
        <w:t>ua</w:t>
      </w:r>
      <w:r w:rsidR="00C02F9C">
        <w:t xml:space="preserve">tion payment schedule and invoicing process, to see this aligned with the key </w:t>
      </w:r>
      <w:proofErr w:type="gramStart"/>
      <w:r w:rsidR="00C02F9C">
        <w:t>milestones</w:t>
      </w:r>
      <w:proofErr w:type="gramEnd"/>
    </w:p>
    <w:p w14:paraId="48E6E9AF" w14:textId="1DB985B3" w:rsidR="00086F1C" w:rsidRPr="00C02F9C" w:rsidRDefault="00CD7EF1" w:rsidP="00134B94">
      <w:pPr>
        <w:pStyle w:val="Bullets"/>
        <w:numPr>
          <w:ilvl w:val="0"/>
          <w:numId w:val="37"/>
        </w:numPr>
        <w:ind w:left="993" w:hanging="426"/>
      </w:pPr>
      <w:r>
        <w:t>A review of the</w:t>
      </w:r>
      <w:r w:rsidR="00086F1C">
        <w:t xml:space="preserve"> fee structure for simple and complex Multiple Technology Appraisals (MTA)</w:t>
      </w:r>
    </w:p>
    <w:p w14:paraId="4BB11967" w14:textId="5F3E6DAD" w:rsidR="00DF2872" w:rsidRDefault="00FA75D5" w:rsidP="00134B94">
      <w:pPr>
        <w:pStyle w:val="Bullets"/>
        <w:numPr>
          <w:ilvl w:val="0"/>
          <w:numId w:val="37"/>
        </w:numPr>
        <w:ind w:left="993" w:hanging="426"/>
      </w:pPr>
      <w:r>
        <w:t>The</w:t>
      </w:r>
      <w:r w:rsidR="00DF2872">
        <w:t xml:space="preserve"> insights from </w:t>
      </w:r>
      <w:r>
        <w:t xml:space="preserve">TA-HST programme </w:t>
      </w:r>
      <w:r w:rsidR="00DF2872">
        <w:t xml:space="preserve">internal timesheet data, to inform future cost recovery models. </w:t>
      </w:r>
    </w:p>
    <w:p w14:paraId="4C07C75D" w14:textId="2FB0C273" w:rsidR="00212D08" w:rsidRPr="00C02F9C" w:rsidRDefault="00B04558" w:rsidP="00134B94">
      <w:pPr>
        <w:pStyle w:val="Bullets"/>
        <w:numPr>
          <w:ilvl w:val="0"/>
          <w:numId w:val="37"/>
        </w:numPr>
        <w:ind w:left="993" w:hanging="426"/>
      </w:pPr>
      <w:r>
        <w:t xml:space="preserve">The impact of </w:t>
      </w:r>
      <w:r w:rsidR="00212D08">
        <w:t xml:space="preserve">process improvements </w:t>
      </w:r>
      <w:r w:rsidR="00C75CEA">
        <w:t>supporting</w:t>
      </w:r>
      <w:r w:rsidR="00212D08">
        <w:t xml:space="preserve"> a more predictable work programme</w:t>
      </w:r>
      <w:r w:rsidR="00543A72">
        <w:t xml:space="preserve">, </w:t>
      </w:r>
      <w:r w:rsidR="00212D08">
        <w:t>inform</w:t>
      </w:r>
      <w:r w:rsidR="00543A72">
        <w:t>ing</w:t>
      </w:r>
      <w:r w:rsidR="00212D08">
        <w:t xml:space="preserve"> financial forecasting, reporting, and resourcing.</w:t>
      </w:r>
      <w:r w:rsidR="00F163F0">
        <w:t xml:space="preserve"> For </w:t>
      </w:r>
      <w:proofErr w:type="gramStart"/>
      <w:r w:rsidR="00F163F0">
        <w:t>example</w:t>
      </w:r>
      <w:proofErr w:type="gramEnd"/>
      <w:r w:rsidR="00F163F0">
        <w:t xml:space="preserve"> improved</w:t>
      </w:r>
      <w:r w:rsidR="00F163F0" w:rsidRPr="00F163F0">
        <w:t xml:space="preserve"> data collection.</w:t>
      </w:r>
    </w:p>
    <w:p w14:paraId="302B8127" w14:textId="77777777" w:rsidR="00602A0B" w:rsidRDefault="00602A0B">
      <w:pPr>
        <w:rPr>
          <w:rFonts w:ascii="Arial" w:hAnsi="Arial"/>
          <w:lang w:eastAsia="en-US"/>
        </w:rPr>
      </w:pPr>
      <w:r>
        <w:br w:type="page"/>
      </w:r>
    </w:p>
    <w:p w14:paraId="7AA1F1EF" w14:textId="77777777" w:rsidR="00B6755C" w:rsidRDefault="00B6755C" w:rsidP="00B6755C">
      <w:pPr>
        <w:pStyle w:val="Heading1"/>
        <w:sectPr w:rsidR="00B6755C" w:rsidSect="0037472D">
          <w:footerReference w:type="default" r:id="rId27"/>
          <w:headerReference w:type="first" r:id="rId28"/>
          <w:footerReference w:type="first" r:id="rId29"/>
          <w:pgSz w:w="11906" w:h="16838"/>
          <w:pgMar w:top="1440" w:right="1797" w:bottom="1440" w:left="1797" w:header="709" w:footer="709" w:gutter="0"/>
          <w:cols w:space="708"/>
          <w:titlePg/>
          <w:docGrid w:linePitch="360"/>
        </w:sectPr>
      </w:pPr>
      <w:bookmarkStart w:id="5" w:name="_Ref160719651"/>
    </w:p>
    <w:p w14:paraId="6433EE00" w14:textId="3956529C" w:rsidR="00EB615E" w:rsidRDefault="00B729FB" w:rsidP="00EB615E">
      <w:pPr>
        <w:pStyle w:val="Heading1"/>
      </w:pPr>
      <w:r>
        <w:lastRenderedPageBreak/>
        <w:t xml:space="preserve">Appendix </w:t>
      </w:r>
      <w:r w:rsidR="00C358BF">
        <w:t>1</w:t>
      </w:r>
      <w:r>
        <w:t xml:space="preserve"> </w:t>
      </w:r>
      <w:r w:rsidR="00B85449">
        <w:t>–</w:t>
      </w:r>
      <w:r>
        <w:t xml:space="preserve"> </w:t>
      </w:r>
      <w:r w:rsidR="00E64A04">
        <w:t>TA-HST cost recovery c</w:t>
      </w:r>
      <w:r w:rsidR="001F1091">
        <w:t xml:space="preserve">hange fee </w:t>
      </w:r>
      <w:proofErr w:type="gramStart"/>
      <w:r w:rsidR="001F1091">
        <w:t>process</w:t>
      </w:r>
      <w:bookmarkEnd w:id="5"/>
      <w:proofErr w:type="gramEnd"/>
    </w:p>
    <w:p w14:paraId="4A5635A8" w14:textId="3B415C2A" w:rsidR="004301CA" w:rsidRPr="004301CA" w:rsidRDefault="00090C81" w:rsidP="004301CA">
      <w:pPr>
        <w:pStyle w:val="Paragraph"/>
      </w:pPr>
      <w:r>
        <w:object w:dxaOrig="15625" w:dyaOrig="9660" w14:anchorId="4CB699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lowchart describing main steps involved in the change fee process and how this occurs before the Invitation to Participate stage of the evaluation.  " style="width:600.45pt;height:371.55pt" o:ole="">
            <v:imagedata r:id="rId30" o:title=""/>
          </v:shape>
          <o:OLEObject Type="Embed" ProgID="Visio.Drawing.15" ShapeID="_x0000_i1025" DrawAspect="Content" ObjectID="_1771656139" r:id="rId31"/>
        </w:object>
      </w:r>
    </w:p>
    <w:p w14:paraId="54E48604" w14:textId="77777777" w:rsidR="004301CA" w:rsidRDefault="004301CA" w:rsidP="00C358BF">
      <w:pPr>
        <w:pStyle w:val="Heading1"/>
        <w:sectPr w:rsidR="004301CA" w:rsidSect="0037472D">
          <w:pgSz w:w="16838" w:h="11906" w:orient="landscape" w:code="9"/>
          <w:pgMar w:top="1797" w:right="1440" w:bottom="1797" w:left="1440" w:header="709" w:footer="709" w:gutter="0"/>
          <w:cols w:space="708"/>
          <w:titlePg/>
          <w:docGrid w:linePitch="360"/>
        </w:sectPr>
      </w:pPr>
      <w:bookmarkStart w:id="6" w:name="_Ref160717559"/>
    </w:p>
    <w:p w14:paraId="1C42A1DC" w14:textId="514D804C" w:rsidR="00C358BF" w:rsidRDefault="00C358BF" w:rsidP="00C358BF">
      <w:pPr>
        <w:pStyle w:val="Heading1"/>
      </w:pPr>
      <w:r>
        <w:lastRenderedPageBreak/>
        <w:t xml:space="preserve">Appendix 2 </w:t>
      </w:r>
      <w:r w:rsidR="00123AF3">
        <w:t>–</w:t>
      </w:r>
      <w:r>
        <w:t xml:space="preserve"> </w:t>
      </w:r>
      <w:r w:rsidR="00123AF3">
        <w:t>TA-HST cost recovery u</w:t>
      </w:r>
      <w:r>
        <w:t xml:space="preserve">pdated wording for refund </w:t>
      </w:r>
      <w:proofErr w:type="gramStart"/>
      <w:r>
        <w:t>procedures</w:t>
      </w:r>
      <w:bookmarkEnd w:id="6"/>
      <w:proofErr w:type="gramEnd"/>
    </w:p>
    <w:p w14:paraId="434845D8" w14:textId="77777777" w:rsidR="00C358BF" w:rsidRDefault="00C358BF" w:rsidP="00C358BF">
      <w:pPr>
        <w:pStyle w:val="ParagraphNumbered"/>
        <w:numPr>
          <w:ilvl w:val="0"/>
          <w:numId w:val="44"/>
        </w:numPr>
      </w:pPr>
      <w:r>
        <w:t>NICE will fully or partially refund the charge of the evaluation if:</w:t>
      </w:r>
    </w:p>
    <w:p w14:paraId="46AC4FE7" w14:textId="77777777" w:rsidR="00C358BF" w:rsidRDefault="00C358BF" w:rsidP="00C358BF">
      <w:pPr>
        <w:pStyle w:val="ParagraphNumbered"/>
        <w:numPr>
          <w:ilvl w:val="1"/>
          <w:numId w:val="1"/>
        </w:numPr>
      </w:pPr>
      <w:r>
        <w:t xml:space="preserve">A single technology appraisal (STA) is converted into a cost comparison (CC). In this case, NICE will refund the difference in fee. See 5.8.27 </w:t>
      </w:r>
      <w:hyperlink r:id="rId32" w:history="1">
        <w:r w:rsidRPr="000E0CBD">
          <w:rPr>
            <w:rStyle w:val="Hyperlink"/>
          </w:rPr>
          <w:t>NICE health technology evaluations: the manual</w:t>
        </w:r>
      </w:hyperlink>
      <w:r>
        <w:t xml:space="preserve"> for further details.</w:t>
      </w:r>
    </w:p>
    <w:p w14:paraId="5B8221FD" w14:textId="77777777" w:rsidR="00C358BF" w:rsidRDefault="00C358BF" w:rsidP="00C358BF">
      <w:pPr>
        <w:pStyle w:val="ParagraphNumbered"/>
        <w:numPr>
          <w:ilvl w:val="1"/>
          <w:numId w:val="1"/>
        </w:numPr>
      </w:pPr>
      <w:r>
        <w:t xml:space="preserve">A single technology appraisal (STA) follows the streamlined decision-making process. In this case, NICE will issue a proportionate refund. </w:t>
      </w:r>
    </w:p>
    <w:p w14:paraId="2A5ED548" w14:textId="3E018A5D" w:rsidR="00C358BF" w:rsidRDefault="00C358BF" w:rsidP="00C358BF">
      <w:pPr>
        <w:pStyle w:val="ParagraphNumbered"/>
        <w:numPr>
          <w:ilvl w:val="1"/>
          <w:numId w:val="1"/>
        </w:numPr>
      </w:pPr>
      <w:r>
        <w:t xml:space="preserve">There are amendments to process, or divergent fees are applied. </w:t>
      </w:r>
    </w:p>
    <w:p w14:paraId="1328F3FD" w14:textId="16C04D58" w:rsidR="00C358BF" w:rsidRDefault="00AF2FB2" w:rsidP="00C358BF">
      <w:pPr>
        <w:pStyle w:val="ParagraphNumbered"/>
        <w:numPr>
          <w:ilvl w:val="1"/>
          <w:numId w:val="1"/>
        </w:numPr>
      </w:pPr>
      <w:r>
        <w:t>T</w:t>
      </w:r>
      <w:r w:rsidR="00C358BF" w:rsidRPr="009A1596">
        <w:t>he technology does not receive regulatory approval</w:t>
      </w:r>
      <w:r w:rsidR="008D4F26">
        <w:t xml:space="preserve"> and the evaluation cannot be completed</w:t>
      </w:r>
      <w:r w:rsidR="008D4F26" w:rsidRPr="009A1596">
        <w:t xml:space="preserve"> after it has started</w:t>
      </w:r>
      <w:r w:rsidR="00C358BF">
        <w:t xml:space="preserve">. </w:t>
      </w:r>
      <w:r w:rsidR="00C358BF" w:rsidRPr="009A1596">
        <w:t xml:space="preserve">NICE will refund the amount paid less any costs incurred during the </w:t>
      </w:r>
      <w:r w:rsidR="00C358BF">
        <w:t xml:space="preserve">evaluation dependent on the milestone </w:t>
      </w:r>
      <w:r w:rsidR="004B1FD0">
        <w:t>stage and</w:t>
      </w:r>
      <w:r w:rsidR="002D4D56">
        <w:t xml:space="preserve"> will apply if</w:t>
      </w:r>
      <w:r w:rsidR="00C358BF" w:rsidRPr="00483B06">
        <w:t xml:space="preserve"> </w:t>
      </w:r>
      <w:r w:rsidR="00897BDD">
        <w:t>the</w:t>
      </w:r>
      <w:r w:rsidR="00C358BF" w:rsidRPr="00483B06">
        <w:t xml:space="preserve"> preparation stage for the first committee meeting (</w:t>
      </w:r>
      <w:r w:rsidR="00C358BF">
        <w:t>c</w:t>
      </w:r>
      <w:r w:rsidR="00C358BF" w:rsidRPr="00483B06">
        <w:t xml:space="preserve">ommittee preparation stage </w:t>
      </w:r>
      <w:r w:rsidR="00C358BF">
        <w:t>1)</w:t>
      </w:r>
      <w:r w:rsidR="00897BDD">
        <w:t xml:space="preserve"> has started or passed</w:t>
      </w:r>
      <w:r w:rsidR="00C358BF">
        <w:t>.</w:t>
      </w:r>
    </w:p>
    <w:p w14:paraId="2524F9AB" w14:textId="77777777" w:rsidR="00C358BF" w:rsidRDefault="00C358BF" w:rsidP="00C358BF">
      <w:pPr>
        <w:pStyle w:val="ParagraphNumbered"/>
        <w:numPr>
          <w:ilvl w:val="1"/>
          <w:numId w:val="1"/>
        </w:numPr>
      </w:pPr>
      <w:r w:rsidRPr="0042106B">
        <w:t xml:space="preserve">If the ITP has been issued and the timelines for the evaluation are rescheduled </w:t>
      </w:r>
      <w:r>
        <w:t>for</w:t>
      </w:r>
      <w:r w:rsidRPr="0042106B">
        <w:t xml:space="preserve"> over 4 months later, then NICE will provide a proportionate refund considering the milestones met</w:t>
      </w:r>
      <w:r>
        <w:t xml:space="preserve">. We will restart the charging process in line with the new ITP date and charge </w:t>
      </w:r>
      <w:r w:rsidRPr="0042106B">
        <w:t>the a</w:t>
      </w:r>
      <w:r>
        <w:t>pplicable fee</w:t>
      </w:r>
      <w:r w:rsidRPr="0042106B">
        <w:t>. This</w:t>
      </w:r>
      <w:r>
        <w:t xml:space="preserve"> ensures that NICE manages public monies appropriately, acts in line with financial regulations and aligns with published and monitored start dates for the evaluation process for each topic.</w:t>
      </w:r>
    </w:p>
    <w:sectPr w:rsidR="00C358BF" w:rsidSect="0037472D">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DE6C9" w14:textId="77777777" w:rsidR="0037472D" w:rsidRDefault="0037472D" w:rsidP="00446BEE">
      <w:r>
        <w:separator/>
      </w:r>
    </w:p>
  </w:endnote>
  <w:endnote w:type="continuationSeparator" w:id="0">
    <w:p w14:paraId="24C7D4D3" w14:textId="77777777" w:rsidR="0037472D" w:rsidRDefault="0037472D" w:rsidP="00446BEE">
      <w:r>
        <w:continuationSeparator/>
      </w:r>
    </w:p>
  </w:endnote>
  <w:endnote w:type="continuationNotice" w:id="1">
    <w:p w14:paraId="2447F013" w14:textId="77777777" w:rsidR="0037472D" w:rsidRDefault="003747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ora SemiBold">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Inter">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8ADD" w14:textId="77777777" w:rsidR="00E165B9" w:rsidRDefault="00E165B9" w:rsidP="00446BEE">
    <w:pPr>
      <w:pStyle w:val="Footer"/>
    </w:pPr>
  </w:p>
  <w:p w14:paraId="78116553" w14:textId="36395B0B" w:rsidR="00905201" w:rsidRDefault="00905201" w:rsidP="00446BEE">
    <w:pPr>
      <w:pStyle w:val="Footer"/>
    </w:pPr>
    <w:r w:rsidRPr="00905201">
      <w:t>Cost recovery for Technology Appraisals (TA) and Highly Specialised Technologies (HST) – 2023-24 review – NICE response to consultation</w:t>
    </w:r>
  </w:p>
  <w:p w14:paraId="3EC80234" w14:textId="77777777" w:rsidR="00905201" w:rsidRDefault="00905201" w:rsidP="00446BEE">
    <w:pPr>
      <w:pStyle w:val="Footer"/>
    </w:pPr>
  </w:p>
  <w:p w14:paraId="54249AE0" w14:textId="08C07925" w:rsidR="00446BEE" w:rsidRDefault="00905201" w:rsidP="00446BEE">
    <w:pPr>
      <w:pStyle w:val="Footer"/>
    </w:pPr>
    <w:r>
      <w:t>March 2024</w:t>
    </w:r>
    <w:r w:rsidR="00446BEE">
      <w:tab/>
    </w:r>
    <w:r w:rsidR="00446BEE">
      <w:tab/>
    </w:r>
    <w:r w:rsidR="00446BEE">
      <w:fldChar w:fldCharType="begin"/>
    </w:r>
    <w:r w:rsidR="00446BEE">
      <w:instrText xml:space="preserve"> PAGE </w:instrText>
    </w:r>
    <w:r w:rsidR="00446BEE">
      <w:fldChar w:fldCharType="separate"/>
    </w:r>
    <w:r w:rsidR="00FA2C5A">
      <w:rPr>
        <w:noProof/>
      </w:rPr>
      <w:t>1</w:t>
    </w:r>
    <w:r w:rsidR="00446BEE">
      <w:fldChar w:fldCharType="end"/>
    </w:r>
    <w:r w:rsidR="00446BEE">
      <w:t xml:space="preserve"> of </w:t>
    </w:r>
    <w:fldSimple w:instr=" NUMPAGES  ">
      <w:r w:rsidR="00FA2C5A">
        <w:rPr>
          <w:noProof/>
        </w:rPr>
        <w:t>1</w:t>
      </w:r>
    </w:fldSimple>
  </w:p>
  <w:p w14:paraId="1B5661A3" w14:textId="77777777" w:rsidR="00446BEE" w:rsidRDefault="00446BEE">
    <w:pPr>
      <w:pStyle w:val="Footer"/>
    </w:pPr>
  </w:p>
  <w:p w14:paraId="5BEC7105" w14:textId="77777777" w:rsidR="00446BEE" w:rsidRDefault="0044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4940208"/>
      <w:docPartObj>
        <w:docPartGallery w:val="Page Numbers (Bottom of Page)"/>
        <w:docPartUnique/>
      </w:docPartObj>
    </w:sdtPr>
    <w:sdtContent>
      <w:sdt>
        <w:sdtPr>
          <w:id w:val="928624408"/>
          <w:docPartObj>
            <w:docPartGallery w:val="Page Numbers (Top of Page)"/>
            <w:docPartUnique/>
          </w:docPartObj>
        </w:sdtPr>
        <w:sdtContent>
          <w:p w14:paraId="5C8A617F" w14:textId="77777777" w:rsidR="00E8463B" w:rsidRDefault="00573EA9" w:rsidP="008E7826">
            <w:pPr>
              <w:pStyle w:val="Footer"/>
            </w:pPr>
            <w:r w:rsidRPr="00573EA9">
              <w:t>Cost recovery for Technology Appraisals (TA) and Highly Specialised Technologies (HST) – 2023-24 review</w:t>
            </w:r>
            <w:r w:rsidR="00E8463B">
              <w:t xml:space="preserve"> – NICE response to consultation </w:t>
            </w:r>
          </w:p>
          <w:p w14:paraId="2066EC12" w14:textId="77777777" w:rsidR="00905201" w:rsidRDefault="00905201" w:rsidP="008E7826">
            <w:pPr>
              <w:pStyle w:val="Footer"/>
            </w:pPr>
          </w:p>
          <w:p w14:paraId="1AB81068" w14:textId="3A6A7067" w:rsidR="008E7826" w:rsidRDefault="00905201" w:rsidP="008E7826">
            <w:pPr>
              <w:pStyle w:val="Footer"/>
            </w:pPr>
            <w:r>
              <w:t>March 2024</w:t>
            </w:r>
            <w:r w:rsidR="008E7826">
              <w:tab/>
            </w:r>
            <w:r w:rsidR="008E7826">
              <w:tab/>
            </w:r>
            <w:r w:rsidR="008E7826" w:rsidRPr="008E7826">
              <w:t xml:space="preserve">Page </w:t>
            </w:r>
            <w:r w:rsidR="008E7826" w:rsidRPr="008E7826">
              <w:rPr>
                <w:sz w:val="24"/>
              </w:rPr>
              <w:fldChar w:fldCharType="begin"/>
            </w:r>
            <w:r w:rsidR="008E7826" w:rsidRPr="008E7826">
              <w:instrText xml:space="preserve"> PAGE </w:instrText>
            </w:r>
            <w:r w:rsidR="008E7826" w:rsidRPr="008E7826">
              <w:rPr>
                <w:sz w:val="24"/>
              </w:rPr>
              <w:fldChar w:fldCharType="separate"/>
            </w:r>
            <w:r w:rsidR="008E7826" w:rsidRPr="008E7826">
              <w:rPr>
                <w:noProof/>
              </w:rPr>
              <w:t>2</w:t>
            </w:r>
            <w:r w:rsidR="008E7826" w:rsidRPr="008E7826">
              <w:rPr>
                <w:sz w:val="24"/>
              </w:rPr>
              <w:fldChar w:fldCharType="end"/>
            </w:r>
            <w:r w:rsidR="008E7826" w:rsidRPr="008E7826">
              <w:t xml:space="preserve"> of </w:t>
            </w:r>
            <w:fldSimple w:instr=" NUMPAGES  ">
              <w:r w:rsidR="008E7826" w:rsidRPr="008E7826">
                <w:rPr>
                  <w:noProof/>
                </w:rPr>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82BAC" w14:textId="77777777" w:rsidR="0037472D" w:rsidRDefault="0037472D" w:rsidP="00446BEE">
      <w:r>
        <w:separator/>
      </w:r>
    </w:p>
  </w:footnote>
  <w:footnote w:type="continuationSeparator" w:id="0">
    <w:p w14:paraId="36524E36" w14:textId="77777777" w:rsidR="0037472D" w:rsidRDefault="0037472D" w:rsidP="00446BEE">
      <w:r>
        <w:continuationSeparator/>
      </w:r>
    </w:p>
  </w:footnote>
  <w:footnote w:type="continuationNotice" w:id="1">
    <w:p w14:paraId="260C0F56" w14:textId="77777777" w:rsidR="0037472D" w:rsidRDefault="003747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B81A4" w14:textId="77777777" w:rsidR="008F6FB7" w:rsidRDefault="008F6FB7">
    <w:pPr>
      <w:pStyle w:val="Header"/>
    </w:pPr>
    <w:r>
      <w:rPr>
        <w:noProof/>
      </w:rPr>
      <w:drawing>
        <wp:anchor distT="0" distB="0" distL="114300" distR="114300" simplePos="0" relativeHeight="251658240" behindDoc="0" locked="0" layoutInCell="1" allowOverlap="1" wp14:anchorId="6AFABE84" wp14:editId="306BCEE8">
          <wp:simplePos x="0" y="0"/>
          <wp:positionH relativeFrom="column">
            <wp:posOffset>0</wp:posOffset>
          </wp:positionH>
          <wp:positionV relativeFrom="page">
            <wp:posOffset>447675</wp:posOffset>
          </wp:positionV>
          <wp:extent cx="2444400" cy="252000"/>
          <wp:effectExtent l="0" t="0" r="0" b="0"/>
          <wp:wrapNone/>
          <wp:docPr id="1652958453" name="Picture 1652958453"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32434"/>
    <w:multiLevelType w:val="hybridMultilevel"/>
    <w:tmpl w:val="4C826E3C"/>
    <w:lvl w:ilvl="0" w:tplc="08090013">
      <w:start w:val="1"/>
      <w:numFmt w:val="upperRoman"/>
      <w:lvlText w:val="%1."/>
      <w:lvlJc w:val="right"/>
      <w:pPr>
        <w:ind w:left="1134" w:hanging="45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2325B0"/>
    <w:multiLevelType w:val="hybridMultilevel"/>
    <w:tmpl w:val="FFFFFFFF"/>
    <w:lvl w:ilvl="0" w:tplc="F6188C62">
      <w:start w:val="1"/>
      <w:numFmt w:val="decimal"/>
      <w:lvlText w:val="%1."/>
      <w:lvlJc w:val="left"/>
      <w:pPr>
        <w:ind w:left="720" w:hanging="360"/>
      </w:pPr>
    </w:lvl>
    <w:lvl w:ilvl="1" w:tplc="1F3CBABC">
      <w:start w:val="1"/>
      <w:numFmt w:val="lowerLetter"/>
      <w:lvlText w:val="%2."/>
      <w:lvlJc w:val="left"/>
      <w:pPr>
        <w:ind w:left="1440" w:hanging="360"/>
      </w:pPr>
    </w:lvl>
    <w:lvl w:ilvl="2" w:tplc="786AE65C">
      <w:start w:val="1"/>
      <w:numFmt w:val="lowerRoman"/>
      <w:lvlText w:val="%3."/>
      <w:lvlJc w:val="right"/>
      <w:pPr>
        <w:ind w:left="2160" w:hanging="180"/>
      </w:pPr>
    </w:lvl>
    <w:lvl w:ilvl="3" w:tplc="0344B6AC">
      <w:start w:val="1"/>
      <w:numFmt w:val="decimal"/>
      <w:lvlText w:val="%4."/>
      <w:lvlJc w:val="left"/>
      <w:pPr>
        <w:ind w:left="2880" w:hanging="360"/>
      </w:pPr>
    </w:lvl>
    <w:lvl w:ilvl="4" w:tplc="95F8F96E">
      <w:start w:val="1"/>
      <w:numFmt w:val="lowerLetter"/>
      <w:lvlText w:val="%5."/>
      <w:lvlJc w:val="left"/>
      <w:pPr>
        <w:ind w:left="3600" w:hanging="360"/>
      </w:pPr>
    </w:lvl>
    <w:lvl w:ilvl="5" w:tplc="81E00E1E">
      <w:start w:val="1"/>
      <w:numFmt w:val="lowerRoman"/>
      <w:lvlText w:val="%6."/>
      <w:lvlJc w:val="right"/>
      <w:pPr>
        <w:ind w:left="4320" w:hanging="180"/>
      </w:pPr>
    </w:lvl>
    <w:lvl w:ilvl="6" w:tplc="DF7C53E2">
      <w:start w:val="1"/>
      <w:numFmt w:val="decimal"/>
      <w:lvlText w:val="%7."/>
      <w:lvlJc w:val="left"/>
      <w:pPr>
        <w:ind w:left="5040" w:hanging="360"/>
      </w:pPr>
    </w:lvl>
    <w:lvl w:ilvl="7" w:tplc="94EE04FC">
      <w:start w:val="1"/>
      <w:numFmt w:val="lowerLetter"/>
      <w:lvlText w:val="%8."/>
      <w:lvlJc w:val="left"/>
      <w:pPr>
        <w:ind w:left="5760" w:hanging="360"/>
      </w:pPr>
    </w:lvl>
    <w:lvl w:ilvl="8" w:tplc="7834C096">
      <w:start w:val="1"/>
      <w:numFmt w:val="lowerRoman"/>
      <w:lvlText w:val="%9."/>
      <w:lvlJc w:val="right"/>
      <w:pPr>
        <w:ind w:left="6480" w:hanging="180"/>
      </w:pPr>
    </w:lvl>
  </w:abstractNum>
  <w:abstractNum w:abstractNumId="12" w15:restartNumberingAfterBreak="0">
    <w:nsid w:val="0BF29B6C"/>
    <w:multiLevelType w:val="hybridMultilevel"/>
    <w:tmpl w:val="FFFFFFFF"/>
    <w:lvl w:ilvl="0" w:tplc="3664F9E2">
      <w:start w:val="2"/>
      <w:numFmt w:val="decimal"/>
      <w:lvlText w:val="%1."/>
      <w:lvlJc w:val="left"/>
      <w:pPr>
        <w:ind w:left="720" w:hanging="360"/>
      </w:pPr>
    </w:lvl>
    <w:lvl w:ilvl="1" w:tplc="E8B40422">
      <w:start w:val="1"/>
      <w:numFmt w:val="lowerLetter"/>
      <w:lvlText w:val="%2."/>
      <w:lvlJc w:val="left"/>
      <w:pPr>
        <w:ind w:left="1440" w:hanging="360"/>
      </w:pPr>
    </w:lvl>
    <w:lvl w:ilvl="2" w:tplc="0FC67BDA">
      <w:start w:val="1"/>
      <w:numFmt w:val="lowerRoman"/>
      <w:lvlText w:val="%3."/>
      <w:lvlJc w:val="right"/>
      <w:pPr>
        <w:ind w:left="2160" w:hanging="180"/>
      </w:pPr>
    </w:lvl>
    <w:lvl w:ilvl="3" w:tplc="E1E82C12">
      <w:start w:val="1"/>
      <w:numFmt w:val="decimal"/>
      <w:lvlText w:val="%4."/>
      <w:lvlJc w:val="left"/>
      <w:pPr>
        <w:ind w:left="2880" w:hanging="360"/>
      </w:pPr>
    </w:lvl>
    <w:lvl w:ilvl="4" w:tplc="1EAAB014">
      <w:start w:val="1"/>
      <w:numFmt w:val="lowerLetter"/>
      <w:lvlText w:val="%5."/>
      <w:lvlJc w:val="left"/>
      <w:pPr>
        <w:ind w:left="3600" w:hanging="360"/>
      </w:pPr>
    </w:lvl>
    <w:lvl w:ilvl="5" w:tplc="765C285E">
      <w:start w:val="1"/>
      <w:numFmt w:val="lowerRoman"/>
      <w:lvlText w:val="%6."/>
      <w:lvlJc w:val="right"/>
      <w:pPr>
        <w:ind w:left="4320" w:hanging="180"/>
      </w:pPr>
    </w:lvl>
    <w:lvl w:ilvl="6" w:tplc="EA2AF356">
      <w:start w:val="1"/>
      <w:numFmt w:val="decimal"/>
      <w:lvlText w:val="%7."/>
      <w:lvlJc w:val="left"/>
      <w:pPr>
        <w:ind w:left="5040" w:hanging="360"/>
      </w:pPr>
    </w:lvl>
    <w:lvl w:ilvl="7" w:tplc="BAA25CEE">
      <w:start w:val="1"/>
      <w:numFmt w:val="lowerLetter"/>
      <w:lvlText w:val="%8."/>
      <w:lvlJc w:val="left"/>
      <w:pPr>
        <w:ind w:left="5760" w:hanging="360"/>
      </w:pPr>
    </w:lvl>
    <w:lvl w:ilvl="8" w:tplc="754EB6FE">
      <w:start w:val="1"/>
      <w:numFmt w:val="lowerRoman"/>
      <w:lvlText w:val="%9."/>
      <w:lvlJc w:val="right"/>
      <w:pPr>
        <w:ind w:left="6480" w:hanging="180"/>
      </w:pPr>
    </w:lvl>
  </w:abstractNum>
  <w:abstractNum w:abstractNumId="13" w15:restartNumberingAfterBreak="0">
    <w:nsid w:val="191DCBFD"/>
    <w:multiLevelType w:val="hybridMultilevel"/>
    <w:tmpl w:val="DDB62D52"/>
    <w:lvl w:ilvl="0" w:tplc="04EC5366">
      <w:start w:val="1"/>
      <w:numFmt w:val="decimal"/>
      <w:lvlText w:val="%1."/>
      <w:lvlJc w:val="left"/>
      <w:pPr>
        <w:ind w:left="720" w:hanging="360"/>
      </w:pPr>
    </w:lvl>
    <w:lvl w:ilvl="1" w:tplc="EF4A9446">
      <w:start w:val="1"/>
      <w:numFmt w:val="lowerLetter"/>
      <w:lvlText w:val="%2."/>
      <w:lvlJc w:val="left"/>
      <w:pPr>
        <w:ind w:left="1440" w:hanging="360"/>
      </w:pPr>
    </w:lvl>
    <w:lvl w:ilvl="2" w:tplc="EE04A604">
      <w:start w:val="1"/>
      <w:numFmt w:val="lowerRoman"/>
      <w:lvlText w:val="%3."/>
      <w:lvlJc w:val="right"/>
      <w:pPr>
        <w:ind w:left="2160" w:hanging="180"/>
      </w:pPr>
    </w:lvl>
    <w:lvl w:ilvl="3" w:tplc="7D48DA0A">
      <w:start w:val="1"/>
      <w:numFmt w:val="decimal"/>
      <w:lvlText w:val="%4."/>
      <w:lvlJc w:val="left"/>
      <w:pPr>
        <w:ind w:left="2880" w:hanging="360"/>
      </w:pPr>
    </w:lvl>
    <w:lvl w:ilvl="4" w:tplc="575CFB0E">
      <w:start w:val="1"/>
      <w:numFmt w:val="lowerLetter"/>
      <w:lvlText w:val="%5."/>
      <w:lvlJc w:val="left"/>
      <w:pPr>
        <w:ind w:left="3600" w:hanging="360"/>
      </w:pPr>
    </w:lvl>
    <w:lvl w:ilvl="5" w:tplc="D7FA36C2">
      <w:start w:val="1"/>
      <w:numFmt w:val="lowerRoman"/>
      <w:lvlText w:val="%6."/>
      <w:lvlJc w:val="right"/>
      <w:pPr>
        <w:ind w:left="4320" w:hanging="180"/>
      </w:pPr>
    </w:lvl>
    <w:lvl w:ilvl="6" w:tplc="3D4AC028">
      <w:start w:val="1"/>
      <w:numFmt w:val="decimal"/>
      <w:lvlText w:val="%7."/>
      <w:lvlJc w:val="left"/>
      <w:pPr>
        <w:ind w:left="5040" w:hanging="360"/>
      </w:pPr>
    </w:lvl>
    <w:lvl w:ilvl="7" w:tplc="7114A912">
      <w:start w:val="1"/>
      <w:numFmt w:val="lowerLetter"/>
      <w:lvlText w:val="%8."/>
      <w:lvlJc w:val="left"/>
      <w:pPr>
        <w:ind w:left="5760" w:hanging="360"/>
      </w:pPr>
    </w:lvl>
    <w:lvl w:ilvl="8" w:tplc="A7A05088">
      <w:start w:val="1"/>
      <w:numFmt w:val="lowerRoman"/>
      <w:lvlText w:val="%9."/>
      <w:lvlJc w:val="right"/>
      <w:pPr>
        <w:ind w:left="6480" w:hanging="180"/>
      </w:pPr>
    </w:lvl>
  </w:abstractNum>
  <w:abstractNum w:abstractNumId="14" w15:restartNumberingAfterBreak="0">
    <w:nsid w:val="1B9675FA"/>
    <w:multiLevelType w:val="hybridMultilevel"/>
    <w:tmpl w:val="3A6E2202"/>
    <w:lvl w:ilvl="0" w:tplc="FFFFFFFF">
      <w:start w:val="1"/>
      <w:numFmt w:val="decimal"/>
      <w:lvlText w:val="%1."/>
      <w:lvlJc w:val="left"/>
      <w:pPr>
        <w:ind w:left="851" w:hanging="851"/>
      </w:pPr>
      <w:rPr>
        <w:rFonts w:hint="default"/>
      </w:rPr>
    </w:lvl>
    <w:lvl w:ilvl="1" w:tplc="08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800DD7"/>
    <w:multiLevelType w:val="hybridMultilevel"/>
    <w:tmpl w:val="2AA8CA10"/>
    <w:lvl w:ilvl="0" w:tplc="7C1CCA20">
      <w:start w:val="1"/>
      <w:numFmt w:val="bullet"/>
      <w:lvlText w:val="•"/>
      <w:lvlJc w:val="left"/>
      <w:pPr>
        <w:tabs>
          <w:tab w:val="num" w:pos="720"/>
        </w:tabs>
        <w:ind w:left="720" w:hanging="360"/>
      </w:pPr>
      <w:rPr>
        <w:rFonts w:ascii="Times New Roman" w:hAnsi="Times New Roman" w:hint="default"/>
      </w:rPr>
    </w:lvl>
    <w:lvl w:ilvl="1" w:tplc="AB02E88A">
      <w:numFmt w:val="bullet"/>
      <w:lvlText w:val="•"/>
      <w:lvlJc w:val="left"/>
      <w:pPr>
        <w:tabs>
          <w:tab w:val="num" w:pos="1440"/>
        </w:tabs>
        <w:ind w:left="1440" w:hanging="360"/>
      </w:pPr>
      <w:rPr>
        <w:rFonts w:ascii="Times New Roman" w:hAnsi="Times New Roman" w:hint="default"/>
      </w:rPr>
    </w:lvl>
    <w:lvl w:ilvl="2" w:tplc="7C14B138" w:tentative="1">
      <w:start w:val="1"/>
      <w:numFmt w:val="bullet"/>
      <w:lvlText w:val="•"/>
      <w:lvlJc w:val="left"/>
      <w:pPr>
        <w:tabs>
          <w:tab w:val="num" w:pos="2160"/>
        </w:tabs>
        <w:ind w:left="2160" w:hanging="360"/>
      </w:pPr>
      <w:rPr>
        <w:rFonts w:ascii="Times New Roman" w:hAnsi="Times New Roman" w:hint="default"/>
      </w:rPr>
    </w:lvl>
    <w:lvl w:ilvl="3" w:tplc="4192EE7A" w:tentative="1">
      <w:start w:val="1"/>
      <w:numFmt w:val="bullet"/>
      <w:lvlText w:val="•"/>
      <w:lvlJc w:val="left"/>
      <w:pPr>
        <w:tabs>
          <w:tab w:val="num" w:pos="2880"/>
        </w:tabs>
        <w:ind w:left="2880" w:hanging="360"/>
      </w:pPr>
      <w:rPr>
        <w:rFonts w:ascii="Times New Roman" w:hAnsi="Times New Roman" w:hint="default"/>
      </w:rPr>
    </w:lvl>
    <w:lvl w:ilvl="4" w:tplc="4850924A" w:tentative="1">
      <w:start w:val="1"/>
      <w:numFmt w:val="bullet"/>
      <w:lvlText w:val="•"/>
      <w:lvlJc w:val="left"/>
      <w:pPr>
        <w:tabs>
          <w:tab w:val="num" w:pos="3600"/>
        </w:tabs>
        <w:ind w:left="3600" w:hanging="360"/>
      </w:pPr>
      <w:rPr>
        <w:rFonts w:ascii="Times New Roman" w:hAnsi="Times New Roman" w:hint="default"/>
      </w:rPr>
    </w:lvl>
    <w:lvl w:ilvl="5" w:tplc="B7B075E0" w:tentative="1">
      <w:start w:val="1"/>
      <w:numFmt w:val="bullet"/>
      <w:lvlText w:val="•"/>
      <w:lvlJc w:val="left"/>
      <w:pPr>
        <w:tabs>
          <w:tab w:val="num" w:pos="4320"/>
        </w:tabs>
        <w:ind w:left="4320" w:hanging="360"/>
      </w:pPr>
      <w:rPr>
        <w:rFonts w:ascii="Times New Roman" w:hAnsi="Times New Roman" w:hint="default"/>
      </w:rPr>
    </w:lvl>
    <w:lvl w:ilvl="6" w:tplc="9CD0841E" w:tentative="1">
      <w:start w:val="1"/>
      <w:numFmt w:val="bullet"/>
      <w:lvlText w:val="•"/>
      <w:lvlJc w:val="left"/>
      <w:pPr>
        <w:tabs>
          <w:tab w:val="num" w:pos="5040"/>
        </w:tabs>
        <w:ind w:left="5040" w:hanging="360"/>
      </w:pPr>
      <w:rPr>
        <w:rFonts w:ascii="Times New Roman" w:hAnsi="Times New Roman" w:hint="default"/>
      </w:rPr>
    </w:lvl>
    <w:lvl w:ilvl="7" w:tplc="DEFAE16C" w:tentative="1">
      <w:start w:val="1"/>
      <w:numFmt w:val="bullet"/>
      <w:lvlText w:val="•"/>
      <w:lvlJc w:val="left"/>
      <w:pPr>
        <w:tabs>
          <w:tab w:val="num" w:pos="5760"/>
        </w:tabs>
        <w:ind w:left="5760" w:hanging="360"/>
      </w:pPr>
      <w:rPr>
        <w:rFonts w:ascii="Times New Roman" w:hAnsi="Times New Roman" w:hint="default"/>
      </w:rPr>
    </w:lvl>
    <w:lvl w:ilvl="8" w:tplc="7910F16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8F86802"/>
    <w:multiLevelType w:val="hybridMultilevel"/>
    <w:tmpl w:val="0AFCB20C"/>
    <w:lvl w:ilvl="0" w:tplc="08090001">
      <w:start w:val="1"/>
      <w:numFmt w:val="bullet"/>
      <w:lvlText w:val=""/>
      <w:lvlJc w:val="left"/>
      <w:pPr>
        <w:ind w:left="-1701" w:hanging="454"/>
      </w:pPr>
      <w:rPr>
        <w:rFonts w:ascii="Symbol" w:hAnsi="Symbol" w:hint="default"/>
      </w:rPr>
    </w:lvl>
    <w:lvl w:ilvl="1" w:tplc="FFFFFFFF" w:tentative="1">
      <w:start w:val="1"/>
      <w:numFmt w:val="bullet"/>
      <w:lvlText w:val="o"/>
      <w:lvlJc w:val="left"/>
      <w:pPr>
        <w:ind w:left="-1395" w:hanging="360"/>
      </w:pPr>
      <w:rPr>
        <w:rFonts w:ascii="Courier New" w:hAnsi="Courier New" w:cs="Courier New" w:hint="default"/>
      </w:rPr>
    </w:lvl>
    <w:lvl w:ilvl="2" w:tplc="FFFFFFFF" w:tentative="1">
      <w:start w:val="1"/>
      <w:numFmt w:val="bullet"/>
      <w:lvlText w:val=""/>
      <w:lvlJc w:val="left"/>
      <w:pPr>
        <w:ind w:left="-675" w:hanging="360"/>
      </w:pPr>
      <w:rPr>
        <w:rFonts w:ascii="Wingdings" w:hAnsi="Wingdings" w:hint="default"/>
      </w:rPr>
    </w:lvl>
    <w:lvl w:ilvl="3" w:tplc="FFFFFFFF" w:tentative="1">
      <w:start w:val="1"/>
      <w:numFmt w:val="bullet"/>
      <w:lvlText w:val=""/>
      <w:lvlJc w:val="left"/>
      <w:pPr>
        <w:ind w:left="45" w:hanging="360"/>
      </w:pPr>
      <w:rPr>
        <w:rFonts w:ascii="Symbol" w:hAnsi="Symbol" w:hint="default"/>
      </w:rPr>
    </w:lvl>
    <w:lvl w:ilvl="4" w:tplc="FFFFFFFF" w:tentative="1">
      <w:start w:val="1"/>
      <w:numFmt w:val="bullet"/>
      <w:lvlText w:val="o"/>
      <w:lvlJc w:val="left"/>
      <w:pPr>
        <w:ind w:left="765" w:hanging="360"/>
      </w:pPr>
      <w:rPr>
        <w:rFonts w:ascii="Courier New" w:hAnsi="Courier New" w:cs="Courier New" w:hint="default"/>
      </w:rPr>
    </w:lvl>
    <w:lvl w:ilvl="5" w:tplc="FFFFFFFF" w:tentative="1">
      <w:start w:val="1"/>
      <w:numFmt w:val="bullet"/>
      <w:lvlText w:val=""/>
      <w:lvlJc w:val="left"/>
      <w:pPr>
        <w:ind w:left="1485" w:hanging="360"/>
      </w:pPr>
      <w:rPr>
        <w:rFonts w:ascii="Wingdings" w:hAnsi="Wingdings" w:hint="default"/>
      </w:rPr>
    </w:lvl>
    <w:lvl w:ilvl="6" w:tplc="FFFFFFFF" w:tentative="1">
      <w:start w:val="1"/>
      <w:numFmt w:val="bullet"/>
      <w:lvlText w:val=""/>
      <w:lvlJc w:val="left"/>
      <w:pPr>
        <w:ind w:left="2205" w:hanging="360"/>
      </w:pPr>
      <w:rPr>
        <w:rFonts w:ascii="Symbol" w:hAnsi="Symbol" w:hint="default"/>
      </w:rPr>
    </w:lvl>
    <w:lvl w:ilvl="7" w:tplc="FFFFFFFF" w:tentative="1">
      <w:start w:val="1"/>
      <w:numFmt w:val="bullet"/>
      <w:lvlText w:val="o"/>
      <w:lvlJc w:val="left"/>
      <w:pPr>
        <w:ind w:left="2925" w:hanging="360"/>
      </w:pPr>
      <w:rPr>
        <w:rFonts w:ascii="Courier New" w:hAnsi="Courier New" w:cs="Courier New" w:hint="default"/>
      </w:rPr>
    </w:lvl>
    <w:lvl w:ilvl="8" w:tplc="FFFFFFFF" w:tentative="1">
      <w:start w:val="1"/>
      <w:numFmt w:val="bullet"/>
      <w:lvlText w:val=""/>
      <w:lvlJc w:val="left"/>
      <w:pPr>
        <w:ind w:left="3645" w:hanging="360"/>
      </w:pPr>
      <w:rPr>
        <w:rFonts w:ascii="Wingdings" w:hAnsi="Wingdings" w:hint="default"/>
      </w:rPr>
    </w:lvl>
  </w:abstractNum>
  <w:abstractNum w:abstractNumId="18" w15:restartNumberingAfterBreak="0">
    <w:nsid w:val="2D639A96"/>
    <w:multiLevelType w:val="hybridMultilevel"/>
    <w:tmpl w:val="9A9E282E"/>
    <w:lvl w:ilvl="0" w:tplc="FAF8BBFE">
      <w:start w:val="1"/>
      <w:numFmt w:val="bullet"/>
      <w:lvlText w:val=""/>
      <w:lvlJc w:val="left"/>
      <w:pPr>
        <w:ind w:left="720" w:hanging="360"/>
      </w:pPr>
      <w:rPr>
        <w:rFonts w:ascii="Symbol" w:hAnsi="Symbol" w:hint="default"/>
      </w:rPr>
    </w:lvl>
    <w:lvl w:ilvl="1" w:tplc="79066686">
      <w:start w:val="1"/>
      <w:numFmt w:val="bullet"/>
      <w:lvlText w:val="o"/>
      <w:lvlJc w:val="left"/>
      <w:pPr>
        <w:ind w:left="1440" w:hanging="360"/>
      </w:pPr>
      <w:rPr>
        <w:rFonts w:ascii="Courier New" w:hAnsi="Courier New" w:hint="default"/>
      </w:rPr>
    </w:lvl>
    <w:lvl w:ilvl="2" w:tplc="BCA494C2">
      <w:start w:val="1"/>
      <w:numFmt w:val="bullet"/>
      <w:lvlText w:val=""/>
      <w:lvlJc w:val="left"/>
      <w:pPr>
        <w:ind w:left="2160" w:hanging="360"/>
      </w:pPr>
      <w:rPr>
        <w:rFonts w:ascii="Wingdings" w:hAnsi="Wingdings" w:hint="default"/>
      </w:rPr>
    </w:lvl>
    <w:lvl w:ilvl="3" w:tplc="4C688F2C">
      <w:start w:val="1"/>
      <w:numFmt w:val="bullet"/>
      <w:lvlText w:val=""/>
      <w:lvlJc w:val="left"/>
      <w:pPr>
        <w:ind w:left="2880" w:hanging="360"/>
      </w:pPr>
      <w:rPr>
        <w:rFonts w:ascii="Symbol" w:hAnsi="Symbol" w:hint="default"/>
      </w:rPr>
    </w:lvl>
    <w:lvl w:ilvl="4" w:tplc="02164EE6">
      <w:start w:val="1"/>
      <w:numFmt w:val="bullet"/>
      <w:lvlText w:val="o"/>
      <w:lvlJc w:val="left"/>
      <w:pPr>
        <w:ind w:left="3600" w:hanging="360"/>
      </w:pPr>
      <w:rPr>
        <w:rFonts w:ascii="Courier New" w:hAnsi="Courier New" w:hint="default"/>
      </w:rPr>
    </w:lvl>
    <w:lvl w:ilvl="5" w:tplc="5C8CEB02">
      <w:start w:val="1"/>
      <w:numFmt w:val="bullet"/>
      <w:lvlText w:val=""/>
      <w:lvlJc w:val="left"/>
      <w:pPr>
        <w:ind w:left="4320" w:hanging="360"/>
      </w:pPr>
      <w:rPr>
        <w:rFonts w:ascii="Wingdings" w:hAnsi="Wingdings" w:hint="default"/>
      </w:rPr>
    </w:lvl>
    <w:lvl w:ilvl="6" w:tplc="56FEE212">
      <w:start w:val="1"/>
      <w:numFmt w:val="bullet"/>
      <w:lvlText w:val=""/>
      <w:lvlJc w:val="left"/>
      <w:pPr>
        <w:ind w:left="5040" w:hanging="360"/>
      </w:pPr>
      <w:rPr>
        <w:rFonts w:ascii="Symbol" w:hAnsi="Symbol" w:hint="default"/>
      </w:rPr>
    </w:lvl>
    <w:lvl w:ilvl="7" w:tplc="7ACC4440">
      <w:start w:val="1"/>
      <w:numFmt w:val="bullet"/>
      <w:lvlText w:val="o"/>
      <w:lvlJc w:val="left"/>
      <w:pPr>
        <w:ind w:left="5760" w:hanging="360"/>
      </w:pPr>
      <w:rPr>
        <w:rFonts w:ascii="Courier New" w:hAnsi="Courier New" w:hint="default"/>
      </w:rPr>
    </w:lvl>
    <w:lvl w:ilvl="8" w:tplc="CCE4E32A">
      <w:start w:val="1"/>
      <w:numFmt w:val="bullet"/>
      <w:lvlText w:val=""/>
      <w:lvlJc w:val="left"/>
      <w:pPr>
        <w:ind w:left="6480" w:hanging="360"/>
      </w:pPr>
      <w:rPr>
        <w:rFonts w:ascii="Wingdings" w:hAnsi="Wingdings" w:hint="default"/>
      </w:rPr>
    </w:lvl>
  </w:abstractNum>
  <w:abstractNum w:abstractNumId="19" w15:restartNumberingAfterBreak="0">
    <w:nsid w:val="2DF67247"/>
    <w:multiLevelType w:val="hybridMultilevel"/>
    <w:tmpl w:val="C12064C2"/>
    <w:lvl w:ilvl="0" w:tplc="08090001">
      <w:start w:val="1"/>
      <w:numFmt w:val="bullet"/>
      <w:lvlText w:val=""/>
      <w:lvlJc w:val="left"/>
      <w:pPr>
        <w:ind w:left="-1701" w:hanging="454"/>
      </w:pPr>
      <w:rPr>
        <w:rFonts w:ascii="Symbol" w:hAnsi="Symbol" w:hint="default"/>
      </w:rPr>
    </w:lvl>
    <w:lvl w:ilvl="1" w:tplc="FFFFFFFF" w:tentative="1">
      <w:start w:val="1"/>
      <w:numFmt w:val="bullet"/>
      <w:lvlText w:val="o"/>
      <w:lvlJc w:val="left"/>
      <w:pPr>
        <w:ind w:left="-1395" w:hanging="360"/>
      </w:pPr>
      <w:rPr>
        <w:rFonts w:ascii="Courier New" w:hAnsi="Courier New" w:cs="Courier New" w:hint="default"/>
      </w:rPr>
    </w:lvl>
    <w:lvl w:ilvl="2" w:tplc="FFFFFFFF" w:tentative="1">
      <w:start w:val="1"/>
      <w:numFmt w:val="bullet"/>
      <w:lvlText w:val=""/>
      <w:lvlJc w:val="left"/>
      <w:pPr>
        <w:ind w:left="-675" w:hanging="360"/>
      </w:pPr>
      <w:rPr>
        <w:rFonts w:ascii="Wingdings" w:hAnsi="Wingdings" w:hint="default"/>
      </w:rPr>
    </w:lvl>
    <w:lvl w:ilvl="3" w:tplc="FFFFFFFF" w:tentative="1">
      <w:start w:val="1"/>
      <w:numFmt w:val="bullet"/>
      <w:lvlText w:val=""/>
      <w:lvlJc w:val="left"/>
      <w:pPr>
        <w:ind w:left="45" w:hanging="360"/>
      </w:pPr>
      <w:rPr>
        <w:rFonts w:ascii="Symbol" w:hAnsi="Symbol" w:hint="default"/>
      </w:rPr>
    </w:lvl>
    <w:lvl w:ilvl="4" w:tplc="FFFFFFFF" w:tentative="1">
      <w:start w:val="1"/>
      <w:numFmt w:val="bullet"/>
      <w:lvlText w:val="o"/>
      <w:lvlJc w:val="left"/>
      <w:pPr>
        <w:ind w:left="765" w:hanging="360"/>
      </w:pPr>
      <w:rPr>
        <w:rFonts w:ascii="Courier New" w:hAnsi="Courier New" w:cs="Courier New" w:hint="default"/>
      </w:rPr>
    </w:lvl>
    <w:lvl w:ilvl="5" w:tplc="FFFFFFFF" w:tentative="1">
      <w:start w:val="1"/>
      <w:numFmt w:val="bullet"/>
      <w:lvlText w:val=""/>
      <w:lvlJc w:val="left"/>
      <w:pPr>
        <w:ind w:left="1485" w:hanging="360"/>
      </w:pPr>
      <w:rPr>
        <w:rFonts w:ascii="Wingdings" w:hAnsi="Wingdings" w:hint="default"/>
      </w:rPr>
    </w:lvl>
    <w:lvl w:ilvl="6" w:tplc="FFFFFFFF" w:tentative="1">
      <w:start w:val="1"/>
      <w:numFmt w:val="bullet"/>
      <w:lvlText w:val=""/>
      <w:lvlJc w:val="left"/>
      <w:pPr>
        <w:ind w:left="2205" w:hanging="360"/>
      </w:pPr>
      <w:rPr>
        <w:rFonts w:ascii="Symbol" w:hAnsi="Symbol" w:hint="default"/>
      </w:rPr>
    </w:lvl>
    <w:lvl w:ilvl="7" w:tplc="FFFFFFFF" w:tentative="1">
      <w:start w:val="1"/>
      <w:numFmt w:val="bullet"/>
      <w:lvlText w:val="o"/>
      <w:lvlJc w:val="left"/>
      <w:pPr>
        <w:ind w:left="2925" w:hanging="360"/>
      </w:pPr>
      <w:rPr>
        <w:rFonts w:ascii="Courier New" w:hAnsi="Courier New" w:cs="Courier New" w:hint="default"/>
      </w:rPr>
    </w:lvl>
    <w:lvl w:ilvl="8" w:tplc="FFFFFFFF" w:tentative="1">
      <w:start w:val="1"/>
      <w:numFmt w:val="bullet"/>
      <w:lvlText w:val=""/>
      <w:lvlJc w:val="left"/>
      <w:pPr>
        <w:ind w:left="3645" w:hanging="360"/>
      </w:pPr>
      <w:rPr>
        <w:rFonts w:ascii="Wingdings" w:hAnsi="Wingdings" w:hint="default"/>
      </w:rPr>
    </w:lvl>
  </w:abstractNum>
  <w:abstractNum w:abstractNumId="20" w15:restartNumberingAfterBreak="0">
    <w:nsid w:val="31F660F0"/>
    <w:multiLevelType w:val="hybridMultilevel"/>
    <w:tmpl w:val="6B260F80"/>
    <w:lvl w:ilvl="0" w:tplc="1C7406A4">
      <w:start w:val="1"/>
      <w:numFmt w:val="bullet"/>
      <w:lvlText w:val="•"/>
      <w:lvlJc w:val="left"/>
      <w:pPr>
        <w:tabs>
          <w:tab w:val="num" w:pos="720"/>
        </w:tabs>
        <w:ind w:left="720" w:hanging="360"/>
      </w:pPr>
      <w:rPr>
        <w:rFonts w:ascii="Arial" w:hAnsi="Arial" w:hint="default"/>
      </w:rPr>
    </w:lvl>
    <w:lvl w:ilvl="1" w:tplc="0E80969E" w:tentative="1">
      <w:start w:val="1"/>
      <w:numFmt w:val="bullet"/>
      <w:lvlText w:val="•"/>
      <w:lvlJc w:val="left"/>
      <w:pPr>
        <w:tabs>
          <w:tab w:val="num" w:pos="1440"/>
        </w:tabs>
        <w:ind w:left="1440" w:hanging="360"/>
      </w:pPr>
      <w:rPr>
        <w:rFonts w:ascii="Arial" w:hAnsi="Arial" w:hint="default"/>
      </w:rPr>
    </w:lvl>
    <w:lvl w:ilvl="2" w:tplc="D2AC9258" w:tentative="1">
      <w:start w:val="1"/>
      <w:numFmt w:val="bullet"/>
      <w:lvlText w:val="•"/>
      <w:lvlJc w:val="left"/>
      <w:pPr>
        <w:tabs>
          <w:tab w:val="num" w:pos="2160"/>
        </w:tabs>
        <w:ind w:left="2160" w:hanging="360"/>
      </w:pPr>
      <w:rPr>
        <w:rFonts w:ascii="Arial" w:hAnsi="Arial" w:hint="default"/>
      </w:rPr>
    </w:lvl>
    <w:lvl w:ilvl="3" w:tplc="D256B3F2" w:tentative="1">
      <w:start w:val="1"/>
      <w:numFmt w:val="bullet"/>
      <w:lvlText w:val="•"/>
      <w:lvlJc w:val="left"/>
      <w:pPr>
        <w:tabs>
          <w:tab w:val="num" w:pos="2880"/>
        </w:tabs>
        <w:ind w:left="2880" w:hanging="360"/>
      </w:pPr>
      <w:rPr>
        <w:rFonts w:ascii="Arial" w:hAnsi="Arial" w:hint="default"/>
      </w:rPr>
    </w:lvl>
    <w:lvl w:ilvl="4" w:tplc="CC3CAC1C" w:tentative="1">
      <w:start w:val="1"/>
      <w:numFmt w:val="bullet"/>
      <w:lvlText w:val="•"/>
      <w:lvlJc w:val="left"/>
      <w:pPr>
        <w:tabs>
          <w:tab w:val="num" w:pos="3600"/>
        </w:tabs>
        <w:ind w:left="3600" w:hanging="360"/>
      </w:pPr>
      <w:rPr>
        <w:rFonts w:ascii="Arial" w:hAnsi="Arial" w:hint="default"/>
      </w:rPr>
    </w:lvl>
    <w:lvl w:ilvl="5" w:tplc="3CEC9ECE" w:tentative="1">
      <w:start w:val="1"/>
      <w:numFmt w:val="bullet"/>
      <w:lvlText w:val="•"/>
      <w:lvlJc w:val="left"/>
      <w:pPr>
        <w:tabs>
          <w:tab w:val="num" w:pos="4320"/>
        </w:tabs>
        <w:ind w:left="4320" w:hanging="360"/>
      </w:pPr>
      <w:rPr>
        <w:rFonts w:ascii="Arial" w:hAnsi="Arial" w:hint="default"/>
      </w:rPr>
    </w:lvl>
    <w:lvl w:ilvl="6" w:tplc="F3F22068" w:tentative="1">
      <w:start w:val="1"/>
      <w:numFmt w:val="bullet"/>
      <w:lvlText w:val="•"/>
      <w:lvlJc w:val="left"/>
      <w:pPr>
        <w:tabs>
          <w:tab w:val="num" w:pos="5040"/>
        </w:tabs>
        <w:ind w:left="5040" w:hanging="360"/>
      </w:pPr>
      <w:rPr>
        <w:rFonts w:ascii="Arial" w:hAnsi="Arial" w:hint="default"/>
      </w:rPr>
    </w:lvl>
    <w:lvl w:ilvl="7" w:tplc="9432BF82" w:tentative="1">
      <w:start w:val="1"/>
      <w:numFmt w:val="bullet"/>
      <w:lvlText w:val="•"/>
      <w:lvlJc w:val="left"/>
      <w:pPr>
        <w:tabs>
          <w:tab w:val="num" w:pos="5760"/>
        </w:tabs>
        <w:ind w:left="5760" w:hanging="360"/>
      </w:pPr>
      <w:rPr>
        <w:rFonts w:ascii="Arial" w:hAnsi="Arial" w:hint="default"/>
      </w:rPr>
    </w:lvl>
    <w:lvl w:ilvl="8" w:tplc="7DC2FF6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4A43F55"/>
    <w:multiLevelType w:val="hybridMultilevel"/>
    <w:tmpl w:val="2350F65A"/>
    <w:lvl w:ilvl="0" w:tplc="08090001">
      <w:start w:val="1"/>
      <w:numFmt w:val="bullet"/>
      <w:lvlText w:val=""/>
      <w:lvlJc w:val="left"/>
      <w:pPr>
        <w:ind w:left="-1701" w:hanging="454"/>
      </w:pPr>
      <w:rPr>
        <w:rFonts w:ascii="Symbol" w:hAnsi="Symbol" w:hint="default"/>
      </w:rPr>
    </w:lvl>
    <w:lvl w:ilvl="1" w:tplc="FFFFFFFF" w:tentative="1">
      <w:start w:val="1"/>
      <w:numFmt w:val="bullet"/>
      <w:lvlText w:val="o"/>
      <w:lvlJc w:val="left"/>
      <w:pPr>
        <w:ind w:left="-1395" w:hanging="360"/>
      </w:pPr>
      <w:rPr>
        <w:rFonts w:ascii="Courier New" w:hAnsi="Courier New" w:cs="Courier New" w:hint="default"/>
      </w:rPr>
    </w:lvl>
    <w:lvl w:ilvl="2" w:tplc="FFFFFFFF" w:tentative="1">
      <w:start w:val="1"/>
      <w:numFmt w:val="bullet"/>
      <w:lvlText w:val=""/>
      <w:lvlJc w:val="left"/>
      <w:pPr>
        <w:ind w:left="-675" w:hanging="360"/>
      </w:pPr>
      <w:rPr>
        <w:rFonts w:ascii="Wingdings" w:hAnsi="Wingdings" w:hint="default"/>
      </w:rPr>
    </w:lvl>
    <w:lvl w:ilvl="3" w:tplc="FFFFFFFF" w:tentative="1">
      <w:start w:val="1"/>
      <w:numFmt w:val="bullet"/>
      <w:lvlText w:val=""/>
      <w:lvlJc w:val="left"/>
      <w:pPr>
        <w:ind w:left="45" w:hanging="360"/>
      </w:pPr>
      <w:rPr>
        <w:rFonts w:ascii="Symbol" w:hAnsi="Symbol" w:hint="default"/>
      </w:rPr>
    </w:lvl>
    <w:lvl w:ilvl="4" w:tplc="FFFFFFFF" w:tentative="1">
      <w:start w:val="1"/>
      <w:numFmt w:val="bullet"/>
      <w:lvlText w:val="o"/>
      <w:lvlJc w:val="left"/>
      <w:pPr>
        <w:ind w:left="765" w:hanging="360"/>
      </w:pPr>
      <w:rPr>
        <w:rFonts w:ascii="Courier New" w:hAnsi="Courier New" w:cs="Courier New" w:hint="default"/>
      </w:rPr>
    </w:lvl>
    <w:lvl w:ilvl="5" w:tplc="FFFFFFFF" w:tentative="1">
      <w:start w:val="1"/>
      <w:numFmt w:val="bullet"/>
      <w:lvlText w:val=""/>
      <w:lvlJc w:val="left"/>
      <w:pPr>
        <w:ind w:left="1485" w:hanging="360"/>
      </w:pPr>
      <w:rPr>
        <w:rFonts w:ascii="Wingdings" w:hAnsi="Wingdings" w:hint="default"/>
      </w:rPr>
    </w:lvl>
    <w:lvl w:ilvl="6" w:tplc="FFFFFFFF" w:tentative="1">
      <w:start w:val="1"/>
      <w:numFmt w:val="bullet"/>
      <w:lvlText w:val=""/>
      <w:lvlJc w:val="left"/>
      <w:pPr>
        <w:ind w:left="2205" w:hanging="360"/>
      </w:pPr>
      <w:rPr>
        <w:rFonts w:ascii="Symbol" w:hAnsi="Symbol" w:hint="default"/>
      </w:rPr>
    </w:lvl>
    <w:lvl w:ilvl="7" w:tplc="FFFFFFFF" w:tentative="1">
      <w:start w:val="1"/>
      <w:numFmt w:val="bullet"/>
      <w:lvlText w:val="o"/>
      <w:lvlJc w:val="left"/>
      <w:pPr>
        <w:ind w:left="2925" w:hanging="360"/>
      </w:pPr>
      <w:rPr>
        <w:rFonts w:ascii="Courier New" w:hAnsi="Courier New" w:cs="Courier New" w:hint="default"/>
      </w:rPr>
    </w:lvl>
    <w:lvl w:ilvl="8" w:tplc="FFFFFFFF" w:tentative="1">
      <w:start w:val="1"/>
      <w:numFmt w:val="bullet"/>
      <w:lvlText w:val=""/>
      <w:lvlJc w:val="left"/>
      <w:pPr>
        <w:ind w:left="3645" w:hanging="360"/>
      </w:pPr>
      <w:rPr>
        <w:rFonts w:ascii="Wingdings" w:hAnsi="Wingdings" w:hint="default"/>
      </w:rPr>
    </w:lvl>
  </w:abstractNum>
  <w:abstractNum w:abstractNumId="22" w15:restartNumberingAfterBreak="0">
    <w:nsid w:val="3B0F6C72"/>
    <w:multiLevelType w:val="hybridMultilevel"/>
    <w:tmpl w:val="71A2D5F8"/>
    <w:lvl w:ilvl="0" w:tplc="08090001">
      <w:start w:val="1"/>
      <w:numFmt w:val="bullet"/>
      <w:lvlText w:val=""/>
      <w:lvlJc w:val="left"/>
      <w:pPr>
        <w:ind w:left="-1701" w:hanging="454"/>
      </w:pPr>
      <w:rPr>
        <w:rFonts w:ascii="Symbol" w:hAnsi="Symbol" w:hint="default"/>
      </w:rPr>
    </w:lvl>
    <w:lvl w:ilvl="1" w:tplc="FFFFFFFF" w:tentative="1">
      <w:start w:val="1"/>
      <w:numFmt w:val="bullet"/>
      <w:lvlText w:val="o"/>
      <w:lvlJc w:val="left"/>
      <w:pPr>
        <w:ind w:left="-1395" w:hanging="360"/>
      </w:pPr>
      <w:rPr>
        <w:rFonts w:ascii="Courier New" w:hAnsi="Courier New" w:cs="Courier New" w:hint="default"/>
      </w:rPr>
    </w:lvl>
    <w:lvl w:ilvl="2" w:tplc="FFFFFFFF" w:tentative="1">
      <w:start w:val="1"/>
      <w:numFmt w:val="bullet"/>
      <w:lvlText w:val=""/>
      <w:lvlJc w:val="left"/>
      <w:pPr>
        <w:ind w:left="-675" w:hanging="360"/>
      </w:pPr>
      <w:rPr>
        <w:rFonts w:ascii="Wingdings" w:hAnsi="Wingdings" w:hint="default"/>
      </w:rPr>
    </w:lvl>
    <w:lvl w:ilvl="3" w:tplc="FFFFFFFF" w:tentative="1">
      <w:start w:val="1"/>
      <w:numFmt w:val="bullet"/>
      <w:lvlText w:val=""/>
      <w:lvlJc w:val="left"/>
      <w:pPr>
        <w:ind w:left="45" w:hanging="360"/>
      </w:pPr>
      <w:rPr>
        <w:rFonts w:ascii="Symbol" w:hAnsi="Symbol" w:hint="default"/>
      </w:rPr>
    </w:lvl>
    <w:lvl w:ilvl="4" w:tplc="FFFFFFFF" w:tentative="1">
      <w:start w:val="1"/>
      <w:numFmt w:val="bullet"/>
      <w:lvlText w:val="o"/>
      <w:lvlJc w:val="left"/>
      <w:pPr>
        <w:ind w:left="765" w:hanging="360"/>
      </w:pPr>
      <w:rPr>
        <w:rFonts w:ascii="Courier New" w:hAnsi="Courier New" w:cs="Courier New" w:hint="default"/>
      </w:rPr>
    </w:lvl>
    <w:lvl w:ilvl="5" w:tplc="FFFFFFFF" w:tentative="1">
      <w:start w:val="1"/>
      <w:numFmt w:val="bullet"/>
      <w:lvlText w:val=""/>
      <w:lvlJc w:val="left"/>
      <w:pPr>
        <w:ind w:left="1485" w:hanging="360"/>
      </w:pPr>
      <w:rPr>
        <w:rFonts w:ascii="Wingdings" w:hAnsi="Wingdings" w:hint="default"/>
      </w:rPr>
    </w:lvl>
    <w:lvl w:ilvl="6" w:tplc="FFFFFFFF" w:tentative="1">
      <w:start w:val="1"/>
      <w:numFmt w:val="bullet"/>
      <w:lvlText w:val=""/>
      <w:lvlJc w:val="left"/>
      <w:pPr>
        <w:ind w:left="2205" w:hanging="360"/>
      </w:pPr>
      <w:rPr>
        <w:rFonts w:ascii="Symbol" w:hAnsi="Symbol" w:hint="default"/>
      </w:rPr>
    </w:lvl>
    <w:lvl w:ilvl="7" w:tplc="FFFFFFFF" w:tentative="1">
      <w:start w:val="1"/>
      <w:numFmt w:val="bullet"/>
      <w:lvlText w:val="o"/>
      <w:lvlJc w:val="left"/>
      <w:pPr>
        <w:ind w:left="2925" w:hanging="360"/>
      </w:pPr>
      <w:rPr>
        <w:rFonts w:ascii="Courier New" w:hAnsi="Courier New" w:cs="Courier New" w:hint="default"/>
      </w:rPr>
    </w:lvl>
    <w:lvl w:ilvl="8" w:tplc="FFFFFFFF" w:tentative="1">
      <w:start w:val="1"/>
      <w:numFmt w:val="bullet"/>
      <w:lvlText w:val=""/>
      <w:lvlJc w:val="left"/>
      <w:pPr>
        <w:ind w:left="3645" w:hanging="360"/>
      </w:pPr>
      <w:rPr>
        <w:rFonts w:ascii="Wingdings" w:hAnsi="Wingdings" w:hint="default"/>
      </w:rPr>
    </w:lvl>
  </w:abstractNum>
  <w:abstractNum w:abstractNumId="23" w15:restartNumberingAfterBreak="0">
    <w:nsid w:val="3E575214"/>
    <w:multiLevelType w:val="hybridMultilevel"/>
    <w:tmpl w:val="496E8858"/>
    <w:lvl w:ilvl="0" w:tplc="08090001">
      <w:start w:val="1"/>
      <w:numFmt w:val="bullet"/>
      <w:lvlText w:val=""/>
      <w:lvlJc w:val="left"/>
      <w:pPr>
        <w:ind w:left="-1701" w:hanging="454"/>
      </w:pPr>
      <w:rPr>
        <w:rFonts w:ascii="Symbol" w:hAnsi="Symbol" w:hint="default"/>
      </w:rPr>
    </w:lvl>
    <w:lvl w:ilvl="1" w:tplc="FFFFFFFF" w:tentative="1">
      <w:start w:val="1"/>
      <w:numFmt w:val="bullet"/>
      <w:lvlText w:val="o"/>
      <w:lvlJc w:val="left"/>
      <w:pPr>
        <w:ind w:left="-1395" w:hanging="360"/>
      </w:pPr>
      <w:rPr>
        <w:rFonts w:ascii="Courier New" w:hAnsi="Courier New" w:cs="Courier New" w:hint="default"/>
      </w:rPr>
    </w:lvl>
    <w:lvl w:ilvl="2" w:tplc="FFFFFFFF" w:tentative="1">
      <w:start w:val="1"/>
      <w:numFmt w:val="bullet"/>
      <w:lvlText w:val=""/>
      <w:lvlJc w:val="left"/>
      <w:pPr>
        <w:ind w:left="-675" w:hanging="360"/>
      </w:pPr>
      <w:rPr>
        <w:rFonts w:ascii="Wingdings" w:hAnsi="Wingdings" w:hint="default"/>
      </w:rPr>
    </w:lvl>
    <w:lvl w:ilvl="3" w:tplc="FFFFFFFF" w:tentative="1">
      <w:start w:val="1"/>
      <w:numFmt w:val="bullet"/>
      <w:lvlText w:val=""/>
      <w:lvlJc w:val="left"/>
      <w:pPr>
        <w:ind w:left="45" w:hanging="360"/>
      </w:pPr>
      <w:rPr>
        <w:rFonts w:ascii="Symbol" w:hAnsi="Symbol" w:hint="default"/>
      </w:rPr>
    </w:lvl>
    <w:lvl w:ilvl="4" w:tplc="FFFFFFFF" w:tentative="1">
      <w:start w:val="1"/>
      <w:numFmt w:val="bullet"/>
      <w:lvlText w:val="o"/>
      <w:lvlJc w:val="left"/>
      <w:pPr>
        <w:ind w:left="765" w:hanging="360"/>
      </w:pPr>
      <w:rPr>
        <w:rFonts w:ascii="Courier New" w:hAnsi="Courier New" w:cs="Courier New" w:hint="default"/>
      </w:rPr>
    </w:lvl>
    <w:lvl w:ilvl="5" w:tplc="FFFFFFFF" w:tentative="1">
      <w:start w:val="1"/>
      <w:numFmt w:val="bullet"/>
      <w:lvlText w:val=""/>
      <w:lvlJc w:val="left"/>
      <w:pPr>
        <w:ind w:left="1485" w:hanging="360"/>
      </w:pPr>
      <w:rPr>
        <w:rFonts w:ascii="Wingdings" w:hAnsi="Wingdings" w:hint="default"/>
      </w:rPr>
    </w:lvl>
    <w:lvl w:ilvl="6" w:tplc="FFFFFFFF" w:tentative="1">
      <w:start w:val="1"/>
      <w:numFmt w:val="bullet"/>
      <w:lvlText w:val=""/>
      <w:lvlJc w:val="left"/>
      <w:pPr>
        <w:ind w:left="2205" w:hanging="360"/>
      </w:pPr>
      <w:rPr>
        <w:rFonts w:ascii="Symbol" w:hAnsi="Symbol" w:hint="default"/>
      </w:rPr>
    </w:lvl>
    <w:lvl w:ilvl="7" w:tplc="FFFFFFFF" w:tentative="1">
      <w:start w:val="1"/>
      <w:numFmt w:val="bullet"/>
      <w:lvlText w:val="o"/>
      <w:lvlJc w:val="left"/>
      <w:pPr>
        <w:ind w:left="2925" w:hanging="360"/>
      </w:pPr>
      <w:rPr>
        <w:rFonts w:ascii="Courier New" w:hAnsi="Courier New" w:cs="Courier New" w:hint="default"/>
      </w:rPr>
    </w:lvl>
    <w:lvl w:ilvl="8" w:tplc="FFFFFFFF" w:tentative="1">
      <w:start w:val="1"/>
      <w:numFmt w:val="bullet"/>
      <w:lvlText w:val=""/>
      <w:lvlJc w:val="left"/>
      <w:pPr>
        <w:ind w:left="3645" w:hanging="360"/>
      </w:pPr>
      <w:rPr>
        <w:rFonts w:ascii="Wingdings" w:hAnsi="Wingdings" w:hint="default"/>
      </w:rPr>
    </w:lvl>
  </w:abstractNum>
  <w:abstractNum w:abstractNumId="24" w15:restartNumberingAfterBreak="0">
    <w:nsid w:val="4FF001E5"/>
    <w:multiLevelType w:val="hybridMultilevel"/>
    <w:tmpl w:val="A3824646"/>
    <w:lvl w:ilvl="0" w:tplc="4292538E">
      <w:start w:val="1"/>
      <w:numFmt w:val="decimal"/>
      <w:lvlText w:val="%1."/>
      <w:lvlJc w:val="left"/>
      <w:pPr>
        <w:ind w:left="1140" w:hanging="360"/>
      </w:pPr>
    </w:lvl>
    <w:lvl w:ilvl="1" w:tplc="FBB88564">
      <w:start w:val="1"/>
      <w:numFmt w:val="decimal"/>
      <w:lvlText w:val="%2."/>
      <w:lvlJc w:val="left"/>
      <w:pPr>
        <w:ind w:left="1140" w:hanging="360"/>
      </w:pPr>
    </w:lvl>
    <w:lvl w:ilvl="2" w:tplc="C41ACD3A">
      <w:start w:val="1"/>
      <w:numFmt w:val="decimal"/>
      <w:lvlText w:val="%3."/>
      <w:lvlJc w:val="left"/>
      <w:pPr>
        <w:ind w:left="1140" w:hanging="360"/>
      </w:pPr>
    </w:lvl>
    <w:lvl w:ilvl="3" w:tplc="D2F6AF78">
      <w:start w:val="1"/>
      <w:numFmt w:val="decimal"/>
      <w:lvlText w:val="%4."/>
      <w:lvlJc w:val="left"/>
      <w:pPr>
        <w:ind w:left="1140" w:hanging="360"/>
      </w:pPr>
    </w:lvl>
    <w:lvl w:ilvl="4" w:tplc="0F0816FC">
      <w:start w:val="1"/>
      <w:numFmt w:val="decimal"/>
      <w:lvlText w:val="%5."/>
      <w:lvlJc w:val="left"/>
      <w:pPr>
        <w:ind w:left="1140" w:hanging="360"/>
      </w:pPr>
    </w:lvl>
    <w:lvl w:ilvl="5" w:tplc="1974F540">
      <w:start w:val="1"/>
      <w:numFmt w:val="decimal"/>
      <w:lvlText w:val="%6."/>
      <w:lvlJc w:val="left"/>
      <w:pPr>
        <w:ind w:left="1140" w:hanging="360"/>
      </w:pPr>
    </w:lvl>
    <w:lvl w:ilvl="6" w:tplc="36C6D77A">
      <w:start w:val="1"/>
      <w:numFmt w:val="decimal"/>
      <w:lvlText w:val="%7."/>
      <w:lvlJc w:val="left"/>
      <w:pPr>
        <w:ind w:left="1140" w:hanging="360"/>
      </w:pPr>
    </w:lvl>
    <w:lvl w:ilvl="7" w:tplc="0BECDD5C">
      <w:start w:val="1"/>
      <w:numFmt w:val="decimal"/>
      <w:lvlText w:val="%8."/>
      <w:lvlJc w:val="left"/>
      <w:pPr>
        <w:ind w:left="1140" w:hanging="360"/>
      </w:pPr>
    </w:lvl>
    <w:lvl w:ilvl="8" w:tplc="B1F81E14">
      <w:start w:val="1"/>
      <w:numFmt w:val="decimal"/>
      <w:lvlText w:val="%9."/>
      <w:lvlJc w:val="left"/>
      <w:pPr>
        <w:ind w:left="1140" w:hanging="360"/>
      </w:pPr>
    </w:lvl>
  </w:abstractNum>
  <w:abstractNum w:abstractNumId="25" w15:restartNumberingAfterBreak="0">
    <w:nsid w:val="59C93D14"/>
    <w:multiLevelType w:val="hybridMultilevel"/>
    <w:tmpl w:val="350A176A"/>
    <w:lvl w:ilvl="0" w:tplc="C5B09496">
      <w:start w:val="1"/>
      <w:numFmt w:val="decimal"/>
      <w:pStyle w:val="ParagraphNumbered"/>
      <w:lvlText w:val="%1."/>
      <w:lvlJc w:val="left"/>
      <w:pPr>
        <w:ind w:left="851" w:hanging="851"/>
      </w:pPr>
      <w:rPr>
        <w:rFonts w:hint="default"/>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7" w15:restartNumberingAfterBreak="0">
    <w:nsid w:val="670C7AF4"/>
    <w:multiLevelType w:val="hybridMultilevel"/>
    <w:tmpl w:val="60C86CD8"/>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696F2189"/>
    <w:multiLevelType w:val="hybridMultilevel"/>
    <w:tmpl w:val="7DD6DEFA"/>
    <w:lvl w:ilvl="0" w:tplc="FFFFFFFF">
      <w:start w:val="1"/>
      <w:numFmt w:val="decimal"/>
      <w:pStyle w:val="Bullets"/>
      <w:lvlText w:val="%1."/>
      <w:lvlJc w:val="left"/>
      <w:pPr>
        <w:ind w:left="-1701" w:hanging="454"/>
      </w:pPr>
      <w:rPr>
        <w:rFonts w:hint="default"/>
      </w:rPr>
    </w:lvl>
    <w:lvl w:ilvl="1" w:tplc="08090003" w:tentative="1">
      <w:start w:val="1"/>
      <w:numFmt w:val="bullet"/>
      <w:lvlText w:val="o"/>
      <w:lvlJc w:val="left"/>
      <w:pPr>
        <w:ind w:left="-1395" w:hanging="360"/>
      </w:pPr>
      <w:rPr>
        <w:rFonts w:ascii="Courier New" w:hAnsi="Courier New" w:cs="Courier New" w:hint="default"/>
      </w:rPr>
    </w:lvl>
    <w:lvl w:ilvl="2" w:tplc="08090005" w:tentative="1">
      <w:start w:val="1"/>
      <w:numFmt w:val="bullet"/>
      <w:lvlText w:val=""/>
      <w:lvlJc w:val="left"/>
      <w:pPr>
        <w:ind w:left="-675" w:hanging="360"/>
      </w:pPr>
      <w:rPr>
        <w:rFonts w:ascii="Wingdings" w:hAnsi="Wingdings" w:hint="default"/>
      </w:rPr>
    </w:lvl>
    <w:lvl w:ilvl="3" w:tplc="08090001" w:tentative="1">
      <w:start w:val="1"/>
      <w:numFmt w:val="bullet"/>
      <w:lvlText w:val=""/>
      <w:lvlJc w:val="left"/>
      <w:pPr>
        <w:ind w:left="45" w:hanging="360"/>
      </w:pPr>
      <w:rPr>
        <w:rFonts w:ascii="Symbol" w:hAnsi="Symbol" w:hint="default"/>
      </w:rPr>
    </w:lvl>
    <w:lvl w:ilvl="4" w:tplc="08090003" w:tentative="1">
      <w:start w:val="1"/>
      <w:numFmt w:val="bullet"/>
      <w:lvlText w:val="o"/>
      <w:lvlJc w:val="left"/>
      <w:pPr>
        <w:ind w:left="765" w:hanging="360"/>
      </w:pPr>
      <w:rPr>
        <w:rFonts w:ascii="Courier New" w:hAnsi="Courier New" w:cs="Courier New" w:hint="default"/>
      </w:rPr>
    </w:lvl>
    <w:lvl w:ilvl="5" w:tplc="08090005" w:tentative="1">
      <w:start w:val="1"/>
      <w:numFmt w:val="bullet"/>
      <w:lvlText w:val=""/>
      <w:lvlJc w:val="left"/>
      <w:pPr>
        <w:ind w:left="1485" w:hanging="360"/>
      </w:pPr>
      <w:rPr>
        <w:rFonts w:ascii="Wingdings" w:hAnsi="Wingdings" w:hint="default"/>
      </w:rPr>
    </w:lvl>
    <w:lvl w:ilvl="6" w:tplc="08090001" w:tentative="1">
      <w:start w:val="1"/>
      <w:numFmt w:val="bullet"/>
      <w:lvlText w:val=""/>
      <w:lvlJc w:val="left"/>
      <w:pPr>
        <w:ind w:left="2205" w:hanging="360"/>
      </w:pPr>
      <w:rPr>
        <w:rFonts w:ascii="Symbol" w:hAnsi="Symbol" w:hint="default"/>
      </w:rPr>
    </w:lvl>
    <w:lvl w:ilvl="7" w:tplc="08090003" w:tentative="1">
      <w:start w:val="1"/>
      <w:numFmt w:val="bullet"/>
      <w:lvlText w:val="o"/>
      <w:lvlJc w:val="left"/>
      <w:pPr>
        <w:ind w:left="2925" w:hanging="360"/>
      </w:pPr>
      <w:rPr>
        <w:rFonts w:ascii="Courier New" w:hAnsi="Courier New" w:cs="Courier New" w:hint="default"/>
      </w:rPr>
    </w:lvl>
    <w:lvl w:ilvl="8" w:tplc="08090005" w:tentative="1">
      <w:start w:val="1"/>
      <w:numFmt w:val="bullet"/>
      <w:lvlText w:val=""/>
      <w:lvlJc w:val="left"/>
      <w:pPr>
        <w:ind w:left="3645" w:hanging="360"/>
      </w:pPr>
      <w:rPr>
        <w:rFonts w:ascii="Wingdings" w:hAnsi="Wingdings" w:hint="default"/>
      </w:rPr>
    </w:lvl>
  </w:abstractNum>
  <w:abstractNum w:abstractNumId="29" w15:restartNumberingAfterBreak="0">
    <w:nsid w:val="6CF2412F"/>
    <w:multiLevelType w:val="hybridMultilevel"/>
    <w:tmpl w:val="D5BE54C8"/>
    <w:lvl w:ilvl="0" w:tplc="0809001B">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 w15:restartNumberingAfterBreak="0">
    <w:nsid w:val="6E1D105B"/>
    <w:multiLevelType w:val="hybridMultilevel"/>
    <w:tmpl w:val="5FFE096E"/>
    <w:lvl w:ilvl="0" w:tplc="0809001B">
      <w:start w:val="1"/>
      <w:numFmt w:val="lowerRoman"/>
      <w:lvlText w:val="%1."/>
      <w:lvlJc w:val="right"/>
      <w:pPr>
        <w:ind w:left="1400" w:hanging="360"/>
      </w:p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31"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32" w15:restartNumberingAfterBreak="0">
    <w:nsid w:val="71A7662E"/>
    <w:multiLevelType w:val="hybridMultilevel"/>
    <w:tmpl w:val="7994B6A2"/>
    <w:lvl w:ilvl="0" w:tplc="0809001B">
      <w:start w:val="1"/>
      <w:numFmt w:val="lowerRoman"/>
      <w:lvlText w:val="%1."/>
      <w:lvlJc w:val="right"/>
      <w:pPr>
        <w:ind w:left="1134" w:hanging="45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3123875"/>
    <w:multiLevelType w:val="hybridMultilevel"/>
    <w:tmpl w:val="2CF64D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384370">
    <w:abstractNumId w:val="25"/>
  </w:num>
  <w:num w:numId="2" w16cid:durableId="1271931310">
    <w:abstractNumId w:val="28"/>
  </w:num>
  <w:num w:numId="3" w16cid:durableId="987441700">
    <w:abstractNumId w:val="28"/>
    <w:lvlOverride w:ilvl="0">
      <w:startOverride w:val="1"/>
    </w:lvlOverride>
  </w:num>
  <w:num w:numId="4" w16cid:durableId="1499422565">
    <w:abstractNumId w:val="28"/>
    <w:lvlOverride w:ilvl="0">
      <w:startOverride w:val="1"/>
    </w:lvlOverride>
  </w:num>
  <w:num w:numId="5" w16cid:durableId="2069916214">
    <w:abstractNumId w:val="28"/>
    <w:lvlOverride w:ilvl="0">
      <w:startOverride w:val="1"/>
    </w:lvlOverride>
  </w:num>
  <w:num w:numId="6" w16cid:durableId="1714303981">
    <w:abstractNumId w:val="28"/>
    <w:lvlOverride w:ilvl="0">
      <w:startOverride w:val="1"/>
    </w:lvlOverride>
  </w:num>
  <w:num w:numId="7" w16cid:durableId="1383334273">
    <w:abstractNumId w:val="28"/>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15"/>
  </w:num>
  <w:num w:numId="19" w16cid:durableId="1373924523">
    <w:abstractNumId w:val="15"/>
    <w:lvlOverride w:ilvl="0">
      <w:startOverride w:val="1"/>
    </w:lvlOverride>
  </w:num>
  <w:num w:numId="20" w16cid:durableId="399716702">
    <w:abstractNumId w:val="25"/>
  </w:num>
  <w:num w:numId="21" w16cid:durableId="1595244151">
    <w:abstractNumId w:val="28"/>
  </w:num>
  <w:num w:numId="22" w16cid:durableId="368646558">
    <w:abstractNumId w:val="15"/>
  </w:num>
  <w:num w:numId="23" w16cid:durableId="534393170">
    <w:abstractNumId w:val="26"/>
  </w:num>
  <w:num w:numId="24" w16cid:durableId="609512517">
    <w:abstractNumId w:val="31"/>
  </w:num>
  <w:num w:numId="25" w16cid:durableId="1057389891">
    <w:abstractNumId w:val="32"/>
  </w:num>
  <w:num w:numId="26" w16cid:durableId="1489636408">
    <w:abstractNumId w:val="14"/>
  </w:num>
  <w:num w:numId="27" w16cid:durableId="697972488">
    <w:abstractNumId w:val="27"/>
  </w:num>
  <w:num w:numId="28" w16cid:durableId="1577470302">
    <w:abstractNumId w:val="29"/>
  </w:num>
  <w:num w:numId="29" w16cid:durableId="222370905">
    <w:abstractNumId w:val="10"/>
  </w:num>
  <w:num w:numId="30" w16cid:durableId="881481019">
    <w:abstractNumId w:val="30"/>
  </w:num>
  <w:num w:numId="31" w16cid:durableId="1231388267">
    <w:abstractNumId w:val="20"/>
  </w:num>
  <w:num w:numId="32" w16cid:durableId="822234780">
    <w:abstractNumId w:val="13"/>
  </w:num>
  <w:num w:numId="33" w16cid:durableId="1875342112">
    <w:abstractNumId w:val="16"/>
  </w:num>
  <w:num w:numId="34" w16cid:durableId="512886376">
    <w:abstractNumId w:val="24"/>
  </w:num>
  <w:num w:numId="35" w16cid:durableId="172380705">
    <w:abstractNumId w:val="18"/>
  </w:num>
  <w:num w:numId="36" w16cid:durableId="1609196821">
    <w:abstractNumId w:val="21"/>
  </w:num>
  <w:num w:numId="37" w16cid:durableId="779304721">
    <w:abstractNumId w:val="22"/>
  </w:num>
  <w:num w:numId="38" w16cid:durableId="77823827">
    <w:abstractNumId w:val="33"/>
  </w:num>
  <w:num w:numId="39" w16cid:durableId="1488936441">
    <w:abstractNumId w:val="19"/>
  </w:num>
  <w:num w:numId="40" w16cid:durableId="284316865">
    <w:abstractNumId w:val="23"/>
  </w:num>
  <w:num w:numId="41" w16cid:durableId="1380209846">
    <w:abstractNumId w:val="17"/>
  </w:num>
  <w:num w:numId="42" w16cid:durableId="353266676">
    <w:abstractNumId w:val="12"/>
  </w:num>
  <w:num w:numId="43" w16cid:durableId="1031614597">
    <w:abstractNumId w:val="11"/>
  </w:num>
  <w:num w:numId="44" w16cid:durableId="896747423">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D9A"/>
    <w:rsid w:val="00000FE4"/>
    <w:rsid w:val="0000243A"/>
    <w:rsid w:val="000029F9"/>
    <w:rsid w:val="00002A74"/>
    <w:rsid w:val="00002DC8"/>
    <w:rsid w:val="00003A0B"/>
    <w:rsid w:val="00003FEC"/>
    <w:rsid w:val="000043C5"/>
    <w:rsid w:val="00004C3F"/>
    <w:rsid w:val="000053F8"/>
    <w:rsid w:val="00005E83"/>
    <w:rsid w:val="00006560"/>
    <w:rsid w:val="00006576"/>
    <w:rsid w:val="000065C2"/>
    <w:rsid w:val="00007114"/>
    <w:rsid w:val="000077D3"/>
    <w:rsid w:val="00012296"/>
    <w:rsid w:val="00012791"/>
    <w:rsid w:val="000132B4"/>
    <w:rsid w:val="0001465F"/>
    <w:rsid w:val="0001505B"/>
    <w:rsid w:val="00015676"/>
    <w:rsid w:val="00015E96"/>
    <w:rsid w:val="000162AD"/>
    <w:rsid w:val="00016A1B"/>
    <w:rsid w:val="00017599"/>
    <w:rsid w:val="000176BE"/>
    <w:rsid w:val="00020461"/>
    <w:rsid w:val="00020C22"/>
    <w:rsid w:val="00021A0F"/>
    <w:rsid w:val="00021C55"/>
    <w:rsid w:val="00021E91"/>
    <w:rsid w:val="00022A29"/>
    <w:rsid w:val="00024D0A"/>
    <w:rsid w:val="00025C15"/>
    <w:rsid w:val="00026089"/>
    <w:rsid w:val="00027532"/>
    <w:rsid w:val="000276A3"/>
    <w:rsid w:val="00030031"/>
    <w:rsid w:val="00031126"/>
    <w:rsid w:val="0003175B"/>
    <w:rsid w:val="00031EB0"/>
    <w:rsid w:val="00032229"/>
    <w:rsid w:val="00032587"/>
    <w:rsid w:val="00032F6D"/>
    <w:rsid w:val="0003542E"/>
    <w:rsid w:val="000356D5"/>
    <w:rsid w:val="00035C1D"/>
    <w:rsid w:val="00036509"/>
    <w:rsid w:val="00036A03"/>
    <w:rsid w:val="00036B3B"/>
    <w:rsid w:val="00040171"/>
    <w:rsid w:val="000408FA"/>
    <w:rsid w:val="00042292"/>
    <w:rsid w:val="000423B6"/>
    <w:rsid w:val="00043DD2"/>
    <w:rsid w:val="00044106"/>
    <w:rsid w:val="000457FC"/>
    <w:rsid w:val="00046BAD"/>
    <w:rsid w:val="00050743"/>
    <w:rsid w:val="00051465"/>
    <w:rsid w:val="00051586"/>
    <w:rsid w:val="00052B27"/>
    <w:rsid w:val="00053705"/>
    <w:rsid w:val="00053998"/>
    <w:rsid w:val="00053CBB"/>
    <w:rsid w:val="00053E63"/>
    <w:rsid w:val="000551EE"/>
    <w:rsid w:val="0005584D"/>
    <w:rsid w:val="00055EDD"/>
    <w:rsid w:val="00056054"/>
    <w:rsid w:val="0005698E"/>
    <w:rsid w:val="0006000F"/>
    <w:rsid w:val="000602C7"/>
    <w:rsid w:val="0006128B"/>
    <w:rsid w:val="00061AFC"/>
    <w:rsid w:val="00062228"/>
    <w:rsid w:val="00062F0A"/>
    <w:rsid w:val="000641DC"/>
    <w:rsid w:val="000645C9"/>
    <w:rsid w:val="000646A3"/>
    <w:rsid w:val="000646A7"/>
    <w:rsid w:val="000648E8"/>
    <w:rsid w:val="00064F6E"/>
    <w:rsid w:val="00065BBA"/>
    <w:rsid w:val="00066947"/>
    <w:rsid w:val="00066C80"/>
    <w:rsid w:val="00067980"/>
    <w:rsid w:val="00070065"/>
    <w:rsid w:val="0007083B"/>
    <w:rsid w:val="00070A67"/>
    <w:rsid w:val="00070ED4"/>
    <w:rsid w:val="000717B7"/>
    <w:rsid w:val="0007199A"/>
    <w:rsid w:val="00071CE2"/>
    <w:rsid w:val="00072CA8"/>
    <w:rsid w:val="00074717"/>
    <w:rsid w:val="00074748"/>
    <w:rsid w:val="00074CA0"/>
    <w:rsid w:val="00074E9E"/>
    <w:rsid w:val="0007652C"/>
    <w:rsid w:val="00076884"/>
    <w:rsid w:val="0008097F"/>
    <w:rsid w:val="00080F3A"/>
    <w:rsid w:val="00080FD3"/>
    <w:rsid w:val="00080FEA"/>
    <w:rsid w:val="000810C8"/>
    <w:rsid w:val="00082395"/>
    <w:rsid w:val="000823A9"/>
    <w:rsid w:val="0008249A"/>
    <w:rsid w:val="000831F6"/>
    <w:rsid w:val="00086344"/>
    <w:rsid w:val="00086F1C"/>
    <w:rsid w:val="00087570"/>
    <w:rsid w:val="00087BEF"/>
    <w:rsid w:val="00090968"/>
    <w:rsid w:val="00090B6A"/>
    <w:rsid w:val="00090C81"/>
    <w:rsid w:val="00091408"/>
    <w:rsid w:val="00091600"/>
    <w:rsid w:val="000918F2"/>
    <w:rsid w:val="00091BC6"/>
    <w:rsid w:val="000936D8"/>
    <w:rsid w:val="00093BA2"/>
    <w:rsid w:val="00093CA7"/>
    <w:rsid w:val="0009789A"/>
    <w:rsid w:val="00097A40"/>
    <w:rsid w:val="000A0D11"/>
    <w:rsid w:val="000A2507"/>
    <w:rsid w:val="000A2C38"/>
    <w:rsid w:val="000A498B"/>
    <w:rsid w:val="000A4B24"/>
    <w:rsid w:val="000A4FEE"/>
    <w:rsid w:val="000A516A"/>
    <w:rsid w:val="000A796B"/>
    <w:rsid w:val="000A7B76"/>
    <w:rsid w:val="000B10E3"/>
    <w:rsid w:val="000B1A1C"/>
    <w:rsid w:val="000B26D8"/>
    <w:rsid w:val="000B282C"/>
    <w:rsid w:val="000B3BD7"/>
    <w:rsid w:val="000B47A8"/>
    <w:rsid w:val="000B58B7"/>
    <w:rsid w:val="000B5939"/>
    <w:rsid w:val="000B6310"/>
    <w:rsid w:val="000B66DD"/>
    <w:rsid w:val="000B7CF7"/>
    <w:rsid w:val="000C087E"/>
    <w:rsid w:val="000C0FE6"/>
    <w:rsid w:val="000C31E4"/>
    <w:rsid w:val="000C327B"/>
    <w:rsid w:val="000C35AF"/>
    <w:rsid w:val="000C3EA5"/>
    <w:rsid w:val="000C591A"/>
    <w:rsid w:val="000C59AB"/>
    <w:rsid w:val="000C5A81"/>
    <w:rsid w:val="000C639E"/>
    <w:rsid w:val="000C6C44"/>
    <w:rsid w:val="000C6D98"/>
    <w:rsid w:val="000D00DF"/>
    <w:rsid w:val="000D1E38"/>
    <w:rsid w:val="000D2225"/>
    <w:rsid w:val="000D2569"/>
    <w:rsid w:val="000D45BB"/>
    <w:rsid w:val="000D4963"/>
    <w:rsid w:val="000D4981"/>
    <w:rsid w:val="000D4A3B"/>
    <w:rsid w:val="000D50D8"/>
    <w:rsid w:val="000D5A4F"/>
    <w:rsid w:val="000D74C9"/>
    <w:rsid w:val="000E1540"/>
    <w:rsid w:val="000E1E66"/>
    <w:rsid w:val="000E1E97"/>
    <w:rsid w:val="000E2DAA"/>
    <w:rsid w:val="000E35B5"/>
    <w:rsid w:val="000E37B5"/>
    <w:rsid w:val="000E4799"/>
    <w:rsid w:val="000E4A0A"/>
    <w:rsid w:val="000E4FF2"/>
    <w:rsid w:val="000E5587"/>
    <w:rsid w:val="000E59F0"/>
    <w:rsid w:val="000E5BEF"/>
    <w:rsid w:val="000E6433"/>
    <w:rsid w:val="000E6717"/>
    <w:rsid w:val="000F0B6B"/>
    <w:rsid w:val="000F16CF"/>
    <w:rsid w:val="000F19E4"/>
    <w:rsid w:val="000F26B4"/>
    <w:rsid w:val="000F285D"/>
    <w:rsid w:val="000F4F11"/>
    <w:rsid w:val="000F5AD1"/>
    <w:rsid w:val="000F6E4E"/>
    <w:rsid w:val="00101094"/>
    <w:rsid w:val="00103466"/>
    <w:rsid w:val="00103716"/>
    <w:rsid w:val="00104C33"/>
    <w:rsid w:val="00106624"/>
    <w:rsid w:val="00107604"/>
    <w:rsid w:val="001078DB"/>
    <w:rsid w:val="0011199F"/>
    <w:rsid w:val="001119EB"/>
    <w:rsid w:val="00112B34"/>
    <w:rsid w:val="001134E7"/>
    <w:rsid w:val="00113A50"/>
    <w:rsid w:val="00113AF7"/>
    <w:rsid w:val="00113D78"/>
    <w:rsid w:val="0011442F"/>
    <w:rsid w:val="00114D9F"/>
    <w:rsid w:val="00116188"/>
    <w:rsid w:val="00116BF1"/>
    <w:rsid w:val="001177A9"/>
    <w:rsid w:val="00121B4C"/>
    <w:rsid w:val="00123A94"/>
    <w:rsid w:val="00123AF3"/>
    <w:rsid w:val="0012407B"/>
    <w:rsid w:val="00124DB2"/>
    <w:rsid w:val="001250EE"/>
    <w:rsid w:val="00125EB1"/>
    <w:rsid w:val="0012687F"/>
    <w:rsid w:val="00126D16"/>
    <w:rsid w:val="00127275"/>
    <w:rsid w:val="00130824"/>
    <w:rsid w:val="00130A51"/>
    <w:rsid w:val="00131342"/>
    <w:rsid w:val="00131E49"/>
    <w:rsid w:val="0013227E"/>
    <w:rsid w:val="0013309F"/>
    <w:rsid w:val="0013317E"/>
    <w:rsid w:val="00133422"/>
    <w:rsid w:val="001336FF"/>
    <w:rsid w:val="00133F71"/>
    <w:rsid w:val="00134589"/>
    <w:rsid w:val="00134646"/>
    <w:rsid w:val="001349FD"/>
    <w:rsid w:val="00134B94"/>
    <w:rsid w:val="00135DB9"/>
    <w:rsid w:val="00136206"/>
    <w:rsid w:val="0013694C"/>
    <w:rsid w:val="00137F34"/>
    <w:rsid w:val="00140634"/>
    <w:rsid w:val="00141B20"/>
    <w:rsid w:val="00141C61"/>
    <w:rsid w:val="00142634"/>
    <w:rsid w:val="00143876"/>
    <w:rsid w:val="0014498E"/>
    <w:rsid w:val="00144CF0"/>
    <w:rsid w:val="00144DAC"/>
    <w:rsid w:val="00144F68"/>
    <w:rsid w:val="001470C6"/>
    <w:rsid w:val="0014716C"/>
    <w:rsid w:val="0014758F"/>
    <w:rsid w:val="00147D26"/>
    <w:rsid w:val="001505EC"/>
    <w:rsid w:val="00150B71"/>
    <w:rsid w:val="00150FA8"/>
    <w:rsid w:val="0015184F"/>
    <w:rsid w:val="0015224C"/>
    <w:rsid w:val="00153224"/>
    <w:rsid w:val="00153CA4"/>
    <w:rsid w:val="00153DFC"/>
    <w:rsid w:val="00157BBE"/>
    <w:rsid w:val="0015B3D8"/>
    <w:rsid w:val="001611BF"/>
    <w:rsid w:val="00162589"/>
    <w:rsid w:val="0016293A"/>
    <w:rsid w:val="0016301E"/>
    <w:rsid w:val="001630CB"/>
    <w:rsid w:val="001633D9"/>
    <w:rsid w:val="00163E47"/>
    <w:rsid w:val="00163E7F"/>
    <w:rsid w:val="001640F7"/>
    <w:rsid w:val="0016432B"/>
    <w:rsid w:val="001647EE"/>
    <w:rsid w:val="00164FE3"/>
    <w:rsid w:val="00165B1A"/>
    <w:rsid w:val="00166F30"/>
    <w:rsid w:val="0016703A"/>
    <w:rsid w:val="001677D0"/>
    <w:rsid w:val="001701CB"/>
    <w:rsid w:val="00170E3A"/>
    <w:rsid w:val="0017140E"/>
    <w:rsid w:val="0017169E"/>
    <w:rsid w:val="00171FAE"/>
    <w:rsid w:val="00172637"/>
    <w:rsid w:val="00173AE1"/>
    <w:rsid w:val="00174262"/>
    <w:rsid w:val="00174537"/>
    <w:rsid w:val="00174FA1"/>
    <w:rsid w:val="00175822"/>
    <w:rsid w:val="00175E3F"/>
    <w:rsid w:val="00175FE4"/>
    <w:rsid w:val="0017711E"/>
    <w:rsid w:val="001776CB"/>
    <w:rsid w:val="00177764"/>
    <w:rsid w:val="00177D6B"/>
    <w:rsid w:val="001808E1"/>
    <w:rsid w:val="00181295"/>
    <w:rsid w:val="001814C9"/>
    <w:rsid w:val="0018471C"/>
    <w:rsid w:val="00186970"/>
    <w:rsid w:val="00186EA6"/>
    <w:rsid w:val="00187806"/>
    <w:rsid w:val="00187A14"/>
    <w:rsid w:val="00187E83"/>
    <w:rsid w:val="001915B3"/>
    <w:rsid w:val="00193B51"/>
    <w:rsid w:val="0019440E"/>
    <w:rsid w:val="001949BC"/>
    <w:rsid w:val="001949E6"/>
    <w:rsid w:val="00194EB6"/>
    <w:rsid w:val="00194F1F"/>
    <w:rsid w:val="00195957"/>
    <w:rsid w:val="00195A31"/>
    <w:rsid w:val="00196686"/>
    <w:rsid w:val="00196A31"/>
    <w:rsid w:val="00196EA0"/>
    <w:rsid w:val="001A0868"/>
    <w:rsid w:val="001A0D80"/>
    <w:rsid w:val="001A116D"/>
    <w:rsid w:val="001A1332"/>
    <w:rsid w:val="001A143B"/>
    <w:rsid w:val="001A459C"/>
    <w:rsid w:val="001A4749"/>
    <w:rsid w:val="001A519A"/>
    <w:rsid w:val="001A5C78"/>
    <w:rsid w:val="001A5EC2"/>
    <w:rsid w:val="001A6635"/>
    <w:rsid w:val="001B0EE9"/>
    <w:rsid w:val="001B19CE"/>
    <w:rsid w:val="001B2B1B"/>
    <w:rsid w:val="001B39F6"/>
    <w:rsid w:val="001B3CE8"/>
    <w:rsid w:val="001B41BD"/>
    <w:rsid w:val="001B4B55"/>
    <w:rsid w:val="001B52F6"/>
    <w:rsid w:val="001B5B32"/>
    <w:rsid w:val="001B5D10"/>
    <w:rsid w:val="001B5FF5"/>
    <w:rsid w:val="001B65B3"/>
    <w:rsid w:val="001B6DD2"/>
    <w:rsid w:val="001C020A"/>
    <w:rsid w:val="001C03C8"/>
    <w:rsid w:val="001C189E"/>
    <w:rsid w:val="001C2C80"/>
    <w:rsid w:val="001C2D6F"/>
    <w:rsid w:val="001C2FEE"/>
    <w:rsid w:val="001C3393"/>
    <w:rsid w:val="001C350C"/>
    <w:rsid w:val="001C439A"/>
    <w:rsid w:val="001C5431"/>
    <w:rsid w:val="001C5EC9"/>
    <w:rsid w:val="001C649A"/>
    <w:rsid w:val="001C6618"/>
    <w:rsid w:val="001C66B2"/>
    <w:rsid w:val="001C690B"/>
    <w:rsid w:val="001D062A"/>
    <w:rsid w:val="001D0CDE"/>
    <w:rsid w:val="001D1C46"/>
    <w:rsid w:val="001D1C86"/>
    <w:rsid w:val="001D3842"/>
    <w:rsid w:val="001D4B23"/>
    <w:rsid w:val="001D4BFC"/>
    <w:rsid w:val="001D5BA0"/>
    <w:rsid w:val="001D5FFB"/>
    <w:rsid w:val="001E0AB0"/>
    <w:rsid w:val="001E1B87"/>
    <w:rsid w:val="001E235A"/>
    <w:rsid w:val="001E2D07"/>
    <w:rsid w:val="001E2F5F"/>
    <w:rsid w:val="001E36C6"/>
    <w:rsid w:val="001E3FCA"/>
    <w:rsid w:val="001E41B8"/>
    <w:rsid w:val="001E4AB9"/>
    <w:rsid w:val="001E5253"/>
    <w:rsid w:val="001E555C"/>
    <w:rsid w:val="001E60D6"/>
    <w:rsid w:val="001E7078"/>
    <w:rsid w:val="001E7232"/>
    <w:rsid w:val="001E7C0A"/>
    <w:rsid w:val="001F1091"/>
    <w:rsid w:val="001F1A24"/>
    <w:rsid w:val="001F28DC"/>
    <w:rsid w:val="001F2DC5"/>
    <w:rsid w:val="001F3B34"/>
    <w:rsid w:val="001F486A"/>
    <w:rsid w:val="001F4A84"/>
    <w:rsid w:val="001F64C8"/>
    <w:rsid w:val="001F66D7"/>
    <w:rsid w:val="001F75A1"/>
    <w:rsid w:val="002027DA"/>
    <w:rsid w:val="0020294D"/>
    <w:rsid w:val="0020299C"/>
    <w:rsid w:val="00202AA2"/>
    <w:rsid w:val="00202F7A"/>
    <w:rsid w:val="00203822"/>
    <w:rsid w:val="00203EA6"/>
    <w:rsid w:val="0021095E"/>
    <w:rsid w:val="00210A58"/>
    <w:rsid w:val="00210B2E"/>
    <w:rsid w:val="002124D5"/>
    <w:rsid w:val="00212B49"/>
    <w:rsid w:val="00212CBB"/>
    <w:rsid w:val="00212D08"/>
    <w:rsid w:val="00212F06"/>
    <w:rsid w:val="00213326"/>
    <w:rsid w:val="0021396C"/>
    <w:rsid w:val="00213D56"/>
    <w:rsid w:val="00213E32"/>
    <w:rsid w:val="00214116"/>
    <w:rsid w:val="00214FC0"/>
    <w:rsid w:val="002154F8"/>
    <w:rsid w:val="0021584A"/>
    <w:rsid w:val="002164A7"/>
    <w:rsid w:val="0021725D"/>
    <w:rsid w:val="002178CD"/>
    <w:rsid w:val="00217F68"/>
    <w:rsid w:val="00220E57"/>
    <w:rsid w:val="002213F6"/>
    <w:rsid w:val="00221797"/>
    <w:rsid w:val="002224CF"/>
    <w:rsid w:val="002234B2"/>
    <w:rsid w:val="00224193"/>
    <w:rsid w:val="002244D5"/>
    <w:rsid w:val="002246E9"/>
    <w:rsid w:val="00224CF4"/>
    <w:rsid w:val="0022518D"/>
    <w:rsid w:val="0022590F"/>
    <w:rsid w:val="00225C2C"/>
    <w:rsid w:val="002261E1"/>
    <w:rsid w:val="00226FAE"/>
    <w:rsid w:val="00227F3B"/>
    <w:rsid w:val="00227FC1"/>
    <w:rsid w:val="00230273"/>
    <w:rsid w:val="0023084E"/>
    <w:rsid w:val="002310D1"/>
    <w:rsid w:val="002313F3"/>
    <w:rsid w:val="00231552"/>
    <w:rsid w:val="002317DD"/>
    <w:rsid w:val="00233376"/>
    <w:rsid w:val="00234FA2"/>
    <w:rsid w:val="00235A9F"/>
    <w:rsid w:val="00237A89"/>
    <w:rsid w:val="00237B76"/>
    <w:rsid w:val="0024003B"/>
    <w:rsid w:val="002408EA"/>
    <w:rsid w:val="002414E3"/>
    <w:rsid w:val="00241616"/>
    <w:rsid w:val="0024164F"/>
    <w:rsid w:val="00241E73"/>
    <w:rsid w:val="002423E4"/>
    <w:rsid w:val="0024287D"/>
    <w:rsid w:val="00242B88"/>
    <w:rsid w:val="00242E30"/>
    <w:rsid w:val="00244CD5"/>
    <w:rsid w:val="002456F0"/>
    <w:rsid w:val="00245D70"/>
    <w:rsid w:val="00247362"/>
    <w:rsid w:val="00250B7F"/>
    <w:rsid w:val="0025140E"/>
    <w:rsid w:val="00251619"/>
    <w:rsid w:val="00252C31"/>
    <w:rsid w:val="00252E7B"/>
    <w:rsid w:val="00255718"/>
    <w:rsid w:val="0025603E"/>
    <w:rsid w:val="00256BFF"/>
    <w:rsid w:val="0026151A"/>
    <w:rsid w:val="0026270B"/>
    <w:rsid w:val="00262CD8"/>
    <w:rsid w:val="00262F62"/>
    <w:rsid w:val="002635F9"/>
    <w:rsid w:val="00265552"/>
    <w:rsid w:val="00266229"/>
    <w:rsid w:val="002667A0"/>
    <w:rsid w:val="00266BDB"/>
    <w:rsid w:val="00272F51"/>
    <w:rsid w:val="002731E6"/>
    <w:rsid w:val="0027360F"/>
    <w:rsid w:val="002767CE"/>
    <w:rsid w:val="00276C1D"/>
    <w:rsid w:val="002775EE"/>
    <w:rsid w:val="00277D28"/>
    <w:rsid w:val="002805E6"/>
    <w:rsid w:val="002819D7"/>
    <w:rsid w:val="00281AE4"/>
    <w:rsid w:val="00282029"/>
    <w:rsid w:val="00283CDF"/>
    <w:rsid w:val="0028443A"/>
    <w:rsid w:val="0028463F"/>
    <w:rsid w:val="00284AC7"/>
    <w:rsid w:val="002856CE"/>
    <w:rsid w:val="00286595"/>
    <w:rsid w:val="002868A2"/>
    <w:rsid w:val="002868FF"/>
    <w:rsid w:val="00290273"/>
    <w:rsid w:val="00291FAC"/>
    <w:rsid w:val="00291FB6"/>
    <w:rsid w:val="00295D23"/>
    <w:rsid w:val="00295F50"/>
    <w:rsid w:val="0029635C"/>
    <w:rsid w:val="00296C1E"/>
    <w:rsid w:val="00297266"/>
    <w:rsid w:val="00297340"/>
    <w:rsid w:val="00297711"/>
    <w:rsid w:val="00297AB1"/>
    <w:rsid w:val="002A241F"/>
    <w:rsid w:val="002A3300"/>
    <w:rsid w:val="002A45EC"/>
    <w:rsid w:val="002A5255"/>
    <w:rsid w:val="002A56A9"/>
    <w:rsid w:val="002A67D4"/>
    <w:rsid w:val="002A7C02"/>
    <w:rsid w:val="002B0F23"/>
    <w:rsid w:val="002B143C"/>
    <w:rsid w:val="002B2033"/>
    <w:rsid w:val="002B20B9"/>
    <w:rsid w:val="002B211F"/>
    <w:rsid w:val="002B212C"/>
    <w:rsid w:val="002B3860"/>
    <w:rsid w:val="002B457B"/>
    <w:rsid w:val="002B6055"/>
    <w:rsid w:val="002B6A38"/>
    <w:rsid w:val="002B7640"/>
    <w:rsid w:val="002B76B9"/>
    <w:rsid w:val="002B7859"/>
    <w:rsid w:val="002C0183"/>
    <w:rsid w:val="002C1A7E"/>
    <w:rsid w:val="002C1DB9"/>
    <w:rsid w:val="002C2361"/>
    <w:rsid w:val="002C36E7"/>
    <w:rsid w:val="002C4851"/>
    <w:rsid w:val="002C4EE3"/>
    <w:rsid w:val="002C5A2A"/>
    <w:rsid w:val="002C5F0C"/>
    <w:rsid w:val="002C7BDB"/>
    <w:rsid w:val="002D09AD"/>
    <w:rsid w:val="002D190C"/>
    <w:rsid w:val="002D2DEB"/>
    <w:rsid w:val="002D2FFC"/>
    <w:rsid w:val="002D3376"/>
    <w:rsid w:val="002D38D0"/>
    <w:rsid w:val="002D453B"/>
    <w:rsid w:val="002D4D56"/>
    <w:rsid w:val="002D58EE"/>
    <w:rsid w:val="002D5B95"/>
    <w:rsid w:val="002D6E63"/>
    <w:rsid w:val="002D7E93"/>
    <w:rsid w:val="002E01B7"/>
    <w:rsid w:val="002E020A"/>
    <w:rsid w:val="002E2529"/>
    <w:rsid w:val="002E26B2"/>
    <w:rsid w:val="002E34AF"/>
    <w:rsid w:val="002E46AC"/>
    <w:rsid w:val="002E4B7E"/>
    <w:rsid w:val="002E541C"/>
    <w:rsid w:val="002E60DA"/>
    <w:rsid w:val="002E6EF1"/>
    <w:rsid w:val="002F029B"/>
    <w:rsid w:val="002F083B"/>
    <w:rsid w:val="002F0A46"/>
    <w:rsid w:val="002F0A4B"/>
    <w:rsid w:val="002F0B23"/>
    <w:rsid w:val="002F0F1E"/>
    <w:rsid w:val="002F0F5D"/>
    <w:rsid w:val="002F2545"/>
    <w:rsid w:val="002F316C"/>
    <w:rsid w:val="002F35E0"/>
    <w:rsid w:val="002F5B51"/>
    <w:rsid w:val="002F6FAB"/>
    <w:rsid w:val="002F7B87"/>
    <w:rsid w:val="003002D3"/>
    <w:rsid w:val="00301310"/>
    <w:rsid w:val="00301772"/>
    <w:rsid w:val="0030206F"/>
    <w:rsid w:val="003025A4"/>
    <w:rsid w:val="003027EE"/>
    <w:rsid w:val="003039CB"/>
    <w:rsid w:val="00303A58"/>
    <w:rsid w:val="00304030"/>
    <w:rsid w:val="003048E9"/>
    <w:rsid w:val="00304E84"/>
    <w:rsid w:val="00306662"/>
    <w:rsid w:val="003071AB"/>
    <w:rsid w:val="00307358"/>
    <w:rsid w:val="003119FE"/>
    <w:rsid w:val="00311ED0"/>
    <w:rsid w:val="00312624"/>
    <w:rsid w:val="0031289B"/>
    <w:rsid w:val="003139C3"/>
    <w:rsid w:val="00313A38"/>
    <w:rsid w:val="00314953"/>
    <w:rsid w:val="00315BC9"/>
    <w:rsid w:val="003165C1"/>
    <w:rsid w:val="00317ABE"/>
    <w:rsid w:val="00320133"/>
    <w:rsid w:val="00320984"/>
    <w:rsid w:val="003209B0"/>
    <w:rsid w:val="00320AB2"/>
    <w:rsid w:val="00320CB7"/>
    <w:rsid w:val="00320D25"/>
    <w:rsid w:val="00321CC0"/>
    <w:rsid w:val="003225D6"/>
    <w:rsid w:val="00322985"/>
    <w:rsid w:val="003230A0"/>
    <w:rsid w:val="00323DDB"/>
    <w:rsid w:val="00323FB5"/>
    <w:rsid w:val="0032422E"/>
    <w:rsid w:val="00324295"/>
    <w:rsid w:val="0032453A"/>
    <w:rsid w:val="00324AD2"/>
    <w:rsid w:val="0032559D"/>
    <w:rsid w:val="00325636"/>
    <w:rsid w:val="00326B9F"/>
    <w:rsid w:val="00326E38"/>
    <w:rsid w:val="003311B1"/>
    <w:rsid w:val="00331B47"/>
    <w:rsid w:val="00331DB9"/>
    <w:rsid w:val="00335678"/>
    <w:rsid w:val="00335733"/>
    <w:rsid w:val="00335EBA"/>
    <w:rsid w:val="0033665D"/>
    <w:rsid w:val="00336C60"/>
    <w:rsid w:val="003406E0"/>
    <w:rsid w:val="00340724"/>
    <w:rsid w:val="003424FA"/>
    <w:rsid w:val="003434AD"/>
    <w:rsid w:val="00344664"/>
    <w:rsid w:val="003455BE"/>
    <w:rsid w:val="00345B0A"/>
    <w:rsid w:val="00345B97"/>
    <w:rsid w:val="00345C7E"/>
    <w:rsid w:val="003503CD"/>
    <w:rsid w:val="003513AC"/>
    <w:rsid w:val="00351DB9"/>
    <w:rsid w:val="00353FD2"/>
    <w:rsid w:val="003541B0"/>
    <w:rsid w:val="00354B80"/>
    <w:rsid w:val="003552CD"/>
    <w:rsid w:val="00355FD3"/>
    <w:rsid w:val="00357562"/>
    <w:rsid w:val="00357E4B"/>
    <w:rsid w:val="00357F35"/>
    <w:rsid w:val="00360152"/>
    <w:rsid w:val="0036032A"/>
    <w:rsid w:val="003611F5"/>
    <w:rsid w:val="00361525"/>
    <w:rsid w:val="003621E9"/>
    <w:rsid w:val="003622A6"/>
    <w:rsid w:val="003626A2"/>
    <w:rsid w:val="003626D4"/>
    <w:rsid w:val="00363AC3"/>
    <w:rsid w:val="003648C5"/>
    <w:rsid w:val="00364EF3"/>
    <w:rsid w:val="00365F2E"/>
    <w:rsid w:val="0036668E"/>
    <w:rsid w:val="0037191B"/>
    <w:rsid w:val="003722FA"/>
    <w:rsid w:val="003726B1"/>
    <w:rsid w:val="00372859"/>
    <w:rsid w:val="0037472D"/>
    <w:rsid w:val="00374932"/>
    <w:rsid w:val="003753A0"/>
    <w:rsid w:val="003757E0"/>
    <w:rsid w:val="003758DA"/>
    <w:rsid w:val="00376902"/>
    <w:rsid w:val="00376CFE"/>
    <w:rsid w:val="00380D26"/>
    <w:rsid w:val="00380E8B"/>
    <w:rsid w:val="003815D6"/>
    <w:rsid w:val="00381983"/>
    <w:rsid w:val="003824EE"/>
    <w:rsid w:val="003846A3"/>
    <w:rsid w:val="00384E00"/>
    <w:rsid w:val="00385494"/>
    <w:rsid w:val="00385A74"/>
    <w:rsid w:val="00385E4F"/>
    <w:rsid w:val="00386AB6"/>
    <w:rsid w:val="003875C2"/>
    <w:rsid w:val="00387AA1"/>
    <w:rsid w:val="003906DE"/>
    <w:rsid w:val="00391A75"/>
    <w:rsid w:val="0039222F"/>
    <w:rsid w:val="003923ED"/>
    <w:rsid w:val="00392508"/>
    <w:rsid w:val="00392932"/>
    <w:rsid w:val="00393366"/>
    <w:rsid w:val="00393D5B"/>
    <w:rsid w:val="0039404B"/>
    <w:rsid w:val="0039565F"/>
    <w:rsid w:val="0039617E"/>
    <w:rsid w:val="00397297"/>
    <w:rsid w:val="00397D33"/>
    <w:rsid w:val="003A15DA"/>
    <w:rsid w:val="003A21FF"/>
    <w:rsid w:val="003A2842"/>
    <w:rsid w:val="003A36BE"/>
    <w:rsid w:val="003A453B"/>
    <w:rsid w:val="003A48A1"/>
    <w:rsid w:val="003A49B4"/>
    <w:rsid w:val="003A4F08"/>
    <w:rsid w:val="003A6A91"/>
    <w:rsid w:val="003A76FE"/>
    <w:rsid w:val="003A7FAB"/>
    <w:rsid w:val="003B035F"/>
    <w:rsid w:val="003B172A"/>
    <w:rsid w:val="003B19E8"/>
    <w:rsid w:val="003B1C9C"/>
    <w:rsid w:val="003B1E54"/>
    <w:rsid w:val="003B1E7D"/>
    <w:rsid w:val="003B38DF"/>
    <w:rsid w:val="003B4EF8"/>
    <w:rsid w:val="003B52E4"/>
    <w:rsid w:val="003B5713"/>
    <w:rsid w:val="003B60D6"/>
    <w:rsid w:val="003B7674"/>
    <w:rsid w:val="003B7F26"/>
    <w:rsid w:val="003C0875"/>
    <w:rsid w:val="003C0AF5"/>
    <w:rsid w:val="003C17F7"/>
    <w:rsid w:val="003C1E8F"/>
    <w:rsid w:val="003C2C2F"/>
    <w:rsid w:val="003C2EE1"/>
    <w:rsid w:val="003C2F6B"/>
    <w:rsid w:val="003C30CF"/>
    <w:rsid w:val="003C36F9"/>
    <w:rsid w:val="003C5C22"/>
    <w:rsid w:val="003C60D9"/>
    <w:rsid w:val="003C767A"/>
    <w:rsid w:val="003C78C8"/>
    <w:rsid w:val="003C7947"/>
    <w:rsid w:val="003C7AAF"/>
    <w:rsid w:val="003D0942"/>
    <w:rsid w:val="003D0CC6"/>
    <w:rsid w:val="003D14AA"/>
    <w:rsid w:val="003D19B2"/>
    <w:rsid w:val="003D2018"/>
    <w:rsid w:val="003D22D0"/>
    <w:rsid w:val="003D26B5"/>
    <w:rsid w:val="003D27D1"/>
    <w:rsid w:val="003D2AF1"/>
    <w:rsid w:val="003D393E"/>
    <w:rsid w:val="003D3E33"/>
    <w:rsid w:val="003D40AB"/>
    <w:rsid w:val="003D4595"/>
    <w:rsid w:val="003D6244"/>
    <w:rsid w:val="003E266B"/>
    <w:rsid w:val="003E432D"/>
    <w:rsid w:val="003E4B4A"/>
    <w:rsid w:val="003E4E32"/>
    <w:rsid w:val="003E4E8E"/>
    <w:rsid w:val="003E56F8"/>
    <w:rsid w:val="003E5CF6"/>
    <w:rsid w:val="003F02DC"/>
    <w:rsid w:val="003F0A04"/>
    <w:rsid w:val="003F1608"/>
    <w:rsid w:val="003F1C1C"/>
    <w:rsid w:val="003F2694"/>
    <w:rsid w:val="003F3652"/>
    <w:rsid w:val="003F4E70"/>
    <w:rsid w:val="003F556E"/>
    <w:rsid w:val="003F5DB2"/>
    <w:rsid w:val="003F5F5B"/>
    <w:rsid w:val="003F630D"/>
    <w:rsid w:val="003F6492"/>
    <w:rsid w:val="004003A8"/>
    <w:rsid w:val="00401D01"/>
    <w:rsid w:val="00402A9D"/>
    <w:rsid w:val="00402F94"/>
    <w:rsid w:val="004046BC"/>
    <w:rsid w:val="00404D92"/>
    <w:rsid w:val="004052F0"/>
    <w:rsid w:val="00405A68"/>
    <w:rsid w:val="00406036"/>
    <w:rsid w:val="004075B6"/>
    <w:rsid w:val="00407E92"/>
    <w:rsid w:val="004119E5"/>
    <w:rsid w:val="00413769"/>
    <w:rsid w:val="0041395E"/>
    <w:rsid w:val="004139B5"/>
    <w:rsid w:val="00414B10"/>
    <w:rsid w:val="004151FF"/>
    <w:rsid w:val="004160D0"/>
    <w:rsid w:val="00417110"/>
    <w:rsid w:val="00420952"/>
    <w:rsid w:val="0042106B"/>
    <w:rsid w:val="0042177A"/>
    <w:rsid w:val="004219E6"/>
    <w:rsid w:val="00421F13"/>
    <w:rsid w:val="00421F33"/>
    <w:rsid w:val="00424669"/>
    <w:rsid w:val="00424926"/>
    <w:rsid w:val="004251CB"/>
    <w:rsid w:val="0042764E"/>
    <w:rsid w:val="00427900"/>
    <w:rsid w:val="004301CA"/>
    <w:rsid w:val="004305F2"/>
    <w:rsid w:val="00432419"/>
    <w:rsid w:val="0043453A"/>
    <w:rsid w:val="00434CAF"/>
    <w:rsid w:val="004354FA"/>
    <w:rsid w:val="00435688"/>
    <w:rsid w:val="00440CA6"/>
    <w:rsid w:val="00440DD9"/>
    <w:rsid w:val="00441431"/>
    <w:rsid w:val="004438C1"/>
    <w:rsid w:val="00446BEE"/>
    <w:rsid w:val="00447123"/>
    <w:rsid w:val="004506BF"/>
    <w:rsid w:val="00450A21"/>
    <w:rsid w:val="00452D3F"/>
    <w:rsid w:val="00453333"/>
    <w:rsid w:val="0045488D"/>
    <w:rsid w:val="00454E55"/>
    <w:rsid w:val="00455237"/>
    <w:rsid w:val="004556CD"/>
    <w:rsid w:val="004570B8"/>
    <w:rsid w:val="00457DBE"/>
    <w:rsid w:val="004607C8"/>
    <w:rsid w:val="00460D19"/>
    <w:rsid w:val="00460EFA"/>
    <w:rsid w:val="0046164E"/>
    <w:rsid w:val="00464460"/>
    <w:rsid w:val="00464ED2"/>
    <w:rsid w:val="00465336"/>
    <w:rsid w:val="0046557A"/>
    <w:rsid w:val="004670D0"/>
    <w:rsid w:val="004673F7"/>
    <w:rsid w:val="00467BDE"/>
    <w:rsid w:val="0047077E"/>
    <w:rsid w:val="00470A29"/>
    <w:rsid w:val="00471652"/>
    <w:rsid w:val="004728C9"/>
    <w:rsid w:val="00473E2D"/>
    <w:rsid w:val="004746BB"/>
    <w:rsid w:val="00475428"/>
    <w:rsid w:val="00476BDF"/>
    <w:rsid w:val="004770C5"/>
    <w:rsid w:val="00477F00"/>
    <w:rsid w:val="00481FF7"/>
    <w:rsid w:val="004832F1"/>
    <w:rsid w:val="00483B06"/>
    <w:rsid w:val="00484955"/>
    <w:rsid w:val="00485D09"/>
    <w:rsid w:val="0048635C"/>
    <w:rsid w:val="00486EF3"/>
    <w:rsid w:val="00491789"/>
    <w:rsid w:val="0049179A"/>
    <w:rsid w:val="00491B7F"/>
    <w:rsid w:val="00492A91"/>
    <w:rsid w:val="00492EEB"/>
    <w:rsid w:val="0049307E"/>
    <w:rsid w:val="004933DE"/>
    <w:rsid w:val="004935C1"/>
    <w:rsid w:val="00493639"/>
    <w:rsid w:val="0049456C"/>
    <w:rsid w:val="00494616"/>
    <w:rsid w:val="00494866"/>
    <w:rsid w:val="00494F12"/>
    <w:rsid w:val="00495827"/>
    <w:rsid w:val="00496035"/>
    <w:rsid w:val="004A16D3"/>
    <w:rsid w:val="004A17C7"/>
    <w:rsid w:val="004A1CFC"/>
    <w:rsid w:val="004A2874"/>
    <w:rsid w:val="004A3C1C"/>
    <w:rsid w:val="004A3DFA"/>
    <w:rsid w:val="004A5653"/>
    <w:rsid w:val="004A6168"/>
    <w:rsid w:val="004A6537"/>
    <w:rsid w:val="004A69C8"/>
    <w:rsid w:val="004A6A22"/>
    <w:rsid w:val="004A7236"/>
    <w:rsid w:val="004A7862"/>
    <w:rsid w:val="004B0549"/>
    <w:rsid w:val="004B16BF"/>
    <w:rsid w:val="004B1FD0"/>
    <w:rsid w:val="004B232D"/>
    <w:rsid w:val="004B2C11"/>
    <w:rsid w:val="004B3290"/>
    <w:rsid w:val="004B3AD9"/>
    <w:rsid w:val="004B49C7"/>
    <w:rsid w:val="004B4D8A"/>
    <w:rsid w:val="004B522B"/>
    <w:rsid w:val="004B547C"/>
    <w:rsid w:val="004B58ED"/>
    <w:rsid w:val="004B5F67"/>
    <w:rsid w:val="004B6B6E"/>
    <w:rsid w:val="004B7E6A"/>
    <w:rsid w:val="004C00F1"/>
    <w:rsid w:val="004C07DD"/>
    <w:rsid w:val="004C145B"/>
    <w:rsid w:val="004C1C59"/>
    <w:rsid w:val="004C1D67"/>
    <w:rsid w:val="004C31E8"/>
    <w:rsid w:val="004C36C8"/>
    <w:rsid w:val="004C487B"/>
    <w:rsid w:val="004C4CE2"/>
    <w:rsid w:val="004D046D"/>
    <w:rsid w:val="004D2ADB"/>
    <w:rsid w:val="004D3002"/>
    <w:rsid w:val="004D35BA"/>
    <w:rsid w:val="004D3A6B"/>
    <w:rsid w:val="004D5BE7"/>
    <w:rsid w:val="004D5C59"/>
    <w:rsid w:val="004D7026"/>
    <w:rsid w:val="004D7A63"/>
    <w:rsid w:val="004E01CE"/>
    <w:rsid w:val="004E03EA"/>
    <w:rsid w:val="004E0DA5"/>
    <w:rsid w:val="004E0F66"/>
    <w:rsid w:val="004E1672"/>
    <w:rsid w:val="004E1C37"/>
    <w:rsid w:val="004E20B6"/>
    <w:rsid w:val="004E2D36"/>
    <w:rsid w:val="004E317C"/>
    <w:rsid w:val="004E3AC0"/>
    <w:rsid w:val="004E3E22"/>
    <w:rsid w:val="004E48BC"/>
    <w:rsid w:val="004E4E2D"/>
    <w:rsid w:val="004E4F90"/>
    <w:rsid w:val="004E5468"/>
    <w:rsid w:val="004E54C1"/>
    <w:rsid w:val="004E5590"/>
    <w:rsid w:val="004E5858"/>
    <w:rsid w:val="004E5A09"/>
    <w:rsid w:val="004E6418"/>
    <w:rsid w:val="004F041B"/>
    <w:rsid w:val="004F0DC5"/>
    <w:rsid w:val="004F10CB"/>
    <w:rsid w:val="004F1980"/>
    <w:rsid w:val="004F1D62"/>
    <w:rsid w:val="004F1FF0"/>
    <w:rsid w:val="004F311B"/>
    <w:rsid w:val="004F46D0"/>
    <w:rsid w:val="004F54F0"/>
    <w:rsid w:val="004F6015"/>
    <w:rsid w:val="004F6835"/>
    <w:rsid w:val="005003C7"/>
    <w:rsid w:val="005007FD"/>
    <w:rsid w:val="00500B93"/>
    <w:rsid w:val="00501061"/>
    <w:rsid w:val="00501171"/>
    <w:rsid w:val="005015E2"/>
    <w:rsid w:val="005018EB"/>
    <w:rsid w:val="00502290"/>
    <w:rsid w:val="005025A1"/>
    <w:rsid w:val="00502C16"/>
    <w:rsid w:val="00503FF1"/>
    <w:rsid w:val="005041F7"/>
    <w:rsid w:val="005060AF"/>
    <w:rsid w:val="00506A1C"/>
    <w:rsid w:val="00510330"/>
    <w:rsid w:val="00511E21"/>
    <w:rsid w:val="00512D4E"/>
    <w:rsid w:val="00512F00"/>
    <w:rsid w:val="005131AA"/>
    <w:rsid w:val="00513406"/>
    <w:rsid w:val="005149E3"/>
    <w:rsid w:val="00515379"/>
    <w:rsid w:val="00515459"/>
    <w:rsid w:val="00515ECA"/>
    <w:rsid w:val="00516A6C"/>
    <w:rsid w:val="00516C49"/>
    <w:rsid w:val="005205EC"/>
    <w:rsid w:val="00520974"/>
    <w:rsid w:val="005229A8"/>
    <w:rsid w:val="00523F78"/>
    <w:rsid w:val="00525224"/>
    <w:rsid w:val="00525965"/>
    <w:rsid w:val="005261EF"/>
    <w:rsid w:val="00526458"/>
    <w:rsid w:val="00526EE2"/>
    <w:rsid w:val="00526FF4"/>
    <w:rsid w:val="00527E84"/>
    <w:rsid w:val="0053055C"/>
    <w:rsid w:val="00530AE1"/>
    <w:rsid w:val="00532157"/>
    <w:rsid w:val="00532FB7"/>
    <w:rsid w:val="00534126"/>
    <w:rsid w:val="00534ACD"/>
    <w:rsid w:val="00535A1E"/>
    <w:rsid w:val="00535D53"/>
    <w:rsid w:val="00541CA4"/>
    <w:rsid w:val="00541DC3"/>
    <w:rsid w:val="00543A72"/>
    <w:rsid w:val="005449AD"/>
    <w:rsid w:val="00544A31"/>
    <w:rsid w:val="005454ED"/>
    <w:rsid w:val="00545710"/>
    <w:rsid w:val="0054587A"/>
    <w:rsid w:val="00545892"/>
    <w:rsid w:val="00547D58"/>
    <w:rsid w:val="00547E80"/>
    <w:rsid w:val="005500B6"/>
    <w:rsid w:val="005507FB"/>
    <w:rsid w:val="00551069"/>
    <w:rsid w:val="00551EF7"/>
    <w:rsid w:val="00553F18"/>
    <w:rsid w:val="005547FB"/>
    <w:rsid w:val="005553E7"/>
    <w:rsid w:val="00555D0F"/>
    <w:rsid w:val="005563B1"/>
    <w:rsid w:val="00556863"/>
    <w:rsid w:val="00557562"/>
    <w:rsid w:val="00560909"/>
    <w:rsid w:val="00560AFD"/>
    <w:rsid w:val="00560B62"/>
    <w:rsid w:val="00562452"/>
    <w:rsid w:val="005628F6"/>
    <w:rsid w:val="005644DC"/>
    <w:rsid w:val="00565198"/>
    <w:rsid w:val="00566052"/>
    <w:rsid w:val="00567B2D"/>
    <w:rsid w:val="00567F1E"/>
    <w:rsid w:val="0057119F"/>
    <w:rsid w:val="0057273E"/>
    <w:rsid w:val="0057297A"/>
    <w:rsid w:val="00572D1F"/>
    <w:rsid w:val="00573BE7"/>
    <w:rsid w:val="00573EA9"/>
    <w:rsid w:val="005758FE"/>
    <w:rsid w:val="0057620A"/>
    <w:rsid w:val="00576230"/>
    <w:rsid w:val="00576283"/>
    <w:rsid w:val="00576A71"/>
    <w:rsid w:val="00577283"/>
    <w:rsid w:val="00580FE3"/>
    <w:rsid w:val="00581560"/>
    <w:rsid w:val="005826E2"/>
    <w:rsid w:val="00582A3E"/>
    <w:rsid w:val="005831F6"/>
    <w:rsid w:val="00584508"/>
    <w:rsid w:val="00585C4D"/>
    <w:rsid w:val="00592170"/>
    <w:rsid w:val="00592561"/>
    <w:rsid w:val="005949C2"/>
    <w:rsid w:val="00594C3A"/>
    <w:rsid w:val="00594F67"/>
    <w:rsid w:val="00595464"/>
    <w:rsid w:val="0059579B"/>
    <w:rsid w:val="005964D9"/>
    <w:rsid w:val="0059691A"/>
    <w:rsid w:val="00596D76"/>
    <w:rsid w:val="00597630"/>
    <w:rsid w:val="00597637"/>
    <w:rsid w:val="005A02AE"/>
    <w:rsid w:val="005A02D5"/>
    <w:rsid w:val="005A1449"/>
    <w:rsid w:val="005A34F8"/>
    <w:rsid w:val="005A3D43"/>
    <w:rsid w:val="005A3F4D"/>
    <w:rsid w:val="005A41B2"/>
    <w:rsid w:val="005A539D"/>
    <w:rsid w:val="005A54E9"/>
    <w:rsid w:val="005A575E"/>
    <w:rsid w:val="005A5D1C"/>
    <w:rsid w:val="005A7EFC"/>
    <w:rsid w:val="005B04CD"/>
    <w:rsid w:val="005B0CD9"/>
    <w:rsid w:val="005B0F33"/>
    <w:rsid w:val="005B1C7A"/>
    <w:rsid w:val="005B1E13"/>
    <w:rsid w:val="005B423C"/>
    <w:rsid w:val="005B5A1A"/>
    <w:rsid w:val="005B5D65"/>
    <w:rsid w:val="005B653F"/>
    <w:rsid w:val="005B6BA8"/>
    <w:rsid w:val="005B7216"/>
    <w:rsid w:val="005B7321"/>
    <w:rsid w:val="005B7C57"/>
    <w:rsid w:val="005B7C5A"/>
    <w:rsid w:val="005B7D28"/>
    <w:rsid w:val="005C180E"/>
    <w:rsid w:val="005C22D5"/>
    <w:rsid w:val="005C2409"/>
    <w:rsid w:val="005C2454"/>
    <w:rsid w:val="005C38AB"/>
    <w:rsid w:val="005C3D5F"/>
    <w:rsid w:val="005C402E"/>
    <w:rsid w:val="005C41D1"/>
    <w:rsid w:val="005C48F7"/>
    <w:rsid w:val="005C5C62"/>
    <w:rsid w:val="005C5C94"/>
    <w:rsid w:val="005C7C76"/>
    <w:rsid w:val="005D0F60"/>
    <w:rsid w:val="005D127A"/>
    <w:rsid w:val="005D1CD7"/>
    <w:rsid w:val="005D31D5"/>
    <w:rsid w:val="005D3FB6"/>
    <w:rsid w:val="005D4C87"/>
    <w:rsid w:val="005D52D0"/>
    <w:rsid w:val="005D728C"/>
    <w:rsid w:val="005E0C3B"/>
    <w:rsid w:val="005E1AF8"/>
    <w:rsid w:val="005E1EB9"/>
    <w:rsid w:val="005E371C"/>
    <w:rsid w:val="005E38F0"/>
    <w:rsid w:val="005E3FE4"/>
    <w:rsid w:val="005E5AEE"/>
    <w:rsid w:val="005E5DFA"/>
    <w:rsid w:val="005E77A6"/>
    <w:rsid w:val="005F0933"/>
    <w:rsid w:val="005F21CE"/>
    <w:rsid w:val="005F2CF6"/>
    <w:rsid w:val="005F4FE6"/>
    <w:rsid w:val="005F50A4"/>
    <w:rsid w:val="005F5F13"/>
    <w:rsid w:val="005F621E"/>
    <w:rsid w:val="006000BB"/>
    <w:rsid w:val="00601577"/>
    <w:rsid w:val="00601AA5"/>
    <w:rsid w:val="0060258D"/>
    <w:rsid w:val="0060297F"/>
    <w:rsid w:val="006029AD"/>
    <w:rsid w:val="00602A0B"/>
    <w:rsid w:val="0060312F"/>
    <w:rsid w:val="00603D02"/>
    <w:rsid w:val="00604F4F"/>
    <w:rsid w:val="006051E5"/>
    <w:rsid w:val="00605763"/>
    <w:rsid w:val="00607613"/>
    <w:rsid w:val="00607D27"/>
    <w:rsid w:val="006107D1"/>
    <w:rsid w:val="00613401"/>
    <w:rsid w:val="00614111"/>
    <w:rsid w:val="00614738"/>
    <w:rsid w:val="00614C2D"/>
    <w:rsid w:val="00614F04"/>
    <w:rsid w:val="00615070"/>
    <w:rsid w:val="006169AA"/>
    <w:rsid w:val="006169F9"/>
    <w:rsid w:val="00616B43"/>
    <w:rsid w:val="006172B3"/>
    <w:rsid w:val="0061755A"/>
    <w:rsid w:val="00617AFC"/>
    <w:rsid w:val="00617F05"/>
    <w:rsid w:val="006200F4"/>
    <w:rsid w:val="00622837"/>
    <w:rsid w:val="00622BF6"/>
    <w:rsid w:val="00623034"/>
    <w:rsid w:val="00623AED"/>
    <w:rsid w:val="00623E46"/>
    <w:rsid w:val="006240D7"/>
    <w:rsid w:val="006240F0"/>
    <w:rsid w:val="00624140"/>
    <w:rsid w:val="006245DF"/>
    <w:rsid w:val="00624606"/>
    <w:rsid w:val="00625BB9"/>
    <w:rsid w:val="006267AF"/>
    <w:rsid w:val="00627264"/>
    <w:rsid w:val="006320C4"/>
    <w:rsid w:val="0063324B"/>
    <w:rsid w:val="00633CE6"/>
    <w:rsid w:val="00634F08"/>
    <w:rsid w:val="006350FE"/>
    <w:rsid w:val="0063598A"/>
    <w:rsid w:val="0063637F"/>
    <w:rsid w:val="0064223F"/>
    <w:rsid w:val="00642E5D"/>
    <w:rsid w:val="00643128"/>
    <w:rsid w:val="0064378C"/>
    <w:rsid w:val="00643827"/>
    <w:rsid w:val="00644509"/>
    <w:rsid w:val="00644615"/>
    <w:rsid w:val="00644792"/>
    <w:rsid w:val="006449DE"/>
    <w:rsid w:val="00645003"/>
    <w:rsid w:val="0064584A"/>
    <w:rsid w:val="00646C42"/>
    <w:rsid w:val="00646CDA"/>
    <w:rsid w:val="0065025A"/>
    <w:rsid w:val="00650E97"/>
    <w:rsid w:val="00651E8F"/>
    <w:rsid w:val="00653AAC"/>
    <w:rsid w:val="006555B7"/>
    <w:rsid w:val="00655752"/>
    <w:rsid w:val="0065584F"/>
    <w:rsid w:val="006558A8"/>
    <w:rsid w:val="00655B43"/>
    <w:rsid w:val="00655CAF"/>
    <w:rsid w:val="006571D1"/>
    <w:rsid w:val="0065788A"/>
    <w:rsid w:val="00657933"/>
    <w:rsid w:val="006613FD"/>
    <w:rsid w:val="0066246F"/>
    <w:rsid w:val="00662BA9"/>
    <w:rsid w:val="00663197"/>
    <w:rsid w:val="0066435D"/>
    <w:rsid w:val="00664CA9"/>
    <w:rsid w:val="00665E04"/>
    <w:rsid w:val="00665EEC"/>
    <w:rsid w:val="0066605B"/>
    <w:rsid w:val="00667015"/>
    <w:rsid w:val="006670FE"/>
    <w:rsid w:val="0066740B"/>
    <w:rsid w:val="0066759A"/>
    <w:rsid w:val="006700A7"/>
    <w:rsid w:val="006709A9"/>
    <w:rsid w:val="006709B7"/>
    <w:rsid w:val="00670A7D"/>
    <w:rsid w:val="00670ACC"/>
    <w:rsid w:val="0067131B"/>
    <w:rsid w:val="006718C3"/>
    <w:rsid w:val="00671DDC"/>
    <w:rsid w:val="00672359"/>
    <w:rsid w:val="00672B39"/>
    <w:rsid w:val="00673A06"/>
    <w:rsid w:val="00676211"/>
    <w:rsid w:val="006765EB"/>
    <w:rsid w:val="0067693A"/>
    <w:rsid w:val="00677D5D"/>
    <w:rsid w:val="00677FC9"/>
    <w:rsid w:val="006802A7"/>
    <w:rsid w:val="00680343"/>
    <w:rsid w:val="006808BC"/>
    <w:rsid w:val="00680A11"/>
    <w:rsid w:val="00681EEF"/>
    <w:rsid w:val="00682BEE"/>
    <w:rsid w:val="006866A9"/>
    <w:rsid w:val="00687587"/>
    <w:rsid w:val="00687D8E"/>
    <w:rsid w:val="00687F56"/>
    <w:rsid w:val="00690780"/>
    <w:rsid w:val="00690A1A"/>
    <w:rsid w:val="006921E1"/>
    <w:rsid w:val="006925F0"/>
    <w:rsid w:val="00692A8C"/>
    <w:rsid w:val="006933A7"/>
    <w:rsid w:val="0069547C"/>
    <w:rsid w:val="00695DB5"/>
    <w:rsid w:val="00695E29"/>
    <w:rsid w:val="00695EBC"/>
    <w:rsid w:val="00696C0A"/>
    <w:rsid w:val="006A1328"/>
    <w:rsid w:val="006A28FB"/>
    <w:rsid w:val="006A297A"/>
    <w:rsid w:val="006A2B42"/>
    <w:rsid w:val="006A3169"/>
    <w:rsid w:val="006A4530"/>
    <w:rsid w:val="006A4B9F"/>
    <w:rsid w:val="006A5A3C"/>
    <w:rsid w:val="006A7E1B"/>
    <w:rsid w:val="006B09AB"/>
    <w:rsid w:val="006B105D"/>
    <w:rsid w:val="006B1170"/>
    <w:rsid w:val="006B19AD"/>
    <w:rsid w:val="006B1AFA"/>
    <w:rsid w:val="006B1BFA"/>
    <w:rsid w:val="006B24C2"/>
    <w:rsid w:val="006B29C7"/>
    <w:rsid w:val="006B35EC"/>
    <w:rsid w:val="006B4BCD"/>
    <w:rsid w:val="006B5168"/>
    <w:rsid w:val="006B592D"/>
    <w:rsid w:val="006B5DF3"/>
    <w:rsid w:val="006B628A"/>
    <w:rsid w:val="006B6858"/>
    <w:rsid w:val="006B70CD"/>
    <w:rsid w:val="006B7A6F"/>
    <w:rsid w:val="006B7D2D"/>
    <w:rsid w:val="006C04F8"/>
    <w:rsid w:val="006C4FD9"/>
    <w:rsid w:val="006C5208"/>
    <w:rsid w:val="006C7980"/>
    <w:rsid w:val="006C7D35"/>
    <w:rsid w:val="006D0DDD"/>
    <w:rsid w:val="006D1A8B"/>
    <w:rsid w:val="006D1DA2"/>
    <w:rsid w:val="006D21BD"/>
    <w:rsid w:val="006D234D"/>
    <w:rsid w:val="006D31BC"/>
    <w:rsid w:val="006D3319"/>
    <w:rsid w:val="006D4B22"/>
    <w:rsid w:val="006D5045"/>
    <w:rsid w:val="006D76D6"/>
    <w:rsid w:val="006E1255"/>
    <w:rsid w:val="006E195A"/>
    <w:rsid w:val="006E386E"/>
    <w:rsid w:val="006E4147"/>
    <w:rsid w:val="006E415D"/>
    <w:rsid w:val="006E4530"/>
    <w:rsid w:val="006E4732"/>
    <w:rsid w:val="006E4846"/>
    <w:rsid w:val="006E4B60"/>
    <w:rsid w:val="006E4F9D"/>
    <w:rsid w:val="006E5351"/>
    <w:rsid w:val="006E542C"/>
    <w:rsid w:val="006F066C"/>
    <w:rsid w:val="006F1D77"/>
    <w:rsid w:val="006F2218"/>
    <w:rsid w:val="006F43D2"/>
    <w:rsid w:val="006F472F"/>
    <w:rsid w:val="006F5E25"/>
    <w:rsid w:val="006F6556"/>
    <w:rsid w:val="006F7942"/>
    <w:rsid w:val="00700316"/>
    <w:rsid w:val="00701A58"/>
    <w:rsid w:val="00701B52"/>
    <w:rsid w:val="00701ECB"/>
    <w:rsid w:val="00703E8B"/>
    <w:rsid w:val="00704D38"/>
    <w:rsid w:val="007071B2"/>
    <w:rsid w:val="007077A6"/>
    <w:rsid w:val="00710A17"/>
    <w:rsid w:val="00710AE6"/>
    <w:rsid w:val="0071163C"/>
    <w:rsid w:val="007129AA"/>
    <w:rsid w:val="00712C8F"/>
    <w:rsid w:val="00712D5E"/>
    <w:rsid w:val="007132F9"/>
    <w:rsid w:val="007135EC"/>
    <w:rsid w:val="007135EF"/>
    <w:rsid w:val="00713B61"/>
    <w:rsid w:val="00713D4A"/>
    <w:rsid w:val="00716693"/>
    <w:rsid w:val="00716F38"/>
    <w:rsid w:val="00717245"/>
    <w:rsid w:val="00717872"/>
    <w:rsid w:val="00717C21"/>
    <w:rsid w:val="00717F3A"/>
    <w:rsid w:val="0072044A"/>
    <w:rsid w:val="00721F8F"/>
    <w:rsid w:val="00721F9A"/>
    <w:rsid w:val="007221C5"/>
    <w:rsid w:val="00724C61"/>
    <w:rsid w:val="0072586D"/>
    <w:rsid w:val="00726E01"/>
    <w:rsid w:val="007270B9"/>
    <w:rsid w:val="00727F0C"/>
    <w:rsid w:val="00730481"/>
    <w:rsid w:val="00731144"/>
    <w:rsid w:val="007312E2"/>
    <w:rsid w:val="00732101"/>
    <w:rsid w:val="0073276C"/>
    <w:rsid w:val="00732BDB"/>
    <w:rsid w:val="007339A4"/>
    <w:rsid w:val="007340DF"/>
    <w:rsid w:val="007341D0"/>
    <w:rsid w:val="0073509F"/>
    <w:rsid w:val="007350D6"/>
    <w:rsid w:val="0073537B"/>
    <w:rsid w:val="00735A94"/>
    <w:rsid w:val="00736348"/>
    <w:rsid w:val="007371CC"/>
    <w:rsid w:val="0074052E"/>
    <w:rsid w:val="0074200A"/>
    <w:rsid w:val="00743C68"/>
    <w:rsid w:val="00743FDB"/>
    <w:rsid w:val="0074550D"/>
    <w:rsid w:val="00746642"/>
    <w:rsid w:val="007500CB"/>
    <w:rsid w:val="0075024E"/>
    <w:rsid w:val="00751B47"/>
    <w:rsid w:val="007535FE"/>
    <w:rsid w:val="00753B44"/>
    <w:rsid w:val="007545E0"/>
    <w:rsid w:val="00754ABD"/>
    <w:rsid w:val="00754FC6"/>
    <w:rsid w:val="00756109"/>
    <w:rsid w:val="00756C02"/>
    <w:rsid w:val="007613CB"/>
    <w:rsid w:val="0076193F"/>
    <w:rsid w:val="00761B40"/>
    <w:rsid w:val="00761F2F"/>
    <w:rsid w:val="007624C0"/>
    <w:rsid w:val="00762A70"/>
    <w:rsid w:val="00764656"/>
    <w:rsid w:val="00764A3A"/>
    <w:rsid w:val="00764D43"/>
    <w:rsid w:val="00765607"/>
    <w:rsid w:val="007657F4"/>
    <w:rsid w:val="00765D99"/>
    <w:rsid w:val="00766429"/>
    <w:rsid w:val="00766890"/>
    <w:rsid w:val="00766BE7"/>
    <w:rsid w:val="00767762"/>
    <w:rsid w:val="007679FA"/>
    <w:rsid w:val="00770353"/>
    <w:rsid w:val="00770870"/>
    <w:rsid w:val="00771942"/>
    <w:rsid w:val="00772464"/>
    <w:rsid w:val="007736BA"/>
    <w:rsid w:val="0077376B"/>
    <w:rsid w:val="007749D5"/>
    <w:rsid w:val="00776394"/>
    <w:rsid w:val="0077646A"/>
    <w:rsid w:val="007805E5"/>
    <w:rsid w:val="007817E5"/>
    <w:rsid w:val="00781B2A"/>
    <w:rsid w:val="00781C41"/>
    <w:rsid w:val="0078244B"/>
    <w:rsid w:val="00783857"/>
    <w:rsid w:val="00784BF1"/>
    <w:rsid w:val="0078547A"/>
    <w:rsid w:val="00785FD5"/>
    <w:rsid w:val="007864AE"/>
    <w:rsid w:val="007864E5"/>
    <w:rsid w:val="00786DB1"/>
    <w:rsid w:val="00787F80"/>
    <w:rsid w:val="0079039D"/>
    <w:rsid w:val="00790F28"/>
    <w:rsid w:val="007912A7"/>
    <w:rsid w:val="0079202E"/>
    <w:rsid w:val="00793800"/>
    <w:rsid w:val="00793A8B"/>
    <w:rsid w:val="00793EB1"/>
    <w:rsid w:val="007940CC"/>
    <w:rsid w:val="00794383"/>
    <w:rsid w:val="00794F1A"/>
    <w:rsid w:val="00795408"/>
    <w:rsid w:val="00795436"/>
    <w:rsid w:val="0079551A"/>
    <w:rsid w:val="00797457"/>
    <w:rsid w:val="00797E16"/>
    <w:rsid w:val="007A2072"/>
    <w:rsid w:val="007A34D1"/>
    <w:rsid w:val="007A3CC1"/>
    <w:rsid w:val="007A430D"/>
    <w:rsid w:val="007A525B"/>
    <w:rsid w:val="007A58FE"/>
    <w:rsid w:val="007A5927"/>
    <w:rsid w:val="007A7EFF"/>
    <w:rsid w:val="007B0109"/>
    <w:rsid w:val="007B2846"/>
    <w:rsid w:val="007B2AA3"/>
    <w:rsid w:val="007B3F3D"/>
    <w:rsid w:val="007B4B6C"/>
    <w:rsid w:val="007B4D41"/>
    <w:rsid w:val="007B52E2"/>
    <w:rsid w:val="007B5409"/>
    <w:rsid w:val="007B5BCA"/>
    <w:rsid w:val="007B5D24"/>
    <w:rsid w:val="007B5E62"/>
    <w:rsid w:val="007B7160"/>
    <w:rsid w:val="007B76A7"/>
    <w:rsid w:val="007C0E27"/>
    <w:rsid w:val="007C0F42"/>
    <w:rsid w:val="007C130F"/>
    <w:rsid w:val="007C1B16"/>
    <w:rsid w:val="007C1BAA"/>
    <w:rsid w:val="007C2A98"/>
    <w:rsid w:val="007C2DEF"/>
    <w:rsid w:val="007C3199"/>
    <w:rsid w:val="007C3A41"/>
    <w:rsid w:val="007C66ED"/>
    <w:rsid w:val="007C7D38"/>
    <w:rsid w:val="007D000C"/>
    <w:rsid w:val="007D017B"/>
    <w:rsid w:val="007D01DC"/>
    <w:rsid w:val="007D04D5"/>
    <w:rsid w:val="007D121E"/>
    <w:rsid w:val="007D1236"/>
    <w:rsid w:val="007D1423"/>
    <w:rsid w:val="007D1DFD"/>
    <w:rsid w:val="007D1E2C"/>
    <w:rsid w:val="007D2F99"/>
    <w:rsid w:val="007D3708"/>
    <w:rsid w:val="007D39B1"/>
    <w:rsid w:val="007D4538"/>
    <w:rsid w:val="007D48B9"/>
    <w:rsid w:val="007D5B4E"/>
    <w:rsid w:val="007D7001"/>
    <w:rsid w:val="007D70C6"/>
    <w:rsid w:val="007E2DB1"/>
    <w:rsid w:val="007E4C23"/>
    <w:rsid w:val="007E54F8"/>
    <w:rsid w:val="007E56DD"/>
    <w:rsid w:val="007F013E"/>
    <w:rsid w:val="007F0B80"/>
    <w:rsid w:val="007F0D3D"/>
    <w:rsid w:val="007F0E9A"/>
    <w:rsid w:val="007F25B0"/>
    <w:rsid w:val="007F415A"/>
    <w:rsid w:val="007F41D9"/>
    <w:rsid w:val="007F46F6"/>
    <w:rsid w:val="007F5DB5"/>
    <w:rsid w:val="007F6EF1"/>
    <w:rsid w:val="008009F0"/>
    <w:rsid w:val="008018B5"/>
    <w:rsid w:val="0080358E"/>
    <w:rsid w:val="00803D7B"/>
    <w:rsid w:val="00804137"/>
    <w:rsid w:val="008056CA"/>
    <w:rsid w:val="00806EE5"/>
    <w:rsid w:val="00806EFF"/>
    <w:rsid w:val="008113BC"/>
    <w:rsid w:val="0081223C"/>
    <w:rsid w:val="008123D5"/>
    <w:rsid w:val="0081357F"/>
    <w:rsid w:val="0081434D"/>
    <w:rsid w:val="00814CDF"/>
    <w:rsid w:val="00815D80"/>
    <w:rsid w:val="00816E8A"/>
    <w:rsid w:val="0082056A"/>
    <w:rsid w:val="00821DF9"/>
    <w:rsid w:val="008223DF"/>
    <w:rsid w:val="0082323E"/>
    <w:rsid w:val="00824475"/>
    <w:rsid w:val="008259AC"/>
    <w:rsid w:val="008259C8"/>
    <w:rsid w:val="008267BD"/>
    <w:rsid w:val="0082690E"/>
    <w:rsid w:val="00826A3F"/>
    <w:rsid w:val="008301F3"/>
    <w:rsid w:val="00830D53"/>
    <w:rsid w:val="0083234C"/>
    <w:rsid w:val="00832463"/>
    <w:rsid w:val="00832838"/>
    <w:rsid w:val="00832E8D"/>
    <w:rsid w:val="008335D0"/>
    <w:rsid w:val="00833D8A"/>
    <w:rsid w:val="00833EC5"/>
    <w:rsid w:val="0083478C"/>
    <w:rsid w:val="00836EBC"/>
    <w:rsid w:val="00836FE5"/>
    <w:rsid w:val="008409FC"/>
    <w:rsid w:val="008415F7"/>
    <w:rsid w:val="008418DB"/>
    <w:rsid w:val="00841FD3"/>
    <w:rsid w:val="00842B83"/>
    <w:rsid w:val="00843771"/>
    <w:rsid w:val="00843A73"/>
    <w:rsid w:val="00845A80"/>
    <w:rsid w:val="00845DC5"/>
    <w:rsid w:val="00846468"/>
    <w:rsid w:val="008476CA"/>
    <w:rsid w:val="0085032B"/>
    <w:rsid w:val="008507FF"/>
    <w:rsid w:val="008508E6"/>
    <w:rsid w:val="00851DF8"/>
    <w:rsid w:val="00852968"/>
    <w:rsid w:val="0085595C"/>
    <w:rsid w:val="00856921"/>
    <w:rsid w:val="00856A49"/>
    <w:rsid w:val="00857E51"/>
    <w:rsid w:val="008602AE"/>
    <w:rsid w:val="008604A9"/>
    <w:rsid w:val="00860C86"/>
    <w:rsid w:val="0086170F"/>
    <w:rsid w:val="00861B92"/>
    <w:rsid w:val="00861F33"/>
    <w:rsid w:val="008630BB"/>
    <w:rsid w:val="0086316F"/>
    <w:rsid w:val="008632EF"/>
    <w:rsid w:val="0086337A"/>
    <w:rsid w:val="0086506A"/>
    <w:rsid w:val="00865BCC"/>
    <w:rsid w:val="00867B0B"/>
    <w:rsid w:val="00867E8C"/>
    <w:rsid w:val="008702B5"/>
    <w:rsid w:val="00870988"/>
    <w:rsid w:val="00871895"/>
    <w:rsid w:val="00871BE5"/>
    <w:rsid w:val="00872948"/>
    <w:rsid w:val="00872FD8"/>
    <w:rsid w:val="00873051"/>
    <w:rsid w:val="008730AD"/>
    <w:rsid w:val="0087332B"/>
    <w:rsid w:val="00873468"/>
    <w:rsid w:val="008738D4"/>
    <w:rsid w:val="00873ACC"/>
    <w:rsid w:val="00874B28"/>
    <w:rsid w:val="00874CD5"/>
    <w:rsid w:val="00875A1E"/>
    <w:rsid w:val="00875E9F"/>
    <w:rsid w:val="00876699"/>
    <w:rsid w:val="00876756"/>
    <w:rsid w:val="008769E6"/>
    <w:rsid w:val="00876D65"/>
    <w:rsid w:val="00877D35"/>
    <w:rsid w:val="00877E22"/>
    <w:rsid w:val="00880016"/>
    <w:rsid w:val="00880785"/>
    <w:rsid w:val="00880DF3"/>
    <w:rsid w:val="00881254"/>
    <w:rsid w:val="0088131F"/>
    <w:rsid w:val="008813FD"/>
    <w:rsid w:val="008814FB"/>
    <w:rsid w:val="00881A5D"/>
    <w:rsid w:val="00882D35"/>
    <w:rsid w:val="00883394"/>
    <w:rsid w:val="00883B94"/>
    <w:rsid w:val="00884BF6"/>
    <w:rsid w:val="00884D51"/>
    <w:rsid w:val="00885583"/>
    <w:rsid w:val="0088606A"/>
    <w:rsid w:val="0088704D"/>
    <w:rsid w:val="0088751D"/>
    <w:rsid w:val="0088792F"/>
    <w:rsid w:val="00887CBD"/>
    <w:rsid w:val="00890DD9"/>
    <w:rsid w:val="008916C4"/>
    <w:rsid w:val="00891E30"/>
    <w:rsid w:val="00892034"/>
    <w:rsid w:val="00893B49"/>
    <w:rsid w:val="00893C8F"/>
    <w:rsid w:val="00897648"/>
    <w:rsid w:val="00897854"/>
    <w:rsid w:val="00897BDD"/>
    <w:rsid w:val="00897D70"/>
    <w:rsid w:val="00897E29"/>
    <w:rsid w:val="008A0350"/>
    <w:rsid w:val="008A03EB"/>
    <w:rsid w:val="008A0C24"/>
    <w:rsid w:val="008A1EC4"/>
    <w:rsid w:val="008A3080"/>
    <w:rsid w:val="008A40E3"/>
    <w:rsid w:val="008A41BF"/>
    <w:rsid w:val="008A7BD2"/>
    <w:rsid w:val="008B01DC"/>
    <w:rsid w:val="008B2193"/>
    <w:rsid w:val="008B25E6"/>
    <w:rsid w:val="008B29DA"/>
    <w:rsid w:val="008B3E8C"/>
    <w:rsid w:val="008B505F"/>
    <w:rsid w:val="008B61F0"/>
    <w:rsid w:val="008B68D8"/>
    <w:rsid w:val="008C0045"/>
    <w:rsid w:val="008C034A"/>
    <w:rsid w:val="008C1625"/>
    <w:rsid w:val="008C171C"/>
    <w:rsid w:val="008C2D32"/>
    <w:rsid w:val="008C363E"/>
    <w:rsid w:val="008C3C1A"/>
    <w:rsid w:val="008C3F77"/>
    <w:rsid w:val="008C58C3"/>
    <w:rsid w:val="008C76E7"/>
    <w:rsid w:val="008D006E"/>
    <w:rsid w:val="008D04D2"/>
    <w:rsid w:val="008D1AF8"/>
    <w:rsid w:val="008D2306"/>
    <w:rsid w:val="008D2597"/>
    <w:rsid w:val="008D4F26"/>
    <w:rsid w:val="008D5098"/>
    <w:rsid w:val="008D73F7"/>
    <w:rsid w:val="008D75CD"/>
    <w:rsid w:val="008D7A5B"/>
    <w:rsid w:val="008D7D3F"/>
    <w:rsid w:val="008D7DBD"/>
    <w:rsid w:val="008D7E94"/>
    <w:rsid w:val="008E245C"/>
    <w:rsid w:val="008E3E2B"/>
    <w:rsid w:val="008E4762"/>
    <w:rsid w:val="008E4913"/>
    <w:rsid w:val="008E4E6C"/>
    <w:rsid w:val="008E5B3D"/>
    <w:rsid w:val="008E62A3"/>
    <w:rsid w:val="008E6888"/>
    <w:rsid w:val="008E70BE"/>
    <w:rsid w:val="008E72F0"/>
    <w:rsid w:val="008E757C"/>
    <w:rsid w:val="008E7826"/>
    <w:rsid w:val="008E7D10"/>
    <w:rsid w:val="008F0B62"/>
    <w:rsid w:val="008F16BF"/>
    <w:rsid w:val="008F3695"/>
    <w:rsid w:val="008F3B59"/>
    <w:rsid w:val="008F463E"/>
    <w:rsid w:val="008F4F2B"/>
    <w:rsid w:val="008F593D"/>
    <w:rsid w:val="008F5CBB"/>
    <w:rsid w:val="008F5E30"/>
    <w:rsid w:val="008F6A71"/>
    <w:rsid w:val="008F6FB7"/>
    <w:rsid w:val="00900036"/>
    <w:rsid w:val="00900191"/>
    <w:rsid w:val="00901682"/>
    <w:rsid w:val="0090239F"/>
    <w:rsid w:val="00902538"/>
    <w:rsid w:val="0090334C"/>
    <w:rsid w:val="00903D14"/>
    <w:rsid w:val="00903F54"/>
    <w:rsid w:val="00905201"/>
    <w:rsid w:val="009053FD"/>
    <w:rsid w:val="00905A33"/>
    <w:rsid w:val="00906744"/>
    <w:rsid w:val="00906C8F"/>
    <w:rsid w:val="009075DE"/>
    <w:rsid w:val="00907ADC"/>
    <w:rsid w:val="00910249"/>
    <w:rsid w:val="00910A82"/>
    <w:rsid w:val="00911664"/>
    <w:rsid w:val="009122CF"/>
    <w:rsid w:val="00913372"/>
    <w:rsid w:val="009144FE"/>
    <w:rsid w:val="00914743"/>
    <w:rsid w:val="00914D7F"/>
    <w:rsid w:val="00914E02"/>
    <w:rsid w:val="00915095"/>
    <w:rsid w:val="00915D7E"/>
    <w:rsid w:val="009162CE"/>
    <w:rsid w:val="009166E6"/>
    <w:rsid w:val="009171EF"/>
    <w:rsid w:val="00917467"/>
    <w:rsid w:val="0091796B"/>
    <w:rsid w:val="009218F8"/>
    <w:rsid w:val="00922020"/>
    <w:rsid w:val="009237D8"/>
    <w:rsid w:val="00923C37"/>
    <w:rsid w:val="00923E65"/>
    <w:rsid w:val="009246FD"/>
    <w:rsid w:val="009252B9"/>
    <w:rsid w:val="009267DD"/>
    <w:rsid w:val="0092744F"/>
    <w:rsid w:val="009279D4"/>
    <w:rsid w:val="00927C0A"/>
    <w:rsid w:val="00931024"/>
    <w:rsid w:val="00931B2D"/>
    <w:rsid w:val="00931E14"/>
    <w:rsid w:val="00934367"/>
    <w:rsid w:val="009354BC"/>
    <w:rsid w:val="00935CCA"/>
    <w:rsid w:val="00936196"/>
    <w:rsid w:val="00937E9A"/>
    <w:rsid w:val="0094011D"/>
    <w:rsid w:val="009411ED"/>
    <w:rsid w:val="00941826"/>
    <w:rsid w:val="00942108"/>
    <w:rsid w:val="009423AD"/>
    <w:rsid w:val="009426E8"/>
    <w:rsid w:val="00942820"/>
    <w:rsid w:val="00942D56"/>
    <w:rsid w:val="00944AEA"/>
    <w:rsid w:val="00944CAC"/>
    <w:rsid w:val="00944D88"/>
    <w:rsid w:val="00945137"/>
    <w:rsid w:val="00946A12"/>
    <w:rsid w:val="00946BCF"/>
    <w:rsid w:val="0094785E"/>
    <w:rsid w:val="00947B49"/>
    <w:rsid w:val="00950E66"/>
    <w:rsid w:val="009512B1"/>
    <w:rsid w:val="00952D2E"/>
    <w:rsid w:val="0095322A"/>
    <w:rsid w:val="00953451"/>
    <w:rsid w:val="00953FD5"/>
    <w:rsid w:val="00954490"/>
    <w:rsid w:val="009552EC"/>
    <w:rsid w:val="0095618D"/>
    <w:rsid w:val="00957AEB"/>
    <w:rsid w:val="0096076C"/>
    <w:rsid w:val="0096117E"/>
    <w:rsid w:val="00962065"/>
    <w:rsid w:val="009637C1"/>
    <w:rsid w:val="00964764"/>
    <w:rsid w:val="00965F40"/>
    <w:rsid w:val="00966CEB"/>
    <w:rsid w:val="0096799E"/>
    <w:rsid w:val="00970423"/>
    <w:rsid w:val="00970C0B"/>
    <w:rsid w:val="00971046"/>
    <w:rsid w:val="009717FD"/>
    <w:rsid w:val="009726BC"/>
    <w:rsid w:val="0097305A"/>
    <w:rsid w:val="00973697"/>
    <w:rsid w:val="0097391A"/>
    <w:rsid w:val="00973E93"/>
    <w:rsid w:val="0097594A"/>
    <w:rsid w:val="00975DB1"/>
    <w:rsid w:val="00977B3C"/>
    <w:rsid w:val="0098043F"/>
    <w:rsid w:val="00980440"/>
    <w:rsid w:val="0098099E"/>
    <w:rsid w:val="00980BA3"/>
    <w:rsid w:val="00981284"/>
    <w:rsid w:val="00981D6A"/>
    <w:rsid w:val="00983A77"/>
    <w:rsid w:val="00984725"/>
    <w:rsid w:val="00985D5E"/>
    <w:rsid w:val="00985EAE"/>
    <w:rsid w:val="0098751C"/>
    <w:rsid w:val="009879C5"/>
    <w:rsid w:val="009909A7"/>
    <w:rsid w:val="00990DFE"/>
    <w:rsid w:val="0099187E"/>
    <w:rsid w:val="00991BE2"/>
    <w:rsid w:val="00991F1E"/>
    <w:rsid w:val="00994277"/>
    <w:rsid w:val="009959F0"/>
    <w:rsid w:val="00995DC5"/>
    <w:rsid w:val="00996674"/>
    <w:rsid w:val="00997948"/>
    <w:rsid w:val="009A0B67"/>
    <w:rsid w:val="009A1311"/>
    <w:rsid w:val="009A1596"/>
    <w:rsid w:val="009A1CDF"/>
    <w:rsid w:val="009A24CD"/>
    <w:rsid w:val="009A256A"/>
    <w:rsid w:val="009A343C"/>
    <w:rsid w:val="009A3553"/>
    <w:rsid w:val="009A4765"/>
    <w:rsid w:val="009A4B1F"/>
    <w:rsid w:val="009A5F90"/>
    <w:rsid w:val="009A687E"/>
    <w:rsid w:val="009B27DA"/>
    <w:rsid w:val="009B2971"/>
    <w:rsid w:val="009B2EAD"/>
    <w:rsid w:val="009B31AA"/>
    <w:rsid w:val="009B3245"/>
    <w:rsid w:val="009B3681"/>
    <w:rsid w:val="009B3956"/>
    <w:rsid w:val="009B46BF"/>
    <w:rsid w:val="009B4809"/>
    <w:rsid w:val="009B49AC"/>
    <w:rsid w:val="009B49BC"/>
    <w:rsid w:val="009B4AEF"/>
    <w:rsid w:val="009B4FDC"/>
    <w:rsid w:val="009B5CCB"/>
    <w:rsid w:val="009B641D"/>
    <w:rsid w:val="009B6CD9"/>
    <w:rsid w:val="009C01B9"/>
    <w:rsid w:val="009C01E4"/>
    <w:rsid w:val="009C0914"/>
    <w:rsid w:val="009C0BF1"/>
    <w:rsid w:val="009C1D7A"/>
    <w:rsid w:val="009C21BD"/>
    <w:rsid w:val="009C4BDD"/>
    <w:rsid w:val="009C59C2"/>
    <w:rsid w:val="009C616B"/>
    <w:rsid w:val="009C669B"/>
    <w:rsid w:val="009C713D"/>
    <w:rsid w:val="009C720B"/>
    <w:rsid w:val="009D0C06"/>
    <w:rsid w:val="009D12DF"/>
    <w:rsid w:val="009D1348"/>
    <w:rsid w:val="009D4014"/>
    <w:rsid w:val="009D497C"/>
    <w:rsid w:val="009D58E8"/>
    <w:rsid w:val="009D5F93"/>
    <w:rsid w:val="009D60E2"/>
    <w:rsid w:val="009D642E"/>
    <w:rsid w:val="009D6D57"/>
    <w:rsid w:val="009E0AF6"/>
    <w:rsid w:val="009E0F1F"/>
    <w:rsid w:val="009E11ED"/>
    <w:rsid w:val="009E1399"/>
    <w:rsid w:val="009E37EC"/>
    <w:rsid w:val="009E3E7C"/>
    <w:rsid w:val="009E4BE5"/>
    <w:rsid w:val="009E5785"/>
    <w:rsid w:val="009E58AA"/>
    <w:rsid w:val="009E6345"/>
    <w:rsid w:val="009E6586"/>
    <w:rsid w:val="009E680B"/>
    <w:rsid w:val="009E7701"/>
    <w:rsid w:val="009E7AD5"/>
    <w:rsid w:val="009F00A6"/>
    <w:rsid w:val="009F04B2"/>
    <w:rsid w:val="009F0599"/>
    <w:rsid w:val="009F0764"/>
    <w:rsid w:val="009F4D7E"/>
    <w:rsid w:val="009F4FE3"/>
    <w:rsid w:val="009F5E86"/>
    <w:rsid w:val="009F627B"/>
    <w:rsid w:val="009F657C"/>
    <w:rsid w:val="009F7C60"/>
    <w:rsid w:val="00A003AE"/>
    <w:rsid w:val="00A008EB"/>
    <w:rsid w:val="00A00D3D"/>
    <w:rsid w:val="00A01036"/>
    <w:rsid w:val="00A01C54"/>
    <w:rsid w:val="00A02B97"/>
    <w:rsid w:val="00A03124"/>
    <w:rsid w:val="00A03BEF"/>
    <w:rsid w:val="00A041CF"/>
    <w:rsid w:val="00A056C0"/>
    <w:rsid w:val="00A06499"/>
    <w:rsid w:val="00A06A80"/>
    <w:rsid w:val="00A06D75"/>
    <w:rsid w:val="00A071C5"/>
    <w:rsid w:val="00A07384"/>
    <w:rsid w:val="00A12184"/>
    <w:rsid w:val="00A12798"/>
    <w:rsid w:val="00A13F4C"/>
    <w:rsid w:val="00A140D3"/>
    <w:rsid w:val="00A14360"/>
    <w:rsid w:val="00A14B85"/>
    <w:rsid w:val="00A155C0"/>
    <w:rsid w:val="00A15A1F"/>
    <w:rsid w:val="00A15A95"/>
    <w:rsid w:val="00A15CC1"/>
    <w:rsid w:val="00A16606"/>
    <w:rsid w:val="00A1763C"/>
    <w:rsid w:val="00A2073C"/>
    <w:rsid w:val="00A20BFE"/>
    <w:rsid w:val="00A2130B"/>
    <w:rsid w:val="00A224EA"/>
    <w:rsid w:val="00A22CA1"/>
    <w:rsid w:val="00A23007"/>
    <w:rsid w:val="00A230C5"/>
    <w:rsid w:val="00A2438F"/>
    <w:rsid w:val="00A2443F"/>
    <w:rsid w:val="00A24622"/>
    <w:rsid w:val="00A25B08"/>
    <w:rsid w:val="00A26B0C"/>
    <w:rsid w:val="00A274C1"/>
    <w:rsid w:val="00A305CB"/>
    <w:rsid w:val="00A30887"/>
    <w:rsid w:val="00A31935"/>
    <w:rsid w:val="00A3325A"/>
    <w:rsid w:val="00A33CA2"/>
    <w:rsid w:val="00A33CB3"/>
    <w:rsid w:val="00A347C2"/>
    <w:rsid w:val="00A348F3"/>
    <w:rsid w:val="00A34C48"/>
    <w:rsid w:val="00A352EC"/>
    <w:rsid w:val="00A36EB9"/>
    <w:rsid w:val="00A37340"/>
    <w:rsid w:val="00A37684"/>
    <w:rsid w:val="00A40097"/>
    <w:rsid w:val="00A40D4B"/>
    <w:rsid w:val="00A40EB6"/>
    <w:rsid w:val="00A41A30"/>
    <w:rsid w:val="00A422BE"/>
    <w:rsid w:val="00A43013"/>
    <w:rsid w:val="00A430A5"/>
    <w:rsid w:val="00A4315D"/>
    <w:rsid w:val="00A43536"/>
    <w:rsid w:val="00A444B8"/>
    <w:rsid w:val="00A450A0"/>
    <w:rsid w:val="00A457EA"/>
    <w:rsid w:val="00A46D19"/>
    <w:rsid w:val="00A472C5"/>
    <w:rsid w:val="00A51060"/>
    <w:rsid w:val="00A52869"/>
    <w:rsid w:val="00A52FAA"/>
    <w:rsid w:val="00A53495"/>
    <w:rsid w:val="00A55324"/>
    <w:rsid w:val="00A55C00"/>
    <w:rsid w:val="00A56BFF"/>
    <w:rsid w:val="00A57E85"/>
    <w:rsid w:val="00A60B43"/>
    <w:rsid w:val="00A60C68"/>
    <w:rsid w:val="00A6114E"/>
    <w:rsid w:val="00A61CAB"/>
    <w:rsid w:val="00A629E1"/>
    <w:rsid w:val="00A62D8E"/>
    <w:rsid w:val="00A6330A"/>
    <w:rsid w:val="00A63B6F"/>
    <w:rsid w:val="00A63C33"/>
    <w:rsid w:val="00A64003"/>
    <w:rsid w:val="00A64CF2"/>
    <w:rsid w:val="00A64D92"/>
    <w:rsid w:val="00A65850"/>
    <w:rsid w:val="00A65AB3"/>
    <w:rsid w:val="00A65E5A"/>
    <w:rsid w:val="00A65FE1"/>
    <w:rsid w:val="00A70B3A"/>
    <w:rsid w:val="00A70BCA"/>
    <w:rsid w:val="00A71B45"/>
    <w:rsid w:val="00A71F42"/>
    <w:rsid w:val="00A71F71"/>
    <w:rsid w:val="00A72B72"/>
    <w:rsid w:val="00A73183"/>
    <w:rsid w:val="00A74252"/>
    <w:rsid w:val="00A74741"/>
    <w:rsid w:val="00A758E7"/>
    <w:rsid w:val="00A75B64"/>
    <w:rsid w:val="00A75D6F"/>
    <w:rsid w:val="00A75E88"/>
    <w:rsid w:val="00A76206"/>
    <w:rsid w:val="00A763B4"/>
    <w:rsid w:val="00A76F71"/>
    <w:rsid w:val="00A77167"/>
    <w:rsid w:val="00A773C7"/>
    <w:rsid w:val="00A80036"/>
    <w:rsid w:val="00A80131"/>
    <w:rsid w:val="00A8044F"/>
    <w:rsid w:val="00A80A12"/>
    <w:rsid w:val="00A81CC2"/>
    <w:rsid w:val="00A84F50"/>
    <w:rsid w:val="00A853F5"/>
    <w:rsid w:val="00A8567C"/>
    <w:rsid w:val="00A85B74"/>
    <w:rsid w:val="00A86555"/>
    <w:rsid w:val="00A9003D"/>
    <w:rsid w:val="00A9074C"/>
    <w:rsid w:val="00A93C3B"/>
    <w:rsid w:val="00A952EA"/>
    <w:rsid w:val="00A9651C"/>
    <w:rsid w:val="00A97429"/>
    <w:rsid w:val="00A97B62"/>
    <w:rsid w:val="00AA003B"/>
    <w:rsid w:val="00AA05C9"/>
    <w:rsid w:val="00AA0872"/>
    <w:rsid w:val="00AA10F3"/>
    <w:rsid w:val="00AA2552"/>
    <w:rsid w:val="00AA2821"/>
    <w:rsid w:val="00AA28AE"/>
    <w:rsid w:val="00AA2C8D"/>
    <w:rsid w:val="00AA4D8C"/>
    <w:rsid w:val="00AA5AEF"/>
    <w:rsid w:val="00AA5EB6"/>
    <w:rsid w:val="00AA6325"/>
    <w:rsid w:val="00AA70F0"/>
    <w:rsid w:val="00AA786F"/>
    <w:rsid w:val="00AA7E1F"/>
    <w:rsid w:val="00AB2774"/>
    <w:rsid w:val="00AB29FC"/>
    <w:rsid w:val="00AB2AF4"/>
    <w:rsid w:val="00AB2C52"/>
    <w:rsid w:val="00AB38E1"/>
    <w:rsid w:val="00AB48F2"/>
    <w:rsid w:val="00AB4ED3"/>
    <w:rsid w:val="00AB60D0"/>
    <w:rsid w:val="00AB7D4D"/>
    <w:rsid w:val="00AC007A"/>
    <w:rsid w:val="00AC0465"/>
    <w:rsid w:val="00AC0714"/>
    <w:rsid w:val="00AC1C8C"/>
    <w:rsid w:val="00AC3142"/>
    <w:rsid w:val="00AC3263"/>
    <w:rsid w:val="00AC37A6"/>
    <w:rsid w:val="00AC3A1D"/>
    <w:rsid w:val="00AC3C7F"/>
    <w:rsid w:val="00AC4987"/>
    <w:rsid w:val="00AC50AA"/>
    <w:rsid w:val="00AC53E2"/>
    <w:rsid w:val="00AC5743"/>
    <w:rsid w:val="00AC5FA3"/>
    <w:rsid w:val="00AC6B47"/>
    <w:rsid w:val="00AC6DB8"/>
    <w:rsid w:val="00AD0292"/>
    <w:rsid w:val="00AD04A9"/>
    <w:rsid w:val="00AD179C"/>
    <w:rsid w:val="00AD2442"/>
    <w:rsid w:val="00AD28EA"/>
    <w:rsid w:val="00AD2D12"/>
    <w:rsid w:val="00AD2FC6"/>
    <w:rsid w:val="00AD333D"/>
    <w:rsid w:val="00AD34BD"/>
    <w:rsid w:val="00AD37D3"/>
    <w:rsid w:val="00AD38A2"/>
    <w:rsid w:val="00AD4551"/>
    <w:rsid w:val="00AD4625"/>
    <w:rsid w:val="00AD55B8"/>
    <w:rsid w:val="00AD5619"/>
    <w:rsid w:val="00AD5A28"/>
    <w:rsid w:val="00AD73CD"/>
    <w:rsid w:val="00AE1403"/>
    <w:rsid w:val="00AE1BBE"/>
    <w:rsid w:val="00AE1FA7"/>
    <w:rsid w:val="00AE3814"/>
    <w:rsid w:val="00AE3CBE"/>
    <w:rsid w:val="00AE4EF5"/>
    <w:rsid w:val="00AE4FB2"/>
    <w:rsid w:val="00AE50B2"/>
    <w:rsid w:val="00AE50D5"/>
    <w:rsid w:val="00AE6166"/>
    <w:rsid w:val="00AF09B0"/>
    <w:rsid w:val="00AF106D"/>
    <w:rsid w:val="00AF108A"/>
    <w:rsid w:val="00AF139E"/>
    <w:rsid w:val="00AF1A6E"/>
    <w:rsid w:val="00AF1B9D"/>
    <w:rsid w:val="00AF2743"/>
    <w:rsid w:val="00AF2FB2"/>
    <w:rsid w:val="00AF42D1"/>
    <w:rsid w:val="00AF4DEE"/>
    <w:rsid w:val="00AF5E19"/>
    <w:rsid w:val="00AF6316"/>
    <w:rsid w:val="00AF6C6F"/>
    <w:rsid w:val="00AF7129"/>
    <w:rsid w:val="00AF7B0D"/>
    <w:rsid w:val="00B01413"/>
    <w:rsid w:val="00B0174C"/>
    <w:rsid w:val="00B02E55"/>
    <w:rsid w:val="00B035CE"/>
    <w:rsid w:val="00B036C1"/>
    <w:rsid w:val="00B04558"/>
    <w:rsid w:val="00B04B4C"/>
    <w:rsid w:val="00B06435"/>
    <w:rsid w:val="00B0794E"/>
    <w:rsid w:val="00B0796F"/>
    <w:rsid w:val="00B0A01C"/>
    <w:rsid w:val="00B1014A"/>
    <w:rsid w:val="00B11BF3"/>
    <w:rsid w:val="00B12434"/>
    <w:rsid w:val="00B15712"/>
    <w:rsid w:val="00B157F3"/>
    <w:rsid w:val="00B1714D"/>
    <w:rsid w:val="00B1785C"/>
    <w:rsid w:val="00B20027"/>
    <w:rsid w:val="00B211AA"/>
    <w:rsid w:val="00B2133F"/>
    <w:rsid w:val="00B26342"/>
    <w:rsid w:val="00B278DB"/>
    <w:rsid w:val="00B3027D"/>
    <w:rsid w:val="00B3183E"/>
    <w:rsid w:val="00B32A39"/>
    <w:rsid w:val="00B336C6"/>
    <w:rsid w:val="00B35B7C"/>
    <w:rsid w:val="00B377BE"/>
    <w:rsid w:val="00B43230"/>
    <w:rsid w:val="00B447FB"/>
    <w:rsid w:val="00B449E0"/>
    <w:rsid w:val="00B4512E"/>
    <w:rsid w:val="00B463EE"/>
    <w:rsid w:val="00B51559"/>
    <w:rsid w:val="00B516D0"/>
    <w:rsid w:val="00B51CD5"/>
    <w:rsid w:val="00B523D8"/>
    <w:rsid w:val="00B52BAF"/>
    <w:rsid w:val="00B52E12"/>
    <w:rsid w:val="00B534D5"/>
    <w:rsid w:val="00B53821"/>
    <w:rsid w:val="00B539D2"/>
    <w:rsid w:val="00B53DC5"/>
    <w:rsid w:val="00B5405B"/>
    <w:rsid w:val="00B5425A"/>
    <w:rsid w:val="00B5431F"/>
    <w:rsid w:val="00B54479"/>
    <w:rsid w:val="00B55337"/>
    <w:rsid w:val="00B5701B"/>
    <w:rsid w:val="00B57415"/>
    <w:rsid w:val="00B578A7"/>
    <w:rsid w:val="00B60B59"/>
    <w:rsid w:val="00B61A3C"/>
    <w:rsid w:val="00B629EF"/>
    <w:rsid w:val="00B62CF4"/>
    <w:rsid w:val="00B64A62"/>
    <w:rsid w:val="00B64CB9"/>
    <w:rsid w:val="00B64DFE"/>
    <w:rsid w:val="00B65688"/>
    <w:rsid w:val="00B65A11"/>
    <w:rsid w:val="00B674CB"/>
    <w:rsid w:val="00B6755C"/>
    <w:rsid w:val="00B67A16"/>
    <w:rsid w:val="00B706DB"/>
    <w:rsid w:val="00B71408"/>
    <w:rsid w:val="00B729FB"/>
    <w:rsid w:val="00B77311"/>
    <w:rsid w:val="00B8317F"/>
    <w:rsid w:val="00B83F52"/>
    <w:rsid w:val="00B85449"/>
    <w:rsid w:val="00B869B2"/>
    <w:rsid w:val="00B87C25"/>
    <w:rsid w:val="00B87DC2"/>
    <w:rsid w:val="00B9086A"/>
    <w:rsid w:val="00B92908"/>
    <w:rsid w:val="00B92EE7"/>
    <w:rsid w:val="00B9323B"/>
    <w:rsid w:val="00B9337A"/>
    <w:rsid w:val="00B944AA"/>
    <w:rsid w:val="00B94B4F"/>
    <w:rsid w:val="00B95C79"/>
    <w:rsid w:val="00B95D0A"/>
    <w:rsid w:val="00B9614B"/>
    <w:rsid w:val="00B9657A"/>
    <w:rsid w:val="00B96622"/>
    <w:rsid w:val="00BA072F"/>
    <w:rsid w:val="00BA0883"/>
    <w:rsid w:val="00BA0A9A"/>
    <w:rsid w:val="00BA1559"/>
    <w:rsid w:val="00BA2A00"/>
    <w:rsid w:val="00BA2E6C"/>
    <w:rsid w:val="00BA2E9C"/>
    <w:rsid w:val="00BA303F"/>
    <w:rsid w:val="00BA4937"/>
    <w:rsid w:val="00BA4954"/>
    <w:rsid w:val="00BB13FA"/>
    <w:rsid w:val="00BB153A"/>
    <w:rsid w:val="00BB1CD4"/>
    <w:rsid w:val="00BB3A07"/>
    <w:rsid w:val="00BB3BA0"/>
    <w:rsid w:val="00BB5754"/>
    <w:rsid w:val="00BB60D8"/>
    <w:rsid w:val="00BB65FE"/>
    <w:rsid w:val="00BB7070"/>
    <w:rsid w:val="00BB757B"/>
    <w:rsid w:val="00BC0695"/>
    <w:rsid w:val="00BC184B"/>
    <w:rsid w:val="00BC3776"/>
    <w:rsid w:val="00BC3A78"/>
    <w:rsid w:val="00BC3AA9"/>
    <w:rsid w:val="00BC3E3D"/>
    <w:rsid w:val="00BC4A0D"/>
    <w:rsid w:val="00BC4A1B"/>
    <w:rsid w:val="00BC4C61"/>
    <w:rsid w:val="00BD05A8"/>
    <w:rsid w:val="00BD1304"/>
    <w:rsid w:val="00BD154B"/>
    <w:rsid w:val="00BD168A"/>
    <w:rsid w:val="00BD1701"/>
    <w:rsid w:val="00BD1CB3"/>
    <w:rsid w:val="00BD28D7"/>
    <w:rsid w:val="00BD34FE"/>
    <w:rsid w:val="00BD35E9"/>
    <w:rsid w:val="00BD3876"/>
    <w:rsid w:val="00BD42E3"/>
    <w:rsid w:val="00BD50C8"/>
    <w:rsid w:val="00BD6F06"/>
    <w:rsid w:val="00BD7570"/>
    <w:rsid w:val="00BE0647"/>
    <w:rsid w:val="00BE1020"/>
    <w:rsid w:val="00BE1BF8"/>
    <w:rsid w:val="00BE2398"/>
    <w:rsid w:val="00BE2741"/>
    <w:rsid w:val="00BE29E1"/>
    <w:rsid w:val="00BE506A"/>
    <w:rsid w:val="00BE56D0"/>
    <w:rsid w:val="00BE684F"/>
    <w:rsid w:val="00BE6B18"/>
    <w:rsid w:val="00BE70DE"/>
    <w:rsid w:val="00BE71C5"/>
    <w:rsid w:val="00BE7F58"/>
    <w:rsid w:val="00BF0182"/>
    <w:rsid w:val="00BF059C"/>
    <w:rsid w:val="00BF151D"/>
    <w:rsid w:val="00BF175A"/>
    <w:rsid w:val="00BF1DDF"/>
    <w:rsid w:val="00BF2817"/>
    <w:rsid w:val="00BF4223"/>
    <w:rsid w:val="00BF465E"/>
    <w:rsid w:val="00BF4A88"/>
    <w:rsid w:val="00BF6EB8"/>
    <w:rsid w:val="00BF7FE0"/>
    <w:rsid w:val="00C00176"/>
    <w:rsid w:val="00C00481"/>
    <w:rsid w:val="00C009F7"/>
    <w:rsid w:val="00C01857"/>
    <w:rsid w:val="00C02714"/>
    <w:rsid w:val="00C02F9C"/>
    <w:rsid w:val="00C0332F"/>
    <w:rsid w:val="00C04C40"/>
    <w:rsid w:val="00C04FC0"/>
    <w:rsid w:val="00C057A1"/>
    <w:rsid w:val="00C06861"/>
    <w:rsid w:val="00C06C2B"/>
    <w:rsid w:val="00C079EE"/>
    <w:rsid w:val="00C100EB"/>
    <w:rsid w:val="00C10148"/>
    <w:rsid w:val="00C10BCD"/>
    <w:rsid w:val="00C12A88"/>
    <w:rsid w:val="00C13698"/>
    <w:rsid w:val="00C16414"/>
    <w:rsid w:val="00C17C5A"/>
    <w:rsid w:val="00C205CE"/>
    <w:rsid w:val="00C20D8D"/>
    <w:rsid w:val="00C2103D"/>
    <w:rsid w:val="00C22A16"/>
    <w:rsid w:val="00C22AEA"/>
    <w:rsid w:val="00C22D7D"/>
    <w:rsid w:val="00C22DE4"/>
    <w:rsid w:val="00C27016"/>
    <w:rsid w:val="00C27051"/>
    <w:rsid w:val="00C27974"/>
    <w:rsid w:val="00C279B3"/>
    <w:rsid w:val="00C30928"/>
    <w:rsid w:val="00C31499"/>
    <w:rsid w:val="00C3177C"/>
    <w:rsid w:val="00C3195E"/>
    <w:rsid w:val="00C323AC"/>
    <w:rsid w:val="00C32ED1"/>
    <w:rsid w:val="00C33168"/>
    <w:rsid w:val="00C33EED"/>
    <w:rsid w:val="00C34E45"/>
    <w:rsid w:val="00C34FD9"/>
    <w:rsid w:val="00C3517B"/>
    <w:rsid w:val="00C3530C"/>
    <w:rsid w:val="00C358BF"/>
    <w:rsid w:val="00C36044"/>
    <w:rsid w:val="00C3634A"/>
    <w:rsid w:val="00C36A35"/>
    <w:rsid w:val="00C379E1"/>
    <w:rsid w:val="00C4026C"/>
    <w:rsid w:val="00C41140"/>
    <w:rsid w:val="00C43A11"/>
    <w:rsid w:val="00C43F6F"/>
    <w:rsid w:val="00C446F5"/>
    <w:rsid w:val="00C44813"/>
    <w:rsid w:val="00C44BA3"/>
    <w:rsid w:val="00C45249"/>
    <w:rsid w:val="00C45D37"/>
    <w:rsid w:val="00C45DBA"/>
    <w:rsid w:val="00C4673A"/>
    <w:rsid w:val="00C46E35"/>
    <w:rsid w:val="00C471C4"/>
    <w:rsid w:val="00C51084"/>
    <w:rsid w:val="00C5273A"/>
    <w:rsid w:val="00C53A3B"/>
    <w:rsid w:val="00C53A45"/>
    <w:rsid w:val="00C55238"/>
    <w:rsid w:val="00C55C41"/>
    <w:rsid w:val="00C57BDD"/>
    <w:rsid w:val="00C60CD3"/>
    <w:rsid w:val="00C62340"/>
    <w:rsid w:val="00C62BFF"/>
    <w:rsid w:val="00C630EF"/>
    <w:rsid w:val="00C639E9"/>
    <w:rsid w:val="00C6463E"/>
    <w:rsid w:val="00C659F5"/>
    <w:rsid w:val="00C65F1D"/>
    <w:rsid w:val="00C67D74"/>
    <w:rsid w:val="00C709AC"/>
    <w:rsid w:val="00C70C31"/>
    <w:rsid w:val="00C71072"/>
    <w:rsid w:val="00C71080"/>
    <w:rsid w:val="00C71366"/>
    <w:rsid w:val="00C71BFF"/>
    <w:rsid w:val="00C71D46"/>
    <w:rsid w:val="00C7214F"/>
    <w:rsid w:val="00C723D3"/>
    <w:rsid w:val="00C72BD4"/>
    <w:rsid w:val="00C73F4A"/>
    <w:rsid w:val="00C740E7"/>
    <w:rsid w:val="00C750F3"/>
    <w:rsid w:val="00C75CEA"/>
    <w:rsid w:val="00C77C66"/>
    <w:rsid w:val="00C801DF"/>
    <w:rsid w:val="00C81CB6"/>
    <w:rsid w:val="00C83023"/>
    <w:rsid w:val="00C834AF"/>
    <w:rsid w:val="00C8437C"/>
    <w:rsid w:val="00C848B2"/>
    <w:rsid w:val="00C84AF6"/>
    <w:rsid w:val="00C85682"/>
    <w:rsid w:val="00C85A05"/>
    <w:rsid w:val="00C87ACF"/>
    <w:rsid w:val="00C9072B"/>
    <w:rsid w:val="00C907F8"/>
    <w:rsid w:val="00C90839"/>
    <w:rsid w:val="00C912B6"/>
    <w:rsid w:val="00C921DB"/>
    <w:rsid w:val="00C92935"/>
    <w:rsid w:val="00C93254"/>
    <w:rsid w:val="00C93DB8"/>
    <w:rsid w:val="00C94D80"/>
    <w:rsid w:val="00C96411"/>
    <w:rsid w:val="00CA0F43"/>
    <w:rsid w:val="00CA1FB6"/>
    <w:rsid w:val="00CA2ACC"/>
    <w:rsid w:val="00CA4069"/>
    <w:rsid w:val="00CA4708"/>
    <w:rsid w:val="00CA6269"/>
    <w:rsid w:val="00CA640B"/>
    <w:rsid w:val="00CA6F42"/>
    <w:rsid w:val="00CA76EF"/>
    <w:rsid w:val="00CB069D"/>
    <w:rsid w:val="00CB083A"/>
    <w:rsid w:val="00CB1BC5"/>
    <w:rsid w:val="00CB2369"/>
    <w:rsid w:val="00CB24D2"/>
    <w:rsid w:val="00CB3A04"/>
    <w:rsid w:val="00CB3DDA"/>
    <w:rsid w:val="00CB4952"/>
    <w:rsid w:val="00CB599D"/>
    <w:rsid w:val="00CB69A9"/>
    <w:rsid w:val="00CB7631"/>
    <w:rsid w:val="00CC102C"/>
    <w:rsid w:val="00CC1573"/>
    <w:rsid w:val="00CC186F"/>
    <w:rsid w:val="00CC1F3F"/>
    <w:rsid w:val="00CC2670"/>
    <w:rsid w:val="00CC29D3"/>
    <w:rsid w:val="00CC2A64"/>
    <w:rsid w:val="00CC3B4E"/>
    <w:rsid w:val="00CC42B5"/>
    <w:rsid w:val="00CC4612"/>
    <w:rsid w:val="00CC54B4"/>
    <w:rsid w:val="00CC55E2"/>
    <w:rsid w:val="00CC6C98"/>
    <w:rsid w:val="00CD1AE0"/>
    <w:rsid w:val="00CD2B28"/>
    <w:rsid w:val="00CD336D"/>
    <w:rsid w:val="00CD3CF3"/>
    <w:rsid w:val="00CD4202"/>
    <w:rsid w:val="00CD5B75"/>
    <w:rsid w:val="00CD5FB8"/>
    <w:rsid w:val="00CD74E0"/>
    <w:rsid w:val="00CD7BFB"/>
    <w:rsid w:val="00CD7EF1"/>
    <w:rsid w:val="00CE04B2"/>
    <w:rsid w:val="00CE0833"/>
    <w:rsid w:val="00CE10B2"/>
    <w:rsid w:val="00CE1D9A"/>
    <w:rsid w:val="00CE1F49"/>
    <w:rsid w:val="00CE3E1B"/>
    <w:rsid w:val="00CE4728"/>
    <w:rsid w:val="00CE6515"/>
    <w:rsid w:val="00CE6820"/>
    <w:rsid w:val="00CE6919"/>
    <w:rsid w:val="00CE6998"/>
    <w:rsid w:val="00CE7885"/>
    <w:rsid w:val="00CE799A"/>
    <w:rsid w:val="00CF0350"/>
    <w:rsid w:val="00CF13B3"/>
    <w:rsid w:val="00CF20CB"/>
    <w:rsid w:val="00CF2448"/>
    <w:rsid w:val="00CF25FC"/>
    <w:rsid w:val="00CF274E"/>
    <w:rsid w:val="00CF2E5C"/>
    <w:rsid w:val="00CF2FF2"/>
    <w:rsid w:val="00CF41D3"/>
    <w:rsid w:val="00CF42B6"/>
    <w:rsid w:val="00CF459B"/>
    <w:rsid w:val="00CF474A"/>
    <w:rsid w:val="00CF4D43"/>
    <w:rsid w:val="00CF58B7"/>
    <w:rsid w:val="00CF5D62"/>
    <w:rsid w:val="00D00E26"/>
    <w:rsid w:val="00D01EF4"/>
    <w:rsid w:val="00D02A8F"/>
    <w:rsid w:val="00D045CB"/>
    <w:rsid w:val="00D04720"/>
    <w:rsid w:val="00D047AD"/>
    <w:rsid w:val="00D04926"/>
    <w:rsid w:val="00D04BCC"/>
    <w:rsid w:val="00D04F42"/>
    <w:rsid w:val="00D05A50"/>
    <w:rsid w:val="00D066BB"/>
    <w:rsid w:val="00D06A3F"/>
    <w:rsid w:val="00D06FCC"/>
    <w:rsid w:val="00D07678"/>
    <w:rsid w:val="00D11A24"/>
    <w:rsid w:val="00D11E19"/>
    <w:rsid w:val="00D12CAC"/>
    <w:rsid w:val="00D12F16"/>
    <w:rsid w:val="00D161B8"/>
    <w:rsid w:val="00D165DB"/>
    <w:rsid w:val="00D166E9"/>
    <w:rsid w:val="00D1699D"/>
    <w:rsid w:val="00D193C5"/>
    <w:rsid w:val="00D204B6"/>
    <w:rsid w:val="00D21A66"/>
    <w:rsid w:val="00D22231"/>
    <w:rsid w:val="00D23950"/>
    <w:rsid w:val="00D24671"/>
    <w:rsid w:val="00D248B8"/>
    <w:rsid w:val="00D249F4"/>
    <w:rsid w:val="00D24CB8"/>
    <w:rsid w:val="00D24EDA"/>
    <w:rsid w:val="00D25583"/>
    <w:rsid w:val="00D2565F"/>
    <w:rsid w:val="00D25AE4"/>
    <w:rsid w:val="00D26337"/>
    <w:rsid w:val="00D30F16"/>
    <w:rsid w:val="00D3161B"/>
    <w:rsid w:val="00D336B1"/>
    <w:rsid w:val="00D340CF"/>
    <w:rsid w:val="00D351C1"/>
    <w:rsid w:val="00D3554A"/>
    <w:rsid w:val="00D35553"/>
    <w:rsid w:val="00D35D23"/>
    <w:rsid w:val="00D35EFB"/>
    <w:rsid w:val="00D35F2F"/>
    <w:rsid w:val="00D36705"/>
    <w:rsid w:val="00D36A72"/>
    <w:rsid w:val="00D402F4"/>
    <w:rsid w:val="00D40651"/>
    <w:rsid w:val="00D40A3F"/>
    <w:rsid w:val="00D41146"/>
    <w:rsid w:val="00D411D0"/>
    <w:rsid w:val="00D41285"/>
    <w:rsid w:val="00D419C9"/>
    <w:rsid w:val="00D42B0D"/>
    <w:rsid w:val="00D42E0C"/>
    <w:rsid w:val="00D42FD2"/>
    <w:rsid w:val="00D448B8"/>
    <w:rsid w:val="00D44F52"/>
    <w:rsid w:val="00D4590B"/>
    <w:rsid w:val="00D46171"/>
    <w:rsid w:val="00D461C0"/>
    <w:rsid w:val="00D4682F"/>
    <w:rsid w:val="00D46D74"/>
    <w:rsid w:val="00D47D55"/>
    <w:rsid w:val="00D504B3"/>
    <w:rsid w:val="00D50871"/>
    <w:rsid w:val="00D51654"/>
    <w:rsid w:val="00D52A0F"/>
    <w:rsid w:val="00D52E1D"/>
    <w:rsid w:val="00D532A3"/>
    <w:rsid w:val="00D538A1"/>
    <w:rsid w:val="00D53BCF"/>
    <w:rsid w:val="00D55669"/>
    <w:rsid w:val="00D556B3"/>
    <w:rsid w:val="00D562C1"/>
    <w:rsid w:val="00D566DC"/>
    <w:rsid w:val="00D568C4"/>
    <w:rsid w:val="00D5690C"/>
    <w:rsid w:val="00D56E67"/>
    <w:rsid w:val="00D57592"/>
    <w:rsid w:val="00D57C3C"/>
    <w:rsid w:val="00D609D2"/>
    <w:rsid w:val="00D61455"/>
    <w:rsid w:val="00D61944"/>
    <w:rsid w:val="00D61C73"/>
    <w:rsid w:val="00D63081"/>
    <w:rsid w:val="00D64303"/>
    <w:rsid w:val="00D64C4C"/>
    <w:rsid w:val="00D6627C"/>
    <w:rsid w:val="00D66594"/>
    <w:rsid w:val="00D66747"/>
    <w:rsid w:val="00D668F0"/>
    <w:rsid w:val="00D66BF6"/>
    <w:rsid w:val="00D66DA1"/>
    <w:rsid w:val="00D7101E"/>
    <w:rsid w:val="00D720E4"/>
    <w:rsid w:val="00D7216B"/>
    <w:rsid w:val="00D7230A"/>
    <w:rsid w:val="00D73C44"/>
    <w:rsid w:val="00D74801"/>
    <w:rsid w:val="00D8029E"/>
    <w:rsid w:val="00D805DF"/>
    <w:rsid w:val="00D80E13"/>
    <w:rsid w:val="00D82017"/>
    <w:rsid w:val="00D82249"/>
    <w:rsid w:val="00D82296"/>
    <w:rsid w:val="00D82848"/>
    <w:rsid w:val="00D82EE1"/>
    <w:rsid w:val="00D8431C"/>
    <w:rsid w:val="00D84376"/>
    <w:rsid w:val="00D84C09"/>
    <w:rsid w:val="00D85FBB"/>
    <w:rsid w:val="00D86BF0"/>
    <w:rsid w:val="00D8773B"/>
    <w:rsid w:val="00D90520"/>
    <w:rsid w:val="00D90D17"/>
    <w:rsid w:val="00D90E74"/>
    <w:rsid w:val="00D912BF"/>
    <w:rsid w:val="00D91A12"/>
    <w:rsid w:val="00D91B48"/>
    <w:rsid w:val="00D9221D"/>
    <w:rsid w:val="00D9281E"/>
    <w:rsid w:val="00D92F5F"/>
    <w:rsid w:val="00D93B68"/>
    <w:rsid w:val="00D948D6"/>
    <w:rsid w:val="00D95BA1"/>
    <w:rsid w:val="00D95D1E"/>
    <w:rsid w:val="00D961CB"/>
    <w:rsid w:val="00D97558"/>
    <w:rsid w:val="00DA0721"/>
    <w:rsid w:val="00DA2D60"/>
    <w:rsid w:val="00DA5AB7"/>
    <w:rsid w:val="00DA685D"/>
    <w:rsid w:val="00DA6C3D"/>
    <w:rsid w:val="00DA70B0"/>
    <w:rsid w:val="00DB029E"/>
    <w:rsid w:val="00DB0CAE"/>
    <w:rsid w:val="00DB20C3"/>
    <w:rsid w:val="00DB22B9"/>
    <w:rsid w:val="00DB2C30"/>
    <w:rsid w:val="00DB2EA7"/>
    <w:rsid w:val="00DB2FC1"/>
    <w:rsid w:val="00DB322F"/>
    <w:rsid w:val="00DB36B1"/>
    <w:rsid w:val="00DB4394"/>
    <w:rsid w:val="00DB7865"/>
    <w:rsid w:val="00DC03E5"/>
    <w:rsid w:val="00DC07A7"/>
    <w:rsid w:val="00DC0D33"/>
    <w:rsid w:val="00DC1AD8"/>
    <w:rsid w:val="00DC228F"/>
    <w:rsid w:val="00DC2592"/>
    <w:rsid w:val="00DC2D57"/>
    <w:rsid w:val="00DC3821"/>
    <w:rsid w:val="00DC48DF"/>
    <w:rsid w:val="00DC4CD8"/>
    <w:rsid w:val="00DC4F2C"/>
    <w:rsid w:val="00DC6A85"/>
    <w:rsid w:val="00DC6AE2"/>
    <w:rsid w:val="00DC6FEF"/>
    <w:rsid w:val="00DC78E5"/>
    <w:rsid w:val="00DD00BA"/>
    <w:rsid w:val="00DD0DCC"/>
    <w:rsid w:val="00DD10EE"/>
    <w:rsid w:val="00DD1325"/>
    <w:rsid w:val="00DD1854"/>
    <w:rsid w:val="00DD1A3D"/>
    <w:rsid w:val="00DD2091"/>
    <w:rsid w:val="00DD37EA"/>
    <w:rsid w:val="00DD4CB2"/>
    <w:rsid w:val="00DD4D75"/>
    <w:rsid w:val="00DD5AEF"/>
    <w:rsid w:val="00DD7139"/>
    <w:rsid w:val="00DD7DC5"/>
    <w:rsid w:val="00DE05E3"/>
    <w:rsid w:val="00DE1AF2"/>
    <w:rsid w:val="00DE37B8"/>
    <w:rsid w:val="00DE683D"/>
    <w:rsid w:val="00DF214C"/>
    <w:rsid w:val="00DF2872"/>
    <w:rsid w:val="00DF2C59"/>
    <w:rsid w:val="00DF2F59"/>
    <w:rsid w:val="00DF371F"/>
    <w:rsid w:val="00DF3D07"/>
    <w:rsid w:val="00DF3EDD"/>
    <w:rsid w:val="00DF43E5"/>
    <w:rsid w:val="00DF4CF7"/>
    <w:rsid w:val="00DF5817"/>
    <w:rsid w:val="00DF5903"/>
    <w:rsid w:val="00DF6EFC"/>
    <w:rsid w:val="00DF768C"/>
    <w:rsid w:val="00E035C2"/>
    <w:rsid w:val="00E03610"/>
    <w:rsid w:val="00E039D2"/>
    <w:rsid w:val="00E03B23"/>
    <w:rsid w:val="00E042B3"/>
    <w:rsid w:val="00E04D15"/>
    <w:rsid w:val="00E06064"/>
    <w:rsid w:val="00E0690D"/>
    <w:rsid w:val="00E109F7"/>
    <w:rsid w:val="00E118AB"/>
    <w:rsid w:val="00E11DEE"/>
    <w:rsid w:val="00E123E0"/>
    <w:rsid w:val="00E12ADA"/>
    <w:rsid w:val="00E12E0B"/>
    <w:rsid w:val="00E12F5B"/>
    <w:rsid w:val="00E13C5A"/>
    <w:rsid w:val="00E141C9"/>
    <w:rsid w:val="00E15826"/>
    <w:rsid w:val="00E16208"/>
    <w:rsid w:val="00E16369"/>
    <w:rsid w:val="00E16408"/>
    <w:rsid w:val="00E164E3"/>
    <w:rsid w:val="00E165B9"/>
    <w:rsid w:val="00E16903"/>
    <w:rsid w:val="00E17231"/>
    <w:rsid w:val="00E17605"/>
    <w:rsid w:val="00E17A1D"/>
    <w:rsid w:val="00E2065D"/>
    <w:rsid w:val="00E20CD5"/>
    <w:rsid w:val="00E20FB4"/>
    <w:rsid w:val="00E236BC"/>
    <w:rsid w:val="00E24993"/>
    <w:rsid w:val="00E255CE"/>
    <w:rsid w:val="00E25656"/>
    <w:rsid w:val="00E26737"/>
    <w:rsid w:val="00E26DF7"/>
    <w:rsid w:val="00E27F69"/>
    <w:rsid w:val="00E3076C"/>
    <w:rsid w:val="00E308AC"/>
    <w:rsid w:val="00E3110C"/>
    <w:rsid w:val="00E31B6C"/>
    <w:rsid w:val="00E31FEA"/>
    <w:rsid w:val="00E32C33"/>
    <w:rsid w:val="00E332DC"/>
    <w:rsid w:val="00E33BC8"/>
    <w:rsid w:val="00E34229"/>
    <w:rsid w:val="00E3451E"/>
    <w:rsid w:val="00E34949"/>
    <w:rsid w:val="00E35560"/>
    <w:rsid w:val="00E35790"/>
    <w:rsid w:val="00E36767"/>
    <w:rsid w:val="00E36AEC"/>
    <w:rsid w:val="00E37197"/>
    <w:rsid w:val="00E40422"/>
    <w:rsid w:val="00E41851"/>
    <w:rsid w:val="00E41B4B"/>
    <w:rsid w:val="00E41FB1"/>
    <w:rsid w:val="00E422D6"/>
    <w:rsid w:val="00E4254D"/>
    <w:rsid w:val="00E42556"/>
    <w:rsid w:val="00E4274D"/>
    <w:rsid w:val="00E43A45"/>
    <w:rsid w:val="00E4427F"/>
    <w:rsid w:val="00E44A70"/>
    <w:rsid w:val="00E45522"/>
    <w:rsid w:val="00E459DE"/>
    <w:rsid w:val="00E46B2B"/>
    <w:rsid w:val="00E50F0D"/>
    <w:rsid w:val="00E5106B"/>
    <w:rsid w:val="00E51079"/>
    <w:rsid w:val="00E5116A"/>
    <w:rsid w:val="00E51663"/>
    <w:rsid w:val="00E51920"/>
    <w:rsid w:val="00E522C5"/>
    <w:rsid w:val="00E53367"/>
    <w:rsid w:val="00E54195"/>
    <w:rsid w:val="00E541AA"/>
    <w:rsid w:val="00E54398"/>
    <w:rsid w:val="00E54B7C"/>
    <w:rsid w:val="00E54D80"/>
    <w:rsid w:val="00E556B0"/>
    <w:rsid w:val="00E56E20"/>
    <w:rsid w:val="00E573CE"/>
    <w:rsid w:val="00E57B3C"/>
    <w:rsid w:val="00E57D4F"/>
    <w:rsid w:val="00E60170"/>
    <w:rsid w:val="00E61BC6"/>
    <w:rsid w:val="00E62DAD"/>
    <w:rsid w:val="00E63059"/>
    <w:rsid w:val="00E63C97"/>
    <w:rsid w:val="00E63F76"/>
    <w:rsid w:val="00E64110"/>
    <w:rsid w:val="00E64120"/>
    <w:rsid w:val="00E64A04"/>
    <w:rsid w:val="00E64A24"/>
    <w:rsid w:val="00E6504F"/>
    <w:rsid w:val="00E652FF"/>
    <w:rsid w:val="00E65B08"/>
    <w:rsid w:val="00E660A1"/>
    <w:rsid w:val="00E674E0"/>
    <w:rsid w:val="00E67BD7"/>
    <w:rsid w:val="00E7081D"/>
    <w:rsid w:val="00E71AC8"/>
    <w:rsid w:val="00E72AE9"/>
    <w:rsid w:val="00E73DE3"/>
    <w:rsid w:val="00E7436B"/>
    <w:rsid w:val="00E760BE"/>
    <w:rsid w:val="00E769C2"/>
    <w:rsid w:val="00E76BA9"/>
    <w:rsid w:val="00E80339"/>
    <w:rsid w:val="00E807F8"/>
    <w:rsid w:val="00E81844"/>
    <w:rsid w:val="00E82730"/>
    <w:rsid w:val="00E83EB5"/>
    <w:rsid w:val="00E8463B"/>
    <w:rsid w:val="00E84871"/>
    <w:rsid w:val="00E8499E"/>
    <w:rsid w:val="00E84A23"/>
    <w:rsid w:val="00E84C24"/>
    <w:rsid w:val="00E84DE2"/>
    <w:rsid w:val="00E851C4"/>
    <w:rsid w:val="00E85536"/>
    <w:rsid w:val="00E85D29"/>
    <w:rsid w:val="00E86B37"/>
    <w:rsid w:val="00E8789A"/>
    <w:rsid w:val="00E87EB8"/>
    <w:rsid w:val="00E90A4F"/>
    <w:rsid w:val="00E90D75"/>
    <w:rsid w:val="00E9118A"/>
    <w:rsid w:val="00E9153F"/>
    <w:rsid w:val="00E916E3"/>
    <w:rsid w:val="00E92C98"/>
    <w:rsid w:val="00E93E7B"/>
    <w:rsid w:val="00E95F91"/>
    <w:rsid w:val="00E965B0"/>
    <w:rsid w:val="00E97893"/>
    <w:rsid w:val="00E97B1D"/>
    <w:rsid w:val="00EA0221"/>
    <w:rsid w:val="00EA0B96"/>
    <w:rsid w:val="00EA1CB5"/>
    <w:rsid w:val="00EA253C"/>
    <w:rsid w:val="00EA45C3"/>
    <w:rsid w:val="00EA4D01"/>
    <w:rsid w:val="00EA5157"/>
    <w:rsid w:val="00EA5744"/>
    <w:rsid w:val="00EA6BF9"/>
    <w:rsid w:val="00EA70B8"/>
    <w:rsid w:val="00EA7624"/>
    <w:rsid w:val="00EA780F"/>
    <w:rsid w:val="00EA7EE9"/>
    <w:rsid w:val="00EB086C"/>
    <w:rsid w:val="00EB096F"/>
    <w:rsid w:val="00EB1C6D"/>
    <w:rsid w:val="00EB34D9"/>
    <w:rsid w:val="00EB3DAC"/>
    <w:rsid w:val="00EB509E"/>
    <w:rsid w:val="00EB615E"/>
    <w:rsid w:val="00EB7A60"/>
    <w:rsid w:val="00EB7C07"/>
    <w:rsid w:val="00EC0096"/>
    <w:rsid w:val="00EC01F0"/>
    <w:rsid w:val="00EC1A99"/>
    <w:rsid w:val="00EC20BB"/>
    <w:rsid w:val="00EC35F3"/>
    <w:rsid w:val="00EC38D2"/>
    <w:rsid w:val="00EC5A1F"/>
    <w:rsid w:val="00EC5CD0"/>
    <w:rsid w:val="00EC5D2D"/>
    <w:rsid w:val="00EC65E5"/>
    <w:rsid w:val="00EC6ADC"/>
    <w:rsid w:val="00EC70FD"/>
    <w:rsid w:val="00EC7121"/>
    <w:rsid w:val="00ED17E9"/>
    <w:rsid w:val="00ED1930"/>
    <w:rsid w:val="00ED2870"/>
    <w:rsid w:val="00ED3994"/>
    <w:rsid w:val="00ED531D"/>
    <w:rsid w:val="00ED6566"/>
    <w:rsid w:val="00ED6D9C"/>
    <w:rsid w:val="00ED7257"/>
    <w:rsid w:val="00ED748A"/>
    <w:rsid w:val="00ED77E5"/>
    <w:rsid w:val="00EE0EE5"/>
    <w:rsid w:val="00EE177B"/>
    <w:rsid w:val="00EE194B"/>
    <w:rsid w:val="00EE3388"/>
    <w:rsid w:val="00EE35AD"/>
    <w:rsid w:val="00EE36EE"/>
    <w:rsid w:val="00EE4B46"/>
    <w:rsid w:val="00EE50BC"/>
    <w:rsid w:val="00EE680E"/>
    <w:rsid w:val="00EE775C"/>
    <w:rsid w:val="00EF0875"/>
    <w:rsid w:val="00EF0F26"/>
    <w:rsid w:val="00EF15A5"/>
    <w:rsid w:val="00EF2436"/>
    <w:rsid w:val="00EF26B3"/>
    <w:rsid w:val="00EF2997"/>
    <w:rsid w:val="00EF2F68"/>
    <w:rsid w:val="00EF349C"/>
    <w:rsid w:val="00EF4F52"/>
    <w:rsid w:val="00EF5BBF"/>
    <w:rsid w:val="00EF5E0D"/>
    <w:rsid w:val="00EF5E81"/>
    <w:rsid w:val="00EF602C"/>
    <w:rsid w:val="00EF6CE8"/>
    <w:rsid w:val="00EF732F"/>
    <w:rsid w:val="00F00A59"/>
    <w:rsid w:val="00F010DD"/>
    <w:rsid w:val="00F02308"/>
    <w:rsid w:val="00F0258A"/>
    <w:rsid w:val="00F02B7A"/>
    <w:rsid w:val="00F02BE6"/>
    <w:rsid w:val="00F040BC"/>
    <w:rsid w:val="00F045FB"/>
    <w:rsid w:val="00F04BCE"/>
    <w:rsid w:val="00F05336"/>
    <w:rsid w:val="00F055F1"/>
    <w:rsid w:val="00F06480"/>
    <w:rsid w:val="00F064D3"/>
    <w:rsid w:val="00F06B7C"/>
    <w:rsid w:val="00F06F2A"/>
    <w:rsid w:val="00F070A8"/>
    <w:rsid w:val="00F0756B"/>
    <w:rsid w:val="00F10B2B"/>
    <w:rsid w:val="00F13A8E"/>
    <w:rsid w:val="00F14273"/>
    <w:rsid w:val="00F14B5A"/>
    <w:rsid w:val="00F15000"/>
    <w:rsid w:val="00F15702"/>
    <w:rsid w:val="00F15BE6"/>
    <w:rsid w:val="00F15D96"/>
    <w:rsid w:val="00F163F0"/>
    <w:rsid w:val="00F1647C"/>
    <w:rsid w:val="00F1667E"/>
    <w:rsid w:val="00F17264"/>
    <w:rsid w:val="00F176FE"/>
    <w:rsid w:val="00F17968"/>
    <w:rsid w:val="00F20A70"/>
    <w:rsid w:val="00F20B6C"/>
    <w:rsid w:val="00F21B5D"/>
    <w:rsid w:val="00F21DBB"/>
    <w:rsid w:val="00F22337"/>
    <w:rsid w:val="00F230B9"/>
    <w:rsid w:val="00F25F3E"/>
    <w:rsid w:val="00F2634F"/>
    <w:rsid w:val="00F30E5E"/>
    <w:rsid w:val="00F31E0A"/>
    <w:rsid w:val="00F32C5A"/>
    <w:rsid w:val="00F32E50"/>
    <w:rsid w:val="00F33AE1"/>
    <w:rsid w:val="00F34664"/>
    <w:rsid w:val="00F348F0"/>
    <w:rsid w:val="00F34B74"/>
    <w:rsid w:val="00F3505E"/>
    <w:rsid w:val="00F35295"/>
    <w:rsid w:val="00F3529E"/>
    <w:rsid w:val="00F355AB"/>
    <w:rsid w:val="00F357CC"/>
    <w:rsid w:val="00F3582E"/>
    <w:rsid w:val="00F359C6"/>
    <w:rsid w:val="00F36045"/>
    <w:rsid w:val="00F36BA5"/>
    <w:rsid w:val="00F36CAD"/>
    <w:rsid w:val="00F3741C"/>
    <w:rsid w:val="00F37439"/>
    <w:rsid w:val="00F4036B"/>
    <w:rsid w:val="00F40400"/>
    <w:rsid w:val="00F40537"/>
    <w:rsid w:val="00F4205E"/>
    <w:rsid w:val="00F4213F"/>
    <w:rsid w:val="00F421B5"/>
    <w:rsid w:val="00F433A8"/>
    <w:rsid w:val="00F45581"/>
    <w:rsid w:val="00F46553"/>
    <w:rsid w:val="00F46F9B"/>
    <w:rsid w:val="00F47B45"/>
    <w:rsid w:val="00F47CC7"/>
    <w:rsid w:val="00F50B10"/>
    <w:rsid w:val="00F52E58"/>
    <w:rsid w:val="00F53330"/>
    <w:rsid w:val="00F53DBF"/>
    <w:rsid w:val="00F547E5"/>
    <w:rsid w:val="00F5512C"/>
    <w:rsid w:val="00F558A0"/>
    <w:rsid w:val="00F565DB"/>
    <w:rsid w:val="00F56AF9"/>
    <w:rsid w:val="00F57A25"/>
    <w:rsid w:val="00F60CE7"/>
    <w:rsid w:val="00F610AC"/>
    <w:rsid w:val="00F610AF"/>
    <w:rsid w:val="00F61E97"/>
    <w:rsid w:val="00F62B1C"/>
    <w:rsid w:val="00F6393D"/>
    <w:rsid w:val="00F647D2"/>
    <w:rsid w:val="00F65D70"/>
    <w:rsid w:val="00F66A56"/>
    <w:rsid w:val="00F71116"/>
    <w:rsid w:val="00F71E1E"/>
    <w:rsid w:val="00F72DDC"/>
    <w:rsid w:val="00F7416C"/>
    <w:rsid w:val="00F74693"/>
    <w:rsid w:val="00F74777"/>
    <w:rsid w:val="00F75A77"/>
    <w:rsid w:val="00F75CD3"/>
    <w:rsid w:val="00F769E1"/>
    <w:rsid w:val="00F77EB3"/>
    <w:rsid w:val="00F80AED"/>
    <w:rsid w:val="00F80D07"/>
    <w:rsid w:val="00F80E81"/>
    <w:rsid w:val="00F83365"/>
    <w:rsid w:val="00F837B5"/>
    <w:rsid w:val="00F839A9"/>
    <w:rsid w:val="00F84E3F"/>
    <w:rsid w:val="00F86014"/>
    <w:rsid w:val="00F86CC2"/>
    <w:rsid w:val="00F873C4"/>
    <w:rsid w:val="00F879A9"/>
    <w:rsid w:val="00F91856"/>
    <w:rsid w:val="00F922E5"/>
    <w:rsid w:val="00F93540"/>
    <w:rsid w:val="00F96FED"/>
    <w:rsid w:val="00F9716E"/>
    <w:rsid w:val="00F97506"/>
    <w:rsid w:val="00F97A3E"/>
    <w:rsid w:val="00F97E86"/>
    <w:rsid w:val="00FA016C"/>
    <w:rsid w:val="00FA05B1"/>
    <w:rsid w:val="00FA10B0"/>
    <w:rsid w:val="00FA1D32"/>
    <w:rsid w:val="00FA2143"/>
    <w:rsid w:val="00FA2C5A"/>
    <w:rsid w:val="00FA32F5"/>
    <w:rsid w:val="00FA36A5"/>
    <w:rsid w:val="00FA3E0F"/>
    <w:rsid w:val="00FA4505"/>
    <w:rsid w:val="00FA4E1C"/>
    <w:rsid w:val="00FA5A50"/>
    <w:rsid w:val="00FA5FCF"/>
    <w:rsid w:val="00FA6FED"/>
    <w:rsid w:val="00FA75D5"/>
    <w:rsid w:val="00FB07C8"/>
    <w:rsid w:val="00FB0BC1"/>
    <w:rsid w:val="00FB0CDD"/>
    <w:rsid w:val="00FB171D"/>
    <w:rsid w:val="00FB2202"/>
    <w:rsid w:val="00FB28E5"/>
    <w:rsid w:val="00FB348B"/>
    <w:rsid w:val="00FB38AA"/>
    <w:rsid w:val="00FB549E"/>
    <w:rsid w:val="00FB718E"/>
    <w:rsid w:val="00FB764D"/>
    <w:rsid w:val="00FB7CF8"/>
    <w:rsid w:val="00FC08F0"/>
    <w:rsid w:val="00FC0CF0"/>
    <w:rsid w:val="00FC0FA0"/>
    <w:rsid w:val="00FC18FD"/>
    <w:rsid w:val="00FC2D11"/>
    <w:rsid w:val="00FC33D8"/>
    <w:rsid w:val="00FC3B3D"/>
    <w:rsid w:val="00FC3EAF"/>
    <w:rsid w:val="00FC60C5"/>
    <w:rsid w:val="00FC6230"/>
    <w:rsid w:val="00FC6389"/>
    <w:rsid w:val="00FC6879"/>
    <w:rsid w:val="00FD23F8"/>
    <w:rsid w:val="00FD3295"/>
    <w:rsid w:val="00FD394C"/>
    <w:rsid w:val="00FD4268"/>
    <w:rsid w:val="00FD5C13"/>
    <w:rsid w:val="00FD677D"/>
    <w:rsid w:val="00FD72FB"/>
    <w:rsid w:val="00FD7E1C"/>
    <w:rsid w:val="00FE001D"/>
    <w:rsid w:val="00FE1034"/>
    <w:rsid w:val="00FE12AA"/>
    <w:rsid w:val="00FE1891"/>
    <w:rsid w:val="00FE27AC"/>
    <w:rsid w:val="00FE4146"/>
    <w:rsid w:val="00FE565F"/>
    <w:rsid w:val="00FE5C1D"/>
    <w:rsid w:val="00FE5D34"/>
    <w:rsid w:val="00FE615E"/>
    <w:rsid w:val="00FE6D3B"/>
    <w:rsid w:val="00FF0287"/>
    <w:rsid w:val="00FF0E7B"/>
    <w:rsid w:val="00FF111D"/>
    <w:rsid w:val="00FF1AD4"/>
    <w:rsid w:val="00FF2151"/>
    <w:rsid w:val="00FF52CB"/>
    <w:rsid w:val="00FF6183"/>
    <w:rsid w:val="00FF61E7"/>
    <w:rsid w:val="01182811"/>
    <w:rsid w:val="01188E90"/>
    <w:rsid w:val="0119DB39"/>
    <w:rsid w:val="011D81AE"/>
    <w:rsid w:val="0139F239"/>
    <w:rsid w:val="01490EB7"/>
    <w:rsid w:val="0154DA8C"/>
    <w:rsid w:val="01699E67"/>
    <w:rsid w:val="0189D92C"/>
    <w:rsid w:val="0194BE4C"/>
    <w:rsid w:val="0196D4F0"/>
    <w:rsid w:val="01AEDA5A"/>
    <w:rsid w:val="01BECD0C"/>
    <w:rsid w:val="01C2F9A0"/>
    <w:rsid w:val="01CDABD4"/>
    <w:rsid w:val="01DDDB00"/>
    <w:rsid w:val="01E1392C"/>
    <w:rsid w:val="01E50346"/>
    <w:rsid w:val="01F000F8"/>
    <w:rsid w:val="01FF3E3A"/>
    <w:rsid w:val="020D8DCB"/>
    <w:rsid w:val="0214CC01"/>
    <w:rsid w:val="0226C689"/>
    <w:rsid w:val="02298B5D"/>
    <w:rsid w:val="023191D2"/>
    <w:rsid w:val="024A83B6"/>
    <w:rsid w:val="024BF257"/>
    <w:rsid w:val="024C2753"/>
    <w:rsid w:val="02592D83"/>
    <w:rsid w:val="02593EA8"/>
    <w:rsid w:val="025F1A30"/>
    <w:rsid w:val="025FF6AC"/>
    <w:rsid w:val="0265543E"/>
    <w:rsid w:val="02B5AB9A"/>
    <w:rsid w:val="02BF9643"/>
    <w:rsid w:val="02C4FFA9"/>
    <w:rsid w:val="02CB1FB7"/>
    <w:rsid w:val="02D17C18"/>
    <w:rsid w:val="03058A18"/>
    <w:rsid w:val="0308706A"/>
    <w:rsid w:val="031581CB"/>
    <w:rsid w:val="031CE93C"/>
    <w:rsid w:val="03201F30"/>
    <w:rsid w:val="03245090"/>
    <w:rsid w:val="03261E7B"/>
    <w:rsid w:val="032BF026"/>
    <w:rsid w:val="033DE882"/>
    <w:rsid w:val="03409A79"/>
    <w:rsid w:val="0353E7E6"/>
    <w:rsid w:val="03579D14"/>
    <w:rsid w:val="035A9D6D"/>
    <w:rsid w:val="036E9A35"/>
    <w:rsid w:val="03753DA2"/>
    <w:rsid w:val="03896337"/>
    <w:rsid w:val="038F0597"/>
    <w:rsid w:val="039041FF"/>
    <w:rsid w:val="0397B21B"/>
    <w:rsid w:val="039FA608"/>
    <w:rsid w:val="03ACC0FC"/>
    <w:rsid w:val="03C5F132"/>
    <w:rsid w:val="03E306AF"/>
    <w:rsid w:val="03F4A414"/>
    <w:rsid w:val="03F9EC05"/>
    <w:rsid w:val="03FEF149"/>
    <w:rsid w:val="041730CF"/>
    <w:rsid w:val="041C2D74"/>
    <w:rsid w:val="041CD7DC"/>
    <w:rsid w:val="04271C20"/>
    <w:rsid w:val="0429900C"/>
    <w:rsid w:val="042BF2FB"/>
    <w:rsid w:val="042E5D7C"/>
    <w:rsid w:val="044439D9"/>
    <w:rsid w:val="04494179"/>
    <w:rsid w:val="044A674B"/>
    <w:rsid w:val="0462C087"/>
    <w:rsid w:val="046C7676"/>
    <w:rsid w:val="0499AD4E"/>
    <w:rsid w:val="04B15173"/>
    <w:rsid w:val="04B4DDA4"/>
    <w:rsid w:val="04F59EB3"/>
    <w:rsid w:val="04FA60A8"/>
    <w:rsid w:val="05048A60"/>
    <w:rsid w:val="050889A4"/>
    <w:rsid w:val="050E2E12"/>
    <w:rsid w:val="05292BBF"/>
    <w:rsid w:val="052C1884"/>
    <w:rsid w:val="052C5669"/>
    <w:rsid w:val="05513928"/>
    <w:rsid w:val="0555261B"/>
    <w:rsid w:val="0568AEC9"/>
    <w:rsid w:val="0580C701"/>
    <w:rsid w:val="0582DECC"/>
    <w:rsid w:val="05A888CA"/>
    <w:rsid w:val="05B8FDBD"/>
    <w:rsid w:val="05C07888"/>
    <w:rsid w:val="05C5C0AB"/>
    <w:rsid w:val="05CA2DDD"/>
    <w:rsid w:val="05CB5CA3"/>
    <w:rsid w:val="05D7907C"/>
    <w:rsid w:val="05E05AA2"/>
    <w:rsid w:val="05E5482C"/>
    <w:rsid w:val="05EC9BD4"/>
    <w:rsid w:val="0608018F"/>
    <w:rsid w:val="062F90EC"/>
    <w:rsid w:val="063596D5"/>
    <w:rsid w:val="0656C1DC"/>
    <w:rsid w:val="065C824F"/>
    <w:rsid w:val="065EEE15"/>
    <w:rsid w:val="066E3424"/>
    <w:rsid w:val="067C0A7A"/>
    <w:rsid w:val="06A46AF3"/>
    <w:rsid w:val="06AC2D88"/>
    <w:rsid w:val="06D09B73"/>
    <w:rsid w:val="06DEA48D"/>
    <w:rsid w:val="06F17823"/>
    <w:rsid w:val="070C15FD"/>
    <w:rsid w:val="0718B516"/>
    <w:rsid w:val="0718DD5B"/>
    <w:rsid w:val="072E3AB9"/>
    <w:rsid w:val="07305B41"/>
    <w:rsid w:val="073E7875"/>
    <w:rsid w:val="0744444F"/>
    <w:rsid w:val="074B6BBA"/>
    <w:rsid w:val="075B85CC"/>
    <w:rsid w:val="075FFAE6"/>
    <w:rsid w:val="076F3514"/>
    <w:rsid w:val="0787A1BB"/>
    <w:rsid w:val="0797F3AF"/>
    <w:rsid w:val="07983818"/>
    <w:rsid w:val="07B34DBB"/>
    <w:rsid w:val="07D387FB"/>
    <w:rsid w:val="07D60DA0"/>
    <w:rsid w:val="07E07281"/>
    <w:rsid w:val="07EB2C92"/>
    <w:rsid w:val="07EF9D2B"/>
    <w:rsid w:val="07F0019D"/>
    <w:rsid w:val="080E7A01"/>
    <w:rsid w:val="08121F42"/>
    <w:rsid w:val="082492AC"/>
    <w:rsid w:val="08339ECC"/>
    <w:rsid w:val="083B8AFE"/>
    <w:rsid w:val="08417411"/>
    <w:rsid w:val="0851B939"/>
    <w:rsid w:val="08542189"/>
    <w:rsid w:val="08746620"/>
    <w:rsid w:val="087493E1"/>
    <w:rsid w:val="0877D88B"/>
    <w:rsid w:val="087F2C1E"/>
    <w:rsid w:val="087FED68"/>
    <w:rsid w:val="088809F2"/>
    <w:rsid w:val="0896582F"/>
    <w:rsid w:val="08A38197"/>
    <w:rsid w:val="08A39CB1"/>
    <w:rsid w:val="08C4BA18"/>
    <w:rsid w:val="08C84E82"/>
    <w:rsid w:val="08C8BCE2"/>
    <w:rsid w:val="08D37683"/>
    <w:rsid w:val="08D7EAF6"/>
    <w:rsid w:val="08D8FE61"/>
    <w:rsid w:val="08FBB626"/>
    <w:rsid w:val="08FED2C0"/>
    <w:rsid w:val="090B32F3"/>
    <w:rsid w:val="090DDEE7"/>
    <w:rsid w:val="09210AD6"/>
    <w:rsid w:val="09453811"/>
    <w:rsid w:val="0948A037"/>
    <w:rsid w:val="0958B9B1"/>
    <w:rsid w:val="0974EDC5"/>
    <w:rsid w:val="09855EDA"/>
    <w:rsid w:val="09A868D6"/>
    <w:rsid w:val="09AF9EE9"/>
    <w:rsid w:val="09BB852B"/>
    <w:rsid w:val="09BBF77E"/>
    <w:rsid w:val="09D9A22A"/>
    <w:rsid w:val="09D9D280"/>
    <w:rsid w:val="09F9D14F"/>
    <w:rsid w:val="0A2F5519"/>
    <w:rsid w:val="0A322077"/>
    <w:rsid w:val="0A3A54CB"/>
    <w:rsid w:val="0A5241F9"/>
    <w:rsid w:val="0A63E598"/>
    <w:rsid w:val="0A6D96C0"/>
    <w:rsid w:val="0A96D7AD"/>
    <w:rsid w:val="0A9C1694"/>
    <w:rsid w:val="0AA364F9"/>
    <w:rsid w:val="0AB13C75"/>
    <w:rsid w:val="0ABAB9EE"/>
    <w:rsid w:val="0ABC74D7"/>
    <w:rsid w:val="0ACF977E"/>
    <w:rsid w:val="0AF660A8"/>
    <w:rsid w:val="0AFC4041"/>
    <w:rsid w:val="0B004DAF"/>
    <w:rsid w:val="0B06D90F"/>
    <w:rsid w:val="0B27E49D"/>
    <w:rsid w:val="0B2E3941"/>
    <w:rsid w:val="0B3692A8"/>
    <w:rsid w:val="0B3776D9"/>
    <w:rsid w:val="0B3B240A"/>
    <w:rsid w:val="0B3D8613"/>
    <w:rsid w:val="0B4C0AC0"/>
    <w:rsid w:val="0B54F46C"/>
    <w:rsid w:val="0B581E90"/>
    <w:rsid w:val="0BA15822"/>
    <w:rsid w:val="0BAE6EF9"/>
    <w:rsid w:val="0BB0E28F"/>
    <w:rsid w:val="0BC43E36"/>
    <w:rsid w:val="0BDB2931"/>
    <w:rsid w:val="0BDDD34C"/>
    <w:rsid w:val="0BEBD02F"/>
    <w:rsid w:val="0BF79FE3"/>
    <w:rsid w:val="0BFB437C"/>
    <w:rsid w:val="0C08A7E4"/>
    <w:rsid w:val="0C1C1BE3"/>
    <w:rsid w:val="0C2CD2EC"/>
    <w:rsid w:val="0C394617"/>
    <w:rsid w:val="0C535252"/>
    <w:rsid w:val="0C5909A7"/>
    <w:rsid w:val="0C679750"/>
    <w:rsid w:val="0C692BFA"/>
    <w:rsid w:val="0C7BCC48"/>
    <w:rsid w:val="0C8D9940"/>
    <w:rsid w:val="0C9D9B59"/>
    <w:rsid w:val="0CA8F42F"/>
    <w:rsid w:val="0CE3206A"/>
    <w:rsid w:val="0CF8279B"/>
    <w:rsid w:val="0CFDA291"/>
    <w:rsid w:val="0D1515ED"/>
    <w:rsid w:val="0D499161"/>
    <w:rsid w:val="0D4D3538"/>
    <w:rsid w:val="0D4F0E42"/>
    <w:rsid w:val="0D603559"/>
    <w:rsid w:val="0D71B3C5"/>
    <w:rsid w:val="0D734AB1"/>
    <w:rsid w:val="0D7DF49E"/>
    <w:rsid w:val="0D849959"/>
    <w:rsid w:val="0D8B5A9F"/>
    <w:rsid w:val="0D9092D4"/>
    <w:rsid w:val="0D960467"/>
    <w:rsid w:val="0D9C3F82"/>
    <w:rsid w:val="0D9F9CC5"/>
    <w:rsid w:val="0D9FC3B2"/>
    <w:rsid w:val="0DBD6489"/>
    <w:rsid w:val="0DCC9C83"/>
    <w:rsid w:val="0DDDA6AC"/>
    <w:rsid w:val="0DF05A37"/>
    <w:rsid w:val="0DFCAA53"/>
    <w:rsid w:val="0E0E68B8"/>
    <w:rsid w:val="0E70AB1B"/>
    <w:rsid w:val="0E7F961F"/>
    <w:rsid w:val="0E7FBF61"/>
    <w:rsid w:val="0EB1B452"/>
    <w:rsid w:val="0EB46CFA"/>
    <w:rsid w:val="0EC3E47C"/>
    <w:rsid w:val="0EE07996"/>
    <w:rsid w:val="0EEC9CA1"/>
    <w:rsid w:val="0EF3D273"/>
    <w:rsid w:val="0F02EEE8"/>
    <w:rsid w:val="0F1CB0A4"/>
    <w:rsid w:val="0F28F6E0"/>
    <w:rsid w:val="0F317F1B"/>
    <w:rsid w:val="0F3E76A6"/>
    <w:rsid w:val="0F4806C3"/>
    <w:rsid w:val="0F5F3BAC"/>
    <w:rsid w:val="0F63DDA0"/>
    <w:rsid w:val="0F7A6170"/>
    <w:rsid w:val="0F81F362"/>
    <w:rsid w:val="0F94B2A6"/>
    <w:rsid w:val="0FA2D9AD"/>
    <w:rsid w:val="0FC06DA0"/>
    <w:rsid w:val="0FC1F22B"/>
    <w:rsid w:val="0FCD03AB"/>
    <w:rsid w:val="0FDFD130"/>
    <w:rsid w:val="0FE24062"/>
    <w:rsid w:val="0FE37453"/>
    <w:rsid w:val="1002AA71"/>
    <w:rsid w:val="1014A52E"/>
    <w:rsid w:val="1036101D"/>
    <w:rsid w:val="1039F1CC"/>
    <w:rsid w:val="104FC8CC"/>
    <w:rsid w:val="1074D638"/>
    <w:rsid w:val="107BA2FE"/>
    <w:rsid w:val="1091D2F5"/>
    <w:rsid w:val="10A1A225"/>
    <w:rsid w:val="10A96ED9"/>
    <w:rsid w:val="10AC69F5"/>
    <w:rsid w:val="10B20315"/>
    <w:rsid w:val="10BBEA6A"/>
    <w:rsid w:val="10CDDC40"/>
    <w:rsid w:val="10DFB077"/>
    <w:rsid w:val="10E7C6A1"/>
    <w:rsid w:val="10F5A762"/>
    <w:rsid w:val="10FC570C"/>
    <w:rsid w:val="10FD35D3"/>
    <w:rsid w:val="1108FE70"/>
    <w:rsid w:val="11230CBA"/>
    <w:rsid w:val="1142125B"/>
    <w:rsid w:val="114BA57A"/>
    <w:rsid w:val="114C583F"/>
    <w:rsid w:val="115246B5"/>
    <w:rsid w:val="1163BDC4"/>
    <w:rsid w:val="11699E32"/>
    <w:rsid w:val="116DE8AB"/>
    <w:rsid w:val="118376E3"/>
    <w:rsid w:val="119C6D65"/>
    <w:rsid w:val="11A12693"/>
    <w:rsid w:val="11A4490F"/>
    <w:rsid w:val="11BC282D"/>
    <w:rsid w:val="11CCC783"/>
    <w:rsid w:val="11D6D60F"/>
    <w:rsid w:val="11D8332A"/>
    <w:rsid w:val="11D989D3"/>
    <w:rsid w:val="11F090B7"/>
    <w:rsid w:val="11F79D5D"/>
    <w:rsid w:val="11FF0FFD"/>
    <w:rsid w:val="121E6591"/>
    <w:rsid w:val="123C573A"/>
    <w:rsid w:val="124E6F89"/>
    <w:rsid w:val="1261AC1C"/>
    <w:rsid w:val="12743C62"/>
    <w:rsid w:val="1280B7BE"/>
    <w:rsid w:val="1285FAD3"/>
    <w:rsid w:val="129177C3"/>
    <w:rsid w:val="12962BA6"/>
    <w:rsid w:val="1298470C"/>
    <w:rsid w:val="12A58362"/>
    <w:rsid w:val="12AE06AF"/>
    <w:rsid w:val="12CF34E5"/>
    <w:rsid w:val="12ECA669"/>
    <w:rsid w:val="12ED8393"/>
    <w:rsid w:val="12FC6845"/>
    <w:rsid w:val="130FCCDF"/>
    <w:rsid w:val="13262889"/>
    <w:rsid w:val="132B020C"/>
    <w:rsid w:val="132D0F63"/>
    <w:rsid w:val="13331AE5"/>
    <w:rsid w:val="133458AE"/>
    <w:rsid w:val="1346BDDE"/>
    <w:rsid w:val="135EC8E0"/>
    <w:rsid w:val="13617760"/>
    <w:rsid w:val="1377E813"/>
    <w:rsid w:val="137E0F29"/>
    <w:rsid w:val="13861534"/>
    <w:rsid w:val="139F7A7D"/>
    <w:rsid w:val="13D91571"/>
    <w:rsid w:val="13FF8D3E"/>
    <w:rsid w:val="1401EC6B"/>
    <w:rsid w:val="1420DCD8"/>
    <w:rsid w:val="142BE11E"/>
    <w:rsid w:val="142CC3C9"/>
    <w:rsid w:val="1442FBE9"/>
    <w:rsid w:val="1449EA1E"/>
    <w:rsid w:val="144CA0CC"/>
    <w:rsid w:val="14600B4F"/>
    <w:rsid w:val="14686800"/>
    <w:rsid w:val="14698029"/>
    <w:rsid w:val="14791901"/>
    <w:rsid w:val="1484DA5C"/>
    <w:rsid w:val="14A9814F"/>
    <w:rsid w:val="14B0DC16"/>
    <w:rsid w:val="14CD8065"/>
    <w:rsid w:val="14D2AF5B"/>
    <w:rsid w:val="14FEA122"/>
    <w:rsid w:val="150C574D"/>
    <w:rsid w:val="150C9BD5"/>
    <w:rsid w:val="150D2CC7"/>
    <w:rsid w:val="1510F5E5"/>
    <w:rsid w:val="1513D141"/>
    <w:rsid w:val="15412D2E"/>
    <w:rsid w:val="154DABB7"/>
    <w:rsid w:val="154F8704"/>
    <w:rsid w:val="15626430"/>
    <w:rsid w:val="157111DC"/>
    <w:rsid w:val="1578A2DB"/>
    <w:rsid w:val="158F7581"/>
    <w:rsid w:val="15AA7A47"/>
    <w:rsid w:val="15B59D83"/>
    <w:rsid w:val="15BCEF8B"/>
    <w:rsid w:val="15E194E7"/>
    <w:rsid w:val="15ED167E"/>
    <w:rsid w:val="15F05741"/>
    <w:rsid w:val="15F7F120"/>
    <w:rsid w:val="161CA0E4"/>
    <w:rsid w:val="1620C4DD"/>
    <w:rsid w:val="162A1E20"/>
    <w:rsid w:val="16313B7D"/>
    <w:rsid w:val="163926DA"/>
    <w:rsid w:val="164EDF86"/>
    <w:rsid w:val="165DEC63"/>
    <w:rsid w:val="16605E97"/>
    <w:rsid w:val="1675569C"/>
    <w:rsid w:val="1680177D"/>
    <w:rsid w:val="169A9843"/>
    <w:rsid w:val="169DC56B"/>
    <w:rsid w:val="16FD52B3"/>
    <w:rsid w:val="172D7826"/>
    <w:rsid w:val="173577A3"/>
    <w:rsid w:val="173B153B"/>
    <w:rsid w:val="17452730"/>
    <w:rsid w:val="1756AE1D"/>
    <w:rsid w:val="176F3616"/>
    <w:rsid w:val="177BE26E"/>
    <w:rsid w:val="17878AFF"/>
    <w:rsid w:val="1792DEFF"/>
    <w:rsid w:val="179FC868"/>
    <w:rsid w:val="17A4BCC3"/>
    <w:rsid w:val="17B52068"/>
    <w:rsid w:val="17B65FA0"/>
    <w:rsid w:val="17BAA58B"/>
    <w:rsid w:val="17BAD44F"/>
    <w:rsid w:val="17BB6B10"/>
    <w:rsid w:val="17C2C02B"/>
    <w:rsid w:val="17C8D310"/>
    <w:rsid w:val="17CB7675"/>
    <w:rsid w:val="17D0D8CC"/>
    <w:rsid w:val="17DC85DD"/>
    <w:rsid w:val="17DF6465"/>
    <w:rsid w:val="17F7BB8E"/>
    <w:rsid w:val="17FFBE08"/>
    <w:rsid w:val="18162181"/>
    <w:rsid w:val="18256496"/>
    <w:rsid w:val="182A7491"/>
    <w:rsid w:val="18316D33"/>
    <w:rsid w:val="1841B689"/>
    <w:rsid w:val="184B8AEB"/>
    <w:rsid w:val="184C02F5"/>
    <w:rsid w:val="186689C4"/>
    <w:rsid w:val="186A7B25"/>
    <w:rsid w:val="186E9B3E"/>
    <w:rsid w:val="18784D28"/>
    <w:rsid w:val="18A33C79"/>
    <w:rsid w:val="18BA9EB8"/>
    <w:rsid w:val="18BD11AD"/>
    <w:rsid w:val="18C4291B"/>
    <w:rsid w:val="18ED640B"/>
    <w:rsid w:val="18EEF3CC"/>
    <w:rsid w:val="18F7DBFA"/>
    <w:rsid w:val="1927A30D"/>
    <w:rsid w:val="194AA87A"/>
    <w:rsid w:val="1969E143"/>
    <w:rsid w:val="196B9F11"/>
    <w:rsid w:val="197DB886"/>
    <w:rsid w:val="197FC790"/>
    <w:rsid w:val="19869B31"/>
    <w:rsid w:val="198AC2A5"/>
    <w:rsid w:val="19A131D3"/>
    <w:rsid w:val="19C4CE5F"/>
    <w:rsid w:val="19D15218"/>
    <w:rsid w:val="19D419DB"/>
    <w:rsid w:val="19D71E0E"/>
    <w:rsid w:val="19DA6DD8"/>
    <w:rsid w:val="19E0C745"/>
    <w:rsid w:val="19E7BC86"/>
    <w:rsid w:val="19ECC105"/>
    <w:rsid w:val="19F0B830"/>
    <w:rsid w:val="19FA29B4"/>
    <w:rsid w:val="1A03D6F3"/>
    <w:rsid w:val="1A14A6B2"/>
    <w:rsid w:val="1A1B0397"/>
    <w:rsid w:val="1A312A1F"/>
    <w:rsid w:val="1A424895"/>
    <w:rsid w:val="1A59FA17"/>
    <w:rsid w:val="1A5E24CE"/>
    <w:rsid w:val="1A622CA1"/>
    <w:rsid w:val="1A723F2E"/>
    <w:rsid w:val="1A7BDAF6"/>
    <w:rsid w:val="1A9A2735"/>
    <w:rsid w:val="1AB06188"/>
    <w:rsid w:val="1AB1F66C"/>
    <w:rsid w:val="1AB928BE"/>
    <w:rsid w:val="1AC0BB4F"/>
    <w:rsid w:val="1AC10791"/>
    <w:rsid w:val="1AC15D17"/>
    <w:rsid w:val="1ACF2F08"/>
    <w:rsid w:val="1ADBB852"/>
    <w:rsid w:val="1AED08C8"/>
    <w:rsid w:val="1AF9A4EB"/>
    <w:rsid w:val="1B209007"/>
    <w:rsid w:val="1B31DC4C"/>
    <w:rsid w:val="1B49B0FB"/>
    <w:rsid w:val="1B6023E0"/>
    <w:rsid w:val="1B8E5D60"/>
    <w:rsid w:val="1B936FBF"/>
    <w:rsid w:val="1BA14440"/>
    <w:rsid w:val="1BA571A8"/>
    <w:rsid w:val="1BAB1ACB"/>
    <w:rsid w:val="1BCCC77B"/>
    <w:rsid w:val="1BCEC7D0"/>
    <w:rsid w:val="1BE1BDCA"/>
    <w:rsid w:val="1BEDC59E"/>
    <w:rsid w:val="1BF01C3F"/>
    <w:rsid w:val="1BF99B3C"/>
    <w:rsid w:val="1C0CCA4A"/>
    <w:rsid w:val="1C1FBC3F"/>
    <w:rsid w:val="1C3EAD2D"/>
    <w:rsid w:val="1C48D220"/>
    <w:rsid w:val="1C5228B9"/>
    <w:rsid w:val="1C5A9244"/>
    <w:rsid w:val="1C6B57EE"/>
    <w:rsid w:val="1C778671"/>
    <w:rsid w:val="1C7A9F30"/>
    <w:rsid w:val="1C8E12D5"/>
    <w:rsid w:val="1C9C0371"/>
    <w:rsid w:val="1CA2A761"/>
    <w:rsid w:val="1CAAF75D"/>
    <w:rsid w:val="1CBC46C0"/>
    <w:rsid w:val="1CBE47D4"/>
    <w:rsid w:val="1CC2F19A"/>
    <w:rsid w:val="1CCEF6AA"/>
    <w:rsid w:val="1CD5BDB0"/>
    <w:rsid w:val="1CDC5E39"/>
    <w:rsid w:val="1CFAA4A8"/>
    <w:rsid w:val="1D09349C"/>
    <w:rsid w:val="1D2C6119"/>
    <w:rsid w:val="1D35B251"/>
    <w:rsid w:val="1D606F06"/>
    <w:rsid w:val="1D6F4712"/>
    <w:rsid w:val="1D98CAE5"/>
    <w:rsid w:val="1D99D159"/>
    <w:rsid w:val="1D9C59DB"/>
    <w:rsid w:val="1DA7363F"/>
    <w:rsid w:val="1DB2F032"/>
    <w:rsid w:val="1DC6DDF0"/>
    <w:rsid w:val="1DCE75F2"/>
    <w:rsid w:val="1DDCF531"/>
    <w:rsid w:val="1E1D6ABE"/>
    <w:rsid w:val="1E3A0AEF"/>
    <w:rsid w:val="1E73A58E"/>
    <w:rsid w:val="1E859194"/>
    <w:rsid w:val="1E9B216E"/>
    <w:rsid w:val="1EA8033A"/>
    <w:rsid w:val="1EB42839"/>
    <w:rsid w:val="1ECC2E3C"/>
    <w:rsid w:val="1EECD998"/>
    <w:rsid w:val="1EEDF887"/>
    <w:rsid w:val="1EF54404"/>
    <w:rsid w:val="1EF7F008"/>
    <w:rsid w:val="1F0B21F2"/>
    <w:rsid w:val="1F285090"/>
    <w:rsid w:val="1F2BFD19"/>
    <w:rsid w:val="1F3C3B04"/>
    <w:rsid w:val="1F4CBB5A"/>
    <w:rsid w:val="1F4F94E5"/>
    <w:rsid w:val="1F597E76"/>
    <w:rsid w:val="1F6C3192"/>
    <w:rsid w:val="1F745D4E"/>
    <w:rsid w:val="1F75560D"/>
    <w:rsid w:val="1F79C4AE"/>
    <w:rsid w:val="1F82D65A"/>
    <w:rsid w:val="1F8AB2D7"/>
    <w:rsid w:val="1F8E2FB3"/>
    <w:rsid w:val="1F998743"/>
    <w:rsid w:val="1FA4E331"/>
    <w:rsid w:val="1FA7B392"/>
    <w:rsid w:val="1FACE2B3"/>
    <w:rsid w:val="1FAE24AD"/>
    <w:rsid w:val="1FBB5165"/>
    <w:rsid w:val="1FBD676A"/>
    <w:rsid w:val="1FFC2E75"/>
    <w:rsid w:val="2017F01E"/>
    <w:rsid w:val="202A64CA"/>
    <w:rsid w:val="20328ABA"/>
    <w:rsid w:val="203ECFCF"/>
    <w:rsid w:val="2045ABC0"/>
    <w:rsid w:val="20553EBD"/>
    <w:rsid w:val="206BB4AC"/>
    <w:rsid w:val="20792679"/>
    <w:rsid w:val="20891BE2"/>
    <w:rsid w:val="2098968A"/>
    <w:rsid w:val="209E94A7"/>
    <w:rsid w:val="209FDA02"/>
    <w:rsid w:val="20A126DB"/>
    <w:rsid w:val="20BE63D5"/>
    <w:rsid w:val="20C45F93"/>
    <w:rsid w:val="20C59C7D"/>
    <w:rsid w:val="20CF2BE4"/>
    <w:rsid w:val="20D19CF8"/>
    <w:rsid w:val="20D64E90"/>
    <w:rsid w:val="20E2F195"/>
    <w:rsid w:val="20E4B08A"/>
    <w:rsid w:val="20F16EDF"/>
    <w:rsid w:val="20FDA714"/>
    <w:rsid w:val="2104D475"/>
    <w:rsid w:val="2108D8B9"/>
    <w:rsid w:val="2113BE8D"/>
    <w:rsid w:val="2130F8BB"/>
    <w:rsid w:val="2133AE6F"/>
    <w:rsid w:val="21469B80"/>
    <w:rsid w:val="214F8E3D"/>
    <w:rsid w:val="216A7974"/>
    <w:rsid w:val="2195B98D"/>
    <w:rsid w:val="21977519"/>
    <w:rsid w:val="21987B91"/>
    <w:rsid w:val="21A4D189"/>
    <w:rsid w:val="21C3E57C"/>
    <w:rsid w:val="21D40541"/>
    <w:rsid w:val="21E38903"/>
    <w:rsid w:val="21E79000"/>
    <w:rsid w:val="21E9CE5C"/>
    <w:rsid w:val="21F07C2A"/>
    <w:rsid w:val="21F6B1BC"/>
    <w:rsid w:val="21FD1FD3"/>
    <w:rsid w:val="21FDAC02"/>
    <w:rsid w:val="22091E5E"/>
    <w:rsid w:val="221597F3"/>
    <w:rsid w:val="222AEA1B"/>
    <w:rsid w:val="222FCC9A"/>
    <w:rsid w:val="224481A8"/>
    <w:rsid w:val="22450D02"/>
    <w:rsid w:val="22575E72"/>
    <w:rsid w:val="22586AFF"/>
    <w:rsid w:val="229D93B6"/>
    <w:rsid w:val="22A0624C"/>
    <w:rsid w:val="22CB01AC"/>
    <w:rsid w:val="22E8DE0A"/>
    <w:rsid w:val="22EFDE36"/>
    <w:rsid w:val="22F3440B"/>
    <w:rsid w:val="22F3EA2E"/>
    <w:rsid w:val="22F45BD9"/>
    <w:rsid w:val="231366BA"/>
    <w:rsid w:val="2333F2B8"/>
    <w:rsid w:val="23344BF2"/>
    <w:rsid w:val="23419DED"/>
    <w:rsid w:val="23481B31"/>
    <w:rsid w:val="236DAA01"/>
    <w:rsid w:val="23827CCA"/>
    <w:rsid w:val="23889DE8"/>
    <w:rsid w:val="238B97B5"/>
    <w:rsid w:val="23A1B115"/>
    <w:rsid w:val="23A5C39D"/>
    <w:rsid w:val="23A93BD7"/>
    <w:rsid w:val="23AA490C"/>
    <w:rsid w:val="23C47133"/>
    <w:rsid w:val="23CBCF0F"/>
    <w:rsid w:val="23EDBABB"/>
    <w:rsid w:val="23F58082"/>
    <w:rsid w:val="2409591F"/>
    <w:rsid w:val="2409D4C9"/>
    <w:rsid w:val="2413A41A"/>
    <w:rsid w:val="242939B1"/>
    <w:rsid w:val="24333DD0"/>
    <w:rsid w:val="2433F497"/>
    <w:rsid w:val="243FDD27"/>
    <w:rsid w:val="24410227"/>
    <w:rsid w:val="24552F23"/>
    <w:rsid w:val="245DEF41"/>
    <w:rsid w:val="247BFCEE"/>
    <w:rsid w:val="248041F1"/>
    <w:rsid w:val="2485B115"/>
    <w:rsid w:val="24A01700"/>
    <w:rsid w:val="24A2CDC5"/>
    <w:rsid w:val="24CC8B6F"/>
    <w:rsid w:val="24D0C1AF"/>
    <w:rsid w:val="24D99B8D"/>
    <w:rsid w:val="24E6A1BE"/>
    <w:rsid w:val="24EEF0BD"/>
    <w:rsid w:val="24F6F105"/>
    <w:rsid w:val="24F7D8E2"/>
    <w:rsid w:val="24FF422B"/>
    <w:rsid w:val="2502ABA0"/>
    <w:rsid w:val="250AA662"/>
    <w:rsid w:val="25183A17"/>
    <w:rsid w:val="251E0684"/>
    <w:rsid w:val="2521C034"/>
    <w:rsid w:val="2522AE58"/>
    <w:rsid w:val="252583F5"/>
    <w:rsid w:val="2533A0F2"/>
    <w:rsid w:val="2533F967"/>
    <w:rsid w:val="253B481E"/>
    <w:rsid w:val="2560A226"/>
    <w:rsid w:val="2567A032"/>
    <w:rsid w:val="25700473"/>
    <w:rsid w:val="257C58E8"/>
    <w:rsid w:val="257D620D"/>
    <w:rsid w:val="2586A016"/>
    <w:rsid w:val="2599A3B7"/>
    <w:rsid w:val="25B11BFC"/>
    <w:rsid w:val="25BC542F"/>
    <w:rsid w:val="25C8CEFC"/>
    <w:rsid w:val="25D2DC0D"/>
    <w:rsid w:val="25E6065A"/>
    <w:rsid w:val="25E92FA0"/>
    <w:rsid w:val="25ED6EC0"/>
    <w:rsid w:val="25EF6F7C"/>
    <w:rsid w:val="25F6A73A"/>
    <w:rsid w:val="26053D7E"/>
    <w:rsid w:val="260AC5A7"/>
    <w:rsid w:val="261F9B4D"/>
    <w:rsid w:val="263A3269"/>
    <w:rsid w:val="263CC2D4"/>
    <w:rsid w:val="26478F2E"/>
    <w:rsid w:val="2661DE40"/>
    <w:rsid w:val="267838EF"/>
    <w:rsid w:val="267C57A3"/>
    <w:rsid w:val="26B32DCB"/>
    <w:rsid w:val="26B4B084"/>
    <w:rsid w:val="26B9D6E5"/>
    <w:rsid w:val="26C0334C"/>
    <w:rsid w:val="26C705A5"/>
    <w:rsid w:val="26D5B1CD"/>
    <w:rsid w:val="26E30C12"/>
    <w:rsid w:val="26E7D988"/>
    <w:rsid w:val="26FBAA96"/>
    <w:rsid w:val="2708E4B3"/>
    <w:rsid w:val="27094B75"/>
    <w:rsid w:val="2709D79F"/>
    <w:rsid w:val="2711600D"/>
    <w:rsid w:val="2723522A"/>
    <w:rsid w:val="2747FBAD"/>
    <w:rsid w:val="274DD46A"/>
    <w:rsid w:val="2758AF4E"/>
    <w:rsid w:val="27719A8A"/>
    <w:rsid w:val="2787AA54"/>
    <w:rsid w:val="27881382"/>
    <w:rsid w:val="2789538C"/>
    <w:rsid w:val="278CEFD5"/>
    <w:rsid w:val="2797E87C"/>
    <w:rsid w:val="279DE499"/>
    <w:rsid w:val="27AF334D"/>
    <w:rsid w:val="27B35FD2"/>
    <w:rsid w:val="27B5C16F"/>
    <w:rsid w:val="27C5A451"/>
    <w:rsid w:val="27D5FF00"/>
    <w:rsid w:val="27D6E5B3"/>
    <w:rsid w:val="27DD8F2C"/>
    <w:rsid w:val="27E2221A"/>
    <w:rsid w:val="27F8C589"/>
    <w:rsid w:val="28143682"/>
    <w:rsid w:val="28202489"/>
    <w:rsid w:val="2824E805"/>
    <w:rsid w:val="28324AB8"/>
    <w:rsid w:val="28332700"/>
    <w:rsid w:val="2834D4E0"/>
    <w:rsid w:val="284B0BB1"/>
    <w:rsid w:val="2855A746"/>
    <w:rsid w:val="287E1A6F"/>
    <w:rsid w:val="28834537"/>
    <w:rsid w:val="2885AC73"/>
    <w:rsid w:val="2888641F"/>
    <w:rsid w:val="288D16EA"/>
    <w:rsid w:val="28B0C31D"/>
    <w:rsid w:val="28C1B0EA"/>
    <w:rsid w:val="28C4FB13"/>
    <w:rsid w:val="28CD3370"/>
    <w:rsid w:val="28E17898"/>
    <w:rsid w:val="28F64F3E"/>
    <w:rsid w:val="28FDE822"/>
    <w:rsid w:val="28FE9BCE"/>
    <w:rsid w:val="2913E9FE"/>
    <w:rsid w:val="29435762"/>
    <w:rsid w:val="2949E1FD"/>
    <w:rsid w:val="29547E2E"/>
    <w:rsid w:val="29556C41"/>
    <w:rsid w:val="295EF978"/>
    <w:rsid w:val="29632879"/>
    <w:rsid w:val="296D4BE1"/>
    <w:rsid w:val="298780C7"/>
    <w:rsid w:val="298ADD99"/>
    <w:rsid w:val="298E0EAE"/>
    <w:rsid w:val="29A9C513"/>
    <w:rsid w:val="29B5CF04"/>
    <w:rsid w:val="29C2A957"/>
    <w:rsid w:val="29CCEF84"/>
    <w:rsid w:val="29D5A534"/>
    <w:rsid w:val="29E1CF66"/>
    <w:rsid w:val="29E9BB17"/>
    <w:rsid w:val="29EAAE7D"/>
    <w:rsid w:val="29F36926"/>
    <w:rsid w:val="29F62D9E"/>
    <w:rsid w:val="29F96FF3"/>
    <w:rsid w:val="2A06CE05"/>
    <w:rsid w:val="2A19FA38"/>
    <w:rsid w:val="2A2A40D4"/>
    <w:rsid w:val="2A6298DB"/>
    <w:rsid w:val="2A661E0C"/>
    <w:rsid w:val="2A8CB53B"/>
    <w:rsid w:val="2ABBA57A"/>
    <w:rsid w:val="2AC09B42"/>
    <w:rsid w:val="2AC29A01"/>
    <w:rsid w:val="2AC9C386"/>
    <w:rsid w:val="2ACB8B2C"/>
    <w:rsid w:val="2AF0E04F"/>
    <w:rsid w:val="2AFB1136"/>
    <w:rsid w:val="2AFB4C06"/>
    <w:rsid w:val="2B04F6C2"/>
    <w:rsid w:val="2B147876"/>
    <w:rsid w:val="2B201EAE"/>
    <w:rsid w:val="2B33B121"/>
    <w:rsid w:val="2B4A0F75"/>
    <w:rsid w:val="2B4D1160"/>
    <w:rsid w:val="2B580E43"/>
    <w:rsid w:val="2B70EF76"/>
    <w:rsid w:val="2B788E3C"/>
    <w:rsid w:val="2B7F4F6B"/>
    <w:rsid w:val="2B889F8E"/>
    <w:rsid w:val="2B93B64D"/>
    <w:rsid w:val="2B9A419C"/>
    <w:rsid w:val="2BA9951E"/>
    <w:rsid w:val="2BC59DD8"/>
    <w:rsid w:val="2BC7BE9F"/>
    <w:rsid w:val="2BD2B05E"/>
    <w:rsid w:val="2BD4582B"/>
    <w:rsid w:val="2BD6CDBF"/>
    <w:rsid w:val="2BDF79B1"/>
    <w:rsid w:val="2BEE1DF5"/>
    <w:rsid w:val="2BFD3CFF"/>
    <w:rsid w:val="2C192A42"/>
    <w:rsid w:val="2C2C0AA6"/>
    <w:rsid w:val="2C324A60"/>
    <w:rsid w:val="2C35036F"/>
    <w:rsid w:val="2C3CD02B"/>
    <w:rsid w:val="2C495368"/>
    <w:rsid w:val="2C4A2201"/>
    <w:rsid w:val="2C4CD9B7"/>
    <w:rsid w:val="2C605F64"/>
    <w:rsid w:val="2C652CBA"/>
    <w:rsid w:val="2C691C90"/>
    <w:rsid w:val="2C694169"/>
    <w:rsid w:val="2C779A9D"/>
    <w:rsid w:val="2C89AFA7"/>
    <w:rsid w:val="2C8E2961"/>
    <w:rsid w:val="2C980503"/>
    <w:rsid w:val="2CA468DB"/>
    <w:rsid w:val="2CB2BC6C"/>
    <w:rsid w:val="2CB4A517"/>
    <w:rsid w:val="2CB80673"/>
    <w:rsid w:val="2CBDA0EF"/>
    <w:rsid w:val="2CCCD662"/>
    <w:rsid w:val="2CF02D05"/>
    <w:rsid w:val="2CF77649"/>
    <w:rsid w:val="2D16865E"/>
    <w:rsid w:val="2D19C8C5"/>
    <w:rsid w:val="2D2DEE6F"/>
    <w:rsid w:val="2D3C4831"/>
    <w:rsid w:val="2D3C795D"/>
    <w:rsid w:val="2D45A2A5"/>
    <w:rsid w:val="2D4FEDA9"/>
    <w:rsid w:val="2D54EEBE"/>
    <w:rsid w:val="2D64A300"/>
    <w:rsid w:val="2D82B371"/>
    <w:rsid w:val="2D9692FF"/>
    <w:rsid w:val="2DA0EE10"/>
    <w:rsid w:val="2DAFCDD8"/>
    <w:rsid w:val="2DB6545B"/>
    <w:rsid w:val="2DB774DC"/>
    <w:rsid w:val="2DC1B1EB"/>
    <w:rsid w:val="2DD09F97"/>
    <w:rsid w:val="2DD36944"/>
    <w:rsid w:val="2DDDE0AE"/>
    <w:rsid w:val="2DF2A164"/>
    <w:rsid w:val="2E09A10D"/>
    <w:rsid w:val="2E136AFE"/>
    <w:rsid w:val="2E138521"/>
    <w:rsid w:val="2E1C8696"/>
    <w:rsid w:val="2E2A21AD"/>
    <w:rsid w:val="2E3073EC"/>
    <w:rsid w:val="2E3CD66F"/>
    <w:rsid w:val="2E5125B9"/>
    <w:rsid w:val="2E6FEBE9"/>
    <w:rsid w:val="2E7AE1C2"/>
    <w:rsid w:val="2E847A61"/>
    <w:rsid w:val="2E84B222"/>
    <w:rsid w:val="2E8F601B"/>
    <w:rsid w:val="2E95FF4B"/>
    <w:rsid w:val="2EB8A175"/>
    <w:rsid w:val="2EC41F41"/>
    <w:rsid w:val="2EDD613E"/>
    <w:rsid w:val="2EDEB4CE"/>
    <w:rsid w:val="2EED7D86"/>
    <w:rsid w:val="2EEF75C2"/>
    <w:rsid w:val="2EF27025"/>
    <w:rsid w:val="2F01DE9D"/>
    <w:rsid w:val="2F03E45E"/>
    <w:rsid w:val="2F20970C"/>
    <w:rsid w:val="2F2F508F"/>
    <w:rsid w:val="2F2FBCA5"/>
    <w:rsid w:val="2F3268B9"/>
    <w:rsid w:val="2F33388F"/>
    <w:rsid w:val="2F4E0407"/>
    <w:rsid w:val="2F529200"/>
    <w:rsid w:val="2F5DBD6A"/>
    <w:rsid w:val="2F6983FC"/>
    <w:rsid w:val="2F83E6C0"/>
    <w:rsid w:val="2F85FB65"/>
    <w:rsid w:val="2F8C78B5"/>
    <w:rsid w:val="2FA02D32"/>
    <w:rsid w:val="2FA4AC11"/>
    <w:rsid w:val="2FA75FA2"/>
    <w:rsid w:val="2FAFFE02"/>
    <w:rsid w:val="2FC17BCE"/>
    <w:rsid w:val="2FC824D1"/>
    <w:rsid w:val="2FD23AAE"/>
    <w:rsid w:val="2FF2510A"/>
    <w:rsid w:val="301C7ABB"/>
    <w:rsid w:val="30274673"/>
    <w:rsid w:val="303897D2"/>
    <w:rsid w:val="303BC384"/>
    <w:rsid w:val="303E4220"/>
    <w:rsid w:val="305BDB87"/>
    <w:rsid w:val="305E96B4"/>
    <w:rsid w:val="306ABA11"/>
    <w:rsid w:val="306B0D01"/>
    <w:rsid w:val="308A8C63"/>
    <w:rsid w:val="3094880B"/>
    <w:rsid w:val="309947C8"/>
    <w:rsid w:val="309BB06C"/>
    <w:rsid w:val="30A2A72C"/>
    <w:rsid w:val="30A86812"/>
    <w:rsid w:val="30ABB846"/>
    <w:rsid w:val="30B78B40"/>
    <w:rsid w:val="30CA2838"/>
    <w:rsid w:val="30CBF7D6"/>
    <w:rsid w:val="30D1FBD2"/>
    <w:rsid w:val="30E0E4EE"/>
    <w:rsid w:val="30FCCF74"/>
    <w:rsid w:val="310B6CAD"/>
    <w:rsid w:val="313CBDCE"/>
    <w:rsid w:val="314F1A36"/>
    <w:rsid w:val="3152A4D2"/>
    <w:rsid w:val="31690A1C"/>
    <w:rsid w:val="31733F1D"/>
    <w:rsid w:val="31759349"/>
    <w:rsid w:val="3175BC7B"/>
    <w:rsid w:val="31859E6B"/>
    <w:rsid w:val="3189653B"/>
    <w:rsid w:val="319112DB"/>
    <w:rsid w:val="319F76D1"/>
    <w:rsid w:val="319FC010"/>
    <w:rsid w:val="31BE3663"/>
    <w:rsid w:val="31DF4FAC"/>
    <w:rsid w:val="31E04DE5"/>
    <w:rsid w:val="31E34F7C"/>
    <w:rsid w:val="32134DDF"/>
    <w:rsid w:val="322A5AA0"/>
    <w:rsid w:val="32404453"/>
    <w:rsid w:val="32824128"/>
    <w:rsid w:val="3291EF33"/>
    <w:rsid w:val="32AA06EC"/>
    <w:rsid w:val="32DA8AFE"/>
    <w:rsid w:val="32DD8560"/>
    <w:rsid w:val="32DDC7B0"/>
    <w:rsid w:val="32E698EE"/>
    <w:rsid w:val="33090353"/>
    <w:rsid w:val="330D3842"/>
    <w:rsid w:val="331354E7"/>
    <w:rsid w:val="3319139F"/>
    <w:rsid w:val="33306F31"/>
    <w:rsid w:val="3349FBB6"/>
    <w:rsid w:val="334A7F64"/>
    <w:rsid w:val="334AA5D5"/>
    <w:rsid w:val="334E6598"/>
    <w:rsid w:val="33594CB1"/>
    <w:rsid w:val="335D757D"/>
    <w:rsid w:val="336AC3E0"/>
    <w:rsid w:val="336DC98C"/>
    <w:rsid w:val="33858C33"/>
    <w:rsid w:val="338E0357"/>
    <w:rsid w:val="33CB7E8C"/>
    <w:rsid w:val="33D1DD52"/>
    <w:rsid w:val="34246355"/>
    <w:rsid w:val="3426D9CB"/>
    <w:rsid w:val="342E34EC"/>
    <w:rsid w:val="343A7476"/>
    <w:rsid w:val="343AE738"/>
    <w:rsid w:val="344F3D5B"/>
    <w:rsid w:val="3457523C"/>
    <w:rsid w:val="3466688A"/>
    <w:rsid w:val="3498767C"/>
    <w:rsid w:val="349DDBA0"/>
    <w:rsid w:val="34A18294"/>
    <w:rsid w:val="34A7D82D"/>
    <w:rsid w:val="34AD0E77"/>
    <w:rsid w:val="34BA0E5C"/>
    <w:rsid w:val="34C358E6"/>
    <w:rsid w:val="34C98AE6"/>
    <w:rsid w:val="34D3311A"/>
    <w:rsid w:val="34D58FDC"/>
    <w:rsid w:val="34F17952"/>
    <w:rsid w:val="34F5FBE1"/>
    <w:rsid w:val="35182B38"/>
    <w:rsid w:val="35245304"/>
    <w:rsid w:val="352D420C"/>
    <w:rsid w:val="3537F59F"/>
    <w:rsid w:val="3539218A"/>
    <w:rsid w:val="353D63F3"/>
    <w:rsid w:val="355B9535"/>
    <w:rsid w:val="35767773"/>
    <w:rsid w:val="35803B1B"/>
    <w:rsid w:val="358E087F"/>
    <w:rsid w:val="3599AB3D"/>
    <w:rsid w:val="35A06A06"/>
    <w:rsid w:val="35ACE1DA"/>
    <w:rsid w:val="35C6AC37"/>
    <w:rsid w:val="35D5D041"/>
    <w:rsid w:val="35F21DD3"/>
    <w:rsid w:val="36000973"/>
    <w:rsid w:val="36070753"/>
    <w:rsid w:val="364E410D"/>
    <w:rsid w:val="36536A89"/>
    <w:rsid w:val="3656C3D2"/>
    <w:rsid w:val="365D779A"/>
    <w:rsid w:val="366958F6"/>
    <w:rsid w:val="366A9641"/>
    <w:rsid w:val="36704A28"/>
    <w:rsid w:val="36B17586"/>
    <w:rsid w:val="36B247E5"/>
    <w:rsid w:val="36B6479C"/>
    <w:rsid w:val="36C896C1"/>
    <w:rsid w:val="36DC543E"/>
    <w:rsid w:val="36E08F71"/>
    <w:rsid w:val="36EDE511"/>
    <w:rsid w:val="36EFBD5D"/>
    <w:rsid w:val="37048BBD"/>
    <w:rsid w:val="3707F253"/>
    <w:rsid w:val="370E8C39"/>
    <w:rsid w:val="3728D7E7"/>
    <w:rsid w:val="376B47A3"/>
    <w:rsid w:val="377AE15F"/>
    <w:rsid w:val="37B1008D"/>
    <w:rsid w:val="37B78EB5"/>
    <w:rsid w:val="37BA6820"/>
    <w:rsid w:val="37BBDCF1"/>
    <w:rsid w:val="37D9586F"/>
    <w:rsid w:val="37E1BD94"/>
    <w:rsid w:val="37EE840F"/>
    <w:rsid w:val="37F24EC3"/>
    <w:rsid w:val="380A2CA3"/>
    <w:rsid w:val="380BD451"/>
    <w:rsid w:val="38201C65"/>
    <w:rsid w:val="38208633"/>
    <w:rsid w:val="382B60AF"/>
    <w:rsid w:val="3865FF21"/>
    <w:rsid w:val="3873DB12"/>
    <w:rsid w:val="3873F036"/>
    <w:rsid w:val="387EF6C8"/>
    <w:rsid w:val="38940535"/>
    <w:rsid w:val="38A2C9BE"/>
    <w:rsid w:val="38A4E3D3"/>
    <w:rsid w:val="38AB8CCE"/>
    <w:rsid w:val="38B1212D"/>
    <w:rsid w:val="38BC1810"/>
    <w:rsid w:val="38BFB72F"/>
    <w:rsid w:val="38E86535"/>
    <w:rsid w:val="38EA14DF"/>
    <w:rsid w:val="38F523DD"/>
    <w:rsid w:val="39249B53"/>
    <w:rsid w:val="39370FA0"/>
    <w:rsid w:val="3941C640"/>
    <w:rsid w:val="394215C7"/>
    <w:rsid w:val="3942A7D9"/>
    <w:rsid w:val="394C95BE"/>
    <w:rsid w:val="395A8EA1"/>
    <w:rsid w:val="395D9EC8"/>
    <w:rsid w:val="39665571"/>
    <w:rsid w:val="39689A51"/>
    <w:rsid w:val="3970D5D2"/>
    <w:rsid w:val="3972234C"/>
    <w:rsid w:val="3979F180"/>
    <w:rsid w:val="397AFA2D"/>
    <w:rsid w:val="39871145"/>
    <w:rsid w:val="398E565C"/>
    <w:rsid w:val="399CDE10"/>
    <w:rsid w:val="399E6178"/>
    <w:rsid w:val="39A2644F"/>
    <w:rsid w:val="39B592E1"/>
    <w:rsid w:val="39D926FB"/>
    <w:rsid w:val="39DC4CB6"/>
    <w:rsid w:val="39F20486"/>
    <w:rsid w:val="39F62008"/>
    <w:rsid w:val="39FE2A4F"/>
    <w:rsid w:val="3A078E97"/>
    <w:rsid w:val="3A21312F"/>
    <w:rsid w:val="3A256D21"/>
    <w:rsid w:val="3A2E507B"/>
    <w:rsid w:val="3A3116FC"/>
    <w:rsid w:val="3A42D720"/>
    <w:rsid w:val="3A4D1D89"/>
    <w:rsid w:val="3A4E2014"/>
    <w:rsid w:val="3A58FBF3"/>
    <w:rsid w:val="3A65C35E"/>
    <w:rsid w:val="3A6ED428"/>
    <w:rsid w:val="3A7D3253"/>
    <w:rsid w:val="3A7FD199"/>
    <w:rsid w:val="3A80D0B8"/>
    <w:rsid w:val="3A8C1FD7"/>
    <w:rsid w:val="3A9BF331"/>
    <w:rsid w:val="3A9F0BF6"/>
    <w:rsid w:val="3AA8E12B"/>
    <w:rsid w:val="3ABB8C7D"/>
    <w:rsid w:val="3AC3EDA4"/>
    <w:rsid w:val="3AEE7D2E"/>
    <w:rsid w:val="3AFB86F9"/>
    <w:rsid w:val="3B11CB93"/>
    <w:rsid w:val="3B238AAA"/>
    <w:rsid w:val="3B2C042C"/>
    <w:rsid w:val="3B3A05A8"/>
    <w:rsid w:val="3B45A90F"/>
    <w:rsid w:val="3B472766"/>
    <w:rsid w:val="3B4F6A5A"/>
    <w:rsid w:val="3B51EA13"/>
    <w:rsid w:val="3B64CC38"/>
    <w:rsid w:val="3B9A962F"/>
    <w:rsid w:val="3BAA0714"/>
    <w:rsid w:val="3BAAE142"/>
    <w:rsid w:val="3BB50D45"/>
    <w:rsid w:val="3BBA2A68"/>
    <w:rsid w:val="3BC4B840"/>
    <w:rsid w:val="3BE21243"/>
    <w:rsid w:val="3BF4B7F1"/>
    <w:rsid w:val="3C17B0A7"/>
    <w:rsid w:val="3C18F8D9"/>
    <w:rsid w:val="3C329294"/>
    <w:rsid w:val="3C37C74C"/>
    <w:rsid w:val="3C3EB2DD"/>
    <w:rsid w:val="3C57FB2F"/>
    <w:rsid w:val="3C6B9519"/>
    <w:rsid w:val="3C7A77CE"/>
    <w:rsid w:val="3C7E7F24"/>
    <w:rsid w:val="3C8842AC"/>
    <w:rsid w:val="3C9D973C"/>
    <w:rsid w:val="3CA1EC52"/>
    <w:rsid w:val="3CD5D609"/>
    <w:rsid w:val="3CE77034"/>
    <w:rsid w:val="3CEFD7E8"/>
    <w:rsid w:val="3CF6FB24"/>
    <w:rsid w:val="3D1672BD"/>
    <w:rsid w:val="3D1A6CE7"/>
    <w:rsid w:val="3D2277B6"/>
    <w:rsid w:val="3D275F45"/>
    <w:rsid w:val="3D3302D3"/>
    <w:rsid w:val="3D3552F1"/>
    <w:rsid w:val="3D3900E4"/>
    <w:rsid w:val="3D64401B"/>
    <w:rsid w:val="3D673D2C"/>
    <w:rsid w:val="3D7117F8"/>
    <w:rsid w:val="3D772B00"/>
    <w:rsid w:val="3D7D536E"/>
    <w:rsid w:val="3D7E911D"/>
    <w:rsid w:val="3D807F7D"/>
    <w:rsid w:val="3D84455A"/>
    <w:rsid w:val="3D8F2BA1"/>
    <w:rsid w:val="3D909CB5"/>
    <w:rsid w:val="3DA43A7D"/>
    <w:rsid w:val="3DA72CAD"/>
    <w:rsid w:val="3DB683C3"/>
    <w:rsid w:val="3DEDCDB6"/>
    <w:rsid w:val="3DF15D6C"/>
    <w:rsid w:val="3DF7473E"/>
    <w:rsid w:val="3E0135BF"/>
    <w:rsid w:val="3E02EB13"/>
    <w:rsid w:val="3E0D93F6"/>
    <w:rsid w:val="3E3C3ADB"/>
    <w:rsid w:val="3E8AFBF6"/>
    <w:rsid w:val="3E9E4A64"/>
    <w:rsid w:val="3EDF7E6E"/>
    <w:rsid w:val="3EEAA555"/>
    <w:rsid w:val="3EFF8302"/>
    <w:rsid w:val="3F1AD6EF"/>
    <w:rsid w:val="3F2132F5"/>
    <w:rsid w:val="3F2814E9"/>
    <w:rsid w:val="3F2C6D16"/>
    <w:rsid w:val="3F3F3A83"/>
    <w:rsid w:val="3F51F073"/>
    <w:rsid w:val="3F577067"/>
    <w:rsid w:val="3F5BD1AB"/>
    <w:rsid w:val="3F609927"/>
    <w:rsid w:val="3F703515"/>
    <w:rsid w:val="3F865D48"/>
    <w:rsid w:val="3F9326E4"/>
    <w:rsid w:val="3F975EC7"/>
    <w:rsid w:val="3F980638"/>
    <w:rsid w:val="3FA83B0B"/>
    <w:rsid w:val="3FBB8E9E"/>
    <w:rsid w:val="3FD433F9"/>
    <w:rsid w:val="3FEAD2AF"/>
    <w:rsid w:val="3FFE0D63"/>
    <w:rsid w:val="4000A351"/>
    <w:rsid w:val="4008F098"/>
    <w:rsid w:val="400A5BD3"/>
    <w:rsid w:val="40573914"/>
    <w:rsid w:val="405D48F7"/>
    <w:rsid w:val="40693499"/>
    <w:rsid w:val="40BF10C4"/>
    <w:rsid w:val="40C6B91B"/>
    <w:rsid w:val="40CC5A36"/>
    <w:rsid w:val="40CC8E4B"/>
    <w:rsid w:val="40D444D2"/>
    <w:rsid w:val="40D637F1"/>
    <w:rsid w:val="40D63D93"/>
    <w:rsid w:val="40F080E7"/>
    <w:rsid w:val="41034F81"/>
    <w:rsid w:val="4104257D"/>
    <w:rsid w:val="410B4D71"/>
    <w:rsid w:val="410F06C9"/>
    <w:rsid w:val="410F5818"/>
    <w:rsid w:val="412D9E5D"/>
    <w:rsid w:val="414A7F7A"/>
    <w:rsid w:val="416197CC"/>
    <w:rsid w:val="4165A4BA"/>
    <w:rsid w:val="416D5D92"/>
    <w:rsid w:val="41727352"/>
    <w:rsid w:val="4186D411"/>
    <w:rsid w:val="419DBB9F"/>
    <w:rsid w:val="41E1A37F"/>
    <w:rsid w:val="41EFCE80"/>
    <w:rsid w:val="41F874A4"/>
    <w:rsid w:val="41FD0558"/>
    <w:rsid w:val="421278F5"/>
    <w:rsid w:val="423B879A"/>
    <w:rsid w:val="424A7066"/>
    <w:rsid w:val="429558E9"/>
    <w:rsid w:val="42C161F5"/>
    <w:rsid w:val="42C2381E"/>
    <w:rsid w:val="42CAE0B2"/>
    <w:rsid w:val="42CC4FB6"/>
    <w:rsid w:val="42E6451C"/>
    <w:rsid w:val="42E9EA8E"/>
    <w:rsid w:val="43026DE5"/>
    <w:rsid w:val="4317BA4E"/>
    <w:rsid w:val="432FB310"/>
    <w:rsid w:val="43361A6A"/>
    <w:rsid w:val="433C168E"/>
    <w:rsid w:val="4348227B"/>
    <w:rsid w:val="43539C5A"/>
    <w:rsid w:val="435B742E"/>
    <w:rsid w:val="43679F4E"/>
    <w:rsid w:val="43691133"/>
    <w:rsid w:val="4369DDD0"/>
    <w:rsid w:val="436BE262"/>
    <w:rsid w:val="437441CC"/>
    <w:rsid w:val="4374CC4E"/>
    <w:rsid w:val="4377AB8D"/>
    <w:rsid w:val="4393AE9F"/>
    <w:rsid w:val="4397D009"/>
    <w:rsid w:val="4398976B"/>
    <w:rsid w:val="43AA88D7"/>
    <w:rsid w:val="43AF85A0"/>
    <w:rsid w:val="43B56484"/>
    <w:rsid w:val="43C509AA"/>
    <w:rsid w:val="43D19580"/>
    <w:rsid w:val="43D5804B"/>
    <w:rsid w:val="43E743FF"/>
    <w:rsid w:val="43EA85EC"/>
    <w:rsid w:val="43F94500"/>
    <w:rsid w:val="43FE43A2"/>
    <w:rsid w:val="440730F2"/>
    <w:rsid w:val="4422E76F"/>
    <w:rsid w:val="442772DA"/>
    <w:rsid w:val="4439B6E9"/>
    <w:rsid w:val="4449B1BD"/>
    <w:rsid w:val="444F2DF1"/>
    <w:rsid w:val="445BF7FB"/>
    <w:rsid w:val="446286DC"/>
    <w:rsid w:val="44711F37"/>
    <w:rsid w:val="447DB944"/>
    <w:rsid w:val="44869573"/>
    <w:rsid w:val="449141E5"/>
    <w:rsid w:val="449E57DC"/>
    <w:rsid w:val="44B7DFCA"/>
    <w:rsid w:val="44C8F462"/>
    <w:rsid w:val="44D2EC0D"/>
    <w:rsid w:val="44E485D1"/>
    <w:rsid w:val="44ED2866"/>
    <w:rsid w:val="44F57260"/>
    <w:rsid w:val="4501A281"/>
    <w:rsid w:val="45022AEC"/>
    <w:rsid w:val="45329038"/>
    <w:rsid w:val="4550FC9A"/>
    <w:rsid w:val="45530CF0"/>
    <w:rsid w:val="45572E69"/>
    <w:rsid w:val="4559D2FB"/>
    <w:rsid w:val="45724A15"/>
    <w:rsid w:val="457528AA"/>
    <w:rsid w:val="4578DDBC"/>
    <w:rsid w:val="457D0022"/>
    <w:rsid w:val="458A3A9B"/>
    <w:rsid w:val="45A11B71"/>
    <w:rsid w:val="45C92435"/>
    <w:rsid w:val="45D8741B"/>
    <w:rsid w:val="45EDDAD3"/>
    <w:rsid w:val="45FB9BA9"/>
    <w:rsid w:val="46025617"/>
    <w:rsid w:val="46080372"/>
    <w:rsid w:val="46115686"/>
    <w:rsid w:val="461300B8"/>
    <w:rsid w:val="46189E8E"/>
    <w:rsid w:val="461A178A"/>
    <w:rsid w:val="4620EADC"/>
    <w:rsid w:val="4628B490"/>
    <w:rsid w:val="462B868F"/>
    <w:rsid w:val="465D2F95"/>
    <w:rsid w:val="465EF2F4"/>
    <w:rsid w:val="46608538"/>
    <w:rsid w:val="4660983E"/>
    <w:rsid w:val="467CDA26"/>
    <w:rsid w:val="46826B22"/>
    <w:rsid w:val="469929F5"/>
    <w:rsid w:val="469CA231"/>
    <w:rsid w:val="46ABAC98"/>
    <w:rsid w:val="46BE9540"/>
    <w:rsid w:val="46C2F468"/>
    <w:rsid w:val="46D0DA38"/>
    <w:rsid w:val="46D45365"/>
    <w:rsid w:val="46D949B3"/>
    <w:rsid w:val="47130AB3"/>
    <w:rsid w:val="471FBF37"/>
    <w:rsid w:val="47220D0A"/>
    <w:rsid w:val="472F8FE5"/>
    <w:rsid w:val="474DF2D6"/>
    <w:rsid w:val="4762A9C7"/>
    <w:rsid w:val="4767DFAE"/>
    <w:rsid w:val="476ACD29"/>
    <w:rsid w:val="4776181B"/>
    <w:rsid w:val="47815BA9"/>
    <w:rsid w:val="4785ACA9"/>
    <w:rsid w:val="4795C9CE"/>
    <w:rsid w:val="47A24774"/>
    <w:rsid w:val="47A42544"/>
    <w:rsid w:val="47B064E7"/>
    <w:rsid w:val="47B41F3F"/>
    <w:rsid w:val="47C90BAB"/>
    <w:rsid w:val="47D1D380"/>
    <w:rsid w:val="47D3424F"/>
    <w:rsid w:val="47E3317D"/>
    <w:rsid w:val="47F3A08E"/>
    <w:rsid w:val="47FB6D71"/>
    <w:rsid w:val="480040F8"/>
    <w:rsid w:val="4802EF56"/>
    <w:rsid w:val="48047D8B"/>
    <w:rsid w:val="4836F63A"/>
    <w:rsid w:val="483DE7BE"/>
    <w:rsid w:val="483E9A49"/>
    <w:rsid w:val="48542161"/>
    <w:rsid w:val="486A872C"/>
    <w:rsid w:val="48803155"/>
    <w:rsid w:val="4886FAA0"/>
    <w:rsid w:val="488AC07E"/>
    <w:rsid w:val="48BDD766"/>
    <w:rsid w:val="48D36017"/>
    <w:rsid w:val="48D44F85"/>
    <w:rsid w:val="48D53F6B"/>
    <w:rsid w:val="48E3E0CE"/>
    <w:rsid w:val="48F76CC1"/>
    <w:rsid w:val="49032A6B"/>
    <w:rsid w:val="49043A46"/>
    <w:rsid w:val="490E87E7"/>
    <w:rsid w:val="491F1F6D"/>
    <w:rsid w:val="493326D4"/>
    <w:rsid w:val="4934116F"/>
    <w:rsid w:val="4934DEEB"/>
    <w:rsid w:val="495E1ED9"/>
    <w:rsid w:val="49651678"/>
    <w:rsid w:val="497334A1"/>
    <w:rsid w:val="497906AF"/>
    <w:rsid w:val="497B3733"/>
    <w:rsid w:val="4990CF4D"/>
    <w:rsid w:val="49A7E882"/>
    <w:rsid w:val="49AD7941"/>
    <w:rsid w:val="49AE7BC0"/>
    <w:rsid w:val="49B23A8B"/>
    <w:rsid w:val="49D2B1C8"/>
    <w:rsid w:val="49DB0184"/>
    <w:rsid w:val="49E408B3"/>
    <w:rsid w:val="49EA041E"/>
    <w:rsid w:val="49EE120F"/>
    <w:rsid w:val="49F7E83F"/>
    <w:rsid w:val="49F90B79"/>
    <w:rsid w:val="4A0A08E2"/>
    <w:rsid w:val="4A109405"/>
    <w:rsid w:val="4A112B06"/>
    <w:rsid w:val="4A1A917C"/>
    <w:rsid w:val="4A1EFF15"/>
    <w:rsid w:val="4A2FC9B5"/>
    <w:rsid w:val="4A3B7CCB"/>
    <w:rsid w:val="4A3FD549"/>
    <w:rsid w:val="4A44DD7F"/>
    <w:rsid w:val="4A74B7F3"/>
    <w:rsid w:val="4A7DEA18"/>
    <w:rsid w:val="4A91827D"/>
    <w:rsid w:val="4AB2EB6C"/>
    <w:rsid w:val="4ABC7F58"/>
    <w:rsid w:val="4ADCED05"/>
    <w:rsid w:val="4AFD9D00"/>
    <w:rsid w:val="4B024E6A"/>
    <w:rsid w:val="4B0E09C6"/>
    <w:rsid w:val="4B1403E0"/>
    <w:rsid w:val="4B39B4A1"/>
    <w:rsid w:val="4B3A4A37"/>
    <w:rsid w:val="4B3DAC19"/>
    <w:rsid w:val="4B3DCC36"/>
    <w:rsid w:val="4B433985"/>
    <w:rsid w:val="4B47D86A"/>
    <w:rsid w:val="4B89FC2B"/>
    <w:rsid w:val="4B9CB2AB"/>
    <w:rsid w:val="4BB07421"/>
    <w:rsid w:val="4BB2E0FC"/>
    <w:rsid w:val="4BC2E313"/>
    <w:rsid w:val="4BC6C195"/>
    <w:rsid w:val="4BCD6866"/>
    <w:rsid w:val="4BCFA0A2"/>
    <w:rsid w:val="4BD48E28"/>
    <w:rsid w:val="4BF235A7"/>
    <w:rsid w:val="4BF49108"/>
    <w:rsid w:val="4BF82653"/>
    <w:rsid w:val="4C0AFE8C"/>
    <w:rsid w:val="4C1C526D"/>
    <w:rsid w:val="4C27CCE5"/>
    <w:rsid w:val="4C638B1D"/>
    <w:rsid w:val="4C6A2C14"/>
    <w:rsid w:val="4C86281B"/>
    <w:rsid w:val="4C99E676"/>
    <w:rsid w:val="4CA29E03"/>
    <w:rsid w:val="4CA5C087"/>
    <w:rsid w:val="4CD0275F"/>
    <w:rsid w:val="4CD53A32"/>
    <w:rsid w:val="4CF3EB77"/>
    <w:rsid w:val="4CFAE90A"/>
    <w:rsid w:val="4D098B07"/>
    <w:rsid w:val="4D0E06F2"/>
    <w:rsid w:val="4D104023"/>
    <w:rsid w:val="4D118893"/>
    <w:rsid w:val="4D1AD8F3"/>
    <w:rsid w:val="4D252227"/>
    <w:rsid w:val="4D26438A"/>
    <w:rsid w:val="4D45FED9"/>
    <w:rsid w:val="4D9180D1"/>
    <w:rsid w:val="4D94C600"/>
    <w:rsid w:val="4D99C8DB"/>
    <w:rsid w:val="4D9B9EFE"/>
    <w:rsid w:val="4DB6F27E"/>
    <w:rsid w:val="4DB79C48"/>
    <w:rsid w:val="4DC61F7E"/>
    <w:rsid w:val="4DC9AD05"/>
    <w:rsid w:val="4DCABF68"/>
    <w:rsid w:val="4DCD8A27"/>
    <w:rsid w:val="4DD49D4C"/>
    <w:rsid w:val="4DD69B8E"/>
    <w:rsid w:val="4DEDC8C2"/>
    <w:rsid w:val="4E4CC76D"/>
    <w:rsid w:val="4E4EFB8A"/>
    <w:rsid w:val="4E60BC75"/>
    <w:rsid w:val="4E77E741"/>
    <w:rsid w:val="4E82E5F2"/>
    <w:rsid w:val="4E91727A"/>
    <w:rsid w:val="4E9FEAEC"/>
    <w:rsid w:val="4EA90C41"/>
    <w:rsid w:val="4EBAE3E5"/>
    <w:rsid w:val="4EBD23DA"/>
    <w:rsid w:val="4EC78394"/>
    <w:rsid w:val="4ECE657F"/>
    <w:rsid w:val="4EF68BD9"/>
    <w:rsid w:val="4EFE9E04"/>
    <w:rsid w:val="4F02DBAE"/>
    <w:rsid w:val="4F146C11"/>
    <w:rsid w:val="4F209432"/>
    <w:rsid w:val="4F2981D3"/>
    <w:rsid w:val="4F3C3F58"/>
    <w:rsid w:val="4F57361C"/>
    <w:rsid w:val="4F5A34CE"/>
    <w:rsid w:val="4F653E50"/>
    <w:rsid w:val="4F67A584"/>
    <w:rsid w:val="4F70B990"/>
    <w:rsid w:val="4F7B3A92"/>
    <w:rsid w:val="4FAF5DB6"/>
    <w:rsid w:val="4FB16D04"/>
    <w:rsid w:val="4FD1A38E"/>
    <w:rsid w:val="4FF7EC89"/>
    <w:rsid w:val="500FAB39"/>
    <w:rsid w:val="50238BF5"/>
    <w:rsid w:val="50246BCF"/>
    <w:rsid w:val="502FF239"/>
    <w:rsid w:val="503301D5"/>
    <w:rsid w:val="5037EDDA"/>
    <w:rsid w:val="503887EE"/>
    <w:rsid w:val="503AFA04"/>
    <w:rsid w:val="503F5187"/>
    <w:rsid w:val="5044592D"/>
    <w:rsid w:val="50489B94"/>
    <w:rsid w:val="505F3659"/>
    <w:rsid w:val="5072E91E"/>
    <w:rsid w:val="50771739"/>
    <w:rsid w:val="5099D991"/>
    <w:rsid w:val="50B180E6"/>
    <w:rsid w:val="50B271C8"/>
    <w:rsid w:val="50BAF0A4"/>
    <w:rsid w:val="50C3C67C"/>
    <w:rsid w:val="50DA1E16"/>
    <w:rsid w:val="50EF8EF3"/>
    <w:rsid w:val="50FE1D1E"/>
    <w:rsid w:val="5123FE5C"/>
    <w:rsid w:val="513492EC"/>
    <w:rsid w:val="5146D232"/>
    <w:rsid w:val="5156BE50"/>
    <w:rsid w:val="515E2483"/>
    <w:rsid w:val="51654274"/>
    <w:rsid w:val="5169F2D3"/>
    <w:rsid w:val="51793C69"/>
    <w:rsid w:val="5179D528"/>
    <w:rsid w:val="51849CF3"/>
    <w:rsid w:val="5187CCD6"/>
    <w:rsid w:val="5198A5D3"/>
    <w:rsid w:val="51A5F936"/>
    <w:rsid w:val="51A99DE5"/>
    <w:rsid w:val="51C9717F"/>
    <w:rsid w:val="51EE0E1D"/>
    <w:rsid w:val="51EFC0AD"/>
    <w:rsid w:val="5217CF29"/>
    <w:rsid w:val="5235E170"/>
    <w:rsid w:val="52598A13"/>
    <w:rsid w:val="525A3F38"/>
    <w:rsid w:val="525BD4DD"/>
    <w:rsid w:val="5261BD52"/>
    <w:rsid w:val="527A72B3"/>
    <w:rsid w:val="528AEDB9"/>
    <w:rsid w:val="52902B22"/>
    <w:rsid w:val="5298D95E"/>
    <w:rsid w:val="52B8E41A"/>
    <w:rsid w:val="52CAB34A"/>
    <w:rsid w:val="52CB6906"/>
    <w:rsid w:val="52D3626D"/>
    <w:rsid w:val="531168E1"/>
    <w:rsid w:val="5311FF4C"/>
    <w:rsid w:val="53192B59"/>
    <w:rsid w:val="53193D2A"/>
    <w:rsid w:val="5324EF76"/>
    <w:rsid w:val="5325CC1F"/>
    <w:rsid w:val="53450B97"/>
    <w:rsid w:val="5347D560"/>
    <w:rsid w:val="535C3268"/>
    <w:rsid w:val="536A3703"/>
    <w:rsid w:val="536E8FC3"/>
    <w:rsid w:val="539CFCCB"/>
    <w:rsid w:val="53C524F8"/>
    <w:rsid w:val="53CB706F"/>
    <w:rsid w:val="53CE9DF2"/>
    <w:rsid w:val="53F5ABD1"/>
    <w:rsid w:val="53F73D0C"/>
    <w:rsid w:val="53FDF52A"/>
    <w:rsid w:val="54066CCA"/>
    <w:rsid w:val="540E4A38"/>
    <w:rsid w:val="541119EC"/>
    <w:rsid w:val="5422A5BB"/>
    <w:rsid w:val="542F4FB0"/>
    <w:rsid w:val="5432D9F6"/>
    <w:rsid w:val="543EF8A0"/>
    <w:rsid w:val="54529C2D"/>
    <w:rsid w:val="54590E42"/>
    <w:rsid w:val="545930B2"/>
    <w:rsid w:val="545F3D0B"/>
    <w:rsid w:val="546ABE75"/>
    <w:rsid w:val="547B86F3"/>
    <w:rsid w:val="54879D2B"/>
    <w:rsid w:val="54CCB7D0"/>
    <w:rsid w:val="54CF2F67"/>
    <w:rsid w:val="54F42880"/>
    <w:rsid w:val="54F54D77"/>
    <w:rsid w:val="54F61BB2"/>
    <w:rsid w:val="551AACEB"/>
    <w:rsid w:val="551C8E48"/>
    <w:rsid w:val="5589FA20"/>
    <w:rsid w:val="559243CD"/>
    <w:rsid w:val="55B5F9F2"/>
    <w:rsid w:val="55E4417E"/>
    <w:rsid w:val="55ED42BF"/>
    <w:rsid w:val="55F66DC2"/>
    <w:rsid w:val="56083E23"/>
    <w:rsid w:val="560D8C9C"/>
    <w:rsid w:val="560E7E73"/>
    <w:rsid w:val="561174E5"/>
    <w:rsid w:val="5613B530"/>
    <w:rsid w:val="562168D1"/>
    <w:rsid w:val="56272E38"/>
    <w:rsid w:val="562A47EF"/>
    <w:rsid w:val="562AC119"/>
    <w:rsid w:val="562C9536"/>
    <w:rsid w:val="56395C5A"/>
    <w:rsid w:val="563D9A05"/>
    <w:rsid w:val="5649DE8E"/>
    <w:rsid w:val="564BCF28"/>
    <w:rsid w:val="56579ED0"/>
    <w:rsid w:val="5659A07E"/>
    <w:rsid w:val="5665AA0F"/>
    <w:rsid w:val="567D72DA"/>
    <w:rsid w:val="567E90CD"/>
    <w:rsid w:val="5687B1C0"/>
    <w:rsid w:val="56978027"/>
    <w:rsid w:val="569AA105"/>
    <w:rsid w:val="569DD7AE"/>
    <w:rsid w:val="56B0AA0A"/>
    <w:rsid w:val="56B569D3"/>
    <w:rsid w:val="56BA2BCF"/>
    <w:rsid w:val="56C385A1"/>
    <w:rsid w:val="56C57227"/>
    <w:rsid w:val="56D4A718"/>
    <w:rsid w:val="56DA32B7"/>
    <w:rsid w:val="56DD686E"/>
    <w:rsid w:val="56DF4748"/>
    <w:rsid w:val="56E30383"/>
    <w:rsid w:val="56FE452C"/>
    <w:rsid w:val="57091B15"/>
    <w:rsid w:val="571844CB"/>
    <w:rsid w:val="571F3475"/>
    <w:rsid w:val="573B5BCA"/>
    <w:rsid w:val="5742F341"/>
    <w:rsid w:val="57603765"/>
    <w:rsid w:val="57719B18"/>
    <w:rsid w:val="578B54C8"/>
    <w:rsid w:val="57A43CA4"/>
    <w:rsid w:val="57A6F830"/>
    <w:rsid w:val="57A99425"/>
    <w:rsid w:val="57C272C9"/>
    <w:rsid w:val="57C79F84"/>
    <w:rsid w:val="57D3F2AA"/>
    <w:rsid w:val="57D63C66"/>
    <w:rsid w:val="57F614F5"/>
    <w:rsid w:val="580103B3"/>
    <w:rsid w:val="580EBB25"/>
    <w:rsid w:val="581111BC"/>
    <w:rsid w:val="58153B1D"/>
    <w:rsid w:val="58157CFD"/>
    <w:rsid w:val="58179484"/>
    <w:rsid w:val="5824F955"/>
    <w:rsid w:val="583DD259"/>
    <w:rsid w:val="583EA4DE"/>
    <w:rsid w:val="586084B2"/>
    <w:rsid w:val="586B9026"/>
    <w:rsid w:val="586EB3CD"/>
    <w:rsid w:val="586EDD63"/>
    <w:rsid w:val="58700C57"/>
    <w:rsid w:val="58762508"/>
    <w:rsid w:val="58786000"/>
    <w:rsid w:val="587DD286"/>
    <w:rsid w:val="5897C2CF"/>
    <w:rsid w:val="58A752F8"/>
    <w:rsid w:val="58B00338"/>
    <w:rsid w:val="58B091E2"/>
    <w:rsid w:val="58B61606"/>
    <w:rsid w:val="58B9DC4D"/>
    <w:rsid w:val="58C0692E"/>
    <w:rsid w:val="58F547C3"/>
    <w:rsid w:val="590DF71A"/>
    <w:rsid w:val="591BF4F1"/>
    <w:rsid w:val="591C8FF5"/>
    <w:rsid w:val="5926B81C"/>
    <w:rsid w:val="5931F19A"/>
    <w:rsid w:val="59357FC2"/>
    <w:rsid w:val="594061DF"/>
    <w:rsid w:val="5949CB48"/>
    <w:rsid w:val="59534608"/>
    <w:rsid w:val="5965FA41"/>
    <w:rsid w:val="596FB42A"/>
    <w:rsid w:val="596FC99C"/>
    <w:rsid w:val="59857687"/>
    <w:rsid w:val="598E8D10"/>
    <w:rsid w:val="59B13D92"/>
    <w:rsid w:val="59B3D2E1"/>
    <w:rsid w:val="59BEE672"/>
    <w:rsid w:val="59ED5DD5"/>
    <w:rsid w:val="5A01C9AD"/>
    <w:rsid w:val="5A153322"/>
    <w:rsid w:val="5A177F99"/>
    <w:rsid w:val="5A1F4192"/>
    <w:rsid w:val="5A288090"/>
    <w:rsid w:val="5A2DB6CE"/>
    <w:rsid w:val="5A541FFC"/>
    <w:rsid w:val="5A5BA6F8"/>
    <w:rsid w:val="5A685159"/>
    <w:rsid w:val="5A7B0FB3"/>
    <w:rsid w:val="5A809DF5"/>
    <w:rsid w:val="5A9746E3"/>
    <w:rsid w:val="5A9E8545"/>
    <w:rsid w:val="5AADA42C"/>
    <w:rsid w:val="5AB64730"/>
    <w:rsid w:val="5AC89470"/>
    <w:rsid w:val="5ACA6CFC"/>
    <w:rsid w:val="5ACD54AC"/>
    <w:rsid w:val="5AD636C8"/>
    <w:rsid w:val="5AD72AC7"/>
    <w:rsid w:val="5AE9CEBD"/>
    <w:rsid w:val="5AF07EED"/>
    <w:rsid w:val="5B1671AC"/>
    <w:rsid w:val="5B1E808B"/>
    <w:rsid w:val="5B30D870"/>
    <w:rsid w:val="5B479AAB"/>
    <w:rsid w:val="5B4AA5AA"/>
    <w:rsid w:val="5B565E9C"/>
    <w:rsid w:val="5B66827F"/>
    <w:rsid w:val="5B85E3E1"/>
    <w:rsid w:val="5B8BC32B"/>
    <w:rsid w:val="5BA2F432"/>
    <w:rsid w:val="5BC2E7A6"/>
    <w:rsid w:val="5BDE72BB"/>
    <w:rsid w:val="5BE8B94F"/>
    <w:rsid w:val="5BEC4E9D"/>
    <w:rsid w:val="5C0107E7"/>
    <w:rsid w:val="5C0E5585"/>
    <w:rsid w:val="5C13170B"/>
    <w:rsid w:val="5C2494C2"/>
    <w:rsid w:val="5C3053A7"/>
    <w:rsid w:val="5C3B2219"/>
    <w:rsid w:val="5C52379D"/>
    <w:rsid w:val="5C62A483"/>
    <w:rsid w:val="5C6FE755"/>
    <w:rsid w:val="5C946FB9"/>
    <w:rsid w:val="5CA76A5E"/>
    <w:rsid w:val="5CB109DE"/>
    <w:rsid w:val="5CBD8E2C"/>
    <w:rsid w:val="5CD2F16C"/>
    <w:rsid w:val="5CE90CF7"/>
    <w:rsid w:val="5D031270"/>
    <w:rsid w:val="5D154B57"/>
    <w:rsid w:val="5D42D5B0"/>
    <w:rsid w:val="5D4CB2AA"/>
    <w:rsid w:val="5D5ABE61"/>
    <w:rsid w:val="5D6BAC2E"/>
    <w:rsid w:val="5D77E4E5"/>
    <w:rsid w:val="5D7C460C"/>
    <w:rsid w:val="5D8110D9"/>
    <w:rsid w:val="5D867DA7"/>
    <w:rsid w:val="5DA00E80"/>
    <w:rsid w:val="5DA0648A"/>
    <w:rsid w:val="5DA927EC"/>
    <w:rsid w:val="5DAEF9BF"/>
    <w:rsid w:val="5DB7CB0B"/>
    <w:rsid w:val="5DB9F87C"/>
    <w:rsid w:val="5DEAF1F0"/>
    <w:rsid w:val="5DFD779F"/>
    <w:rsid w:val="5E05E213"/>
    <w:rsid w:val="5E126340"/>
    <w:rsid w:val="5E2188C0"/>
    <w:rsid w:val="5E3B19C8"/>
    <w:rsid w:val="5E3BB0F2"/>
    <w:rsid w:val="5E3D148D"/>
    <w:rsid w:val="5E6BCBAF"/>
    <w:rsid w:val="5E71A8C8"/>
    <w:rsid w:val="5E76A294"/>
    <w:rsid w:val="5E7CA443"/>
    <w:rsid w:val="5E81E28F"/>
    <w:rsid w:val="5E865E2B"/>
    <w:rsid w:val="5E9949DE"/>
    <w:rsid w:val="5EA6D254"/>
    <w:rsid w:val="5EAAAFD4"/>
    <w:rsid w:val="5EBF2B6F"/>
    <w:rsid w:val="5ECAF463"/>
    <w:rsid w:val="5ECEE458"/>
    <w:rsid w:val="5EF432AA"/>
    <w:rsid w:val="5EF49507"/>
    <w:rsid w:val="5F0B05CB"/>
    <w:rsid w:val="5F17108D"/>
    <w:rsid w:val="5F293BC1"/>
    <w:rsid w:val="5F2A5D02"/>
    <w:rsid w:val="5F41B10B"/>
    <w:rsid w:val="5F4671AB"/>
    <w:rsid w:val="5F554A03"/>
    <w:rsid w:val="5F5AB5A7"/>
    <w:rsid w:val="5F60454E"/>
    <w:rsid w:val="5F6D1BE8"/>
    <w:rsid w:val="5F7C1EC8"/>
    <w:rsid w:val="5F80FB75"/>
    <w:rsid w:val="5F85F560"/>
    <w:rsid w:val="5F90E47C"/>
    <w:rsid w:val="5F979057"/>
    <w:rsid w:val="5FB29EFA"/>
    <w:rsid w:val="5FBE9592"/>
    <w:rsid w:val="5FBFA8B7"/>
    <w:rsid w:val="5FD1F25A"/>
    <w:rsid w:val="5FD9083D"/>
    <w:rsid w:val="5FDB619B"/>
    <w:rsid w:val="5FE097A4"/>
    <w:rsid w:val="5FE9C559"/>
    <w:rsid w:val="602211F8"/>
    <w:rsid w:val="603060E2"/>
    <w:rsid w:val="6037CB4B"/>
    <w:rsid w:val="605D078E"/>
    <w:rsid w:val="60673513"/>
    <w:rsid w:val="60734D60"/>
    <w:rsid w:val="60745400"/>
    <w:rsid w:val="60825574"/>
    <w:rsid w:val="608EE631"/>
    <w:rsid w:val="6097A2D6"/>
    <w:rsid w:val="609D0A3A"/>
    <w:rsid w:val="60B1E356"/>
    <w:rsid w:val="60D107DC"/>
    <w:rsid w:val="60D51098"/>
    <w:rsid w:val="60DB1F65"/>
    <w:rsid w:val="60EDA84B"/>
    <w:rsid w:val="610224E1"/>
    <w:rsid w:val="6147F729"/>
    <w:rsid w:val="619D3CA9"/>
    <w:rsid w:val="619FED5F"/>
    <w:rsid w:val="61A6A2BE"/>
    <w:rsid w:val="61B1CEED"/>
    <w:rsid w:val="61B835C4"/>
    <w:rsid w:val="61C4F8FE"/>
    <w:rsid w:val="61E78835"/>
    <w:rsid w:val="61EBCF5D"/>
    <w:rsid w:val="62005CEC"/>
    <w:rsid w:val="6208E3D1"/>
    <w:rsid w:val="622C89FB"/>
    <w:rsid w:val="623205A7"/>
    <w:rsid w:val="627B78AE"/>
    <w:rsid w:val="6281994D"/>
    <w:rsid w:val="6296A0E7"/>
    <w:rsid w:val="62B59114"/>
    <w:rsid w:val="62B9D7DB"/>
    <w:rsid w:val="62BFBA13"/>
    <w:rsid w:val="62C95352"/>
    <w:rsid w:val="62ECF680"/>
    <w:rsid w:val="6307863A"/>
    <w:rsid w:val="631964A1"/>
    <w:rsid w:val="631D4711"/>
    <w:rsid w:val="632040EB"/>
    <w:rsid w:val="6329E7FD"/>
    <w:rsid w:val="63383B9C"/>
    <w:rsid w:val="633AC87A"/>
    <w:rsid w:val="633B6B39"/>
    <w:rsid w:val="6343CE25"/>
    <w:rsid w:val="6346A073"/>
    <w:rsid w:val="634A3617"/>
    <w:rsid w:val="636177D8"/>
    <w:rsid w:val="63750F6F"/>
    <w:rsid w:val="638645F1"/>
    <w:rsid w:val="63875FC4"/>
    <w:rsid w:val="639075F8"/>
    <w:rsid w:val="63B42295"/>
    <w:rsid w:val="63BFF4EE"/>
    <w:rsid w:val="63CE396D"/>
    <w:rsid w:val="63DD5DA4"/>
    <w:rsid w:val="63F6D61E"/>
    <w:rsid w:val="63F7419E"/>
    <w:rsid w:val="63F8FE95"/>
    <w:rsid w:val="63F9F2BE"/>
    <w:rsid w:val="63FB6535"/>
    <w:rsid w:val="64030350"/>
    <w:rsid w:val="640EFAC6"/>
    <w:rsid w:val="6442C5B9"/>
    <w:rsid w:val="64556863"/>
    <w:rsid w:val="645A8CC8"/>
    <w:rsid w:val="647251E8"/>
    <w:rsid w:val="64914722"/>
    <w:rsid w:val="64B7DF71"/>
    <w:rsid w:val="64BAF2C0"/>
    <w:rsid w:val="64BD68B2"/>
    <w:rsid w:val="64BE1DFE"/>
    <w:rsid w:val="64D62839"/>
    <w:rsid w:val="64EA8620"/>
    <w:rsid w:val="6523F568"/>
    <w:rsid w:val="653107A4"/>
    <w:rsid w:val="653640F5"/>
    <w:rsid w:val="6544E0F0"/>
    <w:rsid w:val="657F5B1B"/>
    <w:rsid w:val="6597F8CD"/>
    <w:rsid w:val="659D77F7"/>
    <w:rsid w:val="65AA1BE2"/>
    <w:rsid w:val="65D46BE5"/>
    <w:rsid w:val="65D4BA1E"/>
    <w:rsid w:val="65D7763E"/>
    <w:rsid w:val="65E61BFA"/>
    <w:rsid w:val="65F443AA"/>
    <w:rsid w:val="65F8E649"/>
    <w:rsid w:val="65FE59A3"/>
    <w:rsid w:val="661EF7FB"/>
    <w:rsid w:val="6625F8A0"/>
    <w:rsid w:val="663247E7"/>
    <w:rsid w:val="663D0BCA"/>
    <w:rsid w:val="66452768"/>
    <w:rsid w:val="66694AF6"/>
    <w:rsid w:val="666DD41A"/>
    <w:rsid w:val="666FDC5E"/>
    <w:rsid w:val="66773171"/>
    <w:rsid w:val="667DA8DE"/>
    <w:rsid w:val="6682B289"/>
    <w:rsid w:val="6687598F"/>
    <w:rsid w:val="669DC562"/>
    <w:rsid w:val="66A64CC5"/>
    <w:rsid w:val="66AC64AD"/>
    <w:rsid w:val="66B81003"/>
    <w:rsid w:val="66C8808B"/>
    <w:rsid w:val="66CB2F4F"/>
    <w:rsid w:val="66D89F29"/>
    <w:rsid w:val="66DCCB53"/>
    <w:rsid w:val="66E5CE2D"/>
    <w:rsid w:val="66E7746E"/>
    <w:rsid w:val="66FD1A0F"/>
    <w:rsid w:val="67025231"/>
    <w:rsid w:val="6703B07B"/>
    <w:rsid w:val="67080897"/>
    <w:rsid w:val="6710E700"/>
    <w:rsid w:val="673CDAD8"/>
    <w:rsid w:val="673CDB4C"/>
    <w:rsid w:val="67481F70"/>
    <w:rsid w:val="67496565"/>
    <w:rsid w:val="676D7387"/>
    <w:rsid w:val="677F6E1B"/>
    <w:rsid w:val="67816E9B"/>
    <w:rsid w:val="67A4550C"/>
    <w:rsid w:val="67A511EF"/>
    <w:rsid w:val="67B5BF50"/>
    <w:rsid w:val="67C48743"/>
    <w:rsid w:val="67CD5ABD"/>
    <w:rsid w:val="67CF3DD0"/>
    <w:rsid w:val="67D2DC27"/>
    <w:rsid w:val="67D60A1B"/>
    <w:rsid w:val="67DA51EB"/>
    <w:rsid w:val="67EA4816"/>
    <w:rsid w:val="67F9220F"/>
    <w:rsid w:val="67FB8C62"/>
    <w:rsid w:val="68025ABB"/>
    <w:rsid w:val="6825FF9C"/>
    <w:rsid w:val="68298B60"/>
    <w:rsid w:val="68353762"/>
    <w:rsid w:val="6838743C"/>
    <w:rsid w:val="68394C4E"/>
    <w:rsid w:val="683E85DE"/>
    <w:rsid w:val="684459C3"/>
    <w:rsid w:val="684DA54D"/>
    <w:rsid w:val="68545000"/>
    <w:rsid w:val="68563E66"/>
    <w:rsid w:val="68592121"/>
    <w:rsid w:val="68680766"/>
    <w:rsid w:val="686965C6"/>
    <w:rsid w:val="686F192E"/>
    <w:rsid w:val="688513A7"/>
    <w:rsid w:val="6886C1BD"/>
    <w:rsid w:val="68B0559E"/>
    <w:rsid w:val="68B57A42"/>
    <w:rsid w:val="68B68BC1"/>
    <w:rsid w:val="68BE1D61"/>
    <w:rsid w:val="68C0C095"/>
    <w:rsid w:val="68C5D3DF"/>
    <w:rsid w:val="68C61D97"/>
    <w:rsid w:val="68C86C8F"/>
    <w:rsid w:val="68C941A2"/>
    <w:rsid w:val="68CF1A29"/>
    <w:rsid w:val="68E483A1"/>
    <w:rsid w:val="68EB82AB"/>
    <w:rsid w:val="68FBE4C3"/>
    <w:rsid w:val="6902154F"/>
    <w:rsid w:val="6903843B"/>
    <w:rsid w:val="6925666E"/>
    <w:rsid w:val="6931C1EE"/>
    <w:rsid w:val="695386C4"/>
    <w:rsid w:val="6959E726"/>
    <w:rsid w:val="6990FE0A"/>
    <w:rsid w:val="699D996B"/>
    <w:rsid w:val="69B08D08"/>
    <w:rsid w:val="69BFEB90"/>
    <w:rsid w:val="69C4FBC7"/>
    <w:rsid w:val="69C64F20"/>
    <w:rsid w:val="69E3FA58"/>
    <w:rsid w:val="69E41B51"/>
    <w:rsid w:val="69EBB154"/>
    <w:rsid w:val="69F9CAD5"/>
    <w:rsid w:val="6A00EAD1"/>
    <w:rsid w:val="6A30D253"/>
    <w:rsid w:val="6A3605D1"/>
    <w:rsid w:val="6A61E4D8"/>
    <w:rsid w:val="6A8BB568"/>
    <w:rsid w:val="6AACD25A"/>
    <w:rsid w:val="6AAD4F8B"/>
    <w:rsid w:val="6AAE008E"/>
    <w:rsid w:val="6AB32C35"/>
    <w:rsid w:val="6ABA6927"/>
    <w:rsid w:val="6AC29658"/>
    <w:rsid w:val="6AC3F0F6"/>
    <w:rsid w:val="6AC49454"/>
    <w:rsid w:val="6AC7E35B"/>
    <w:rsid w:val="6AC857D6"/>
    <w:rsid w:val="6ADE9422"/>
    <w:rsid w:val="6AEB3F32"/>
    <w:rsid w:val="6B02AD13"/>
    <w:rsid w:val="6B09DE82"/>
    <w:rsid w:val="6B0B684E"/>
    <w:rsid w:val="6B2662F3"/>
    <w:rsid w:val="6B388B4C"/>
    <w:rsid w:val="6B40E4A6"/>
    <w:rsid w:val="6B47CAB8"/>
    <w:rsid w:val="6B484B2D"/>
    <w:rsid w:val="6B51486C"/>
    <w:rsid w:val="6B55ABB5"/>
    <w:rsid w:val="6B5BAD32"/>
    <w:rsid w:val="6B672D44"/>
    <w:rsid w:val="6B699956"/>
    <w:rsid w:val="6B6B18D4"/>
    <w:rsid w:val="6B77FDAD"/>
    <w:rsid w:val="6B8A7C5D"/>
    <w:rsid w:val="6B9551A3"/>
    <w:rsid w:val="6BBF4960"/>
    <w:rsid w:val="6BD2A25E"/>
    <w:rsid w:val="6BD9540F"/>
    <w:rsid w:val="6BEF0D47"/>
    <w:rsid w:val="6BF26302"/>
    <w:rsid w:val="6BFD69C6"/>
    <w:rsid w:val="6C0E2A1D"/>
    <w:rsid w:val="6C11B8CA"/>
    <w:rsid w:val="6C11ED78"/>
    <w:rsid w:val="6C158512"/>
    <w:rsid w:val="6C1DB4CF"/>
    <w:rsid w:val="6C2A6F94"/>
    <w:rsid w:val="6C2CAD30"/>
    <w:rsid w:val="6C347A6E"/>
    <w:rsid w:val="6C751BE4"/>
    <w:rsid w:val="6C8F3B8A"/>
    <w:rsid w:val="6C90CE0F"/>
    <w:rsid w:val="6C9CBCF2"/>
    <w:rsid w:val="6CA015B9"/>
    <w:rsid w:val="6CA40CD8"/>
    <w:rsid w:val="6CAC8A20"/>
    <w:rsid w:val="6CAFCC4A"/>
    <w:rsid w:val="6CF2E6EC"/>
    <w:rsid w:val="6CF6217C"/>
    <w:rsid w:val="6D250D26"/>
    <w:rsid w:val="6D25BBE9"/>
    <w:rsid w:val="6D31E0D5"/>
    <w:rsid w:val="6D38127D"/>
    <w:rsid w:val="6D3C5360"/>
    <w:rsid w:val="6D3DD240"/>
    <w:rsid w:val="6D53D32B"/>
    <w:rsid w:val="6D78CBEF"/>
    <w:rsid w:val="6D816567"/>
    <w:rsid w:val="6D8F6B4A"/>
    <w:rsid w:val="6D96E588"/>
    <w:rsid w:val="6DAFC6BB"/>
    <w:rsid w:val="6DC1E437"/>
    <w:rsid w:val="6DC6CDFA"/>
    <w:rsid w:val="6DCC316B"/>
    <w:rsid w:val="6DDFC47F"/>
    <w:rsid w:val="6DF6E7D0"/>
    <w:rsid w:val="6DF705B3"/>
    <w:rsid w:val="6E1D1E79"/>
    <w:rsid w:val="6E52762A"/>
    <w:rsid w:val="6E58D0BB"/>
    <w:rsid w:val="6E5C4EF4"/>
    <w:rsid w:val="6E602F48"/>
    <w:rsid w:val="6E6069EC"/>
    <w:rsid w:val="6E60AAF0"/>
    <w:rsid w:val="6E62EF17"/>
    <w:rsid w:val="6E692BB0"/>
    <w:rsid w:val="6E71087F"/>
    <w:rsid w:val="6E72877F"/>
    <w:rsid w:val="6E738EEF"/>
    <w:rsid w:val="6E7C83D0"/>
    <w:rsid w:val="6E7ECEB2"/>
    <w:rsid w:val="6E82271C"/>
    <w:rsid w:val="6E8941EA"/>
    <w:rsid w:val="6EA82AF3"/>
    <w:rsid w:val="6EB2D8F3"/>
    <w:rsid w:val="6EB3A7DA"/>
    <w:rsid w:val="6EE3D750"/>
    <w:rsid w:val="6EF25175"/>
    <w:rsid w:val="6F0911EE"/>
    <w:rsid w:val="6F1FC9CD"/>
    <w:rsid w:val="6F280199"/>
    <w:rsid w:val="6F3D2EFC"/>
    <w:rsid w:val="6F4F6B2E"/>
    <w:rsid w:val="6F515C25"/>
    <w:rsid w:val="6F55309C"/>
    <w:rsid w:val="6F630F72"/>
    <w:rsid w:val="6F63EF54"/>
    <w:rsid w:val="6F64D3D1"/>
    <w:rsid w:val="6F6CDD7E"/>
    <w:rsid w:val="6F78850E"/>
    <w:rsid w:val="6FB02339"/>
    <w:rsid w:val="6FBACA57"/>
    <w:rsid w:val="6FDE2A48"/>
    <w:rsid w:val="6FF1747E"/>
    <w:rsid w:val="70022E91"/>
    <w:rsid w:val="700BAB34"/>
    <w:rsid w:val="7015B9D0"/>
    <w:rsid w:val="701B2ABB"/>
    <w:rsid w:val="702B8F60"/>
    <w:rsid w:val="705CA735"/>
    <w:rsid w:val="70631F6F"/>
    <w:rsid w:val="70674228"/>
    <w:rsid w:val="70738816"/>
    <w:rsid w:val="708404D3"/>
    <w:rsid w:val="708A0601"/>
    <w:rsid w:val="708AC82A"/>
    <w:rsid w:val="70A31C7D"/>
    <w:rsid w:val="70AADDDA"/>
    <w:rsid w:val="70CB3967"/>
    <w:rsid w:val="70D2B7AB"/>
    <w:rsid w:val="70DC9056"/>
    <w:rsid w:val="70FAA102"/>
    <w:rsid w:val="7100D8E3"/>
    <w:rsid w:val="711A1B23"/>
    <w:rsid w:val="711DB802"/>
    <w:rsid w:val="7126D8CB"/>
    <w:rsid w:val="713FC7F2"/>
    <w:rsid w:val="71475A77"/>
    <w:rsid w:val="71494B12"/>
    <w:rsid w:val="7152FCF3"/>
    <w:rsid w:val="7155FFEF"/>
    <w:rsid w:val="71566CFC"/>
    <w:rsid w:val="715EF651"/>
    <w:rsid w:val="718D8280"/>
    <w:rsid w:val="719DFFCA"/>
    <w:rsid w:val="71C1EAE1"/>
    <w:rsid w:val="71D8F4BF"/>
    <w:rsid w:val="71EA2D7B"/>
    <w:rsid w:val="720D369C"/>
    <w:rsid w:val="720D8D69"/>
    <w:rsid w:val="72303EB4"/>
    <w:rsid w:val="724DDB94"/>
    <w:rsid w:val="725E6740"/>
    <w:rsid w:val="72650087"/>
    <w:rsid w:val="7275DE76"/>
    <w:rsid w:val="728CBEC1"/>
    <w:rsid w:val="7290DBAA"/>
    <w:rsid w:val="72919C82"/>
    <w:rsid w:val="72AAF114"/>
    <w:rsid w:val="72B7C50C"/>
    <w:rsid w:val="72CCF059"/>
    <w:rsid w:val="72D8B2B2"/>
    <w:rsid w:val="72DD493F"/>
    <w:rsid w:val="72EACDD1"/>
    <w:rsid w:val="730CF463"/>
    <w:rsid w:val="7322E78A"/>
    <w:rsid w:val="7329FA13"/>
    <w:rsid w:val="7334E821"/>
    <w:rsid w:val="7334EA9A"/>
    <w:rsid w:val="7337C5BA"/>
    <w:rsid w:val="733E05FE"/>
    <w:rsid w:val="73420C00"/>
    <w:rsid w:val="734F5E07"/>
    <w:rsid w:val="73503A60"/>
    <w:rsid w:val="735A3410"/>
    <w:rsid w:val="736384AB"/>
    <w:rsid w:val="73758F3C"/>
    <w:rsid w:val="7386041F"/>
    <w:rsid w:val="73920844"/>
    <w:rsid w:val="73A0CD02"/>
    <w:rsid w:val="73B62A14"/>
    <w:rsid w:val="73C43161"/>
    <w:rsid w:val="73C78381"/>
    <w:rsid w:val="73C8087B"/>
    <w:rsid w:val="73CED7AD"/>
    <w:rsid w:val="73D2D39E"/>
    <w:rsid w:val="73D64241"/>
    <w:rsid w:val="73DFB530"/>
    <w:rsid w:val="73F37EC5"/>
    <w:rsid w:val="7400D4BE"/>
    <w:rsid w:val="74271284"/>
    <w:rsid w:val="7438B2BD"/>
    <w:rsid w:val="74434D98"/>
    <w:rsid w:val="744919C3"/>
    <w:rsid w:val="744B5768"/>
    <w:rsid w:val="7453EB25"/>
    <w:rsid w:val="7456E7C6"/>
    <w:rsid w:val="74607C06"/>
    <w:rsid w:val="74612205"/>
    <w:rsid w:val="7464B822"/>
    <w:rsid w:val="7468D4B6"/>
    <w:rsid w:val="746E146D"/>
    <w:rsid w:val="746E2CA0"/>
    <w:rsid w:val="7471BA53"/>
    <w:rsid w:val="7478C2C5"/>
    <w:rsid w:val="749BE936"/>
    <w:rsid w:val="74AED167"/>
    <w:rsid w:val="74BD5BD9"/>
    <w:rsid w:val="74D27986"/>
    <w:rsid w:val="74E324FA"/>
    <w:rsid w:val="750D26BB"/>
    <w:rsid w:val="7514D02A"/>
    <w:rsid w:val="7528A4B6"/>
    <w:rsid w:val="752B6CEF"/>
    <w:rsid w:val="7530BE42"/>
    <w:rsid w:val="7545B4E6"/>
    <w:rsid w:val="754B0BE0"/>
    <w:rsid w:val="75614B5A"/>
    <w:rsid w:val="756AD71C"/>
    <w:rsid w:val="7579A846"/>
    <w:rsid w:val="7588A097"/>
    <w:rsid w:val="759D15E3"/>
    <w:rsid w:val="75C2BD03"/>
    <w:rsid w:val="75E37755"/>
    <w:rsid w:val="75F107EE"/>
    <w:rsid w:val="75F1313F"/>
    <w:rsid w:val="762BDA49"/>
    <w:rsid w:val="763541EC"/>
    <w:rsid w:val="763A2CB1"/>
    <w:rsid w:val="76469693"/>
    <w:rsid w:val="764EFB6A"/>
    <w:rsid w:val="765D6E22"/>
    <w:rsid w:val="76628B81"/>
    <w:rsid w:val="7678153D"/>
    <w:rsid w:val="767A3C12"/>
    <w:rsid w:val="76868223"/>
    <w:rsid w:val="7689F0E6"/>
    <w:rsid w:val="768B9CEF"/>
    <w:rsid w:val="76A0E7FE"/>
    <w:rsid w:val="76B5980B"/>
    <w:rsid w:val="76C87C00"/>
    <w:rsid w:val="76CC1ED3"/>
    <w:rsid w:val="76D1EFF1"/>
    <w:rsid w:val="76E2C99A"/>
    <w:rsid w:val="76EC1034"/>
    <w:rsid w:val="76F32A5A"/>
    <w:rsid w:val="77047C93"/>
    <w:rsid w:val="771CD2BF"/>
    <w:rsid w:val="772123F0"/>
    <w:rsid w:val="772CC3A7"/>
    <w:rsid w:val="77302B2F"/>
    <w:rsid w:val="7733378F"/>
    <w:rsid w:val="7742D04D"/>
    <w:rsid w:val="77771518"/>
    <w:rsid w:val="7781078A"/>
    <w:rsid w:val="7782A7BC"/>
    <w:rsid w:val="77998C7C"/>
    <w:rsid w:val="77AD4DEF"/>
    <w:rsid w:val="77AFA8FE"/>
    <w:rsid w:val="77B0EA8F"/>
    <w:rsid w:val="77C07F4D"/>
    <w:rsid w:val="77C5A645"/>
    <w:rsid w:val="77D025D8"/>
    <w:rsid w:val="77D4498F"/>
    <w:rsid w:val="77DCB783"/>
    <w:rsid w:val="77DF1663"/>
    <w:rsid w:val="77E64DF6"/>
    <w:rsid w:val="77EAC751"/>
    <w:rsid w:val="7804929F"/>
    <w:rsid w:val="7808A82C"/>
    <w:rsid w:val="781A7C1A"/>
    <w:rsid w:val="7820A8FA"/>
    <w:rsid w:val="782408EA"/>
    <w:rsid w:val="782B8374"/>
    <w:rsid w:val="78452782"/>
    <w:rsid w:val="785A8178"/>
    <w:rsid w:val="785F2DB2"/>
    <w:rsid w:val="7877831A"/>
    <w:rsid w:val="78800585"/>
    <w:rsid w:val="789CD5F6"/>
    <w:rsid w:val="78A49D70"/>
    <w:rsid w:val="78AD4E7D"/>
    <w:rsid w:val="78B07B1A"/>
    <w:rsid w:val="78D2FDAD"/>
    <w:rsid w:val="78D50B30"/>
    <w:rsid w:val="78DF0589"/>
    <w:rsid w:val="78EFCAAA"/>
    <w:rsid w:val="790594CE"/>
    <w:rsid w:val="7910961B"/>
    <w:rsid w:val="793791A0"/>
    <w:rsid w:val="794F42A0"/>
    <w:rsid w:val="79698402"/>
    <w:rsid w:val="7974AE68"/>
    <w:rsid w:val="798206E1"/>
    <w:rsid w:val="79839CB7"/>
    <w:rsid w:val="798435E5"/>
    <w:rsid w:val="79881243"/>
    <w:rsid w:val="799ED594"/>
    <w:rsid w:val="79ABC308"/>
    <w:rsid w:val="79C4004B"/>
    <w:rsid w:val="79C6C26D"/>
    <w:rsid w:val="79D0AC79"/>
    <w:rsid w:val="79E5DA04"/>
    <w:rsid w:val="79F1FA23"/>
    <w:rsid w:val="79F323F5"/>
    <w:rsid w:val="79FFEFD0"/>
    <w:rsid w:val="7A12F6E9"/>
    <w:rsid w:val="7A1D2734"/>
    <w:rsid w:val="7A261072"/>
    <w:rsid w:val="7A36FD4A"/>
    <w:rsid w:val="7A57977D"/>
    <w:rsid w:val="7A59FE4D"/>
    <w:rsid w:val="7AA13007"/>
    <w:rsid w:val="7AA697DB"/>
    <w:rsid w:val="7AA967C9"/>
    <w:rsid w:val="7ABE4B78"/>
    <w:rsid w:val="7ADD5218"/>
    <w:rsid w:val="7AEB92E3"/>
    <w:rsid w:val="7AF05609"/>
    <w:rsid w:val="7B0C4AA9"/>
    <w:rsid w:val="7B0C9599"/>
    <w:rsid w:val="7B14DE3D"/>
    <w:rsid w:val="7B22ED3C"/>
    <w:rsid w:val="7B275CB3"/>
    <w:rsid w:val="7B2BFE97"/>
    <w:rsid w:val="7B39973A"/>
    <w:rsid w:val="7B407931"/>
    <w:rsid w:val="7B4E3D7A"/>
    <w:rsid w:val="7B4FE5EA"/>
    <w:rsid w:val="7B693134"/>
    <w:rsid w:val="7B6C390F"/>
    <w:rsid w:val="7B6E72E9"/>
    <w:rsid w:val="7B75192B"/>
    <w:rsid w:val="7B810B40"/>
    <w:rsid w:val="7B91152D"/>
    <w:rsid w:val="7B99AFA4"/>
    <w:rsid w:val="7BCB2169"/>
    <w:rsid w:val="7BD6FA5F"/>
    <w:rsid w:val="7BDB439E"/>
    <w:rsid w:val="7BE774AD"/>
    <w:rsid w:val="7BFAC812"/>
    <w:rsid w:val="7C0E73B9"/>
    <w:rsid w:val="7C16A1C9"/>
    <w:rsid w:val="7C3A1494"/>
    <w:rsid w:val="7C54CEBD"/>
    <w:rsid w:val="7C5BA5C9"/>
    <w:rsid w:val="7C620B05"/>
    <w:rsid w:val="7CAA5460"/>
    <w:rsid w:val="7CB3284A"/>
    <w:rsid w:val="7CC9C768"/>
    <w:rsid w:val="7CD3F202"/>
    <w:rsid w:val="7CD89407"/>
    <w:rsid w:val="7CDBBB71"/>
    <w:rsid w:val="7CDD2A06"/>
    <w:rsid w:val="7CEB91A7"/>
    <w:rsid w:val="7CFDEE92"/>
    <w:rsid w:val="7D0F2A22"/>
    <w:rsid w:val="7D22E4DA"/>
    <w:rsid w:val="7D34C584"/>
    <w:rsid w:val="7D3CD7B1"/>
    <w:rsid w:val="7D40AF66"/>
    <w:rsid w:val="7D4B1A94"/>
    <w:rsid w:val="7D590C6B"/>
    <w:rsid w:val="7D5A1B7E"/>
    <w:rsid w:val="7D6479A7"/>
    <w:rsid w:val="7D672EA9"/>
    <w:rsid w:val="7D6B8E52"/>
    <w:rsid w:val="7D6C647E"/>
    <w:rsid w:val="7D90F298"/>
    <w:rsid w:val="7D9BCCD0"/>
    <w:rsid w:val="7DA2A157"/>
    <w:rsid w:val="7DC533FC"/>
    <w:rsid w:val="7DF208FC"/>
    <w:rsid w:val="7DF2303E"/>
    <w:rsid w:val="7DFC4A8D"/>
    <w:rsid w:val="7E0C8C4A"/>
    <w:rsid w:val="7E1C73DA"/>
    <w:rsid w:val="7E1F2A5D"/>
    <w:rsid w:val="7E344870"/>
    <w:rsid w:val="7E35C7F8"/>
    <w:rsid w:val="7E4C3B58"/>
    <w:rsid w:val="7E4EF8AB"/>
    <w:rsid w:val="7E508ED8"/>
    <w:rsid w:val="7E5E89A4"/>
    <w:rsid w:val="7E6B3DC3"/>
    <w:rsid w:val="7E890792"/>
    <w:rsid w:val="7E8CB925"/>
    <w:rsid w:val="7EA054A6"/>
    <w:rsid w:val="7EE4CA73"/>
    <w:rsid w:val="7EE502D4"/>
    <w:rsid w:val="7EFD13A1"/>
    <w:rsid w:val="7F0370A6"/>
    <w:rsid w:val="7F0E22B8"/>
    <w:rsid w:val="7F16128A"/>
    <w:rsid w:val="7F1DFEE0"/>
    <w:rsid w:val="7F2148B8"/>
    <w:rsid w:val="7F244AE5"/>
    <w:rsid w:val="7F3AED7D"/>
    <w:rsid w:val="7F46CA5B"/>
    <w:rsid w:val="7F4CDA60"/>
    <w:rsid w:val="7F6F780D"/>
    <w:rsid w:val="7F7528E1"/>
    <w:rsid w:val="7F83320E"/>
    <w:rsid w:val="7F876030"/>
    <w:rsid w:val="7F8FE2BD"/>
    <w:rsid w:val="7F935C64"/>
    <w:rsid w:val="7FC0D188"/>
    <w:rsid w:val="7FD46093"/>
    <w:rsid w:val="7FDB7D12"/>
    <w:rsid w:val="7FDD27DB"/>
    <w:rsid w:val="7FE71ECC"/>
    <w:rsid w:val="7FE891F0"/>
    <w:rsid w:val="7FEBCE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47F5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rsid w:val="003F0A04"/>
    <w:rPr>
      <w:sz w:val="20"/>
      <w:szCs w:val="20"/>
    </w:rPr>
  </w:style>
  <w:style w:type="character" w:customStyle="1" w:styleId="CommentTextChar">
    <w:name w:val="Comment Text Char"/>
    <w:basedOn w:val="DefaultParagraphFont"/>
    <w:link w:val="CommentText"/>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character" w:styleId="Mention">
    <w:name w:val="Mention"/>
    <w:basedOn w:val="DefaultParagraphFont"/>
    <w:uiPriority w:val="99"/>
    <w:unhideWhenUsed/>
    <w:rsid w:val="00C079EE"/>
    <w:rPr>
      <w:color w:val="2B579A"/>
      <w:shd w:val="clear" w:color="auto" w:fill="E1DFDD"/>
    </w:rPr>
  </w:style>
  <w:style w:type="character" w:styleId="UnresolvedMention">
    <w:name w:val="Unresolved Mention"/>
    <w:basedOn w:val="DefaultParagraphFont"/>
    <w:uiPriority w:val="99"/>
    <w:semiHidden/>
    <w:unhideWhenUsed/>
    <w:rsid w:val="00A51060"/>
    <w:rPr>
      <w:color w:val="605E5C"/>
      <w:shd w:val="clear" w:color="auto" w:fill="E1DFDD"/>
    </w:rPr>
  </w:style>
  <w:style w:type="paragraph" w:styleId="Revision">
    <w:name w:val="Revision"/>
    <w:hidden/>
    <w:uiPriority w:val="99"/>
    <w:semiHidden/>
    <w:rsid w:val="00880DF3"/>
    <w:rPr>
      <w:sz w:val="24"/>
      <w:szCs w:val="24"/>
    </w:rPr>
  </w:style>
  <w:style w:type="paragraph" w:styleId="ListParagraph">
    <w:name w:val="List Paragraph"/>
    <w:basedOn w:val="Normal"/>
    <w:uiPriority w:val="34"/>
    <w:qFormat/>
    <w:rsid w:val="003D14AA"/>
    <w:pPr>
      <w:ind w:left="720"/>
      <w:contextualSpacing/>
    </w:pPr>
  </w:style>
  <w:style w:type="paragraph" w:styleId="NormalWeb">
    <w:name w:val="Normal (Web)"/>
    <w:basedOn w:val="Normal"/>
    <w:uiPriority w:val="99"/>
    <w:semiHidden/>
    <w:unhideWhenUsed/>
    <w:rsid w:val="004D2ADB"/>
    <w:pPr>
      <w:spacing w:before="100" w:beforeAutospacing="1" w:after="100" w:afterAutospacing="1"/>
    </w:pPr>
  </w:style>
  <w:style w:type="character" w:customStyle="1" w:styleId="cf01">
    <w:name w:val="cf01"/>
    <w:basedOn w:val="DefaultParagraphFont"/>
    <w:rsid w:val="00EE775C"/>
    <w:rPr>
      <w:rFonts w:ascii="Segoe UI" w:hAnsi="Segoe UI" w:cs="Segoe UI" w:hint="default"/>
      <w:sz w:val="18"/>
      <w:szCs w:val="18"/>
    </w:rPr>
  </w:style>
  <w:style w:type="character" w:customStyle="1" w:styleId="ui-provider">
    <w:name w:val="ui-provider"/>
    <w:basedOn w:val="DefaultParagraphFont"/>
    <w:rsid w:val="00EE7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21891">
      <w:bodyDiv w:val="1"/>
      <w:marLeft w:val="0"/>
      <w:marRight w:val="0"/>
      <w:marTop w:val="0"/>
      <w:marBottom w:val="0"/>
      <w:divBdr>
        <w:top w:val="none" w:sz="0" w:space="0" w:color="auto"/>
        <w:left w:val="none" w:sz="0" w:space="0" w:color="auto"/>
        <w:bottom w:val="none" w:sz="0" w:space="0" w:color="auto"/>
        <w:right w:val="none" w:sz="0" w:space="0" w:color="auto"/>
      </w:divBdr>
      <w:divsChild>
        <w:div w:id="47458199">
          <w:marLeft w:val="1166"/>
          <w:marRight w:val="0"/>
          <w:marTop w:val="0"/>
          <w:marBottom w:val="0"/>
          <w:divBdr>
            <w:top w:val="none" w:sz="0" w:space="0" w:color="auto"/>
            <w:left w:val="none" w:sz="0" w:space="0" w:color="auto"/>
            <w:bottom w:val="none" w:sz="0" w:space="0" w:color="auto"/>
            <w:right w:val="none" w:sz="0" w:space="0" w:color="auto"/>
          </w:divBdr>
        </w:div>
        <w:div w:id="200438651">
          <w:marLeft w:val="1166"/>
          <w:marRight w:val="0"/>
          <w:marTop w:val="0"/>
          <w:marBottom w:val="0"/>
          <w:divBdr>
            <w:top w:val="none" w:sz="0" w:space="0" w:color="auto"/>
            <w:left w:val="none" w:sz="0" w:space="0" w:color="auto"/>
            <w:bottom w:val="none" w:sz="0" w:space="0" w:color="auto"/>
            <w:right w:val="none" w:sz="0" w:space="0" w:color="auto"/>
          </w:divBdr>
        </w:div>
        <w:div w:id="237445546">
          <w:marLeft w:val="547"/>
          <w:marRight w:val="0"/>
          <w:marTop w:val="0"/>
          <w:marBottom w:val="0"/>
          <w:divBdr>
            <w:top w:val="none" w:sz="0" w:space="0" w:color="auto"/>
            <w:left w:val="none" w:sz="0" w:space="0" w:color="auto"/>
            <w:bottom w:val="none" w:sz="0" w:space="0" w:color="auto"/>
            <w:right w:val="none" w:sz="0" w:space="0" w:color="auto"/>
          </w:divBdr>
        </w:div>
        <w:div w:id="243953354">
          <w:marLeft w:val="547"/>
          <w:marRight w:val="0"/>
          <w:marTop w:val="0"/>
          <w:marBottom w:val="0"/>
          <w:divBdr>
            <w:top w:val="none" w:sz="0" w:space="0" w:color="auto"/>
            <w:left w:val="none" w:sz="0" w:space="0" w:color="auto"/>
            <w:bottom w:val="none" w:sz="0" w:space="0" w:color="auto"/>
            <w:right w:val="none" w:sz="0" w:space="0" w:color="auto"/>
          </w:divBdr>
        </w:div>
        <w:div w:id="273947030">
          <w:marLeft w:val="1166"/>
          <w:marRight w:val="0"/>
          <w:marTop w:val="0"/>
          <w:marBottom w:val="0"/>
          <w:divBdr>
            <w:top w:val="none" w:sz="0" w:space="0" w:color="auto"/>
            <w:left w:val="none" w:sz="0" w:space="0" w:color="auto"/>
            <w:bottom w:val="none" w:sz="0" w:space="0" w:color="auto"/>
            <w:right w:val="none" w:sz="0" w:space="0" w:color="auto"/>
          </w:divBdr>
        </w:div>
        <w:div w:id="293632979">
          <w:marLeft w:val="547"/>
          <w:marRight w:val="0"/>
          <w:marTop w:val="0"/>
          <w:marBottom w:val="0"/>
          <w:divBdr>
            <w:top w:val="none" w:sz="0" w:space="0" w:color="auto"/>
            <w:left w:val="none" w:sz="0" w:space="0" w:color="auto"/>
            <w:bottom w:val="none" w:sz="0" w:space="0" w:color="auto"/>
            <w:right w:val="none" w:sz="0" w:space="0" w:color="auto"/>
          </w:divBdr>
        </w:div>
        <w:div w:id="665321679">
          <w:marLeft w:val="1166"/>
          <w:marRight w:val="0"/>
          <w:marTop w:val="0"/>
          <w:marBottom w:val="0"/>
          <w:divBdr>
            <w:top w:val="none" w:sz="0" w:space="0" w:color="auto"/>
            <w:left w:val="none" w:sz="0" w:space="0" w:color="auto"/>
            <w:bottom w:val="none" w:sz="0" w:space="0" w:color="auto"/>
            <w:right w:val="none" w:sz="0" w:space="0" w:color="auto"/>
          </w:divBdr>
        </w:div>
        <w:div w:id="947277131">
          <w:marLeft w:val="1166"/>
          <w:marRight w:val="0"/>
          <w:marTop w:val="0"/>
          <w:marBottom w:val="0"/>
          <w:divBdr>
            <w:top w:val="none" w:sz="0" w:space="0" w:color="auto"/>
            <w:left w:val="none" w:sz="0" w:space="0" w:color="auto"/>
            <w:bottom w:val="none" w:sz="0" w:space="0" w:color="auto"/>
            <w:right w:val="none" w:sz="0" w:space="0" w:color="auto"/>
          </w:divBdr>
        </w:div>
        <w:div w:id="1288202501">
          <w:marLeft w:val="1166"/>
          <w:marRight w:val="0"/>
          <w:marTop w:val="0"/>
          <w:marBottom w:val="0"/>
          <w:divBdr>
            <w:top w:val="none" w:sz="0" w:space="0" w:color="auto"/>
            <w:left w:val="none" w:sz="0" w:space="0" w:color="auto"/>
            <w:bottom w:val="none" w:sz="0" w:space="0" w:color="auto"/>
            <w:right w:val="none" w:sz="0" w:space="0" w:color="auto"/>
          </w:divBdr>
        </w:div>
        <w:div w:id="1353074814">
          <w:marLeft w:val="547"/>
          <w:marRight w:val="0"/>
          <w:marTop w:val="0"/>
          <w:marBottom w:val="0"/>
          <w:divBdr>
            <w:top w:val="none" w:sz="0" w:space="0" w:color="auto"/>
            <w:left w:val="none" w:sz="0" w:space="0" w:color="auto"/>
            <w:bottom w:val="none" w:sz="0" w:space="0" w:color="auto"/>
            <w:right w:val="none" w:sz="0" w:space="0" w:color="auto"/>
          </w:divBdr>
        </w:div>
        <w:div w:id="1554736857">
          <w:marLeft w:val="1166"/>
          <w:marRight w:val="0"/>
          <w:marTop w:val="0"/>
          <w:marBottom w:val="0"/>
          <w:divBdr>
            <w:top w:val="none" w:sz="0" w:space="0" w:color="auto"/>
            <w:left w:val="none" w:sz="0" w:space="0" w:color="auto"/>
            <w:bottom w:val="none" w:sz="0" w:space="0" w:color="auto"/>
            <w:right w:val="none" w:sz="0" w:space="0" w:color="auto"/>
          </w:divBdr>
        </w:div>
        <w:div w:id="1734429615">
          <w:marLeft w:val="1166"/>
          <w:marRight w:val="0"/>
          <w:marTop w:val="0"/>
          <w:marBottom w:val="0"/>
          <w:divBdr>
            <w:top w:val="none" w:sz="0" w:space="0" w:color="auto"/>
            <w:left w:val="none" w:sz="0" w:space="0" w:color="auto"/>
            <w:bottom w:val="none" w:sz="0" w:space="0" w:color="auto"/>
            <w:right w:val="none" w:sz="0" w:space="0" w:color="auto"/>
          </w:divBdr>
        </w:div>
        <w:div w:id="1931355868">
          <w:marLeft w:val="1166"/>
          <w:marRight w:val="0"/>
          <w:marTop w:val="0"/>
          <w:marBottom w:val="0"/>
          <w:divBdr>
            <w:top w:val="none" w:sz="0" w:space="0" w:color="auto"/>
            <w:left w:val="none" w:sz="0" w:space="0" w:color="auto"/>
            <w:bottom w:val="none" w:sz="0" w:space="0" w:color="auto"/>
            <w:right w:val="none" w:sz="0" w:space="0" w:color="auto"/>
          </w:divBdr>
        </w:div>
        <w:div w:id="1998996059">
          <w:marLeft w:val="1166"/>
          <w:marRight w:val="0"/>
          <w:marTop w:val="0"/>
          <w:marBottom w:val="0"/>
          <w:divBdr>
            <w:top w:val="none" w:sz="0" w:space="0" w:color="auto"/>
            <w:left w:val="none" w:sz="0" w:space="0" w:color="auto"/>
            <w:bottom w:val="none" w:sz="0" w:space="0" w:color="auto"/>
            <w:right w:val="none" w:sz="0" w:space="0" w:color="auto"/>
          </w:divBdr>
        </w:div>
      </w:divsChild>
    </w:div>
    <w:div w:id="224413386">
      <w:bodyDiv w:val="1"/>
      <w:marLeft w:val="0"/>
      <w:marRight w:val="0"/>
      <w:marTop w:val="0"/>
      <w:marBottom w:val="0"/>
      <w:divBdr>
        <w:top w:val="none" w:sz="0" w:space="0" w:color="auto"/>
        <w:left w:val="none" w:sz="0" w:space="0" w:color="auto"/>
        <w:bottom w:val="none" w:sz="0" w:space="0" w:color="auto"/>
        <w:right w:val="none" w:sz="0" w:space="0" w:color="auto"/>
      </w:divBdr>
    </w:div>
    <w:div w:id="234244413">
      <w:bodyDiv w:val="1"/>
      <w:marLeft w:val="0"/>
      <w:marRight w:val="0"/>
      <w:marTop w:val="0"/>
      <w:marBottom w:val="0"/>
      <w:divBdr>
        <w:top w:val="none" w:sz="0" w:space="0" w:color="auto"/>
        <w:left w:val="none" w:sz="0" w:space="0" w:color="auto"/>
        <w:bottom w:val="none" w:sz="0" w:space="0" w:color="auto"/>
        <w:right w:val="none" w:sz="0" w:space="0" w:color="auto"/>
      </w:divBdr>
    </w:div>
    <w:div w:id="364018635">
      <w:bodyDiv w:val="1"/>
      <w:marLeft w:val="0"/>
      <w:marRight w:val="0"/>
      <w:marTop w:val="0"/>
      <w:marBottom w:val="0"/>
      <w:divBdr>
        <w:top w:val="none" w:sz="0" w:space="0" w:color="auto"/>
        <w:left w:val="none" w:sz="0" w:space="0" w:color="auto"/>
        <w:bottom w:val="none" w:sz="0" w:space="0" w:color="auto"/>
        <w:right w:val="none" w:sz="0" w:space="0" w:color="auto"/>
      </w:divBdr>
    </w:div>
    <w:div w:id="436676978">
      <w:bodyDiv w:val="1"/>
      <w:marLeft w:val="0"/>
      <w:marRight w:val="0"/>
      <w:marTop w:val="0"/>
      <w:marBottom w:val="0"/>
      <w:divBdr>
        <w:top w:val="none" w:sz="0" w:space="0" w:color="auto"/>
        <w:left w:val="none" w:sz="0" w:space="0" w:color="auto"/>
        <w:bottom w:val="none" w:sz="0" w:space="0" w:color="auto"/>
        <w:right w:val="none" w:sz="0" w:space="0" w:color="auto"/>
      </w:divBdr>
      <w:divsChild>
        <w:div w:id="386342918">
          <w:marLeft w:val="274"/>
          <w:marRight w:val="0"/>
          <w:marTop w:val="0"/>
          <w:marBottom w:val="0"/>
          <w:divBdr>
            <w:top w:val="none" w:sz="0" w:space="0" w:color="auto"/>
            <w:left w:val="none" w:sz="0" w:space="0" w:color="auto"/>
            <w:bottom w:val="none" w:sz="0" w:space="0" w:color="auto"/>
            <w:right w:val="none" w:sz="0" w:space="0" w:color="auto"/>
          </w:divBdr>
        </w:div>
      </w:divsChild>
    </w:div>
    <w:div w:id="665985173">
      <w:bodyDiv w:val="1"/>
      <w:marLeft w:val="0"/>
      <w:marRight w:val="0"/>
      <w:marTop w:val="0"/>
      <w:marBottom w:val="0"/>
      <w:divBdr>
        <w:top w:val="none" w:sz="0" w:space="0" w:color="auto"/>
        <w:left w:val="none" w:sz="0" w:space="0" w:color="auto"/>
        <w:bottom w:val="none" w:sz="0" w:space="0" w:color="auto"/>
        <w:right w:val="none" w:sz="0" w:space="0" w:color="auto"/>
      </w:divBdr>
    </w:div>
    <w:div w:id="819271257">
      <w:bodyDiv w:val="1"/>
      <w:marLeft w:val="0"/>
      <w:marRight w:val="0"/>
      <w:marTop w:val="0"/>
      <w:marBottom w:val="0"/>
      <w:divBdr>
        <w:top w:val="none" w:sz="0" w:space="0" w:color="auto"/>
        <w:left w:val="none" w:sz="0" w:space="0" w:color="auto"/>
        <w:bottom w:val="none" w:sz="0" w:space="0" w:color="auto"/>
        <w:right w:val="none" w:sz="0" w:space="0" w:color="auto"/>
      </w:divBdr>
      <w:divsChild>
        <w:div w:id="6643715">
          <w:marLeft w:val="0"/>
          <w:marRight w:val="0"/>
          <w:marTop w:val="0"/>
          <w:marBottom w:val="0"/>
          <w:divBdr>
            <w:top w:val="none" w:sz="0" w:space="0" w:color="auto"/>
            <w:left w:val="none" w:sz="0" w:space="0" w:color="auto"/>
            <w:bottom w:val="none" w:sz="0" w:space="0" w:color="auto"/>
            <w:right w:val="none" w:sz="0" w:space="0" w:color="auto"/>
          </w:divBdr>
          <w:divsChild>
            <w:div w:id="1762339599">
              <w:marLeft w:val="0"/>
              <w:marRight w:val="0"/>
              <w:marTop w:val="0"/>
              <w:marBottom w:val="0"/>
              <w:divBdr>
                <w:top w:val="none" w:sz="0" w:space="0" w:color="auto"/>
                <w:left w:val="none" w:sz="0" w:space="0" w:color="auto"/>
                <w:bottom w:val="none" w:sz="0" w:space="0" w:color="auto"/>
                <w:right w:val="none" w:sz="0" w:space="0" w:color="auto"/>
              </w:divBdr>
            </w:div>
          </w:divsChild>
        </w:div>
        <w:div w:id="193423363">
          <w:marLeft w:val="0"/>
          <w:marRight w:val="0"/>
          <w:marTop w:val="0"/>
          <w:marBottom w:val="0"/>
          <w:divBdr>
            <w:top w:val="none" w:sz="0" w:space="0" w:color="auto"/>
            <w:left w:val="none" w:sz="0" w:space="0" w:color="auto"/>
            <w:bottom w:val="none" w:sz="0" w:space="0" w:color="auto"/>
            <w:right w:val="none" w:sz="0" w:space="0" w:color="auto"/>
          </w:divBdr>
          <w:divsChild>
            <w:div w:id="953487325">
              <w:marLeft w:val="0"/>
              <w:marRight w:val="0"/>
              <w:marTop w:val="0"/>
              <w:marBottom w:val="0"/>
              <w:divBdr>
                <w:top w:val="none" w:sz="0" w:space="0" w:color="auto"/>
                <w:left w:val="none" w:sz="0" w:space="0" w:color="auto"/>
                <w:bottom w:val="none" w:sz="0" w:space="0" w:color="auto"/>
                <w:right w:val="none" w:sz="0" w:space="0" w:color="auto"/>
              </w:divBdr>
            </w:div>
          </w:divsChild>
        </w:div>
        <w:div w:id="273096487">
          <w:marLeft w:val="0"/>
          <w:marRight w:val="0"/>
          <w:marTop w:val="0"/>
          <w:marBottom w:val="0"/>
          <w:divBdr>
            <w:top w:val="none" w:sz="0" w:space="0" w:color="auto"/>
            <w:left w:val="none" w:sz="0" w:space="0" w:color="auto"/>
            <w:bottom w:val="none" w:sz="0" w:space="0" w:color="auto"/>
            <w:right w:val="none" w:sz="0" w:space="0" w:color="auto"/>
          </w:divBdr>
          <w:divsChild>
            <w:div w:id="884878132">
              <w:marLeft w:val="0"/>
              <w:marRight w:val="0"/>
              <w:marTop w:val="0"/>
              <w:marBottom w:val="0"/>
              <w:divBdr>
                <w:top w:val="none" w:sz="0" w:space="0" w:color="auto"/>
                <w:left w:val="none" w:sz="0" w:space="0" w:color="auto"/>
                <w:bottom w:val="none" w:sz="0" w:space="0" w:color="auto"/>
                <w:right w:val="none" w:sz="0" w:space="0" w:color="auto"/>
              </w:divBdr>
            </w:div>
          </w:divsChild>
        </w:div>
        <w:div w:id="370034171">
          <w:marLeft w:val="0"/>
          <w:marRight w:val="0"/>
          <w:marTop w:val="0"/>
          <w:marBottom w:val="0"/>
          <w:divBdr>
            <w:top w:val="none" w:sz="0" w:space="0" w:color="auto"/>
            <w:left w:val="none" w:sz="0" w:space="0" w:color="auto"/>
            <w:bottom w:val="none" w:sz="0" w:space="0" w:color="auto"/>
            <w:right w:val="none" w:sz="0" w:space="0" w:color="auto"/>
          </w:divBdr>
          <w:divsChild>
            <w:div w:id="781077680">
              <w:marLeft w:val="0"/>
              <w:marRight w:val="0"/>
              <w:marTop w:val="0"/>
              <w:marBottom w:val="0"/>
              <w:divBdr>
                <w:top w:val="none" w:sz="0" w:space="0" w:color="auto"/>
                <w:left w:val="none" w:sz="0" w:space="0" w:color="auto"/>
                <w:bottom w:val="none" w:sz="0" w:space="0" w:color="auto"/>
                <w:right w:val="none" w:sz="0" w:space="0" w:color="auto"/>
              </w:divBdr>
            </w:div>
          </w:divsChild>
        </w:div>
        <w:div w:id="377584874">
          <w:marLeft w:val="0"/>
          <w:marRight w:val="0"/>
          <w:marTop w:val="0"/>
          <w:marBottom w:val="0"/>
          <w:divBdr>
            <w:top w:val="none" w:sz="0" w:space="0" w:color="auto"/>
            <w:left w:val="none" w:sz="0" w:space="0" w:color="auto"/>
            <w:bottom w:val="none" w:sz="0" w:space="0" w:color="auto"/>
            <w:right w:val="none" w:sz="0" w:space="0" w:color="auto"/>
          </w:divBdr>
          <w:divsChild>
            <w:div w:id="1032147367">
              <w:marLeft w:val="0"/>
              <w:marRight w:val="0"/>
              <w:marTop w:val="0"/>
              <w:marBottom w:val="0"/>
              <w:divBdr>
                <w:top w:val="none" w:sz="0" w:space="0" w:color="auto"/>
                <w:left w:val="none" w:sz="0" w:space="0" w:color="auto"/>
                <w:bottom w:val="none" w:sz="0" w:space="0" w:color="auto"/>
                <w:right w:val="none" w:sz="0" w:space="0" w:color="auto"/>
              </w:divBdr>
            </w:div>
          </w:divsChild>
        </w:div>
        <w:div w:id="429741425">
          <w:marLeft w:val="0"/>
          <w:marRight w:val="0"/>
          <w:marTop w:val="0"/>
          <w:marBottom w:val="0"/>
          <w:divBdr>
            <w:top w:val="none" w:sz="0" w:space="0" w:color="auto"/>
            <w:left w:val="none" w:sz="0" w:space="0" w:color="auto"/>
            <w:bottom w:val="none" w:sz="0" w:space="0" w:color="auto"/>
            <w:right w:val="none" w:sz="0" w:space="0" w:color="auto"/>
          </w:divBdr>
          <w:divsChild>
            <w:div w:id="1555005189">
              <w:marLeft w:val="0"/>
              <w:marRight w:val="0"/>
              <w:marTop w:val="0"/>
              <w:marBottom w:val="0"/>
              <w:divBdr>
                <w:top w:val="none" w:sz="0" w:space="0" w:color="auto"/>
                <w:left w:val="none" w:sz="0" w:space="0" w:color="auto"/>
                <w:bottom w:val="none" w:sz="0" w:space="0" w:color="auto"/>
                <w:right w:val="none" w:sz="0" w:space="0" w:color="auto"/>
              </w:divBdr>
            </w:div>
          </w:divsChild>
        </w:div>
        <w:div w:id="565605105">
          <w:marLeft w:val="0"/>
          <w:marRight w:val="0"/>
          <w:marTop w:val="0"/>
          <w:marBottom w:val="0"/>
          <w:divBdr>
            <w:top w:val="none" w:sz="0" w:space="0" w:color="auto"/>
            <w:left w:val="none" w:sz="0" w:space="0" w:color="auto"/>
            <w:bottom w:val="none" w:sz="0" w:space="0" w:color="auto"/>
            <w:right w:val="none" w:sz="0" w:space="0" w:color="auto"/>
          </w:divBdr>
          <w:divsChild>
            <w:div w:id="935793656">
              <w:marLeft w:val="0"/>
              <w:marRight w:val="0"/>
              <w:marTop w:val="0"/>
              <w:marBottom w:val="0"/>
              <w:divBdr>
                <w:top w:val="none" w:sz="0" w:space="0" w:color="auto"/>
                <w:left w:val="none" w:sz="0" w:space="0" w:color="auto"/>
                <w:bottom w:val="none" w:sz="0" w:space="0" w:color="auto"/>
                <w:right w:val="none" w:sz="0" w:space="0" w:color="auto"/>
              </w:divBdr>
            </w:div>
          </w:divsChild>
        </w:div>
        <w:div w:id="831145667">
          <w:marLeft w:val="0"/>
          <w:marRight w:val="0"/>
          <w:marTop w:val="0"/>
          <w:marBottom w:val="0"/>
          <w:divBdr>
            <w:top w:val="none" w:sz="0" w:space="0" w:color="auto"/>
            <w:left w:val="none" w:sz="0" w:space="0" w:color="auto"/>
            <w:bottom w:val="none" w:sz="0" w:space="0" w:color="auto"/>
            <w:right w:val="none" w:sz="0" w:space="0" w:color="auto"/>
          </w:divBdr>
          <w:divsChild>
            <w:div w:id="1320497036">
              <w:marLeft w:val="0"/>
              <w:marRight w:val="0"/>
              <w:marTop w:val="0"/>
              <w:marBottom w:val="0"/>
              <w:divBdr>
                <w:top w:val="none" w:sz="0" w:space="0" w:color="auto"/>
                <w:left w:val="none" w:sz="0" w:space="0" w:color="auto"/>
                <w:bottom w:val="none" w:sz="0" w:space="0" w:color="auto"/>
                <w:right w:val="none" w:sz="0" w:space="0" w:color="auto"/>
              </w:divBdr>
            </w:div>
          </w:divsChild>
        </w:div>
        <w:div w:id="888497229">
          <w:marLeft w:val="0"/>
          <w:marRight w:val="0"/>
          <w:marTop w:val="0"/>
          <w:marBottom w:val="0"/>
          <w:divBdr>
            <w:top w:val="none" w:sz="0" w:space="0" w:color="auto"/>
            <w:left w:val="none" w:sz="0" w:space="0" w:color="auto"/>
            <w:bottom w:val="none" w:sz="0" w:space="0" w:color="auto"/>
            <w:right w:val="none" w:sz="0" w:space="0" w:color="auto"/>
          </w:divBdr>
          <w:divsChild>
            <w:div w:id="1397388501">
              <w:marLeft w:val="0"/>
              <w:marRight w:val="0"/>
              <w:marTop w:val="0"/>
              <w:marBottom w:val="0"/>
              <w:divBdr>
                <w:top w:val="none" w:sz="0" w:space="0" w:color="auto"/>
                <w:left w:val="none" w:sz="0" w:space="0" w:color="auto"/>
                <w:bottom w:val="none" w:sz="0" w:space="0" w:color="auto"/>
                <w:right w:val="none" w:sz="0" w:space="0" w:color="auto"/>
              </w:divBdr>
            </w:div>
          </w:divsChild>
        </w:div>
        <w:div w:id="1088890158">
          <w:marLeft w:val="0"/>
          <w:marRight w:val="0"/>
          <w:marTop w:val="0"/>
          <w:marBottom w:val="0"/>
          <w:divBdr>
            <w:top w:val="none" w:sz="0" w:space="0" w:color="auto"/>
            <w:left w:val="none" w:sz="0" w:space="0" w:color="auto"/>
            <w:bottom w:val="none" w:sz="0" w:space="0" w:color="auto"/>
            <w:right w:val="none" w:sz="0" w:space="0" w:color="auto"/>
          </w:divBdr>
          <w:divsChild>
            <w:div w:id="1889150406">
              <w:marLeft w:val="0"/>
              <w:marRight w:val="0"/>
              <w:marTop w:val="0"/>
              <w:marBottom w:val="0"/>
              <w:divBdr>
                <w:top w:val="none" w:sz="0" w:space="0" w:color="auto"/>
                <w:left w:val="none" w:sz="0" w:space="0" w:color="auto"/>
                <w:bottom w:val="none" w:sz="0" w:space="0" w:color="auto"/>
                <w:right w:val="none" w:sz="0" w:space="0" w:color="auto"/>
              </w:divBdr>
            </w:div>
          </w:divsChild>
        </w:div>
        <w:div w:id="1333218258">
          <w:marLeft w:val="0"/>
          <w:marRight w:val="0"/>
          <w:marTop w:val="0"/>
          <w:marBottom w:val="0"/>
          <w:divBdr>
            <w:top w:val="none" w:sz="0" w:space="0" w:color="auto"/>
            <w:left w:val="none" w:sz="0" w:space="0" w:color="auto"/>
            <w:bottom w:val="none" w:sz="0" w:space="0" w:color="auto"/>
            <w:right w:val="none" w:sz="0" w:space="0" w:color="auto"/>
          </w:divBdr>
          <w:divsChild>
            <w:div w:id="2020740749">
              <w:marLeft w:val="0"/>
              <w:marRight w:val="0"/>
              <w:marTop w:val="0"/>
              <w:marBottom w:val="0"/>
              <w:divBdr>
                <w:top w:val="none" w:sz="0" w:space="0" w:color="auto"/>
                <w:left w:val="none" w:sz="0" w:space="0" w:color="auto"/>
                <w:bottom w:val="none" w:sz="0" w:space="0" w:color="auto"/>
                <w:right w:val="none" w:sz="0" w:space="0" w:color="auto"/>
              </w:divBdr>
            </w:div>
          </w:divsChild>
        </w:div>
        <w:div w:id="1455518567">
          <w:marLeft w:val="0"/>
          <w:marRight w:val="0"/>
          <w:marTop w:val="0"/>
          <w:marBottom w:val="0"/>
          <w:divBdr>
            <w:top w:val="none" w:sz="0" w:space="0" w:color="auto"/>
            <w:left w:val="none" w:sz="0" w:space="0" w:color="auto"/>
            <w:bottom w:val="none" w:sz="0" w:space="0" w:color="auto"/>
            <w:right w:val="none" w:sz="0" w:space="0" w:color="auto"/>
          </w:divBdr>
          <w:divsChild>
            <w:div w:id="1700204914">
              <w:marLeft w:val="0"/>
              <w:marRight w:val="0"/>
              <w:marTop w:val="0"/>
              <w:marBottom w:val="0"/>
              <w:divBdr>
                <w:top w:val="none" w:sz="0" w:space="0" w:color="auto"/>
                <w:left w:val="none" w:sz="0" w:space="0" w:color="auto"/>
                <w:bottom w:val="none" w:sz="0" w:space="0" w:color="auto"/>
                <w:right w:val="none" w:sz="0" w:space="0" w:color="auto"/>
              </w:divBdr>
            </w:div>
          </w:divsChild>
        </w:div>
        <w:div w:id="1572353991">
          <w:marLeft w:val="0"/>
          <w:marRight w:val="0"/>
          <w:marTop w:val="0"/>
          <w:marBottom w:val="0"/>
          <w:divBdr>
            <w:top w:val="none" w:sz="0" w:space="0" w:color="auto"/>
            <w:left w:val="none" w:sz="0" w:space="0" w:color="auto"/>
            <w:bottom w:val="none" w:sz="0" w:space="0" w:color="auto"/>
            <w:right w:val="none" w:sz="0" w:space="0" w:color="auto"/>
          </w:divBdr>
          <w:divsChild>
            <w:div w:id="1717897649">
              <w:marLeft w:val="0"/>
              <w:marRight w:val="0"/>
              <w:marTop w:val="0"/>
              <w:marBottom w:val="0"/>
              <w:divBdr>
                <w:top w:val="none" w:sz="0" w:space="0" w:color="auto"/>
                <w:left w:val="none" w:sz="0" w:space="0" w:color="auto"/>
                <w:bottom w:val="none" w:sz="0" w:space="0" w:color="auto"/>
                <w:right w:val="none" w:sz="0" w:space="0" w:color="auto"/>
              </w:divBdr>
            </w:div>
          </w:divsChild>
        </w:div>
        <w:div w:id="1628587248">
          <w:marLeft w:val="0"/>
          <w:marRight w:val="0"/>
          <w:marTop w:val="0"/>
          <w:marBottom w:val="0"/>
          <w:divBdr>
            <w:top w:val="none" w:sz="0" w:space="0" w:color="auto"/>
            <w:left w:val="none" w:sz="0" w:space="0" w:color="auto"/>
            <w:bottom w:val="none" w:sz="0" w:space="0" w:color="auto"/>
            <w:right w:val="none" w:sz="0" w:space="0" w:color="auto"/>
          </w:divBdr>
          <w:divsChild>
            <w:div w:id="1239559597">
              <w:marLeft w:val="0"/>
              <w:marRight w:val="0"/>
              <w:marTop w:val="0"/>
              <w:marBottom w:val="0"/>
              <w:divBdr>
                <w:top w:val="none" w:sz="0" w:space="0" w:color="auto"/>
                <w:left w:val="none" w:sz="0" w:space="0" w:color="auto"/>
                <w:bottom w:val="none" w:sz="0" w:space="0" w:color="auto"/>
                <w:right w:val="none" w:sz="0" w:space="0" w:color="auto"/>
              </w:divBdr>
            </w:div>
          </w:divsChild>
        </w:div>
        <w:div w:id="1928028702">
          <w:marLeft w:val="0"/>
          <w:marRight w:val="0"/>
          <w:marTop w:val="0"/>
          <w:marBottom w:val="0"/>
          <w:divBdr>
            <w:top w:val="none" w:sz="0" w:space="0" w:color="auto"/>
            <w:left w:val="none" w:sz="0" w:space="0" w:color="auto"/>
            <w:bottom w:val="none" w:sz="0" w:space="0" w:color="auto"/>
            <w:right w:val="none" w:sz="0" w:space="0" w:color="auto"/>
          </w:divBdr>
          <w:divsChild>
            <w:div w:id="1441990099">
              <w:marLeft w:val="0"/>
              <w:marRight w:val="0"/>
              <w:marTop w:val="0"/>
              <w:marBottom w:val="0"/>
              <w:divBdr>
                <w:top w:val="none" w:sz="0" w:space="0" w:color="auto"/>
                <w:left w:val="none" w:sz="0" w:space="0" w:color="auto"/>
                <w:bottom w:val="none" w:sz="0" w:space="0" w:color="auto"/>
                <w:right w:val="none" w:sz="0" w:space="0" w:color="auto"/>
              </w:divBdr>
            </w:div>
          </w:divsChild>
        </w:div>
        <w:div w:id="2137408481">
          <w:marLeft w:val="0"/>
          <w:marRight w:val="0"/>
          <w:marTop w:val="0"/>
          <w:marBottom w:val="0"/>
          <w:divBdr>
            <w:top w:val="none" w:sz="0" w:space="0" w:color="auto"/>
            <w:left w:val="none" w:sz="0" w:space="0" w:color="auto"/>
            <w:bottom w:val="none" w:sz="0" w:space="0" w:color="auto"/>
            <w:right w:val="none" w:sz="0" w:space="0" w:color="auto"/>
          </w:divBdr>
          <w:divsChild>
            <w:div w:id="2780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22450">
      <w:bodyDiv w:val="1"/>
      <w:marLeft w:val="0"/>
      <w:marRight w:val="0"/>
      <w:marTop w:val="0"/>
      <w:marBottom w:val="0"/>
      <w:divBdr>
        <w:top w:val="none" w:sz="0" w:space="0" w:color="auto"/>
        <w:left w:val="none" w:sz="0" w:space="0" w:color="auto"/>
        <w:bottom w:val="none" w:sz="0" w:space="0" w:color="auto"/>
        <w:right w:val="none" w:sz="0" w:space="0" w:color="auto"/>
      </w:divBdr>
      <w:divsChild>
        <w:div w:id="269511476">
          <w:marLeft w:val="446"/>
          <w:marRight w:val="0"/>
          <w:marTop w:val="0"/>
          <w:marBottom w:val="0"/>
          <w:divBdr>
            <w:top w:val="none" w:sz="0" w:space="0" w:color="auto"/>
            <w:left w:val="none" w:sz="0" w:space="0" w:color="auto"/>
            <w:bottom w:val="none" w:sz="0" w:space="0" w:color="auto"/>
            <w:right w:val="none" w:sz="0" w:space="0" w:color="auto"/>
          </w:divBdr>
        </w:div>
        <w:div w:id="871000180">
          <w:marLeft w:val="446"/>
          <w:marRight w:val="0"/>
          <w:marTop w:val="0"/>
          <w:marBottom w:val="0"/>
          <w:divBdr>
            <w:top w:val="none" w:sz="0" w:space="0" w:color="auto"/>
            <w:left w:val="none" w:sz="0" w:space="0" w:color="auto"/>
            <w:bottom w:val="none" w:sz="0" w:space="0" w:color="auto"/>
            <w:right w:val="none" w:sz="0" w:space="0" w:color="auto"/>
          </w:divBdr>
        </w:div>
        <w:div w:id="1943144057">
          <w:marLeft w:val="446"/>
          <w:marRight w:val="0"/>
          <w:marTop w:val="0"/>
          <w:marBottom w:val="0"/>
          <w:divBdr>
            <w:top w:val="none" w:sz="0" w:space="0" w:color="auto"/>
            <w:left w:val="none" w:sz="0" w:space="0" w:color="auto"/>
            <w:bottom w:val="none" w:sz="0" w:space="0" w:color="auto"/>
            <w:right w:val="none" w:sz="0" w:space="0" w:color="auto"/>
          </w:divBdr>
        </w:div>
        <w:div w:id="2117825345">
          <w:marLeft w:val="446"/>
          <w:marRight w:val="0"/>
          <w:marTop w:val="0"/>
          <w:marBottom w:val="0"/>
          <w:divBdr>
            <w:top w:val="none" w:sz="0" w:space="0" w:color="auto"/>
            <w:left w:val="none" w:sz="0" w:space="0" w:color="auto"/>
            <w:bottom w:val="none" w:sz="0" w:space="0" w:color="auto"/>
            <w:right w:val="none" w:sz="0" w:space="0" w:color="auto"/>
          </w:divBdr>
        </w:div>
      </w:divsChild>
    </w:div>
    <w:div w:id="1454590521">
      <w:bodyDiv w:val="1"/>
      <w:marLeft w:val="0"/>
      <w:marRight w:val="0"/>
      <w:marTop w:val="0"/>
      <w:marBottom w:val="0"/>
      <w:divBdr>
        <w:top w:val="none" w:sz="0" w:space="0" w:color="auto"/>
        <w:left w:val="none" w:sz="0" w:space="0" w:color="auto"/>
        <w:bottom w:val="none" w:sz="0" w:space="0" w:color="auto"/>
        <w:right w:val="none" w:sz="0" w:space="0" w:color="auto"/>
      </w:divBdr>
      <w:divsChild>
        <w:div w:id="82577164">
          <w:marLeft w:val="0"/>
          <w:marRight w:val="0"/>
          <w:marTop w:val="0"/>
          <w:marBottom w:val="0"/>
          <w:divBdr>
            <w:top w:val="none" w:sz="0" w:space="0" w:color="auto"/>
            <w:left w:val="none" w:sz="0" w:space="0" w:color="auto"/>
            <w:bottom w:val="none" w:sz="0" w:space="0" w:color="auto"/>
            <w:right w:val="none" w:sz="0" w:space="0" w:color="auto"/>
          </w:divBdr>
          <w:divsChild>
            <w:div w:id="1284993833">
              <w:marLeft w:val="0"/>
              <w:marRight w:val="0"/>
              <w:marTop w:val="0"/>
              <w:marBottom w:val="0"/>
              <w:divBdr>
                <w:top w:val="none" w:sz="0" w:space="0" w:color="auto"/>
                <w:left w:val="none" w:sz="0" w:space="0" w:color="auto"/>
                <w:bottom w:val="none" w:sz="0" w:space="0" w:color="auto"/>
                <w:right w:val="none" w:sz="0" w:space="0" w:color="auto"/>
              </w:divBdr>
            </w:div>
          </w:divsChild>
        </w:div>
        <w:div w:id="327908364">
          <w:marLeft w:val="0"/>
          <w:marRight w:val="0"/>
          <w:marTop w:val="0"/>
          <w:marBottom w:val="0"/>
          <w:divBdr>
            <w:top w:val="none" w:sz="0" w:space="0" w:color="auto"/>
            <w:left w:val="none" w:sz="0" w:space="0" w:color="auto"/>
            <w:bottom w:val="none" w:sz="0" w:space="0" w:color="auto"/>
            <w:right w:val="none" w:sz="0" w:space="0" w:color="auto"/>
          </w:divBdr>
          <w:divsChild>
            <w:div w:id="2125541780">
              <w:marLeft w:val="0"/>
              <w:marRight w:val="0"/>
              <w:marTop w:val="0"/>
              <w:marBottom w:val="0"/>
              <w:divBdr>
                <w:top w:val="none" w:sz="0" w:space="0" w:color="auto"/>
                <w:left w:val="none" w:sz="0" w:space="0" w:color="auto"/>
                <w:bottom w:val="none" w:sz="0" w:space="0" w:color="auto"/>
                <w:right w:val="none" w:sz="0" w:space="0" w:color="auto"/>
              </w:divBdr>
            </w:div>
          </w:divsChild>
        </w:div>
        <w:div w:id="379400223">
          <w:marLeft w:val="0"/>
          <w:marRight w:val="0"/>
          <w:marTop w:val="0"/>
          <w:marBottom w:val="0"/>
          <w:divBdr>
            <w:top w:val="none" w:sz="0" w:space="0" w:color="auto"/>
            <w:left w:val="none" w:sz="0" w:space="0" w:color="auto"/>
            <w:bottom w:val="none" w:sz="0" w:space="0" w:color="auto"/>
            <w:right w:val="none" w:sz="0" w:space="0" w:color="auto"/>
          </w:divBdr>
          <w:divsChild>
            <w:div w:id="775908190">
              <w:marLeft w:val="0"/>
              <w:marRight w:val="0"/>
              <w:marTop w:val="0"/>
              <w:marBottom w:val="0"/>
              <w:divBdr>
                <w:top w:val="none" w:sz="0" w:space="0" w:color="auto"/>
                <w:left w:val="none" w:sz="0" w:space="0" w:color="auto"/>
                <w:bottom w:val="none" w:sz="0" w:space="0" w:color="auto"/>
                <w:right w:val="none" w:sz="0" w:space="0" w:color="auto"/>
              </w:divBdr>
            </w:div>
          </w:divsChild>
        </w:div>
        <w:div w:id="518081910">
          <w:marLeft w:val="0"/>
          <w:marRight w:val="0"/>
          <w:marTop w:val="0"/>
          <w:marBottom w:val="0"/>
          <w:divBdr>
            <w:top w:val="none" w:sz="0" w:space="0" w:color="auto"/>
            <w:left w:val="none" w:sz="0" w:space="0" w:color="auto"/>
            <w:bottom w:val="none" w:sz="0" w:space="0" w:color="auto"/>
            <w:right w:val="none" w:sz="0" w:space="0" w:color="auto"/>
          </w:divBdr>
          <w:divsChild>
            <w:div w:id="1030373705">
              <w:marLeft w:val="0"/>
              <w:marRight w:val="0"/>
              <w:marTop w:val="0"/>
              <w:marBottom w:val="0"/>
              <w:divBdr>
                <w:top w:val="none" w:sz="0" w:space="0" w:color="auto"/>
                <w:left w:val="none" w:sz="0" w:space="0" w:color="auto"/>
                <w:bottom w:val="none" w:sz="0" w:space="0" w:color="auto"/>
                <w:right w:val="none" w:sz="0" w:space="0" w:color="auto"/>
              </w:divBdr>
            </w:div>
          </w:divsChild>
        </w:div>
        <w:div w:id="713390512">
          <w:marLeft w:val="0"/>
          <w:marRight w:val="0"/>
          <w:marTop w:val="0"/>
          <w:marBottom w:val="0"/>
          <w:divBdr>
            <w:top w:val="none" w:sz="0" w:space="0" w:color="auto"/>
            <w:left w:val="none" w:sz="0" w:space="0" w:color="auto"/>
            <w:bottom w:val="none" w:sz="0" w:space="0" w:color="auto"/>
            <w:right w:val="none" w:sz="0" w:space="0" w:color="auto"/>
          </w:divBdr>
          <w:divsChild>
            <w:div w:id="847524899">
              <w:marLeft w:val="0"/>
              <w:marRight w:val="0"/>
              <w:marTop w:val="0"/>
              <w:marBottom w:val="0"/>
              <w:divBdr>
                <w:top w:val="none" w:sz="0" w:space="0" w:color="auto"/>
                <w:left w:val="none" w:sz="0" w:space="0" w:color="auto"/>
                <w:bottom w:val="none" w:sz="0" w:space="0" w:color="auto"/>
                <w:right w:val="none" w:sz="0" w:space="0" w:color="auto"/>
              </w:divBdr>
            </w:div>
          </w:divsChild>
        </w:div>
        <w:div w:id="753280949">
          <w:marLeft w:val="0"/>
          <w:marRight w:val="0"/>
          <w:marTop w:val="0"/>
          <w:marBottom w:val="0"/>
          <w:divBdr>
            <w:top w:val="none" w:sz="0" w:space="0" w:color="auto"/>
            <w:left w:val="none" w:sz="0" w:space="0" w:color="auto"/>
            <w:bottom w:val="none" w:sz="0" w:space="0" w:color="auto"/>
            <w:right w:val="none" w:sz="0" w:space="0" w:color="auto"/>
          </w:divBdr>
          <w:divsChild>
            <w:div w:id="299460903">
              <w:marLeft w:val="0"/>
              <w:marRight w:val="0"/>
              <w:marTop w:val="0"/>
              <w:marBottom w:val="0"/>
              <w:divBdr>
                <w:top w:val="none" w:sz="0" w:space="0" w:color="auto"/>
                <w:left w:val="none" w:sz="0" w:space="0" w:color="auto"/>
                <w:bottom w:val="none" w:sz="0" w:space="0" w:color="auto"/>
                <w:right w:val="none" w:sz="0" w:space="0" w:color="auto"/>
              </w:divBdr>
            </w:div>
          </w:divsChild>
        </w:div>
        <w:div w:id="808518019">
          <w:marLeft w:val="0"/>
          <w:marRight w:val="0"/>
          <w:marTop w:val="0"/>
          <w:marBottom w:val="0"/>
          <w:divBdr>
            <w:top w:val="none" w:sz="0" w:space="0" w:color="auto"/>
            <w:left w:val="none" w:sz="0" w:space="0" w:color="auto"/>
            <w:bottom w:val="none" w:sz="0" w:space="0" w:color="auto"/>
            <w:right w:val="none" w:sz="0" w:space="0" w:color="auto"/>
          </w:divBdr>
          <w:divsChild>
            <w:div w:id="1507986834">
              <w:marLeft w:val="0"/>
              <w:marRight w:val="0"/>
              <w:marTop w:val="0"/>
              <w:marBottom w:val="0"/>
              <w:divBdr>
                <w:top w:val="none" w:sz="0" w:space="0" w:color="auto"/>
                <w:left w:val="none" w:sz="0" w:space="0" w:color="auto"/>
                <w:bottom w:val="none" w:sz="0" w:space="0" w:color="auto"/>
                <w:right w:val="none" w:sz="0" w:space="0" w:color="auto"/>
              </w:divBdr>
            </w:div>
          </w:divsChild>
        </w:div>
        <w:div w:id="895820579">
          <w:marLeft w:val="0"/>
          <w:marRight w:val="0"/>
          <w:marTop w:val="0"/>
          <w:marBottom w:val="0"/>
          <w:divBdr>
            <w:top w:val="none" w:sz="0" w:space="0" w:color="auto"/>
            <w:left w:val="none" w:sz="0" w:space="0" w:color="auto"/>
            <w:bottom w:val="none" w:sz="0" w:space="0" w:color="auto"/>
            <w:right w:val="none" w:sz="0" w:space="0" w:color="auto"/>
          </w:divBdr>
          <w:divsChild>
            <w:div w:id="403334963">
              <w:marLeft w:val="0"/>
              <w:marRight w:val="0"/>
              <w:marTop w:val="0"/>
              <w:marBottom w:val="0"/>
              <w:divBdr>
                <w:top w:val="none" w:sz="0" w:space="0" w:color="auto"/>
                <w:left w:val="none" w:sz="0" w:space="0" w:color="auto"/>
                <w:bottom w:val="none" w:sz="0" w:space="0" w:color="auto"/>
                <w:right w:val="none" w:sz="0" w:space="0" w:color="auto"/>
              </w:divBdr>
            </w:div>
          </w:divsChild>
        </w:div>
        <w:div w:id="935406339">
          <w:marLeft w:val="0"/>
          <w:marRight w:val="0"/>
          <w:marTop w:val="0"/>
          <w:marBottom w:val="0"/>
          <w:divBdr>
            <w:top w:val="none" w:sz="0" w:space="0" w:color="auto"/>
            <w:left w:val="none" w:sz="0" w:space="0" w:color="auto"/>
            <w:bottom w:val="none" w:sz="0" w:space="0" w:color="auto"/>
            <w:right w:val="none" w:sz="0" w:space="0" w:color="auto"/>
          </w:divBdr>
          <w:divsChild>
            <w:div w:id="391538733">
              <w:marLeft w:val="0"/>
              <w:marRight w:val="0"/>
              <w:marTop w:val="0"/>
              <w:marBottom w:val="0"/>
              <w:divBdr>
                <w:top w:val="none" w:sz="0" w:space="0" w:color="auto"/>
                <w:left w:val="none" w:sz="0" w:space="0" w:color="auto"/>
                <w:bottom w:val="none" w:sz="0" w:space="0" w:color="auto"/>
                <w:right w:val="none" w:sz="0" w:space="0" w:color="auto"/>
              </w:divBdr>
            </w:div>
          </w:divsChild>
        </w:div>
        <w:div w:id="1027754056">
          <w:marLeft w:val="0"/>
          <w:marRight w:val="0"/>
          <w:marTop w:val="0"/>
          <w:marBottom w:val="0"/>
          <w:divBdr>
            <w:top w:val="none" w:sz="0" w:space="0" w:color="auto"/>
            <w:left w:val="none" w:sz="0" w:space="0" w:color="auto"/>
            <w:bottom w:val="none" w:sz="0" w:space="0" w:color="auto"/>
            <w:right w:val="none" w:sz="0" w:space="0" w:color="auto"/>
          </w:divBdr>
          <w:divsChild>
            <w:div w:id="642734324">
              <w:marLeft w:val="0"/>
              <w:marRight w:val="0"/>
              <w:marTop w:val="0"/>
              <w:marBottom w:val="0"/>
              <w:divBdr>
                <w:top w:val="none" w:sz="0" w:space="0" w:color="auto"/>
                <w:left w:val="none" w:sz="0" w:space="0" w:color="auto"/>
                <w:bottom w:val="none" w:sz="0" w:space="0" w:color="auto"/>
                <w:right w:val="none" w:sz="0" w:space="0" w:color="auto"/>
              </w:divBdr>
            </w:div>
          </w:divsChild>
        </w:div>
        <w:div w:id="1430660143">
          <w:marLeft w:val="0"/>
          <w:marRight w:val="0"/>
          <w:marTop w:val="0"/>
          <w:marBottom w:val="0"/>
          <w:divBdr>
            <w:top w:val="none" w:sz="0" w:space="0" w:color="auto"/>
            <w:left w:val="none" w:sz="0" w:space="0" w:color="auto"/>
            <w:bottom w:val="none" w:sz="0" w:space="0" w:color="auto"/>
            <w:right w:val="none" w:sz="0" w:space="0" w:color="auto"/>
          </w:divBdr>
          <w:divsChild>
            <w:div w:id="273488206">
              <w:marLeft w:val="0"/>
              <w:marRight w:val="0"/>
              <w:marTop w:val="0"/>
              <w:marBottom w:val="0"/>
              <w:divBdr>
                <w:top w:val="none" w:sz="0" w:space="0" w:color="auto"/>
                <w:left w:val="none" w:sz="0" w:space="0" w:color="auto"/>
                <w:bottom w:val="none" w:sz="0" w:space="0" w:color="auto"/>
                <w:right w:val="none" w:sz="0" w:space="0" w:color="auto"/>
              </w:divBdr>
            </w:div>
          </w:divsChild>
        </w:div>
        <w:div w:id="1484465249">
          <w:marLeft w:val="0"/>
          <w:marRight w:val="0"/>
          <w:marTop w:val="0"/>
          <w:marBottom w:val="0"/>
          <w:divBdr>
            <w:top w:val="none" w:sz="0" w:space="0" w:color="auto"/>
            <w:left w:val="none" w:sz="0" w:space="0" w:color="auto"/>
            <w:bottom w:val="none" w:sz="0" w:space="0" w:color="auto"/>
            <w:right w:val="none" w:sz="0" w:space="0" w:color="auto"/>
          </w:divBdr>
          <w:divsChild>
            <w:div w:id="325941752">
              <w:marLeft w:val="0"/>
              <w:marRight w:val="0"/>
              <w:marTop w:val="0"/>
              <w:marBottom w:val="0"/>
              <w:divBdr>
                <w:top w:val="none" w:sz="0" w:space="0" w:color="auto"/>
                <w:left w:val="none" w:sz="0" w:space="0" w:color="auto"/>
                <w:bottom w:val="none" w:sz="0" w:space="0" w:color="auto"/>
                <w:right w:val="none" w:sz="0" w:space="0" w:color="auto"/>
              </w:divBdr>
            </w:div>
          </w:divsChild>
        </w:div>
        <w:div w:id="1570992884">
          <w:marLeft w:val="0"/>
          <w:marRight w:val="0"/>
          <w:marTop w:val="0"/>
          <w:marBottom w:val="0"/>
          <w:divBdr>
            <w:top w:val="none" w:sz="0" w:space="0" w:color="auto"/>
            <w:left w:val="none" w:sz="0" w:space="0" w:color="auto"/>
            <w:bottom w:val="none" w:sz="0" w:space="0" w:color="auto"/>
            <w:right w:val="none" w:sz="0" w:space="0" w:color="auto"/>
          </w:divBdr>
          <w:divsChild>
            <w:div w:id="2142074077">
              <w:marLeft w:val="0"/>
              <w:marRight w:val="0"/>
              <w:marTop w:val="0"/>
              <w:marBottom w:val="0"/>
              <w:divBdr>
                <w:top w:val="none" w:sz="0" w:space="0" w:color="auto"/>
                <w:left w:val="none" w:sz="0" w:space="0" w:color="auto"/>
                <w:bottom w:val="none" w:sz="0" w:space="0" w:color="auto"/>
                <w:right w:val="none" w:sz="0" w:space="0" w:color="auto"/>
              </w:divBdr>
            </w:div>
          </w:divsChild>
        </w:div>
        <w:div w:id="1606772183">
          <w:marLeft w:val="0"/>
          <w:marRight w:val="0"/>
          <w:marTop w:val="0"/>
          <w:marBottom w:val="0"/>
          <w:divBdr>
            <w:top w:val="none" w:sz="0" w:space="0" w:color="auto"/>
            <w:left w:val="none" w:sz="0" w:space="0" w:color="auto"/>
            <w:bottom w:val="none" w:sz="0" w:space="0" w:color="auto"/>
            <w:right w:val="none" w:sz="0" w:space="0" w:color="auto"/>
          </w:divBdr>
          <w:divsChild>
            <w:div w:id="1208102050">
              <w:marLeft w:val="0"/>
              <w:marRight w:val="0"/>
              <w:marTop w:val="0"/>
              <w:marBottom w:val="0"/>
              <w:divBdr>
                <w:top w:val="none" w:sz="0" w:space="0" w:color="auto"/>
                <w:left w:val="none" w:sz="0" w:space="0" w:color="auto"/>
                <w:bottom w:val="none" w:sz="0" w:space="0" w:color="auto"/>
                <w:right w:val="none" w:sz="0" w:space="0" w:color="auto"/>
              </w:divBdr>
            </w:div>
          </w:divsChild>
        </w:div>
        <w:div w:id="2008970990">
          <w:marLeft w:val="0"/>
          <w:marRight w:val="0"/>
          <w:marTop w:val="0"/>
          <w:marBottom w:val="0"/>
          <w:divBdr>
            <w:top w:val="none" w:sz="0" w:space="0" w:color="auto"/>
            <w:left w:val="none" w:sz="0" w:space="0" w:color="auto"/>
            <w:bottom w:val="none" w:sz="0" w:space="0" w:color="auto"/>
            <w:right w:val="none" w:sz="0" w:space="0" w:color="auto"/>
          </w:divBdr>
          <w:divsChild>
            <w:div w:id="1515262036">
              <w:marLeft w:val="0"/>
              <w:marRight w:val="0"/>
              <w:marTop w:val="0"/>
              <w:marBottom w:val="0"/>
              <w:divBdr>
                <w:top w:val="none" w:sz="0" w:space="0" w:color="auto"/>
                <w:left w:val="none" w:sz="0" w:space="0" w:color="auto"/>
                <w:bottom w:val="none" w:sz="0" w:space="0" w:color="auto"/>
                <w:right w:val="none" w:sz="0" w:space="0" w:color="auto"/>
              </w:divBdr>
            </w:div>
          </w:divsChild>
        </w:div>
        <w:div w:id="2044551016">
          <w:marLeft w:val="0"/>
          <w:marRight w:val="0"/>
          <w:marTop w:val="0"/>
          <w:marBottom w:val="0"/>
          <w:divBdr>
            <w:top w:val="none" w:sz="0" w:space="0" w:color="auto"/>
            <w:left w:val="none" w:sz="0" w:space="0" w:color="auto"/>
            <w:bottom w:val="none" w:sz="0" w:space="0" w:color="auto"/>
            <w:right w:val="none" w:sz="0" w:space="0" w:color="auto"/>
          </w:divBdr>
          <w:divsChild>
            <w:div w:id="44546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media/65c4a3773f634b001242c6b7/Managing_Public_Money_-_May_2023_2.pdf" TargetMode="External"/><Relationship Id="rId18" Type="http://schemas.openxmlformats.org/officeDocument/2006/relationships/hyperlink" Target="https://www.ukpharmascan.org.uk/" TargetMode="External"/><Relationship Id="rId26" Type="http://schemas.openxmlformats.org/officeDocument/2006/relationships/hyperlink" Target="https://www.ifrs.org/issued-standards/list-of-standards/ifrs-15-revenue-from-contracts-with-customers/" TargetMode="External"/><Relationship Id="rId3" Type="http://schemas.openxmlformats.org/officeDocument/2006/relationships/styles" Target="styles.xml"/><Relationship Id="rId21" Type="http://schemas.openxmlformats.org/officeDocument/2006/relationships/hyperlink" Target="https://www.nice.org.uk/about/what-we-do/our-programmes/nice-guidance/nice-technology-appraisal-guidance/charging"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ssets.publishing.service.gov.uk/media/65c4a3773f634b001242c6b7/Managing_Public_Money_-_May_2023_2.pdf" TargetMode="External"/><Relationship Id="rId17" Type="http://schemas.openxmlformats.org/officeDocument/2006/relationships/hyperlink" Target="https://assets.publishing.service.gov.uk/media/65c4a3773f634b001242c6b7/Managing_Public_Money_-_May_2023_2.pdf" TargetMode="External"/><Relationship Id="rId25" Type="http://schemas.openxmlformats.org/officeDocument/2006/relationships/hyperlink" Target="https://assets.publishing.service.gov.uk/media/65c4a3773f634b001242c6b7/Managing_Public_Money_-_May_2023_2.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ice.org.uk/about/what-we-do/our-research-work" TargetMode="External"/><Relationship Id="rId20" Type="http://schemas.openxmlformats.org/officeDocument/2006/relationships/hyperlink" Target="https://www.nice.org.uk/process/pmg40/chapter/introductio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Media/Default/About/what-we-do/NICE-guidance/consultations/TA-HST-charging-review-23-24-consultation-paper.docx" TargetMode="External"/><Relationship Id="rId24" Type="http://schemas.openxmlformats.org/officeDocument/2006/relationships/hyperlink" Target="https://www.nice.org.uk/about/who-we-are/our-principles" TargetMode="External"/><Relationship Id="rId32" Type="http://schemas.openxmlformats.org/officeDocument/2006/relationships/hyperlink" Target="https://www.nice.org.uk/process/pmg36/chapter/introduction-to-health-technology-evaluation" TargetMode="External"/><Relationship Id="rId5" Type="http://schemas.openxmlformats.org/officeDocument/2006/relationships/webSettings" Target="webSettings.xml"/><Relationship Id="rId15" Type="http://schemas.openxmlformats.org/officeDocument/2006/relationships/hyperlink" Target="https://www.nhsemployers.org/payofferFAQs" TargetMode="External"/><Relationship Id="rId23" Type="http://schemas.openxmlformats.org/officeDocument/2006/relationships/hyperlink" Target="https://www.gov.uk/government/publications/managing-public-money" TargetMode="External"/><Relationship Id="rId28" Type="http://schemas.openxmlformats.org/officeDocument/2006/relationships/header" Target="header1.xml"/><Relationship Id="rId10" Type="http://schemas.openxmlformats.org/officeDocument/2006/relationships/hyperlink" Target="https://www.nice.org.uk/Media/Default/About/what-we-do/NICE-guidance/consultations/TA-HST-charging-review-23-24-consultation-paper.docx" TargetMode="External"/><Relationship Id="rId19" Type="http://schemas.openxmlformats.org/officeDocument/2006/relationships/hyperlink" Target="https://www.gov.uk/government/publications/operational-information-sharing/operational-information-sharing-guidance" TargetMode="External"/><Relationship Id="rId31"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https://assets.publishing.service.gov.uk/media/65c4a3773f634b001242c6b7/Managing_Public_Money_-_May_2023_2.pdf" TargetMode="External"/><Relationship Id="rId14" Type="http://schemas.openxmlformats.org/officeDocument/2006/relationships/hyperlink" Target="https://www.gov.uk/government/publications/2024-voluntary-scheme-for-branded-medicines-pricing-access-and-growth" TargetMode="External"/><Relationship Id="rId22" Type="http://schemas.openxmlformats.org/officeDocument/2006/relationships/hyperlink" Target="https://www.nice.org.uk/about/what-we-do/our-programmes/nice-guidance/nice-technology-appraisal-guidance/charging" TargetMode="External"/><Relationship Id="rId27" Type="http://schemas.openxmlformats.org/officeDocument/2006/relationships/footer" Target="footer1.xml"/><Relationship Id="rId30" Type="http://schemas.openxmlformats.org/officeDocument/2006/relationships/image" Target="media/image2.emf"/><Relationship Id="rId8" Type="http://schemas.openxmlformats.org/officeDocument/2006/relationships/hyperlink" Target="https://assets.publishing.service.gov.uk/media/5c0a7da340f0b6706e13b49d/government-response-to-nice-recommendations-consultat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4780</Words>
  <Characters>27247</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31964</CharactersWithSpaces>
  <SharedDoc>false</SharedDoc>
  <HLinks>
    <vt:vector size="120" baseType="variant">
      <vt:variant>
        <vt:i4>8323176</vt:i4>
      </vt:variant>
      <vt:variant>
        <vt:i4>84</vt:i4>
      </vt:variant>
      <vt:variant>
        <vt:i4>0</vt:i4>
      </vt:variant>
      <vt:variant>
        <vt:i4>5</vt:i4>
      </vt:variant>
      <vt:variant>
        <vt:lpwstr>https://www.nice.org.uk/process/pmg36/chapter/introduction-to-health-technology-evaluation</vt:lpwstr>
      </vt:variant>
      <vt:variant>
        <vt:lpwstr/>
      </vt:variant>
      <vt:variant>
        <vt:i4>6684797</vt:i4>
      </vt:variant>
      <vt:variant>
        <vt:i4>78</vt:i4>
      </vt:variant>
      <vt:variant>
        <vt:i4>0</vt:i4>
      </vt:variant>
      <vt:variant>
        <vt:i4>5</vt:i4>
      </vt:variant>
      <vt:variant>
        <vt:lpwstr>https://www.ifrs.org/issued-standards/list-of-standards/ifrs-15-revenue-from-contracts-with-customers/</vt:lpwstr>
      </vt:variant>
      <vt:variant>
        <vt:lpwstr/>
      </vt:variant>
      <vt:variant>
        <vt:i4>2818163</vt:i4>
      </vt:variant>
      <vt:variant>
        <vt:i4>72</vt:i4>
      </vt:variant>
      <vt:variant>
        <vt:i4>0</vt:i4>
      </vt:variant>
      <vt:variant>
        <vt:i4>5</vt:i4>
      </vt:variant>
      <vt:variant>
        <vt:lpwstr>https://assets.publishing.service.gov.uk/media/65c4a3773f634b001242c6b7/Managing_Public_Money_-_May_2023_2.pdf</vt:lpwstr>
      </vt:variant>
      <vt:variant>
        <vt:lpwstr/>
      </vt:variant>
      <vt:variant>
        <vt:i4>7864432</vt:i4>
      </vt:variant>
      <vt:variant>
        <vt:i4>69</vt:i4>
      </vt:variant>
      <vt:variant>
        <vt:i4>0</vt:i4>
      </vt:variant>
      <vt:variant>
        <vt:i4>5</vt:i4>
      </vt:variant>
      <vt:variant>
        <vt:lpwstr>https://www.nice.org.uk/about/who-we-are/our-principles</vt:lpwstr>
      </vt:variant>
      <vt:variant>
        <vt:lpwstr/>
      </vt:variant>
      <vt:variant>
        <vt:i4>1572894</vt:i4>
      </vt:variant>
      <vt:variant>
        <vt:i4>66</vt:i4>
      </vt:variant>
      <vt:variant>
        <vt:i4>0</vt:i4>
      </vt:variant>
      <vt:variant>
        <vt:i4>5</vt:i4>
      </vt:variant>
      <vt:variant>
        <vt:lpwstr>https://www.gov.uk/government/publications/managing-public-money</vt:lpwstr>
      </vt:variant>
      <vt:variant>
        <vt:lpwstr/>
      </vt:variant>
      <vt:variant>
        <vt:i4>1704024</vt:i4>
      </vt:variant>
      <vt:variant>
        <vt:i4>63</vt:i4>
      </vt:variant>
      <vt:variant>
        <vt:i4>0</vt:i4>
      </vt:variant>
      <vt:variant>
        <vt:i4>5</vt:i4>
      </vt:variant>
      <vt:variant>
        <vt:lpwstr>https://www.nice.org.uk/about/what-we-do/our-programmes/nice-guidance/nice-technology-appraisal-guidance/charging</vt:lpwstr>
      </vt:variant>
      <vt:variant>
        <vt:lpwstr/>
      </vt:variant>
      <vt:variant>
        <vt:i4>1704024</vt:i4>
      </vt:variant>
      <vt:variant>
        <vt:i4>60</vt:i4>
      </vt:variant>
      <vt:variant>
        <vt:i4>0</vt:i4>
      </vt:variant>
      <vt:variant>
        <vt:i4>5</vt:i4>
      </vt:variant>
      <vt:variant>
        <vt:lpwstr>https://www.nice.org.uk/about/what-we-do/our-programmes/nice-guidance/nice-technology-appraisal-guidance/charging</vt:lpwstr>
      </vt:variant>
      <vt:variant>
        <vt:lpwstr/>
      </vt:variant>
      <vt:variant>
        <vt:i4>6488162</vt:i4>
      </vt:variant>
      <vt:variant>
        <vt:i4>57</vt:i4>
      </vt:variant>
      <vt:variant>
        <vt:i4>0</vt:i4>
      </vt:variant>
      <vt:variant>
        <vt:i4>5</vt:i4>
      </vt:variant>
      <vt:variant>
        <vt:lpwstr>https://www.nice.org.uk/process/pmg40/chapter/introduction</vt:lpwstr>
      </vt:variant>
      <vt:variant>
        <vt:lpwstr/>
      </vt:variant>
      <vt:variant>
        <vt:i4>3342385</vt:i4>
      </vt:variant>
      <vt:variant>
        <vt:i4>33</vt:i4>
      </vt:variant>
      <vt:variant>
        <vt:i4>0</vt:i4>
      </vt:variant>
      <vt:variant>
        <vt:i4>5</vt:i4>
      </vt:variant>
      <vt:variant>
        <vt:lpwstr>https://www.gov.uk/government/publications/operational-information-sharing/operational-information-sharing-guidance</vt:lpwstr>
      </vt:variant>
      <vt:variant>
        <vt:lpwstr/>
      </vt:variant>
      <vt:variant>
        <vt:i4>458818</vt:i4>
      </vt:variant>
      <vt:variant>
        <vt:i4>30</vt:i4>
      </vt:variant>
      <vt:variant>
        <vt:i4>0</vt:i4>
      </vt:variant>
      <vt:variant>
        <vt:i4>5</vt:i4>
      </vt:variant>
      <vt:variant>
        <vt:lpwstr>https://www.ukpharmascan.org.uk/</vt:lpwstr>
      </vt:variant>
      <vt:variant>
        <vt:lpwstr/>
      </vt:variant>
      <vt:variant>
        <vt:i4>2818163</vt:i4>
      </vt:variant>
      <vt:variant>
        <vt:i4>27</vt:i4>
      </vt:variant>
      <vt:variant>
        <vt:i4>0</vt:i4>
      </vt:variant>
      <vt:variant>
        <vt:i4>5</vt:i4>
      </vt:variant>
      <vt:variant>
        <vt:lpwstr>https://assets.publishing.service.gov.uk/media/65c4a3773f634b001242c6b7/Managing_Public_Money_-_May_2023_2.pdf</vt:lpwstr>
      </vt:variant>
      <vt:variant>
        <vt:lpwstr/>
      </vt:variant>
      <vt:variant>
        <vt:i4>3145852</vt:i4>
      </vt:variant>
      <vt:variant>
        <vt:i4>24</vt:i4>
      </vt:variant>
      <vt:variant>
        <vt:i4>0</vt:i4>
      </vt:variant>
      <vt:variant>
        <vt:i4>5</vt:i4>
      </vt:variant>
      <vt:variant>
        <vt:lpwstr>https://www.nice.org.uk/about/what-we-do/our-research-work</vt:lpwstr>
      </vt:variant>
      <vt:variant>
        <vt:lpwstr/>
      </vt:variant>
      <vt:variant>
        <vt:i4>5832799</vt:i4>
      </vt:variant>
      <vt:variant>
        <vt:i4>21</vt:i4>
      </vt:variant>
      <vt:variant>
        <vt:i4>0</vt:i4>
      </vt:variant>
      <vt:variant>
        <vt:i4>5</vt:i4>
      </vt:variant>
      <vt:variant>
        <vt:lpwstr>https://www.nhsemployers.org/payofferFAQs</vt:lpwstr>
      </vt:variant>
      <vt:variant>
        <vt:lpwstr/>
      </vt:variant>
      <vt:variant>
        <vt:i4>4522010</vt:i4>
      </vt:variant>
      <vt:variant>
        <vt:i4>18</vt:i4>
      </vt:variant>
      <vt:variant>
        <vt:i4>0</vt:i4>
      </vt:variant>
      <vt:variant>
        <vt:i4>5</vt:i4>
      </vt:variant>
      <vt:variant>
        <vt:lpwstr>https://www.gov.uk/government/publications/2024-voluntary-scheme-for-branded-medicines-pricing-access-and-growth</vt:lpwstr>
      </vt:variant>
      <vt:variant>
        <vt:lpwstr/>
      </vt:variant>
      <vt:variant>
        <vt:i4>2818163</vt:i4>
      </vt:variant>
      <vt:variant>
        <vt:i4>15</vt:i4>
      </vt:variant>
      <vt:variant>
        <vt:i4>0</vt:i4>
      </vt:variant>
      <vt:variant>
        <vt:i4>5</vt:i4>
      </vt:variant>
      <vt:variant>
        <vt:lpwstr>https://assets.publishing.service.gov.uk/media/65c4a3773f634b001242c6b7/Managing_Public_Money_-_May_2023_2.pdf</vt:lpwstr>
      </vt:variant>
      <vt:variant>
        <vt:lpwstr/>
      </vt:variant>
      <vt:variant>
        <vt:i4>2818163</vt:i4>
      </vt:variant>
      <vt:variant>
        <vt:i4>12</vt:i4>
      </vt:variant>
      <vt:variant>
        <vt:i4>0</vt:i4>
      </vt:variant>
      <vt:variant>
        <vt:i4>5</vt:i4>
      </vt:variant>
      <vt:variant>
        <vt:lpwstr>https://assets.publishing.service.gov.uk/media/65c4a3773f634b001242c6b7/Managing_Public_Money_-_May_2023_2.pdf</vt:lpwstr>
      </vt:variant>
      <vt:variant>
        <vt:lpwstr/>
      </vt:variant>
      <vt:variant>
        <vt:i4>2949170</vt:i4>
      </vt:variant>
      <vt:variant>
        <vt:i4>9</vt:i4>
      </vt:variant>
      <vt:variant>
        <vt:i4>0</vt:i4>
      </vt:variant>
      <vt:variant>
        <vt:i4>5</vt:i4>
      </vt:variant>
      <vt:variant>
        <vt:lpwstr>https://www.nice.org.uk/Media/Default/About/what-we-do/NICE-guidance/consultations/TA-HST-charging-review-23-24-consultation-paper.docx</vt:lpwstr>
      </vt:variant>
      <vt:variant>
        <vt:lpwstr/>
      </vt:variant>
      <vt:variant>
        <vt:i4>2949170</vt:i4>
      </vt:variant>
      <vt:variant>
        <vt:i4>6</vt:i4>
      </vt:variant>
      <vt:variant>
        <vt:i4>0</vt:i4>
      </vt:variant>
      <vt:variant>
        <vt:i4>5</vt:i4>
      </vt:variant>
      <vt:variant>
        <vt:lpwstr>https://www.nice.org.uk/Media/Default/About/what-we-do/NICE-guidance/consultations/TA-HST-charging-review-23-24-consultation-paper.docx</vt:lpwstr>
      </vt:variant>
      <vt:variant>
        <vt:lpwstr/>
      </vt:variant>
      <vt:variant>
        <vt:i4>2818163</vt:i4>
      </vt:variant>
      <vt:variant>
        <vt:i4>3</vt:i4>
      </vt:variant>
      <vt:variant>
        <vt:i4>0</vt:i4>
      </vt:variant>
      <vt:variant>
        <vt:i4>5</vt:i4>
      </vt:variant>
      <vt:variant>
        <vt:lpwstr>https://assets.publishing.service.gov.uk/media/65c4a3773f634b001242c6b7/Managing_Public_Money_-_May_2023_2.pdf</vt:lpwstr>
      </vt:variant>
      <vt:variant>
        <vt:lpwstr/>
      </vt:variant>
      <vt:variant>
        <vt:i4>5505042</vt:i4>
      </vt:variant>
      <vt:variant>
        <vt:i4>0</vt:i4>
      </vt:variant>
      <vt:variant>
        <vt:i4>0</vt:i4>
      </vt:variant>
      <vt:variant>
        <vt:i4>5</vt:i4>
      </vt:variant>
      <vt:variant>
        <vt:lpwstr>https://assets.publishing.service.gov.uk/media/5c0a7da340f0b6706e13b49d/government-response-to-nice-recommendations-consultation.pdf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2024-03-11T09:56:00Z</dcterms:created>
  <dcterms:modified xsi:type="dcterms:W3CDTF">2024-03-11T09:56:00Z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2024-03-11T09:55:54Z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4d32a62e-57a6-49f4-87c0-ea23f5494065</vt:lpwstr>
  </property>
  <property fmtid="{D5CDD505-2E9C-101B-9397-08002B2CF9AE}" pid="8" name="MSIP_Label_c69d85d5-6d9e-4305-a294-1f636ec0f2d6_ContentBits">
    <vt:lpwstr>0</vt:lpwstr>
  </property>
</Properties>
</file>