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7BEA2A2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B27FA6">
        <w:t>Confirmed</w:t>
      </w:r>
    </w:p>
    <w:p w14:paraId="28A3F06E" w14:textId="28CAE905" w:rsidR="00BA4EAD" w:rsidRPr="00AE7DC4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9059F1" w:rsidRPr="00AE7DC4">
        <w:t>Thursday 11 January 2024</w:t>
      </w:r>
    </w:p>
    <w:p w14:paraId="344B8760" w14:textId="73E71C5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0F73E8F7" w:rsidR="008E43A3" w:rsidRPr="008F23CE" w:rsidRDefault="008E43A3" w:rsidP="00765321">
      <w:pPr>
        <w:pStyle w:val="Paragraph"/>
      </w:pPr>
      <w:r w:rsidRPr="008F23CE">
        <w:t xml:space="preserve">Dr </w:t>
      </w:r>
      <w:r w:rsidR="006D4FAC">
        <w:t>Raju Reddy</w:t>
      </w:r>
      <w:r w:rsidRPr="008F23CE">
        <w:t xml:space="preserve"> (</w:t>
      </w:r>
      <w:r w:rsidR="00EC4CE4" w:rsidRPr="008F23CE">
        <w:t>V</w:t>
      </w:r>
      <w:r w:rsidRPr="008F23CE">
        <w:t>ice-chair)</w:t>
      </w:r>
      <w:r w:rsidRPr="008F23CE">
        <w:tab/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2A732D5" w14:textId="4167A713" w:rsidR="00765321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9563C4">
        <w:t>Items 5.1.1 to 5.2.2</w:t>
      </w:r>
    </w:p>
    <w:p w14:paraId="3B7C8127" w14:textId="3A560944" w:rsidR="002E7EB0" w:rsidRPr="008F23CE" w:rsidRDefault="002E7EB0" w:rsidP="002E7EB0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61A547B" w14:textId="79B62A73" w:rsidR="00F07E8B" w:rsidRPr="008F23CE" w:rsidRDefault="00F07E8B" w:rsidP="0076532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6B4B083" w14:textId="7D1E42BE" w:rsidR="003E00F3" w:rsidRPr="008F23CE" w:rsidRDefault="003E00F3" w:rsidP="00765321">
      <w:pPr>
        <w:pStyle w:val="Paragraph"/>
      </w:pPr>
      <w:r w:rsidRPr="008F23CE">
        <w:t>Christopher Herring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9563C4">
        <w:t>Items 1.1 to 4.1.3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247635C8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1E4CE218" w14:textId="65FA082E" w:rsidR="00765321" w:rsidRPr="008F23CE" w:rsidRDefault="008E43A3" w:rsidP="00765321">
      <w:pPr>
        <w:pStyle w:val="Paragrap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765321" w:rsidRPr="008F23CE">
        <w:t xml:space="preserve">Present for all </w:t>
      </w:r>
      <w:proofErr w:type="gramStart"/>
      <w:r w:rsidR="00765321" w:rsidRPr="008F23CE">
        <w:t>items</w:t>
      </w:r>
      <w:proofErr w:type="gramEnd"/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  <w:r w:rsidRPr="008F23CE">
        <w:t xml:space="preserve"> </w:t>
      </w:r>
    </w:p>
    <w:p w14:paraId="55913EA5" w14:textId="4EA3D212" w:rsidR="00E93282" w:rsidRPr="008F23CE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C8EE294" w14:textId="22D673C5" w:rsidR="00EA19A3" w:rsidRPr="008F23CE" w:rsidRDefault="00EA19A3" w:rsidP="004344FB">
      <w:pPr>
        <w:pStyle w:val="Paragraph"/>
      </w:pPr>
      <w:r>
        <w:t xml:space="preserve">Dr Paula </w:t>
      </w:r>
      <w:proofErr w:type="spellStart"/>
      <w:r w:rsidRPr="00EA19A3">
        <w:t>Parvulescu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A19A3">
        <w:t xml:space="preserve">Present for all </w:t>
      </w:r>
      <w:proofErr w:type="gramStart"/>
      <w:r w:rsidRPr="00EA19A3">
        <w:t>items</w:t>
      </w:r>
      <w:proofErr w:type="gramEnd"/>
    </w:p>
    <w:p w14:paraId="49B656A5" w14:textId="207A7326" w:rsidR="00765321" w:rsidRPr="008F23CE" w:rsidRDefault="003E00F3" w:rsidP="00765321">
      <w:pPr>
        <w:pStyle w:val="Paragraph"/>
      </w:pPr>
      <w:r w:rsidRPr="008F23CE">
        <w:t>Dr Rebecca Payne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  <w:r w:rsidR="00765321" w:rsidRPr="008F23CE">
        <w:t xml:space="preserve"> 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70BE8D60" w14:textId="16E77E9A" w:rsid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A206EF5" w14:textId="5BAE111D" w:rsidR="006304E2" w:rsidRDefault="006304E2" w:rsidP="00765321">
      <w:pPr>
        <w:pStyle w:val="Paragraph"/>
      </w:pPr>
      <w:r>
        <w:t>Will Sullivan</w:t>
      </w:r>
      <w:r>
        <w:tab/>
      </w:r>
      <w:r>
        <w:tab/>
      </w:r>
      <w:r>
        <w:tab/>
      </w:r>
      <w:r>
        <w:tab/>
      </w:r>
      <w:r>
        <w:tab/>
      </w:r>
      <w:r w:rsidR="009563C4">
        <w:t>Items 1.1 to 4.1.3</w:t>
      </w:r>
    </w:p>
    <w:p w14:paraId="2FCF69FD" w14:textId="240FAF2D" w:rsidR="005312CF" w:rsidRPr="008F23CE" w:rsidRDefault="005312CF" w:rsidP="005312CF">
      <w:pPr>
        <w:pStyle w:val="Paragraph"/>
      </w:pPr>
      <w:r>
        <w:t>Dr Zenas Yiu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2B15E660" w:rsidR="002405C0" w:rsidRDefault="00796F0C" w:rsidP="002405C0">
      <w:pPr>
        <w:pStyle w:val="Paragraphnonumbers"/>
      </w:pPr>
      <w:r>
        <w:t>Linda 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521E95">
        <w:t>Present for all items</w:t>
      </w:r>
    </w:p>
    <w:p w14:paraId="206B205F" w14:textId="14B305A9" w:rsidR="002405C0" w:rsidRDefault="00796F0C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521E95">
        <w:t>Present for all items</w:t>
      </w:r>
    </w:p>
    <w:p w14:paraId="48C59EE6" w14:textId="62C1B52A" w:rsidR="002405C0" w:rsidRDefault="001D3522" w:rsidP="002405C0">
      <w:pPr>
        <w:pStyle w:val="Paragraphnonumbers"/>
      </w:pPr>
      <w:r>
        <w:t>Lizzie Walker</w:t>
      </w:r>
      <w:r w:rsidR="002405C0" w:rsidRPr="002B5720">
        <w:t xml:space="preserve">, </w:t>
      </w:r>
      <w:r w:rsidR="002405C0" w:rsidRPr="001501C0">
        <w:t>Heath Technology Assessment Adviser</w:t>
      </w:r>
      <w:r>
        <w:tab/>
      </w:r>
      <w:r w:rsidR="002405C0">
        <w:tab/>
      </w:r>
      <w:r w:rsidR="009563C4">
        <w:t>Items 1.1 to 4.1.3</w:t>
      </w:r>
    </w:p>
    <w:p w14:paraId="606DB4D8" w14:textId="64A4CBED" w:rsidR="002405C0" w:rsidRDefault="001D3522" w:rsidP="002405C0">
      <w:pPr>
        <w:pStyle w:val="Paragraphnonumbers"/>
      </w:pPr>
      <w:r>
        <w:t>Dilan Savani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9563C4">
        <w:t>Items 1.1 to 4.1.3</w:t>
      </w:r>
    </w:p>
    <w:p w14:paraId="6FC27CF4" w14:textId="524261C6" w:rsidR="001D3522" w:rsidRDefault="001D3522" w:rsidP="001D3522">
      <w:pPr>
        <w:pStyle w:val="Paragraphnonumbers"/>
      </w:pPr>
      <w:r>
        <w:t>Mary Hughes</w:t>
      </w:r>
      <w:r w:rsidRPr="002B5720">
        <w:t xml:space="preserve">, </w:t>
      </w:r>
      <w:r w:rsidRPr="001501C0">
        <w:t>Heath Technology Assessment Adviser</w:t>
      </w:r>
      <w:r>
        <w:tab/>
      </w:r>
      <w:r>
        <w:tab/>
      </w:r>
      <w:r w:rsidR="009563C4">
        <w:t>Items 5.1.1 to 5.2.2</w:t>
      </w:r>
    </w:p>
    <w:p w14:paraId="027F7BF1" w14:textId="43490C61" w:rsidR="001D3522" w:rsidRDefault="00AD588F" w:rsidP="002405C0">
      <w:pPr>
        <w:pStyle w:val="Paragraphnonumbers"/>
      </w:pPr>
      <w:r>
        <w:t>Anita Sangha</w:t>
      </w:r>
      <w:r w:rsidR="001D3522" w:rsidRPr="002B5720">
        <w:t xml:space="preserve">, </w:t>
      </w:r>
      <w:r w:rsidR="001D3522" w:rsidRPr="001501C0">
        <w:t>Heath Technology Assessment Analyst</w:t>
      </w:r>
      <w:r w:rsidR="001D3522" w:rsidRPr="002B5720">
        <w:tab/>
      </w:r>
      <w:r w:rsidR="001D3522">
        <w:tab/>
      </w:r>
      <w:r w:rsidR="009563C4">
        <w:t>Items 5.1.1 to 5.2.2</w:t>
      </w:r>
    </w:p>
    <w:p w14:paraId="760D9BC5" w14:textId="2EEB71C1" w:rsidR="009706E8" w:rsidRDefault="002405C0" w:rsidP="009706E8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p w14:paraId="2C0B419C" w14:textId="3D103B3D" w:rsidR="009706E8" w:rsidRPr="009706E8" w:rsidRDefault="009706E8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Robert Wolf, KSR - EAG representative </w:t>
      </w: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46E0D689" w14:textId="25006DB9" w:rsidR="009706E8" w:rsidRPr="009706E8" w:rsidRDefault="009706E8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Willem </w:t>
      </w:r>
      <w:proofErr w:type="spellStart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>Witlox</w:t>
      </w:r>
      <w:proofErr w:type="spellEnd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>, KSR - EAG representative</w:t>
      </w: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3A932FF2" w14:textId="68880A94" w:rsidR="009706E8" w:rsidRPr="009706E8" w:rsidRDefault="009706E8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Caroline Farmer, </w:t>
      </w:r>
      <w:proofErr w:type="spellStart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>PenTAG</w:t>
      </w:r>
      <w:proofErr w:type="spellEnd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- EAG representative</w:t>
      </w: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5.1.1 to 5.1.3</w:t>
      </w:r>
    </w:p>
    <w:p w14:paraId="3BA31927" w14:textId="147FE824" w:rsidR="009706E8" w:rsidRPr="009706E8" w:rsidRDefault="009706E8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>Ash</w:t>
      </w:r>
      <w:r w:rsidR="00AE7DC4">
        <w:rPr>
          <w:rFonts w:eastAsia="Times New Roman"/>
          <w:bCs w:val="0"/>
          <w:color w:val="000000"/>
          <w:sz w:val="24"/>
          <w:szCs w:val="24"/>
          <w:lang w:eastAsia="en-GB"/>
        </w:rPr>
        <w:t>ley</w:t>
      </w: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</w:t>
      </w:r>
      <w:proofErr w:type="spellStart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>Bullement</w:t>
      </w:r>
      <w:proofErr w:type="spellEnd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proofErr w:type="spellStart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>PenTAG</w:t>
      </w:r>
      <w:proofErr w:type="spellEnd"/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- EAG representative</w:t>
      </w:r>
      <w:r w:rsidRPr="009706E8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5.1.1 to 5.1.3</w:t>
      </w:r>
    </w:p>
    <w:p w14:paraId="27A9BBA5" w14:textId="77777777" w:rsidR="009706E8" w:rsidRPr="009706E8" w:rsidRDefault="009706E8" w:rsidP="009706E8">
      <w:pPr>
        <w:pStyle w:val="Paragraphnonumbers"/>
        <w:rPr>
          <w:lang w:eastAsia="en-US"/>
        </w:rPr>
      </w:pPr>
    </w:p>
    <w:bookmarkEnd w:id="1"/>
    <w:p w14:paraId="3D276209" w14:textId="0037E271" w:rsidR="002405C0" w:rsidRPr="006231D3" w:rsidRDefault="002405C0" w:rsidP="002405C0">
      <w:pPr>
        <w:pStyle w:val="Heading3unnumbered"/>
      </w:pPr>
      <w:r>
        <w:t>Clinical</w:t>
      </w:r>
      <w:r w:rsidR="00521E95">
        <w:t xml:space="preserve"> &amp;</w:t>
      </w:r>
      <w:r>
        <w:t xml:space="preserve"> Patient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4C17A902" w14:textId="77777777" w:rsidR="00A269F7" w:rsidRDefault="00A269F7" w:rsidP="009706E8">
      <w:pPr>
        <w:tabs>
          <w:tab w:val="left" w:pos="6487"/>
        </w:tabs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Lisa Suchet, Patient Expert, nominated by Tuberous Sclerosis Association</w:t>
      </w:r>
    </w:p>
    <w:p w14:paraId="5F9777BF" w14:textId="5EEB4363" w:rsidR="00A269F7" w:rsidRPr="00A269F7" w:rsidRDefault="00A269F7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14EE6E19" w14:textId="77777777" w:rsidR="00A269F7" w:rsidRDefault="00A269F7" w:rsidP="009706E8">
      <w:pPr>
        <w:tabs>
          <w:tab w:val="left" w:pos="6487"/>
        </w:tabs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Pooja Takhar, Patient expert, nominated by Vitiligo Support UK</w:t>
      </w:r>
    </w:p>
    <w:p w14:paraId="50D9C36F" w14:textId="45CD0E36" w:rsidR="00A269F7" w:rsidRPr="00A269F7" w:rsidRDefault="00A269F7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4D2B6C7D" w14:textId="23BE0C31" w:rsidR="00A269F7" w:rsidRPr="00A269F7" w:rsidRDefault="000206C6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Professor </w:t>
      </w:r>
      <w:r w:rsidR="00A269F7"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Helen Cross, Director of the UCL Great Ormond Street Institute of Child Health – clinical expert, nominated by UCB Pharma</w:t>
      </w:r>
      <w:r w:rsidR="00A269F7"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13967CEC" w14:textId="77777777" w:rsidR="00A269F7" w:rsidRDefault="00A269F7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Victoria Tsang, Highly Specialist Paediatric Pharmacist – Neuroscience – clinical expert nominated by Neonatal &amp; Paediatric Pharmacists Group (NPPG)</w:t>
      </w:r>
    </w:p>
    <w:p w14:paraId="15EDD838" w14:textId="324C745D" w:rsidR="00A269F7" w:rsidRPr="00A269F7" w:rsidRDefault="00A269F7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608CA9E5" w14:textId="636139AA" w:rsidR="00A269F7" w:rsidRPr="00A269F7" w:rsidRDefault="000206C6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A269F7"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Rhys Thomas, Clinical Senior Lecturer, Honorary Consultant in Epilepsy – clinical expert nominated by UCB Pharma</w:t>
      </w:r>
      <w:r w:rsidR="00A269F7"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7CD4C240" w14:textId="480354EA" w:rsidR="00A269F7" w:rsidRDefault="000206C6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A269F7"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Jonathan Bachelor, Consultant Dermatologist; Clinical Lead for Dermatology (PRUH and South Sites) – clinical expert, nominated by Vitiligo Support UK</w:t>
      </w:r>
    </w:p>
    <w:p w14:paraId="0F5E8FF5" w14:textId="4B8F3010" w:rsidR="00A269F7" w:rsidRPr="00A269F7" w:rsidRDefault="00A269F7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5.1.1 to 5.1.3</w:t>
      </w:r>
    </w:p>
    <w:p w14:paraId="519431D8" w14:textId="1E8CC436" w:rsidR="00A269F7" w:rsidRDefault="000206C6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A269F7"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Viktoria Eleftheriadou, Consultant Dermatologist; Associate Professor – clinical expert, nominated by British Association of Dermatologists (BAD)</w:t>
      </w:r>
    </w:p>
    <w:p w14:paraId="39C574B5" w14:textId="10224619" w:rsidR="00A269F7" w:rsidRPr="00A269F7" w:rsidRDefault="00A269F7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5.1.1 to 5.1.3</w:t>
      </w:r>
    </w:p>
    <w:p w14:paraId="671B2143" w14:textId="256538A7" w:rsidR="00A269F7" w:rsidRPr="00A269F7" w:rsidRDefault="00A269F7" w:rsidP="009706E8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Emma Rush, CEO of Vitiligo Support UK – patient expert, nominated by </w:t>
      </w:r>
      <w:r w:rsidR="00E25730" w:rsidRPr="00E25730">
        <w:rPr>
          <w:rFonts w:eastAsia="Times New Roman"/>
          <w:bCs w:val="0"/>
          <w:color w:val="000000"/>
          <w:sz w:val="24"/>
          <w:szCs w:val="24"/>
          <w:lang w:eastAsia="en-GB"/>
        </w:rPr>
        <w:t>Tuberous Sclerosis Association</w:t>
      </w:r>
      <w:r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5.1.1 to 5.1.3</w:t>
      </w:r>
    </w:p>
    <w:p w14:paraId="4A786814" w14:textId="6256916A" w:rsidR="00A269F7" w:rsidRDefault="00A269F7" w:rsidP="006E4055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Pawan</w:t>
      </w:r>
      <w:r w:rsidR="006E4055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</w:t>
      </w:r>
      <w:r w:rsidRPr="00A269F7">
        <w:rPr>
          <w:rFonts w:eastAsia="Times New Roman"/>
          <w:bCs w:val="0"/>
          <w:color w:val="000000"/>
          <w:sz w:val="24"/>
          <w:szCs w:val="24"/>
          <w:lang w:eastAsia="en-GB"/>
        </w:rPr>
        <w:t>Korpal, Patient expert, nominated by Vitiligo Support UK</w:t>
      </w:r>
    </w:p>
    <w:p w14:paraId="16D7FB8E" w14:textId="62C17BAA" w:rsidR="00A269F7" w:rsidRPr="00A269F7" w:rsidRDefault="00A269F7" w:rsidP="00A269F7">
      <w:pPr>
        <w:tabs>
          <w:tab w:val="left" w:pos="6487"/>
        </w:tabs>
        <w:spacing w:after="120"/>
        <w:ind w:left="108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563C4">
        <w:rPr>
          <w:rFonts w:eastAsia="Times New Roman"/>
          <w:bCs w:val="0"/>
          <w:color w:val="000000"/>
          <w:sz w:val="24"/>
          <w:szCs w:val="24"/>
          <w:lang w:eastAsia="en-GB"/>
        </w:rPr>
        <w:t>Items 5.1.1 to 5.1.3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15509088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6E4055">
        <w:t xml:space="preserve">The </w:t>
      </w:r>
      <w:r w:rsidR="00F542D5" w:rsidRPr="006E4055">
        <w:t>Chair,</w:t>
      </w:r>
      <w:r w:rsidR="00F542D5">
        <w:t xml:space="preserve"> Dr Megan John,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21C2598E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F542D5">
        <w:t>Chair</w:t>
      </w:r>
      <w:r>
        <w:t xml:space="preserve"> noted apologies from </w:t>
      </w:r>
      <w:r w:rsidR="00BD3660">
        <w:t>Elliot Dash and Giles Monnickendam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2642B5F4" w:rsidR="002405C0" w:rsidRPr="00205638" w:rsidRDefault="00955C58" w:rsidP="002405C0">
      <w:pPr>
        <w:pStyle w:val="Level2numbered"/>
        <w:numPr>
          <w:ilvl w:val="1"/>
          <w:numId w:val="5"/>
        </w:numPr>
      </w:pPr>
      <w:r>
        <w:t>None</w:t>
      </w:r>
      <w:r w:rsidR="002405C0">
        <w:t>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2F3FD734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89097B">
        <w:t>Thursday 14 December 2023</w:t>
      </w:r>
      <w:r w:rsidRPr="005E2873">
        <w:rPr>
          <w:highlight w:val="lightGray"/>
        </w:rPr>
        <w:t xml:space="preserve"> </w:t>
      </w:r>
    </w:p>
    <w:p w14:paraId="766D22C7" w14:textId="1EA68F75" w:rsidR="002405C0" w:rsidRPr="00205638" w:rsidRDefault="002405C0" w:rsidP="00A65D06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A65D06" w:rsidRPr="00A65D06">
        <w:rPr>
          <w:bCs w:val="0"/>
        </w:rPr>
        <w:t>Fenfluramine hydrochloride for treating Lennox-</w:t>
      </w:r>
      <w:proofErr w:type="spellStart"/>
      <w:r w:rsidR="00A65D06" w:rsidRPr="00A65D06">
        <w:rPr>
          <w:bCs w:val="0"/>
        </w:rPr>
        <w:t>Gastaut</w:t>
      </w:r>
      <w:proofErr w:type="spellEnd"/>
      <w:r w:rsidR="00A65D06" w:rsidRPr="00A65D06">
        <w:rPr>
          <w:bCs w:val="0"/>
        </w:rPr>
        <w:t xml:space="preserve"> seizures in people aged 2 and over [ID1651]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3D8EF241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F542D5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1D1C5C">
        <w:t xml:space="preserve">representatives, members of the public and company representatives from </w:t>
      </w:r>
      <w:r w:rsidR="00BA52B8" w:rsidRPr="001D1C5C">
        <w:t>UCB Pharma</w:t>
      </w:r>
      <w:r>
        <w:t xml:space="preserve"> </w:t>
      </w:r>
    </w:p>
    <w:p w14:paraId="7842EE9C" w14:textId="1E3ED968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F542D5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7" w:history="1">
        <w:r w:rsidR="00711346" w:rsidRPr="00CC0546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76E758DE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F542D5">
        <w:t>Chair</w:t>
      </w:r>
      <w:r w:rsidRPr="00C02D61">
        <w:t xml:space="preserve"> </w:t>
      </w:r>
      <w:r>
        <w:t xml:space="preserve">led a discussion </w:t>
      </w:r>
      <w:r w:rsidR="00CA6196">
        <w:t>of the evidence presented to the committee.</w:t>
      </w:r>
      <w:r>
        <w:t xml:space="preserve"> This information was presented to the committee by</w:t>
      </w:r>
      <w:r w:rsidR="0048146B">
        <w:t xml:space="preserve"> Dr Raju Reddy, Paul Caulfield</w:t>
      </w:r>
      <w:r w:rsidR="001E2711">
        <w:t>,</w:t>
      </w:r>
      <w:r w:rsidR="001758F3">
        <w:t xml:space="preserve"> and Will Sullivan.</w:t>
      </w:r>
    </w:p>
    <w:bookmarkEnd w:id="5"/>
    <w:p w14:paraId="2F1BDE47" w14:textId="26848CBF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1758F3" w:rsidRPr="001E2711">
        <w:t>patient and clinical</w:t>
      </w:r>
      <w:r w:rsidRPr="001E2711">
        <w:t xml:space="preserve"> experts, external assessment group representatives and members</w:t>
      </w:r>
      <w:r w:rsidRPr="001F551E">
        <w:t xml:space="preserve"> of the public were asked to leave the meeting)</w:t>
      </w:r>
    </w:p>
    <w:p w14:paraId="5B2B1A0A" w14:textId="2C2CDBB2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1758F3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19E66A51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D03AD4" w:rsidRPr="00D5033B">
          <w:rPr>
            <w:rStyle w:val="Hyperlink"/>
          </w:rPr>
          <w:t>https://www.nice.org.uk/guidance/indevelopment/gid-ta10653</w:t>
        </w:r>
      </w:hyperlink>
      <w:r w:rsidR="00D03AD4">
        <w:t xml:space="preserve"> </w:t>
      </w:r>
    </w:p>
    <w:bookmarkEnd w:id="3"/>
    <w:p w14:paraId="223963D0" w14:textId="72D7A9BA" w:rsidR="002405C0" w:rsidRPr="00205638" w:rsidRDefault="002405C0" w:rsidP="00105DF2">
      <w:pPr>
        <w:pStyle w:val="Heading3"/>
      </w:pPr>
      <w:r>
        <w:t>Appraisal</w:t>
      </w:r>
      <w:r w:rsidRPr="00205638">
        <w:t xml:space="preserve"> of </w:t>
      </w:r>
      <w:proofErr w:type="spellStart"/>
      <w:r w:rsidR="00105DF2" w:rsidRPr="00105DF2">
        <w:rPr>
          <w:bCs w:val="0"/>
        </w:rPr>
        <w:t>Ruxolitinib</w:t>
      </w:r>
      <w:proofErr w:type="spellEnd"/>
      <w:r w:rsidR="00105DF2" w:rsidRPr="00105DF2">
        <w:rPr>
          <w:bCs w:val="0"/>
        </w:rPr>
        <w:t xml:space="preserve"> for treating non-segmental vitiligo in people 12 years and over [ID3998]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7C3707AD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F542D5">
        <w:t>Chair</w:t>
      </w:r>
      <w:r w:rsidR="00307D53">
        <w:t>, Dr Megan John,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24AD1" w:rsidRPr="00C24AD1">
        <w:t>Incyte Corporation</w:t>
      </w:r>
      <w:r>
        <w:t xml:space="preserve"> </w:t>
      </w:r>
    </w:p>
    <w:p w14:paraId="30C70F4C" w14:textId="589CBA59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F542D5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9" w:history="1">
        <w:r w:rsidR="00711346" w:rsidRPr="00497471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609BB789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F542D5">
        <w:t>Chair</w:t>
      </w:r>
      <w:r w:rsidRPr="00C02D61">
        <w:t xml:space="preserve"> </w:t>
      </w:r>
      <w:r>
        <w:t xml:space="preserve">led a discussion </w:t>
      </w:r>
      <w:r w:rsidR="00307D53">
        <w:t xml:space="preserve">of the evidence presented to the committee. </w:t>
      </w:r>
      <w:r>
        <w:t xml:space="preserve">This information was presented to the committee by </w:t>
      </w:r>
      <w:r w:rsidR="00291627">
        <w:t>Carole Pitkeathley, Dr Ben Searle</w:t>
      </w:r>
      <w:r w:rsidR="00756C9C">
        <w:t>,</w:t>
      </w:r>
      <w:r w:rsidR="00291627">
        <w:t xml:space="preserve"> and Dr Matthew Bradley</w:t>
      </w:r>
      <w:r w:rsidR="009A23F1">
        <w:t>.</w:t>
      </w:r>
    </w:p>
    <w:p w14:paraId="3DCDA8CB" w14:textId="1E991C6B" w:rsidR="002405C0" w:rsidRPr="00150092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150092">
        <w:t xml:space="preserve">representatives, </w:t>
      </w:r>
      <w:r w:rsidR="00075B82" w:rsidRPr="00150092">
        <w:t>patient and clinical</w:t>
      </w:r>
      <w:r w:rsidRPr="00150092">
        <w:t xml:space="preserve"> experts, external assessment group representatives and members of the public were asked to leave the meeting)</w:t>
      </w:r>
    </w:p>
    <w:p w14:paraId="15D15289" w14:textId="7BFD9DCD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EA425C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4622B112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A571D5" w:rsidRPr="00D5033B">
          <w:rPr>
            <w:rStyle w:val="Hyperlink"/>
          </w:rPr>
          <w:t>https://www.nice.org.uk/guidance/indevelopment/gid-ta10893</w:t>
        </w:r>
      </w:hyperlink>
      <w:r w:rsidR="00A571D5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47F2C11F" w:rsidR="00135794" w:rsidRPr="001F551E" w:rsidRDefault="007507BD" w:rsidP="00BE2813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7D26D7">
        <w:t>Thursday 8 February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D26D7">
        <w:t>9:00am</w:t>
      </w:r>
      <w:r w:rsidR="00236AD0" w:rsidRPr="001F551E">
        <w:t>.</w:t>
      </w: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098E" w14:textId="77777777" w:rsidR="00BB3BDA" w:rsidRDefault="00BB3BDA" w:rsidP="006231D3">
      <w:r>
        <w:separator/>
      </w:r>
    </w:p>
  </w:endnote>
  <w:endnote w:type="continuationSeparator" w:id="0">
    <w:p w14:paraId="60B50ABC" w14:textId="77777777" w:rsidR="00BB3BDA" w:rsidRDefault="00BB3BDA" w:rsidP="006231D3">
      <w:r>
        <w:continuationSeparator/>
      </w:r>
    </w:p>
  </w:endnote>
  <w:endnote w:type="continuationNotice" w:id="1">
    <w:p w14:paraId="211B6212" w14:textId="77777777" w:rsidR="00BB3BDA" w:rsidRDefault="00BB3BD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8345C">
      <w:fldChar w:fldCharType="begin"/>
    </w:r>
    <w:r w:rsidR="0098345C">
      <w:instrText xml:space="preserve"> NUMPAGES  </w:instrText>
    </w:r>
    <w:r w:rsidR="0098345C">
      <w:fldChar w:fldCharType="separate"/>
    </w:r>
    <w:r>
      <w:rPr>
        <w:noProof/>
      </w:rPr>
      <w:t>5</w:t>
    </w:r>
    <w:r w:rsidR="0098345C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BFFC" w14:textId="77777777" w:rsidR="00BB3BDA" w:rsidRDefault="00BB3BDA" w:rsidP="006231D3">
      <w:r>
        <w:separator/>
      </w:r>
    </w:p>
  </w:footnote>
  <w:footnote w:type="continuationSeparator" w:id="0">
    <w:p w14:paraId="3BBA20F8" w14:textId="77777777" w:rsidR="00BB3BDA" w:rsidRDefault="00BB3BDA" w:rsidP="006231D3">
      <w:r>
        <w:continuationSeparator/>
      </w:r>
    </w:p>
  </w:footnote>
  <w:footnote w:type="continuationNotice" w:id="1">
    <w:p w14:paraId="16D0422A" w14:textId="77777777" w:rsidR="00BB3BDA" w:rsidRDefault="00BB3BD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06C6"/>
    <w:rsid w:val="00031524"/>
    <w:rsid w:val="00040BED"/>
    <w:rsid w:val="000411A2"/>
    <w:rsid w:val="00044FC1"/>
    <w:rsid w:val="00053C24"/>
    <w:rsid w:val="000666C4"/>
    <w:rsid w:val="00075B82"/>
    <w:rsid w:val="00080C80"/>
    <w:rsid w:val="00083CF9"/>
    <w:rsid w:val="00085585"/>
    <w:rsid w:val="000A2080"/>
    <w:rsid w:val="000A3C2F"/>
    <w:rsid w:val="000A687D"/>
    <w:rsid w:val="000C4E08"/>
    <w:rsid w:val="000D1197"/>
    <w:rsid w:val="000D5F50"/>
    <w:rsid w:val="000F04B6"/>
    <w:rsid w:val="000F4E0D"/>
    <w:rsid w:val="0010461D"/>
    <w:rsid w:val="00105DF2"/>
    <w:rsid w:val="0011038B"/>
    <w:rsid w:val="001110A0"/>
    <w:rsid w:val="00112212"/>
    <w:rsid w:val="001153A6"/>
    <w:rsid w:val="0012100C"/>
    <w:rsid w:val="001220B1"/>
    <w:rsid w:val="00135794"/>
    <w:rsid w:val="001420B9"/>
    <w:rsid w:val="00150092"/>
    <w:rsid w:val="001501C0"/>
    <w:rsid w:val="00161397"/>
    <w:rsid w:val="001662DA"/>
    <w:rsid w:val="00167902"/>
    <w:rsid w:val="001758F3"/>
    <w:rsid w:val="00196E93"/>
    <w:rsid w:val="001A18CE"/>
    <w:rsid w:val="001C38B8"/>
    <w:rsid w:val="001C5FB8"/>
    <w:rsid w:val="001D1C5C"/>
    <w:rsid w:val="001D3522"/>
    <w:rsid w:val="001D769D"/>
    <w:rsid w:val="001E1376"/>
    <w:rsid w:val="001E2711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748D1"/>
    <w:rsid w:val="00277DAE"/>
    <w:rsid w:val="00280DC6"/>
    <w:rsid w:val="00291627"/>
    <w:rsid w:val="002A34E2"/>
    <w:rsid w:val="002B5720"/>
    <w:rsid w:val="002C258D"/>
    <w:rsid w:val="002C660B"/>
    <w:rsid w:val="002C7A84"/>
    <w:rsid w:val="002D049B"/>
    <w:rsid w:val="002D1A7F"/>
    <w:rsid w:val="002E7EB0"/>
    <w:rsid w:val="002F3D4E"/>
    <w:rsid w:val="002F5606"/>
    <w:rsid w:val="0030059A"/>
    <w:rsid w:val="00307D53"/>
    <w:rsid w:val="00337868"/>
    <w:rsid w:val="00344EA6"/>
    <w:rsid w:val="00350071"/>
    <w:rsid w:val="00370813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8146B"/>
    <w:rsid w:val="00497471"/>
    <w:rsid w:val="004A0AF0"/>
    <w:rsid w:val="004B42D8"/>
    <w:rsid w:val="004B45D0"/>
    <w:rsid w:val="004E02E2"/>
    <w:rsid w:val="005065A3"/>
    <w:rsid w:val="00507F46"/>
    <w:rsid w:val="005113A9"/>
    <w:rsid w:val="00521E95"/>
    <w:rsid w:val="005312CF"/>
    <w:rsid w:val="005360C8"/>
    <w:rsid w:val="00540FB2"/>
    <w:rsid w:val="00556AD2"/>
    <w:rsid w:val="00591110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4E2"/>
    <w:rsid w:val="00630BAF"/>
    <w:rsid w:val="0064247C"/>
    <w:rsid w:val="00643C23"/>
    <w:rsid w:val="00654704"/>
    <w:rsid w:val="0066652E"/>
    <w:rsid w:val="00666DD5"/>
    <w:rsid w:val="00670F87"/>
    <w:rsid w:val="006712CE"/>
    <w:rsid w:val="0067259D"/>
    <w:rsid w:val="00682F9B"/>
    <w:rsid w:val="00683EA8"/>
    <w:rsid w:val="006913D9"/>
    <w:rsid w:val="006A39CD"/>
    <w:rsid w:val="006B324A"/>
    <w:rsid w:val="006B4C67"/>
    <w:rsid w:val="006C41BC"/>
    <w:rsid w:val="006D3185"/>
    <w:rsid w:val="006D4FAC"/>
    <w:rsid w:val="006E4055"/>
    <w:rsid w:val="006F3468"/>
    <w:rsid w:val="006F764C"/>
    <w:rsid w:val="007019D5"/>
    <w:rsid w:val="00711346"/>
    <w:rsid w:val="007507BD"/>
    <w:rsid w:val="00755E0E"/>
    <w:rsid w:val="00756C9C"/>
    <w:rsid w:val="007574E0"/>
    <w:rsid w:val="00761C9C"/>
    <w:rsid w:val="00765321"/>
    <w:rsid w:val="00774747"/>
    <w:rsid w:val="00782C9C"/>
    <w:rsid w:val="007851C3"/>
    <w:rsid w:val="00796F0C"/>
    <w:rsid w:val="007A0762"/>
    <w:rsid w:val="007A3D18"/>
    <w:rsid w:val="007A3DC0"/>
    <w:rsid w:val="007A468B"/>
    <w:rsid w:val="007A689D"/>
    <w:rsid w:val="007A77E4"/>
    <w:rsid w:val="007B5879"/>
    <w:rsid w:val="007C331F"/>
    <w:rsid w:val="007C5EC3"/>
    <w:rsid w:val="007D0D24"/>
    <w:rsid w:val="007D26D7"/>
    <w:rsid w:val="007F5E7F"/>
    <w:rsid w:val="008236B6"/>
    <w:rsid w:val="00835FBC"/>
    <w:rsid w:val="00842ACF"/>
    <w:rsid w:val="008451A1"/>
    <w:rsid w:val="00850C0E"/>
    <w:rsid w:val="0088566F"/>
    <w:rsid w:val="0089097B"/>
    <w:rsid w:val="008937E0"/>
    <w:rsid w:val="008C3DD4"/>
    <w:rsid w:val="008C42E7"/>
    <w:rsid w:val="008C44A2"/>
    <w:rsid w:val="008E0E0D"/>
    <w:rsid w:val="008E43A3"/>
    <w:rsid w:val="008E75F2"/>
    <w:rsid w:val="008F23CE"/>
    <w:rsid w:val="00903E68"/>
    <w:rsid w:val="009059F1"/>
    <w:rsid w:val="009114CE"/>
    <w:rsid w:val="00922F67"/>
    <w:rsid w:val="00924278"/>
    <w:rsid w:val="00936531"/>
    <w:rsid w:val="00945826"/>
    <w:rsid w:val="00947812"/>
    <w:rsid w:val="00955914"/>
    <w:rsid w:val="00955C58"/>
    <w:rsid w:val="009563C4"/>
    <w:rsid w:val="009665AE"/>
    <w:rsid w:val="009706E8"/>
    <w:rsid w:val="009742E7"/>
    <w:rsid w:val="009807BF"/>
    <w:rsid w:val="0098345C"/>
    <w:rsid w:val="00986E38"/>
    <w:rsid w:val="00994987"/>
    <w:rsid w:val="009A23F1"/>
    <w:rsid w:val="009B0F74"/>
    <w:rsid w:val="009B1704"/>
    <w:rsid w:val="009B5D1C"/>
    <w:rsid w:val="009E20B3"/>
    <w:rsid w:val="009E4E35"/>
    <w:rsid w:val="00A06F9C"/>
    <w:rsid w:val="00A269AF"/>
    <w:rsid w:val="00A269F7"/>
    <w:rsid w:val="00A35D76"/>
    <w:rsid w:val="00A3610D"/>
    <w:rsid w:val="00A428F8"/>
    <w:rsid w:val="00A45CDD"/>
    <w:rsid w:val="00A571D5"/>
    <w:rsid w:val="00A60AF0"/>
    <w:rsid w:val="00A65D06"/>
    <w:rsid w:val="00A70955"/>
    <w:rsid w:val="00A768C9"/>
    <w:rsid w:val="00A82301"/>
    <w:rsid w:val="00A82558"/>
    <w:rsid w:val="00A877B1"/>
    <w:rsid w:val="00A973EA"/>
    <w:rsid w:val="00AC72E6"/>
    <w:rsid w:val="00AC7782"/>
    <w:rsid w:val="00AC7BD7"/>
    <w:rsid w:val="00AD0E92"/>
    <w:rsid w:val="00AD588F"/>
    <w:rsid w:val="00AD6F07"/>
    <w:rsid w:val="00AE7597"/>
    <w:rsid w:val="00AE7DC4"/>
    <w:rsid w:val="00AF3BCA"/>
    <w:rsid w:val="00B053D4"/>
    <w:rsid w:val="00B07D36"/>
    <w:rsid w:val="00B15064"/>
    <w:rsid w:val="00B27FA6"/>
    <w:rsid w:val="00B31C79"/>
    <w:rsid w:val="00B429C5"/>
    <w:rsid w:val="00B45ABC"/>
    <w:rsid w:val="00B46E0C"/>
    <w:rsid w:val="00B62844"/>
    <w:rsid w:val="00B76EE1"/>
    <w:rsid w:val="00B85DE1"/>
    <w:rsid w:val="00B93420"/>
    <w:rsid w:val="00BA07EB"/>
    <w:rsid w:val="00BA4EAD"/>
    <w:rsid w:val="00BA52B8"/>
    <w:rsid w:val="00BA5D4A"/>
    <w:rsid w:val="00BB22E9"/>
    <w:rsid w:val="00BB3BDA"/>
    <w:rsid w:val="00BB49D9"/>
    <w:rsid w:val="00BC47C4"/>
    <w:rsid w:val="00BC6C1F"/>
    <w:rsid w:val="00BD1329"/>
    <w:rsid w:val="00BD3660"/>
    <w:rsid w:val="00BE2813"/>
    <w:rsid w:val="00BE3370"/>
    <w:rsid w:val="00BF7C19"/>
    <w:rsid w:val="00C015B8"/>
    <w:rsid w:val="00C02D61"/>
    <w:rsid w:val="00C04D2E"/>
    <w:rsid w:val="00C24AD1"/>
    <w:rsid w:val="00C3119A"/>
    <w:rsid w:val="00C4215E"/>
    <w:rsid w:val="00C51601"/>
    <w:rsid w:val="00C55E3A"/>
    <w:rsid w:val="00C7373D"/>
    <w:rsid w:val="00C75930"/>
    <w:rsid w:val="00C82EFE"/>
    <w:rsid w:val="00C871D3"/>
    <w:rsid w:val="00C94045"/>
    <w:rsid w:val="00C941B6"/>
    <w:rsid w:val="00C963C4"/>
    <w:rsid w:val="00C978CB"/>
    <w:rsid w:val="00CA6196"/>
    <w:rsid w:val="00CB14E1"/>
    <w:rsid w:val="00CB4466"/>
    <w:rsid w:val="00CB7FE8"/>
    <w:rsid w:val="00CC0546"/>
    <w:rsid w:val="00D03AD4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DF3B57"/>
    <w:rsid w:val="00E00AAB"/>
    <w:rsid w:val="00E11A1D"/>
    <w:rsid w:val="00E16CDD"/>
    <w:rsid w:val="00E2211D"/>
    <w:rsid w:val="00E25730"/>
    <w:rsid w:val="00E37C8A"/>
    <w:rsid w:val="00E452F5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5304"/>
    <w:rsid w:val="00EA19A3"/>
    <w:rsid w:val="00EA22A4"/>
    <w:rsid w:val="00EA375B"/>
    <w:rsid w:val="00EA425C"/>
    <w:rsid w:val="00EA7444"/>
    <w:rsid w:val="00EB1941"/>
    <w:rsid w:val="00EB326F"/>
    <w:rsid w:val="00EC4CE4"/>
    <w:rsid w:val="00EC57DD"/>
    <w:rsid w:val="00EF1B45"/>
    <w:rsid w:val="00EF2BE2"/>
    <w:rsid w:val="00F07E8B"/>
    <w:rsid w:val="00F32B92"/>
    <w:rsid w:val="00F40E30"/>
    <w:rsid w:val="00F42F8E"/>
    <w:rsid w:val="00F4613B"/>
    <w:rsid w:val="00F542D5"/>
    <w:rsid w:val="00F57A78"/>
    <w:rsid w:val="00F86390"/>
    <w:rsid w:val="00F95663"/>
    <w:rsid w:val="00F97481"/>
    <w:rsid w:val="00FA676B"/>
    <w:rsid w:val="00FB7C71"/>
    <w:rsid w:val="00FD0266"/>
    <w:rsid w:val="00FE0A9D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6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6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8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89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2024-02-13T11:10:00Z</dcterms:created>
  <dcterms:modified xsi:type="dcterms:W3CDTF">2024-02-13T11:10:00Z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2024-02-13T11:10:43Z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7ee8cc1d-579d-4857-b864-e4290103ece2</vt:lpwstr>
  </property>
  <property fmtid="{D5CDD505-2E9C-101B-9397-08002B2CF9AE}" pid="8" name="MSIP_Label_c69d85d5-6d9e-4305-a294-1f636ec0f2d6_ContentBits">
    <vt:lpwstr>0</vt:lpwstr>
  </property>
</Properties>
</file>