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5CFC" w14:textId="7CBD33EC" w:rsidR="00057044" w:rsidRPr="001F797A" w:rsidRDefault="00057044" w:rsidP="003D3B28">
      <w:pPr>
        <w:pStyle w:val="Title1"/>
      </w:pPr>
      <w:r w:rsidRPr="001F797A">
        <w:t xml:space="preserve">Board meeting </w:t>
      </w:r>
    </w:p>
    <w:p w14:paraId="109FFCBA" w14:textId="7C9E0049" w:rsidR="004B4705" w:rsidRPr="001F797A" w:rsidRDefault="001F797A" w:rsidP="003D3B28">
      <w:pPr>
        <w:pStyle w:val="Title20"/>
      </w:pPr>
      <w:r w:rsidRPr="001F797A">
        <w:t xml:space="preserve">19 </w:t>
      </w:r>
      <w:r w:rsidR="008740CF" w:rsidRPr="001F797A">
        <w:t>March</w:t>
      </w:r>
      <w:r w:rsidR="0064120B" w:rsidRPr="001F797A">
        <w:t xml:space="preserve"> </w:t>
      </w:r>
      <w:r w:rsidR="00F8456D" w:rsidRPr="001F797A">
        <w:t>2025</w:t>
      </w:r>
    </w:p>
    <w:p w14:paraId="2EC19EF1" w14:textId="7FF07197" w:rsidR="006F0EA9" w:rsidRPr="001F797A" w:rsidRDefault="008740CF" w:rsidP="006F0EA9">
      <w:pPr>
        <w:pStyle w:val="Title1"/>
        <w:rPr>
          <w:rStyle w:val="eop"/>
          <w:color w:val="000000"/>
          <w:szCs w:val="40"/>
          <w:shd w:val="clear" w:color="auto" w:fill="FFFFFF"/>
        </w:rPr>
      </w:pPr>
      <w:r w:rsidRPr="001F797A">
        <w:rPr>
          <w:rStyle w:val="normaltextrun"/>
          <w:color w:val="000000"/>
          <w:szCs w:val="40"/>
          <w:shd w:val="clear" w:color="auto" w:fill="FFFFFF"/>
        </w:rPr>
        <w:t>A strategy for improving the uptake and adoption of NICE guidance</w:t>
      </w:r>
    </w:p>
    <w:p w14:paraId="5C74A029" w14:textId="77777777" w:rsidR="009B1D56" w:rsidRPr="001F797A" w:rsidRDefault="009B1D56" w:rsidP="7722DAEE">
      <w:pPr>
        <w:pStyle w:val="Heading1boardreport"/>
      </w:pPr>
      <w:r w:rsidRPr="001F797A">
        <w:t>Board action required</w:t>
      </w:r>
    </w:p>
    <w:p w14:paraId="7076BF35" w14:textId="6B451FFF" w:rsidR="0064120B" w:rsidRPr="001F797A" w:rsidRDefault="001F797A" w:rsidP="0064120B">
      <w:pPr>
        <w:pStyle w:val="NICEnormal"/>
      </w:pPr>
      <w:bookmarkStart w:id="0" w:name="_Hlk170742575"/>
      <w:r w:rsidRPr="001F797A">
        <w:t xml:space="preserve">For approval </w:t>
      </w:r>
    </w:p>
    <w:bookmarkEnd w:id="0"/>
    <w:p w14:paraId="56D088CF" w14:textId="6CE54407" w:rsidR="009B1D56" w:rsidRPr="001F797A" w:rsidRDefault="7F6E2A0A" w:rsidP="7722DAEE">
      <w:pPr>
        <w:pStyle w:val="Heading1boardreport"/>
      </w:pPr>
      <w:r w:rsidRPr="001F797A">
        <w:t>Summary</w:t>
      </w:r>
    </w:p>
    <w:p w14:paraId="6F6B8804" w14:textId="2436B171" w:rsidR="00A660F4" w:rsidRPr="001F797A" w:rsidRDefault="001F797A" w:rsidP="00304ADA">
      <w:pPr>
        <w:pStyle w:val="Bullets"/>
        <w:numPr>
          <w:ilvl w:val="0"/>
          <w:numId w:val="0"/>
        </w:numPr>
      </w:pPr>
      <w:r w:rsidRPr="001F797A">
        <w:t xml:space="preserve">The strategy </w:t>
      </w:r>
      <w:r w:rsidR="00A660F4" w:rsidRPr="001F797A">
        <w:t>sets out our collective ambition</w:t>
      </w:r>
      <w:r w:rsidR="5E73DA13" w:rsidRPr="001F797A">
        <w:t xml:space="preserve"> </w:t>
      </w:r>
      <w:r w:rsidR="00A660F4" w:rsidRPr="001F797A">
        <w:t xml:space="preserve">for </w:t>
      </w:r>
      <w:r w:rsidR="000133FC" w:rsidRPr="001F797A">
        <w:t>improving uptake and adoption of NICE guidance</w:t>
      </w:r>
      <w:r w:rsidR="4D319E16" w:rsidRPr="001F797A">
        <w:t xml:space="preserve"> by the health and care system</w:t>
      </w:r>
      <w:r w:rsidR="000133FC" w:rsidRPr="001F797A">
        <w:t xml:space="preserve"> over the next three years</w:t>
      </w:r>
      <w:r w:rsidR="00A660F4" w:rsidRPr="001F797A">
        <w:t xml:space="preserve">. </w:t>
      </w:r>
      <w:r w:rsidR="001F1C63" w:rsidRPr="001F797A">
        <w:t>Our approach</w:t>
      </w:r>
      <w:r w:rsidR="00A660F4" w:rsidRPr="001F797A">
        <w:t xml:space="preserve"> includes:</w:t>
      </w:r>
    </w:p>
    <w:p w14:paraId="004BC40B" w14:textId="339F2002" w:rsidR="003D0EFB" w:rsidRPr="001F797A" w:rsidRDefault="00275C10" w:rsidP="00EE44A5">
      <w:pPr>
        <w:pStyle w:val="Bullets"/>
      </w:pPr>
      <w:r w:rsidRPr="001F797A">
        <w:rPr>
          <w:b/>
          <w:bCs/>
        </w:rPr>
        <w:t>A measurable aim for improvement</w:t>
      </w:r>
      <w:r w:rsidR="001F1C63" w:rsidRPr="001F797A">
        <w:rPr>
          <w:b/>
          <w:bCs/>
        </w:rPr>
        <w:t xml:space="preserve"> </w:t>
      </w:r>
      <w:r w:rsidR="000133FC" w:rsidRPr="001F797A">
        <w:t>–</w:t>
      </w:r>
      <w:r w:rsidR="001F1C63" w:rsidRPr="001F797A">
        <w:t xml:space="preserve"> </w:t>
      </w:r>
      <w:r w:rsidR="000133FC" w:rsidRPr="001F797A">
        <w:t xml:space="preserve">To improve the uptake and adoption of NICE guidance in priority </w:t>
      </w:r>
      <w:r w:rsidR="008D17D2" w:rsidRPr="001F797A">
        <w:t>areas</w:t>
      </w:r>
      <w:r w:rsidR="000133FC" w:rsidRPr="001F797A">
        <w:t xml:space="preserve"> by 10% by March 2029</w:t>
      </w:r>
      <w:r w:rsidR="001F1C63" w:rsidRPr="001F797A">
        <w:t xml:space="preserve">. </w:t>
      </w:r>
    </w:p>
    <w:p w14:paraId="754988D2" w14:textId="756E1E26" w:rsidR="003D0EFB" w:rsidRPr="001F797A" w:rsidRDefault="0D1BA4C7" w:rsidP="00EE44A5">
      <w:pPr>
        <w:pStyle w:val="Bullets"/>
      </w:pPr>
      <w:r w:rsidRPr="001F797A">
        <w:t>F</w:t>
      </w:r>
      <w:r w:rsidR="00275C10" w:rsidRPr="001F797A">
        <w:t>ocusing our effort in three</w:t>
      </w:r>
      <w:r w:rsidR="001F1C63" w:rsidRPr="001F797A">
        <w:rPr>
          <w:b/>
          <w:bCs/>
        </w:rPr>
        <w:t xml:space="preserve"> </w:t>
      </w:r>
      <w:r w:rsidR="00275C10" w:rsidRPr="001F797A">
        <w:rPr>
          <w:b/>
          <w:bCs/>
        </w:rPr>
        <w:t xml:space="preserve">core </w:t>
      </w:r>
      <w:r w:rsidR="001F1C63" w:rsidRPr="001F797A">
        <w:rPr>
          <w:b/>
          <w:bCs/>
        </w:rPr>
        <w:t>areas</w:t>
      </w:r>
      <w:r w:rsidR="001F1C63" w:rsidRPr="001F797A">
        <w:t xml:space="preserve">, each of which has </w:t>
      </w:r>
      <w:r w:rsidR="00275C10" w:rsidRPr="001F797A">
        <w:t>key activities and delivery measures to</w:t>
      </w:r>
      <w:r w:rsidR="001F1C63" w:rsidRPr="001F797A">
        <w:t xml:space="preserve"> realise our </w:t>
      </w:r>
      <w:r w:rsidR="00275C10" w:rsidRPr="001F797A">
        <w:t>overall aim</w:t>
      </w:r>
      <w:r w:rsidR="001F1C63" w:rsidRPr="001F797A">
        <w:t xml:space="preserve"> over the next three years. </w:t>
      </w:r>
    </w:p>
    <w:p w14:paraId="785B38E7" w14:textId="2B221F9A" w:rsidR="00F8456D" w:rsidRPr="001F797A" w:rsidRDefault="19A25FF8" w:rsidP="00777AFB">
      <w:pPr>
        <w:pStyle w:val="Bullets"/>
        <w:spacing w:before="240" w:after="0"/>
      </w:pPr>
      <w:r w:rsidRPr="001F797A">
        <w:t>A</w:t>
      </w:r>
      <w:r w:rsidR="001F1C63" w:rsidRPr="001F797A">
        <w:t>dopt</w:t>
      </w:r>
      <w:r w:rsidR="3F47D023" w:rsidRPr="001F797A">
        <w:t>ion of</w:t>
      </w:r>
      <w:r w:rsidR="001F1C63" w:rsidRPr="001F797A">
        <w:t xml:space="preserve"> </w:t>
      </w:r>
      <w:r w:rsidR="0064120B" w:rsidRPr="001F797A">
        <w:rPr>
          <w:b/>
          <w:bCs/>
        </w:rPr>
        <w:t>five</w:t>
      </w:r>
      <w:r w:rsidR="001F1C63" w:rsidRPr="001F797A">
        <w:rPr>
          <w:b/>
          <w:bCs/>
        </w:rPr>
        <w:t xml:space="preserve"> guiding principles</w:t>
      </w:r>
      <w:r w:rsidR="001F1C63" w:rsidRPr="001F797A">
        <w:t xml:space="preserve"> that will underpin everything we do</w:t>
      </w:r>
      <w:r w:rsidR="00E23F20" w:rsidRPr="001F797A">
        <w:t>,</w:t>
      </w:r>
      <w:r w:rsidR="001F1C63" w:rsidRPr="001F797A">
        <w:t xml:space="preserve"> helping to cultivate a </w:t>
      </w:r>
      <w:r w:rsidR="000133FC" w:rsidRPr="001F797A">
        <w:t>NICE-wide</w:t>
      </w:r>
      <w:r w:rsidR="00275C10" w:rsidRPr="001F797A">
        <w:t xml:space="preserve"> focus</w:t>
      </w:r>
      <w:r w:rsidR="008E1796" w:rsidRPr="001F797A">
        <w:t xml:space="preserve"> from prioritisation</w:t>
      </w:r>
      <w:r w:rsidR="00A24850" w:rsidRPr="001F797A">
        <w:t>, publishing and into practice,</w:t>
      </w:r>
      <w:r w:rsidR="00275C10" w:rsidRPr="001F797A">
        <w:t xml:space="preserve"> on improving uptake and adoption of our guidance</w:t>
      </w:r>
      <w:r w:rsidR="00A24850" w:rsidRPr="001F797A">
        <w:t>.</w:t>
      </w:r>
    </w:p>
    <w:p w14:paraId="42840C63" w14:textId="03DFB19F" w:rsidR="001F1C63" w:rsidRPr="001F797A" w:rsidRDefault="006F0EA9" w:rsidP="007A286E">
      <w:pPr>
        <w:pStyle w:val="Bullets"/>
        <w:numPr>
          <w:ilvl w:val="0"/>
          <w:numId w:val="0"/>
        </w:numPr>
        <w:spacing w:before="240" w:after="0"/>
      </w:pPr>
      <w:r w:rsidRPr="001F797A">
        <w:t xml:space="preserve">The strategy aligns with NICE’s </w:t>
      </w:r>
      <w:r w:rsidR="0064120B" w:rsidRPr="001F797A">
        <w:t xml:space="preserve">overarching transformation </w:t>
      </w:r>
      <w:r w:rsidR="000D4D13" w:rsidRPr="001F797A">
        <w:t xml:space="preserve">ambition </w:t>
      </w:r>
      <w:r w:rsidR="003563BC" w:rsidRPr="001F797A">
        <w:t xml:space="preserve">and purpose </w:t>
      </w:r>
      <w:r w:rsidR="000D4D13" w:rsidRPr="001F797A">
        <w:t>to deliver high quality</w:t>
      </w:r>
      <w:r w:rsidR="003563BC" w:rsidRPr="001F797A">
        <w:t>, timely guidance that is usable and impactful to ensure we are getting the best care to people fast, while ensuring value to the taxpayer. It w</w:t>
      </w:r>
      <w:r w:rsidRPr="001F797A">
        <w:t>ill inform annual business plan</w:t>
      </w:r>
      <w:r w:rsidR="003563BC" w:rsidRPr="001F797A">
        <w:t xml:space="preserve">s </w:t>
      </w:r>
      <w:r w:rsidR="56D23035" w:rsidRPr="001F797A">
        <w:t>and activities</w:t>
      </w:r>
      <w:r w:rsidRPr="001F797A">
        <w:t xml:space="preserve"> for </w:t>
      </w:r>
      <w:r w:rsidR="00275C10" w:rsidRPr="001F797A">
        <w:t>the Impactful strategic ambition</w:t>
      </w:r>
      <w:r w:rsidR="003563BC" w:rsidRPr="001F797A">
        <w:t xml:space="preserve"> for the next 3 years</w:t>
      </w:r>
      <w:r w:rsidR="0064120B" w:rsidRPr="001F797A">
        <w:t>. On Board approval, we will develop</w:t>
      </w:r>
      <w:r w:rsidR="001F1C63" w:rsidRPr="001F797A">
        <w:t xml:space="preserve"> our strategy into specific annual deliverables, targets and </w:t>
      </w:r>
      <w:r w:rsidR="009775FD" w:rsidRPr="001F797A">
        <w:t xml:space="preserve">activities to be taken forward </w:t>
      </w:r>
      <w:r w:rsidR="0093412D" w:rsidRPr="001F797A">
        <w:t xml:space="preserve">across </w:t>
      </w:r>
      <w:r w:rsidR="009775FD" w:rsidRPr="001F797A">
        <w:t xml:space="preserve">NICE, </w:t>
      </w:r>
      <w:proofErr w:type="gramStart"/>
      <w:r w:rsidR="009775FD" w:rsidRPr="001F797A">
        <w:t>and also</w:t>
      </w:r>
      <w:proofErr w:type="gramEnd"/>
      <w:r w:rsidR="009775FD" w:rsidRPr="001F797A">
        <w:t xml:space="preserve"> in partnership with improvement </w:t>
      </w:r>
      <w:r w:rsidR="1528C5D9" w:rsidRPr="001F797A">
        <w:t>organisations and organisations in the health and care delivery system.</w:t>
      </w:r>
      <w:r w:rsidR="009775FD" w:rsidRPr="001F797A">
        <w:t xml:space="preserve"> </w:t>
      </w:r>
      <w:r w:rsidR="000133FC" w:rsidRPr="001F797A">
        <w:t xml:space="preserve">Implementation of the strategy </w:t>
      </w:r>
      <w:r w:rsidR="001F1C63" w:rsidRPr="001F797A">
        <w:t xml:space="preserve">will be overseen </w:t>
      </w:r>
      <w:r w:rsidR="00275C10" w:rsidRPr="001F797A">
        <w:t xml:space="preserve">by the </w:t>
      </w:r>
      <w:r w:rsidR="00F36E1E" w:rsidRPr="001F797A">
        <w:t xml:space="preserve">Usable &amp; Impactful Programme Board and </w:t>
      </w:r>
      <w:r w:rsidR="00275C10" w:rsidRPr="001F797A">
        <w:t>Impactful</w:t>
      </w:r>
      <w:r w:rsidR="001F1C63" w:rsidRPr="001F797A">
        <w:t xml:space="preserve"> </w:t>
      </w:r>
      <w:r w:rsidR="006F3085" w:rsidRPr="001F797A">
        <w:t>oversight</w:t>
      </w:r>
      <w:r w:rsidR="001F1C63" w:rsidRPr="001F797A">
        <w:t xml:space="preserve"> </w:t>
      </w:r>
      <w:r w:rsidR="00275C10" w:rsidRPr="001F797A">
        <w:t xml:space="preserve">and delivery </w:t>
      </w:r>
      <w:r w:rsidR="001F1C63" w:rsidRPr="001F797A">
        <w:t>group</w:t>
      </w:r>
      <w:r w:rsidR="00275C10" w:rsidRPr="001F797A">
        <w:t>s</w:t>
      </w:r>
      <w:r w:rsidR="001F1C63" w:rsidRPr="001F797A">
        <w:t xml:space="preserve">, to ensure we are on track and delivering our aims. </w:t>
      </w:r>
    </w:p>
    <w:p w14:paraId="15B38B52" w14:textId="77777777" w:rsidR="009B1D56" w:rsidRPr="001F797A" w:rsidRDefault="009B1D56" w:rsidP="003D3B28">
      <w:pPr>
        <w:pStyle w:val="Heading1boardreport"/>
      </w:pPr>
      <w:r w:rsidRPr="001F797A">
        <w:t>Board sponsor</w:t>
      </w:r>
    </w:p>
    <w:p w14:paraId="41430CE8" w14:textId="1B29E15A" w:rsidR="00275C10" w:rsidRPr="001F797A" w:rsidRDefault="006F0EA9" w:rsidP="001F797A">
      <w:pPr>
        <w:pStyle w:val="NICEnormal"/>
        <w:rPr>
          <w:rStyle w:val="normaltextrun"/>
          <w:color w:val="000000"/>
          <w:szCs w:val="40"/>
          <w:shd w:val="clear" w:color="auto" w:fill="FFFFFF"/>
        </w:rPr>
      </w:pPr>
      <w:r w:rsidRPr="001F797A">
        <w:t>Clare Morgan, Director of Impact and Partnerships</w:t>
      </w:r>
    </w:p>
    <w:p w14:paraId="69E55810" w14:textId="3E4CA95C" w:rsidR="004B4705" w:rsidRPr="001F797A" w:rsidRDefault="004B4705" w:rsidP="00AD57E2">
      <w:pPr>
        <w:pStyle w:val="Heading1boardreport"/>
      </w:pPr>
      <w:r w:rsidRPr="001F797A">
        <w:lastRenderedPageBreak/>
        <w:t xml:space="preserve">Introduction </w:t>
      </w:r>
    </w:p>
    <w:p w14:paraId="277E7C6B" w14:textId="79A98082" w:rsidR="0060533D" w:rsidRPr="001F797A" w:rsidRDefault="00275C10" w:rsidP="001F797A">
      <w:pPr>
        <w:pStyle w:val="NICEnormalnumbered"/>
      </w:pPr>
      <w:r w:rsidRPr="001F797A">
        <w:t>The uptake and adoption of our NICE guidance by the health and care system is an important measure of achievement of our core purpose to support</w:t>
      </w:r>
      <w:r w:rsidR="001E067A" w:rsidRPr="001F797A">
        <w:t xml:space="preserve"> </w:t>
      </w:r>
      <w:r w:rsidR="001C14A7" w:rsidRPr="001F797A">
        <w:t>our primary users (</w:t>
      </w:r>
      <w:r w:rsidR="001E067A" w:rsidRPr="001F797A">
        <w:t>practitioners,</w:t>
      </w:r>
      <w:r w:rsidRPr="001F797A">
        <w:t xml:space="preserve"> commissioners</w:t>
      </w:r>
      <w:r w:rsidR="001E067A" w:rsidRPr="001F797A">
        <w:t xml:space="preserve"> and</w:t>
      </w:r>
      <w:r w:rsidRPr="001F797A">
        <w:t xml:space="preserve"> providers</w:t>
      </w:r>
      <w:r w:rsidR="001C14A7" w:rsidRPr="001F797A">
        <w:t>)</w:t>
      </w:r>
      <w:r w:rsidRPr="001F797A">
        <w:t xml:space="preserve"> to make decisions that get the best care to people fast, while ensuring value for the taxpayer. </w:t>
      </w:r>
      <w:r w:rsidR="00150EF6" w:rsidRPr="001F797A">
        <w:t>The health and care system is under significant pressure and</w:t>
      </w:r>
      <w:r w:rsidR="00E71CE3" w:rsidRPr="001F797A">
        <w:t xml:space="preserve"> there are</w:t>
      </w:r>
      <w:r w:rsidR="00150EF6" w:rsidRPr="001F797A">
        <w:t xml:space="preserve"> high levels of </w:t>
      </w:r>
      <w:r w:rsidR="00653EB4" w:rsidRPr="001F797A">
        <w:t>unwarr</w:t>
      </w:r>
      <w:r w:rsidR="3C4FAB12" w:rsidRPr="001F797A">
        <w:t>a</w:t>
      </w:r>
      <w:r w:rsidR="00653EB4" w:rsidRPr="001F797A">
        <w:t xml:space="preserve">nted </w:t>
      </w:r>
      <w:r w:rsidR="00150EF6" w:rsidRPr="001F797A">
        <w:t xml:space="preserve">variation in the uptake and adoption of NICE. </w:t>
      </w:r>
      <w:r w:rsidR="00E71CE3" w:rsidRPr="001F797A">
        <w:t>By addressing</w:t>
      </w:r>
      <w:r w:rsidRPr="001F797A">
        <w:t xml:space="preserve"> the system barriers and maximising the levers that influence uptake in the health and care system</w:t>
      </w:r>
      <w:r w:rsidR="00E71CE3" w:rsidRPr="001F797A">
        <w:t xml:space="preserve">, this strategy is intended to </w:t>
      </w:r>
      <w:r w:rsidRPr="001F797A">
        <w:t>drive continuous improvement of</w:t>
      </w:r>
      <w:r w:rsidR="00AA0D32" w:rsidRPr="001F797A">
        <w:t xml:space="preserve"> uptake of</w:t>
      </w:r>
      <w:r w:rsidRPr="001F797A">
        <w:t xml:space="preserve"> our guidance and the associated processes to prioritise, produce and update it. </w:t>
      </w:r>
      <w:r w:rsidR="0060533D" w:rsidRPr="001F797A">
        <w:t xml:space="preserve"> </w:t>
      </w:r>
      <w:r w:rsidR="009775FD" w:rsidRPr="001F797A">
        <w:t>This</w:t>
      </w:r>
      <w:r w:rsidR="0060533D" w:rsidRPr="001F797A">
        <w:t xml:space="preserve"> three-year strategy for </w:t>
      </w:r>
      <w:r w:rsidRPr="001F797A">
        <w:t>improving up</w:t>
      </w:r>
      <w:r w:rsidR="1C4FE78D" w:rsidRPr="001F797A">
        <w:t>t</w:t>
      </w:r>
      <w:r w:rsidRPr="001F797A">
        <w:t>a</w:t>
      </w:r>
      <w:r w:rsidR="00AA0D32" w:rsidRPr="001F797A">
        <w:t>k</w:t>
      </w:r>
      <w:r w:rsidRPr="001F797A">
        <w:t>e and adoption of NICE guidance</w:t>
      </w:r>
      <w:r w:rsidR="0060533D" w:rsidRPr="001F797A">
        <w:t xml:space="preserve"> sets out our collective ambition for 202</w:t>
      </w:r>
      <w:r w:rsidRPr="001F797A">
        <w:t>5</w:t>
      </w:r>
      <w:r w:rsidR="0060533D" w:rsidRPr="001F797A">
        <w:t>-2</w:t>
      </w:r>
      <w:r w:rsidRPr="001F797A">
        <w:t>8</w:t>
      </w:r>
      <w:r w:rsidR="0060533D" w:rsidRPr="001F797A">
        <w:t>.</w:t>
      </w:r>
    </w:p>
    <w:p w14:paraId="222289F1" w14:textId="63A0B64C" w:rsidR="004B4705" w:rsidRPr="001F797A" w:rsidRDefault="004B4705" w:rsidP="00AD57E2">
      <w:pPr>
        <w:pStyle w:val="Heading1boardreport"/>
      </w:pPr>
      <w:r w:rsidRPr="001F797A">
        <w:t xml:space="preserve">Background </w:t>
      </w:r>
    </w:p>
    <w:p w14:paraId="1A6E3884" w14:textId="3DB51A7D" w:rsidR="00E2795B" w:rsidRPr="001F797A" w:rsidRDefault="230E3770" w:rsidP="001F797A">
      <w:pPr>
        <w:pStyle w:val="NICEnormalnumbered"/>
      </w:pPr>
      <w:r w:rsidRPr="001F797A">
        <w:t>NICE has a well-established</w:t>
      </w:r>
      <w:r w:rsidR="366626E4" w:rsidRPr="001F797A">
        <w:t>, respected</w:t>
      </w:r>
      <w:r w:rsidRPr="001F797A">
        <w:t xml:space="preserve"> and highly </w:t>
      </w:r>
      <w:r w:rsidR="366626E4" w:rsidRPr="001F797A">
        <w:t xml:space="preserve">influential </w:t>
      </w:r>
      <w:r w:rsidRPr="001F797A">
        <w:t xml:space="preserve">role </w:t>
      </w:r>
      <w:r w:rsidR="67BFC787" w:rsidRPr="001F797A">
        <w:t xml:space="preserve">in </w:t>
      </w:r>
      <w:r w:rsidRPr="001F797A">
        <w:t xml:space="preserve">the health and care system by </w:t>
      </w:r>
      <w:r w:rsidR="6D9AC4D9" w:rsidRPr="001F797A">
        <w:t>providing national guidance and advice to improve health and care.</w:t>
      </w:r>
      <w:r w:rsidRPr="001F797A">
        <w:t xml:space="preserve"> There is considerable unwarranted variation in uptake of our guidance in the health and care system, which means that opportunities to </w:t>
      </w:r>
      <w:r w:rsidR="7B03BB1D" w:rsidRPr="001F797A">
        <w:t xml:space="preserve">systematically </w:t>
      </w:r>
      <w:r w:rsidRPr="001F797A">
        <w:t>apply evidence</w:t>
      </w:r>
      <w:r w:rsidR="6D9AC4D9" w:rsidRPr="001F797A">
        <w:t>-</w:t>
      </w:r>
      <w:r w:rsidRPr="001F797A">
        <w:t xml:space="preserve">based solutions to the considerable quality and financial challenges in health and care are lost. In order to reduce this variation and improve uptake and support improvement in a challenged health and care system, a multi-faceted </w:t>
      </w:r>
      <w:r w:rsidR="6D9AC4D9" w:rsidRPr="001F797A">
        <w:t>strategy</w:t>
      </w:r>
      <w:r w:rsidRPr="001F797A">
        <w:t xml:space="preserve"> is required that builds on NICE’s unique role but also addresses the barriers and capitalises on the levers for improvement in that system.</w:t>
      </w:r>
      <w:r w:rsidR="1233EDD7" w:rsidRPr="001F797A">
        <w:t xml:space="preserve"> Whilst we </w:t>
      </w:r>
      <w:r w:rsidR="7E5A5DD1" w:rsidRPr="001F797A">
        <w:t>cannot</w:t>
      </w:r>
      <w:r w:rsidR="1233EDD7" w:rsidRPr="001F797A">
        <w:t xml:space="preserve"> focus focus on improving uptake in all guidance, we will prioritise areas which align to health and care system priorities, but also where there is greatest scope for improvement in uptake</w:t>
      </w:r>
      <w:r w:rsidR="0A36A05B" w:rsidRPr="001F797A">
        <w:t>, including where variation is worsening health inequity.</w:t>
      </w:r>
      <w:bookmarkStart w:id="1" w:name="VPAG"/>
      <w:bookmarkEnd w:id="1"/>
    </w:p>
    <w:p w14:paraId="4D85AA0C" w14:textId="073AD0DA" w:rsidR="00F42047" w:rsidRPr="001F797A" w:rsidRDefault="00F42047" w:rsidP="00AD57E2">
      <w:pPr>
        <w:pStyle w:val="Heading1boardreport"/>
      </w:pPr>
      <w:r w:rsidRPr="001F797A">
        <w:t>Summary of the strategy</w:t>
      </w:r>
    </w:p>
    <w:p w14:paraId="22A868A6" w14:textId="5A462730" w:rsidR="00E95BE2" w:rsidRDefault="00150EF6" w:rsidP="001F797A">
      <w:pPr>
        <w:pStyle w:val="NICEnormalnumbered"/>
      </w:pPr>
      <w:r w:rsidRPr="001F797A">
        <w:t>To</w:t>
      </w:r>
      <w:r w:rsidR="00E2795B" w:rsidRPr="001F797A">
        <w:t xml:space="preserve"> deliver an overall aim of improving uptake and adoption of NICE guidance</w:t>
      </w:r>
      <w:r w:rsidR="007D37B1" w:rsidRPr="001F797A">
        <w:t xml:space="preserve"> in priority areas</w:t>
      </w:r>
      <w:r w:rsidR="00E2795B" w:rsidRPr="001F797A">
        <w:t xml:space="preserve"> by 10% over three years, the strategy consists of three objectives:</w:t>
      </w:r>
    </w:p>
    <w:p w14:paraId="505A4171" w14:textId="77777777" w:rsidR="00E95BE2" w:rsidRDefault="00E95BE2">
      <w:pPr>
        <w:rPr>
          <w:rFonts w:ascii="Arial" w:hAnsi="Arial"/>
          <w:noProof/>
          <w:lang w:eastAsia="en-GB"/>
        </w:rPr>
      </w:pPr>
      <w:r>
        <w:br w:type="page"/>
      </w:r>
    </w:p>
    <w:p w14:paraId="501703DE" w14:textId="77777777" w:rsidR="00E2795B" w:rsidRPr="001F797A" w:rsidRDefault="00E2795B" w:rsidP="00E95BE2">
      <w:pPr>
        <w:pStyle w:val="NICEnormal"/>
        <w:numPr>
          <w:ilvl w:val="0"/>
          <w:numId w:val="40"/>
        </w:numPr>
      </w:pPr>
      <w:r w:rsidRPr="001F797A">
        <w:rPr>
          <w:b/>
          <w:bCs/>
        </w:rPr>
        <w:lastRenderedPageBreak/>
        <w:t>Establish a single programme of support for guidance uptake.</w:t>
      </w:r>
      <w:r w:rsidRPr="001F797A">
        <w:t xml:space="preserve"> </w:t>
      </w:r>
    </w:p>
    <w:p w14:paraId="1DE22397" w14:textId="006B5063" w:rsidR="00E2795B" w:rsidRPr="001F797A" w:rsidRDefault="00E2795B" w:rsidP="2746D0C8">
      <w:pPr>
        <w:pStyle w:val="NICEnormal"/>
        <w:ind w:left="360"/>
      </w:pPr>
      <w:r w:rsidRPr="001F797A">
        <w:t xml:space="preserve">We will establish a NICE-wide approach to supporting uptake and adoption </w:t>
      </w:r>
      <w:r w:rsidR="001C14A7" w:rsidRPr="001F797A">
        <w:t>of NICE guidance</w:t>
      </w:r>
      <w:r w:rsidR="009B10D2" w:rsidRPr="001F797A">
        <w:t>,</w:t>
      </w:r>
      <w:r w:rsidR="001C14A7" w:rsidRPr="001F797A">
        <w:t xml:space="preserve"> </w:t>
      </w:r>
      <w:r w:rsidRPr="001F797A">
        <w:t>based on implementation science. This will help to achieve maximum impact</w:t>
      </w:r>
      <w:r w:rsidR="644721FA" w:rsidRPr="001F797A">
        <w:t xml:space="preserve"> across </w:t>
      </w:r>
      <w:r w:rsidR="3849D555" w:rsidRPr="001F797A">
        <w:t>NICE to</w:t>
      </w:r>
      <w:r w:rsidRPr="001F797A">
        <w:t xml:space="preserve"> support commissioners, providers and practitioners </w:t>
      </w:r>
      <w:r w:rsidR="735944E2" w:rsidRPr="001F797A">
        <w:t>across our</w:t>
      </w:r>
      <w:r w:rsidRPr="001F797A">
        <w:t xml:space="preserve"> full portfolio of guidance – </w:t>
      </w:r>
      <w:r w:rsidR="00C95223" w:rsidRPr="001F797A">
        <w:t xml:space="preserve">medicines, health </w:t>
      </w:r>
      <w:r w:rsidR="20ACB163" w:rsidRPr="001F797A">
        <w:t>technology and</w:t>
      </w:r>
      <w:r w:rsidRPr="001F797A">
        <w:t xml:space="preserve"> guidelines. This will ensure consistency of approach to</w:t>
      </w:r>
      <w:r w:rsidR="00FE66F2" w:rsidRPr="001F797A">
        <w:t xml:space="preserve"> supporting</w:t>
      </w:r>
      <w:r w:rsidRPr="001F797A">
        <w:t xml:space="preserve"> uptake and adoption </w:t>
      </w:r>
      <w:r w:rsidR="00FE66F2" w:rsidRPr="001F797A">
        <w:t xml:space="preserve">by </w:t>
      </w:r>
      <w:r w:rsidRPr="001F797A">
        <w:t xml:space="preserve">all </w:t>
      </w:r>
      <w:r w:rsidR="00FE66F2" w:rsidRPr="001F797A">
        <w:t>teams</w:t>
      </w:r>
      <w:r w:rsidR="16B7961A" w:rsidRPr="001F797A">
        <w:t>, will be informed by user research</w:t>
      </w:r>
      <w:r w:rsidRPr="001F797A">
        <w:t xml:space="preserve"> and will deploy the latest implementation science techniques to ensure </w:t>
      </w:r>
      <w:r w:rsidR="008A5DEB" w:rsidRPr="001F797A">
        <w:t>impact</w:t>
      </w:r>
      <w:r w:rsidRPr="001F797A">
        <w:t>.</w:t>
      </w:r>
      <w:r w:rsidR="00150EF6" w:rsidRPr="001F797A">
        <w:t xml:space="preserve"> We will </w:t>
      </w:r>
      <w:r w:rsidR="4D1196C7" w:rsidRPr="001F797A">
        <w:t xml:space="preserve">ensure we deliver implementation </w:t>
      </w:r>
      <w:r w:rsidR="7336E5A0" w:rsidRPr="001F797A">
        <w:t xml:space="preserve">toolkits </w:t>
      </w:r>
      <w:r w:rsidR="4D1196C7" w:rsidRPr="001F797A">
        <w:t xml:space="preserve">for the VPAG supported medicines </w:t>
      </w:r>
      <w:r w:rsidR="7B364ACC" w:rsidRPr="001F797A">
        <w:t>by consolidation of prioritised clinical areas, guidelines and pathways.</w:t>
      </w:r>
    </w:p>
    <w:p w14:paraId="030FC3E6" w14:textId="2CC4DBF5" w:rsidR="00E2795B" w:rsidRPr="001F797A" w:rsidRDefault="00E2795B" w:rsidP="00E95BE2">
      <w:pPr>
        <w:pStyle w:val="NICEnormal"/>
        <w:numPr>
          <w:ilvl w:val="0"/>
          <w:numId w:val="39"/>
        </w:numPr>
      </w:pPr>
      <w:r w:rsidRPr="001F797A">
        <w:rPr>
          <w:b/>
          <w:bCs/>
        </w:rPr>
        <w:t>Implement an effective stakeholder engagement approach</w:t>
      </w:r>
    </w:p>
    <w:p w14:paraId="7FD05BE8" w14:textId="38003E18" w:rsidR="00E2795B" w:rsidRPr="001F797A" w:rsidRDefault="00E2795B" w:rsidP="00E2795B">
      <w:pPr>
        <w:pStyle w:val="NICEnormal"/>
        <w:ind w:left="360"/>
      </w:pPr>
      <w:r w:rsidRPr="001F797A">
        <w:t xml:space="preserve">We will introduce a more consistent and actively managed stakeholder engagement framework with a focus on tactical engagement with health &amp; care system-level decision makers (commissioners) and </w:t>
      </w:r>
      <w:r w:rsidR="00150EF6" w:rsidRPr="001F797A">
        <w:t>providers</w:t>
      </w:r>
      <w:r w:rsidR="6057DEF0" w:rsidRPr="001F797A">
        <w:t xml:space="preserve"> in the delivery system</w:t>
      </w:r>
      <w:r w:rsidRPr="001F797A">
        <w:t xml:space="preserve">. We will </w:t>
      </w:r>
      <w:r w:rsidR="281B5B4C" w:rsidRPr="001F797A">
        <w:t xml:space="preserve">formalise </w:t>
      </w:r>
      <w:r w:rsidRPr="001F797A">
        <w:t xml:space="preserve">partnerships with organisations in the improvement system to make this engagement as effective as possible and to enhance the reach of NICE guidance into the delivery system.  We will effectively use existing networks </w:t>
      </w:r>
      <w:r w:rsidR="00493E2C" w:rsidRPr="001F797A">
        <w:t>and where needed develop new networks to support uptake and adoption of NICE guidance across all our primary users.</w:t>
      </w:r>
    </w:p>
    <w:p w14:paraId="3D03E6F4" w14:textId="77777777" w:rsidR="00493E2C" w:rsidRPr="001F797A" w:rsidRDefault="00E2795B" w:rsidP="00E2795B">
      <w:pPr>
        <w:pStyle w:val="NICEnormal"/>
        <w:numPr>
          <w:ilvl w:val="0"/>
          <w:numId w:val="38"/>
        </w:numPr>
      </w:pPr>
      <w:r w:rsidRPr="001F797A">
        <w:rPr>
          <w:b/>
          <w:bCs/>
        </w:rPr>
        <w:t>Improve use of uptake insights and system intelligenc</w:t>
      </w:r>
      <w:r w:rsidR="00493E2C" w:rsidRPr="001F797A">
        <w:rPr>
          <w:b/>
          <w:bCs/>
        </w:rPr>
        <w:t xml:space="preserve">e. </w:t>
      </w:r>
    </w:p>
    <w:p w14:paraId="1635B3B0" w14:textId="29B40939" w:rsidR="00093CBD" w:rsidRPr="001F797A" w:rsidRDefault="00493E2C" w:rsidP="2746D0C8">
      <w:pPr>
        <w:pStyle w:val="NICEnormal"/>
        <w:ind w:left="360"/>
      </w:pPr>
      <w:r w:rsidRPr="001F797A">
        <w:t>W</w:t>
      </w:r>
      <w:r w:rsidR="00E2795B" w:rsidRPr="001F797A">
        <w:t xml:space="preserve">e will work with partners to align uptake data with the broader NHS quality, </w:t>
      </w:r>
      <w:r w:rsidR="06DD8C90" w:rsidRPr="001F797A">
        <w:t>improvement,</w:t>
      </w:r>
      <w:r w:rsidR="00E2795B" w:rsidRPr="001F797A">
        <w:t xml:space="preserve"> and assessment framework, and ensur</w:t>
      </w:r>
      <w:r w:rsidR="00A65FB0" w:rsidRPr="001F797A">
        <w:t>e</w:t>
      </w:r>
      <w:r w:rsidR="00E2795B" w:rsidRPr="001F797A">
        <w:t xml:space="preserve"> that guidance uptake and system intelligence increasingly informs NICE’s own decision making and improvement. </w:t>
      </w:r>
      <w:r w:rsidR="49C7DDEA" w:rsidRPr="001F797A">
        <w:t>This will not be for all items in NICE’s guidance portfolio, but for prioritised areas to derive actionable insight that supports improved uptake and adoption.</w:t>
      </w:r>
    </w:p>
    <w:p w14:paraId="0960FB99" w14:textId="4AF5E9E8" w:rsidR="00093CBD" w:rsidRPr="001F797A" w:rsidRDefault="00093CBD" w:rsidP="4B54F46B">
      <w:pPr>
        <w:pStyle w:val="Heading1"/>
      </w:pPr>
      <w:r w:rsidRPr="001F797A">
        <w:t>Delivering the strategy</w:t>
      </w:r>
    </w:p>
    <w:p w14:paraId="35CA41AA" w14:textId="7A572EEF" w:rsidR="00093CBD" w:rsidRPr="001F797A" w:rsidRDefault="00C243D1" w:rsidP="001F797A">
      <w:pPr>
        <w:pStyle w:val="NICEnormalnumbered"/>
      </w:pPr>
      <w:r w:rsidRPr="001F797A">
        <w:rPr>
          <w:noProof w:val="0"/>
        </w:rPr>
        <w:t>The three-</w:t>
      </w:r>
      <w:r w:rsidRPr="001F797A">
        <w:t xml:space="preserve">year strategy sets out key activities to be undertaken under each objective and provides key outcome and process measures for each objective to </w:t>
      </w:r>
      <w:r w:rsidRPr="001F797A">
        <w:lastRenderedPageBreak/>
        <w:t>guide and track delivery. A detailed implementation plan for this strategy will be developed as part of NICE business planning for 2025-26, and delivery will be overseen by the Impactful Oversight Group and the U</w:t>
      </w:r>
      <w:r w:rsidR="004D48C2" w:rsidRPr="001F797A">
        <w:t>sable</w:t>
      </w:r>
      <w:r w:rsidRPr="001F797A">
        <w:t xml:space="preserve"> and Impactful Programme Board chaired by Clare Morgan, Director of Impact and Partnerships.</w:t>
      </w:r>
    </w:p>
    <w:p w14:paraId="38BACE8E" w14:textId="77777777" w:rsidR="00812053" w:rsidRPr="001F797A" w:rsidRDefault="00812053" w:rsidP="00AD57E2">
      <w:pPr>
        <w:pStyle w:val="Heading1boardreport"/>
      </w:pPr>
      <w:r w:rsidRPr="001F797A">
        <w:t xml:space="preserve">Financial implications </w:t>
      </w:r>
    </w:p>
    <w:p w14:paraId="66BEE83F" w14:textId="08B80789" w:rsidR="00812053" w:rsidRPr="001F797A" w:rsidRDefault="00812053" w:rsidP="001F797A">
      <w:pPr>
        <w:pStyle w:val="NICEnormalnumbered"/>
      </w:pPr>
      <w:r w:rsidRPr="001F797A">
        <w:t>The strategy proposes establishing a small number of partnerships to amplify the impact of NICE guidanc</w:t>
      </w:r>
      <w:r w:rsidR="00150EF6" w:rsidRPr="001F797A">
        <w:t xml:space="preserve">e, and the development of a NICE-wide approach to supporting uptake and adoption across the implementation, medicines optimisation (in the Clinical Directorate) and resource impact assessment </w:t>
      </w:r>
      <w:r w:rsidR="00254F9F" w:rsidRPr="001F797A">
        <w:t xml:space="preserve">teams </w:t>
      </w:r>
      <w:r w:rsidR="00150EF6" w:rsidRPr="001F797A">
        <w:t>(Finance</w:t>
      </w:r>
      <w:r w:rsidR="5D737FF3" w:rsidRPr="001F797A">
        <w:t>, Commercial and Corporate</w:t>
      </w:r>
      <w:r w:rsidR="00150EF6" w:rsidRPr="001F797A">
        <w:t xml:space="preserve"> Directorate)</w:t>
      </w:r>
      <w:r w:rsidRPr="001F797A">
        <w:t xml:space="preserve">. </w:t>
      </w:r>
      <w:r w:rsidR="13428DCB" w:rsidRPr="001F797A">
        <w:t xml:space="preserve"> Our planned work on improving uptake and adoption is supported by VPAG funding for the next </w:t>
      </w:r>
      <w:r w:rsidR="607BEF0A" w:rsidRPr="001F797A">
        <w:t>three years.</w:t>
      </w:r>
      <w:r w:rsidR="13428DCB" w:rsidRPr="001F797A">
        <w:t xml:space="preserve"> </w:t>
      </w:r>
    </w:p>
    <w:p w14:paraId="4B185965" w14:textId="79E98E73" w:rsidR="00812053" w:rsidRPr="001F797A" w:rsidRDefault="0A4E4BFF" w:rsidP="4B54F46B">
      <w:pPr>
        <w:pStyle w:val="Heading1"/>
      </w:pPr>
      <w:r w:rsidRPr="001F797A">
        <w:t xml:space="preserve">HR and legal implications </w:t>
      </w:r>
    </w:p>
    <w:p w14:paraId="2EB4DC10" w14:textId="1531C867" w:rsidR="00812053" w:rsidRPr="001F797A" w:rsidRDefault="00812053" w:rsidP="001F797A">
      <w:pPr>
        <w:pStyle w:val="NICEnormalnumbered"/>
      </w:pPr>
      <w:r w:rsidRPr="001F797A">
        <w:t>There are no anticipated HR or associated legal implications.</w:t>
      </w:r>
    </w:p>
    <w:p w14:paraId="6B6B255B" w14:textId="77777777" w:rsidR="00812053" w:rsidRPr="001F797A" w:rsidRDefault="00812053" w:rsidP="00AD57E2">
      <w:pPr>
        <w:pStyle w:val="Heading1boardreport"/>
      </w:pPr>
      <w:r w:rsidRPr="001F797A">
        <w:t xml:space="preserve">Cross organisational impact </w:t>
      </w:r>
    </w:p>
    <w:p w14:paraId="38DBF3FB" w14:textId="32736826" w:rsidR="00812053" w:rsidRPr="001F797A" w:rsidRDefault="00812053" w:rsidP="001F797A">
      <w:pPr>
        <w:pStyle w:val="NICEnormalnumbered"/>
      </w:pPr>
      <w:r w:rsidRPr="001F797A">
        <w:t>Th</w:t>
      </w:r>
      <w:r w:rsidR="00E23F20" w:rsidRPr="001F797A">
        <w:t xml:space="preserve">is is </w:t>
      </w:r>
      <w:r w:rsidR="00150EF6" w:rsidRPr="001F797A">
        <w:t>a strategy for improving uptake and adoption of guidance</w:t>
      </w:r>
      <w:r w:rsidRPr="001F797A">
        <w:t xml:space="preserve"> for NICE </w:t>
      </w:r>
      <w:r w:rsidR="005C4638" w:rsidRPr="001F797A">
        <w:t xml:space="preserve">in priority areas </w:t>
      </w:r>
      <w:r w:rsidRPr="001F797A">
        <w:t xml:space="preserve">and will require cross-organisation buy in and leadership to implement. Teams across NICE have been involved in the development of the strategy via focus groups, 1:1 meetings, </w:t>
      </w:r>
      <w:r w:rsidR="00150EF6" w:rsidRPr="001F797A">
        <w:t xml:space="preserve">and </w:t>
      </w:r>
      <w:r w:rsidRPr="001F797A">
        <w:t xml:space="preserve">team meetings and through consultation. </w:t>
      </w:r>
      <w:r w:rsidR="00150EF6" w:rsidRPr="001F797A">
        <w:t>Whilst there are specific interdependencies with the Cl</w:t>
      </w:r>
      <w:r w:rsidR="6BD1A598" w:rsidRPr="001F797A">
        <w:t>i</w:t>
      </w:r>
      <w:r w:rsidR="00150EF6" w:rsidRPr="001F797A">
        <w:t xml:space="preserve">nical </w:t>
      </w:r>
      <w:r w:rsidR="0E602466" w:rsidRPr="001F797A">
        <w:t xml:space="preserve">Directorate </w:t>
      </w:r>
      <w:r w:rsidR="00150EF6" w:rsidRPr="001F797A">
        <w:t xml:space="preserve">and </w:t>
      </w:r>
      <w:r w:rsidR="56ECEB04" w:rsidRPr="001F797A">
        <w:t>Finance, Commercial and Cor</w:t>
      </w:r>
      <w:r w:rsidR="51B925C0" w:rsidRPr="001F797A">
        <w:t>porate Directorate</w:t>
      </w:r>
      <w:r w:rsidR="005C4638" w:rsidRPr="001F797A">
        <w:t xml:space="preserve"> </w:t>
      </w:r>
      <w:r w:rsidR="00150EF6" w:rsidRPr="001F797A">
        <w:t xml:space="preserve">referenced above, there are broader opportunities to work collaboratively with other Directorates that have been identified through the business planning process for 2025/26. </w:t>
      </w:r>
    </w:p>
    <w:p w14:paraId="22007B7A" w14:textId="022D845F" w:rsidR="00812053" w:rsidRPr="001F797A" w:rsidRDefault="00812053" w:rsidP="00AD57E2">
      <w:pPr>
        <w:pStyle w:val="Heading1boardreport"/>
      </w:pPr>
      <w:r w:rsidRPr="001F797A">
        <w:t xml:space="preserve">Paper Authors </w:t>
      </w:r>
    </w:p>
    <w:p w14:paraId="3B6A9F04" w14:textId="52CDFFF7" w:rsidR="00AD57E2" w:rsidRPr="001F797A" w:rsidRDefault="00C243D1" w:rsidP="00812053">
      <w:pPr>
        <w:pStyle w:val="NICEnormal"/>
      </w:pPr>
      <w:r w:rsidRPr="001F797A">
        <w:t>Louise Edwards, Angela Osei, Nick Baillie</w:t>
      </w:r>
    </w:p>
    <w:p w14:paraId="4365DB99" w14:textId="48E28B5F" w:rsidR="004B4705" w:rsidRPr="001F797A" w:rsidRDefault="004B4705" w:rsidP="004B4705">
      <w:pPr>
        <w:pStyle w:val="NICEnormal"/>
      </w:pPr>
      <w:r w:rsidRPr="001F797A">
        <w:t xml:space="preserve">© NICE </w:t>
      </w:r>
      <w:r w:rsidR="00BB1607" w:rsidRPr="001F797A">
        <w:t>202</w:t>
      </w:r>
      <w:r w:rsidR="00C243D1" w:rsidRPr="001F797A">
        <w:t>5</w:t>
      </w:r>
      <w:r w:rsidR="00BB1607" w:rsidRPr="001F797A">
        <w:t>.</w:t>
      </w:r>
      <w:r w:rsidRPr="001F797A">
        <w:t xml:space="preserve"> All rights reserved. </w:t>
      </w:r>
      <w:hyperlink r:id="rId8" w:anchor="notice-of-rights" w:history="1">
        <w:r w:rsidRPr="001F797A">
          <w:rPr>
            <w:rStyle w:val="Hyperlink"/>
          </w:rPr>
          <w:t>Subject to Notice of rights</w:t>
        </w:r>
      </w:hyperlink>
      <w:r w:rsidRPr="001F797A">
        <w:t>.</w:t>
      </w:r>
    </w:p>
    <w:p w14:paraId="35A65094" w14:textId="153F2289" w:rsidR="004B4705" w:rsidRPr="001F797A" w:rsidRDefault="00C243D1" w:rsidP="004511A7">
      <w:pPr>
        <w:pStyle w:val="NICEnormal"/>
      </w:pPr>
      <w:r w:rsidRPr="001F797A">
        <w:t>March 2025</w:t>
      </w:r>
    </w:p>
    <w:sectPr w:rsidR="004B4705" w:rsidRPr="001F797A" w:rsidSect="00B0463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04B0E" w14:textId="77777777" w:rsidR="003927CE" w:rsidRDefault="003927CE">
      <w:r>
        <w:separator/>
      </w:r>
    </w:p>
  </w:endnote>
  <w:endnote w:type="continuationSeparator" w:id="0">
    <w:p w14:paraId="666778DE" w14:textId="77777777" w:rsidR="003927CE" w:rsidRDefault="003927CE">
      <w:r>
        <w:continuationSeparator/>
      </w:r>
    </w:p>
  </w:endnote>
  <w:endnote w:type="continuationNotice" w:id="1">
    <w:p w14:paraId="2737DEED" w14:textId="77777777" w:rsidR="003927CE" w:rsidRDefault="00392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6E9D" w14:textId="2E612CE4" w:rsidR="00812053" w:rsidRPr="00843A61" w:rsidRDefault="00E71CE3" w:rsidP="00A70E2A">
    <w:pPr>
      <w:pStyle w:val="Footer"/>
      <w:tabs>
        <w:tab w:val="right" w:pos="8931"/>
        <w:tab w:val="right" w:pos="13892"/>
      </w:tabs>
      <w:rPr>
        <w:szCs w:val="16"/>
      </w:rPr>
    </w:pPr>
    <w:r>
      <w:rPr>
        <w:szCs w:val="16"/>
      </w:rPr>
      <w:t xml:space="preserve">A strategy to improve uptake and adoption of NICE guidance </w:t>
    </w:r>
    <w:r w:rsidR="00A70E2A">
      <w:rPr>
        <w:szCs w:val="16"/>
      </w:rPr>
      <w:tab/>
    </w:r>
    <w:r w:rsidR="00A70E2A" w:rsidRPr="00843A61">
      <w:rPr>
        <w:szCs w:val="16"/>
      </w:rPr>
      <w:t xml:space="preserve">Page </w:t>
    </w:r>
    <w:r w:rsidR="00A70E2A" w:rsidRPr="00843A61">
      <w:rPr>
        <w:szCs w:val="16"/>
      </w:rPr>
      <w:fldChar w:fldCharType="begin"/>
    </w:r>
    <w:r w:rsidR="00A70E2A" w:rsidRPr="00843A61">
      <w:rPr>
        <w:szCs w:val="16"/>
      </w:rPr>
      <w:instrText xml:space="preserve"> PAGE  \* Arabic  \* MERGEFORMAT </w:instrText>
    </w:r>
    <w:r w:rsidR="00A70E2A" w:rsidRPr="00843A61">
      <w:rPr>
        <w:szCs w:val="16"/>
      </w:rPr>
      <w:fldChar w:fldCharType="separate"/>
    </w:r>
    <w:r w:rsidR="00A70E2A">
      <w:rPr>
        <w:szCs w:val="16"/>
      </w:rPr>
      <w:t>1</w:t>
    </w:r>
    <w:r w:rsidR="00A70E2A" w:rsidRPr="00843A61">
      <w:rPr>
        <w:szCs w:val="16"/>
      </w:rPr>
      <w:fldChar w:fldCharType="end"/>
    </w:r>
    <w:r w:rsidR="00A70E2A" w:rsidRPr="00843A61">
      <w:rPr>
        <w:szCs w:val="16"/>
      </w:rPr>
      <w:t xml:space="preserve"> of </w:t>
    </w:r>
    <w:r w:rsidR="00A70E2A" w:rsidRPr="00843A61">
      <w:rPr>
        <w:szCs w:val="16"/>
      </w:rPr>
      <w:fldChar w:fldCharType="begin"/>
    </w:r>
    <w:r w:rsidR="00A70E2A" w:rsidRPr="00843A61">
      <w:rPr>
        <w:szCs w:val="16"/>
      </w:rPr>
      <w:instrText xml:space="preserve"> NUMPAGES  \* Arabic  \* MERGEFORMAT </w:instrText>
    </w:r>
    <w:r w:rsidR="00A70E2A" w:rsidRPr="00843A61">
      <w:rPr>
        <w:szCs w:val="16"/>
      </w:rPr>
      <w:fldChar w:fldCharType="separate"/>
    </w:r>
    <w:r w:rsidR="00A70E2A">
      <w:rPr>
        <w:szCs w:val="16"/>
      </w:rPr>
      <w:t>6</w:t>
    </w:r>
    <w:r w:rsidR="00A70E2A" w:rsidRPr="00843A61">
      <w:rPr>
        <w:szCs w:val="16"/>
      </w:rPr>
      <w:fldChar w:fldCharType="end"/>
    </w:r>
  </w:p>
  <w:p w14:paraId="48B52C3F" w14:textId="69FED900" w:rsidR="00A70E2A" w:rsidRDefault="00A70E2A" w:rsidP="004B4705">
    <w:pPr>
      <w:pStyle w:val="Footer"/>
      <w:rPr>
        <w:szCs w:val="16"/>
      </w:rPr>
    </w:pPr>
    <w:r>
      <w:rPr>
        <w:szCs w:val="16"/>
      </w:rPr>
      <w:t>Public Board meeting</w:t>
    </w:r>
  </w:p>
  <w:p w14:paraId="0584711A" w14:textId="3BB94004" w:rsidR="00812053" w:rsidRPr="002A231B" w:rsidRDefault="001F797A" w:rsidP="004B4705">
    <w:pPr>
      <w:pStyle w:val="Footer"/>
      <w:rPr>
        <w:szCs w:val="16"/>
      </w:rPr>
    </w:pPr>
    <w:r>
      <w:rPr>
        <w:szCs w:val="16"/>
      </w:rPr>
      <w:t xml:space="preserve">19 </w:t>
    </w:r>
    <w:r w:rsidR="00E71CE3">
      <w:rPr>
        <w:szCs w:val="16"/>
      </w:rPr>
      <w:t>March</w:t>
    </w:r>
    <w:r w:rsidR="00F8456D">
      <w:rPr>
        <w:szCs w:val="16"/>
      </w:rPr>
      <w:t xml:space="preserve"> 2025</w:t>
    </w:r>
    <w:r w:rsidR="00812053" w:rsidRPr="00843A61">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CF949" w14:textId="77777777" w:rsidR="003927CE" w:rsidRDefault="003927CE">
      <w:r>
        <w:separator/>
      </w:r>
    </w:p>
  </w:footnote>
  <w:footnote w:type="continuationSeparator" w:id="0">
    <w:p w14:paraId="1DF6E4A3" w14:textId="77777777" w:rsidR="003927CE" w:rsidRDefault="003927CE">
      <w:r>
        <w:continuationSeparator/>
      </w:r>
    </w:p>
  </w:footnote>
  <w:footnote w:type="continuationNotice" w:id="1">
    <w:p w14:paraId="6390FBF9" w14:textId="77777777" w:rsidR="003927CE" w:rsidRDefault="003927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5F54" w14:textId="48FFB359" w:rsidR="00812053" w:rsidRPr="006E0F0C" w:rsidRDefault="00812053" w:rsidP="006E0F0C">
    <w:pPr>
      <w:pStyle w:val="Header"/>
      <w:ind w:left="0"/>
    </w:pPr>
    <w:r>
      <w:rPr>
        <w:noProof/>
      </w:rPr>
      <w:drawing>
        <wp:inline distT="0" distB="0" distL="0" distR="0" wp14:anchorId="5444E87B" wp14:editId="729794F1">
          <wp:extent cx="2352675" cy="257175"/>
          <wp:effectExtent l="0" t="0" r="9525" b="9525"/>
          <wp:docPr id="979934191" name="Picture 979934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A70E2A">
      <w:t xml:space="preserve">Item </w:t>
    </w:r>
    <w:r w:rsidR="001F797A">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C528B0"/>
    <w:multiLevelType w:val="hybridMultilevel"/>
    <w:tmpl w:val="4118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7172B"/>
    <w:multiLevelType w:val="hybridMultilevel"/>
    <w:tmpl w:val="A678F6A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B15797"/>
    <w:multiLevelType w:val="hybridMultilevel"/>
    <w:tmpl w:val="C3983226"/>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40823C8"/>
    <w:multiLevelType w:val="multilevel"/>
    <w:tmpl w:val="5BE6194C"/>
    <w:lvl w:ilvl="0">
      <w:start w:val="1"/>
      <w:numFmt w:val="bullet"/>
      <w:lvlText w:val=""/>
      <w:lvlJc w:val="left"/>
      <w:pPr>
        <w:tabs>
          <w:tab w:val="num" w:pos="1494"/>
        </w:tabs>
        <w:ind w:left="1494" w:hanging="1134"/>
      </w:pPr>
      <w:rPr>
        <w:rFonts w:ascii="Symbol" w:hAnsi="Symbol" w:hint="default"/>
      </w:rPr>
    </w:lvl>
    <w:lvl w:ilvl="1">
      <w:start w:val="1"/>
      <w:numFmt w:val="decimal"/>
      <w:lvlText w:val="%1.%2"/>
      <w:lvlJc w:val="left"/>
      <w:pPr>
        <w:tabs>
          <w:tab w:val="num" w:pos="1494"/>
        </w:tabs>
        <w:ind w:left="1494" w:hanging="1134"/>
      </w:pPr>
      <w:rPr>
        <w:rFonts w:hint="default"/>
      </w:rPr>
    </w:lvl>
    <w:lvl w:ilvl="2">
      <w:start w:val="1"/>
      <w:numFmt w:val="decimal"/>
      <w:lvlText w:val="%1.%2.%3"/>
      <w:lvlJc w:val="left"/>
      <w:pPr>
        <w:tabs>
          <w:tab w:val="num" w:pos="1494"/>
        </w:tabs>
        <w:ind w:left="1494" w:hanging="1134"/>
      </w:pPr>
      <w:rPr>
        <w:rFonts w:hint="default"/>
      </w:rPr>
    </w:lvl>
    <w:lvl w:ilvl="3">
      <w:start w:val="1"/>
      <w:numFmt w:val="decimal"/>
      <w:lvlText w:val="%1.%2.%3.%4"/>
      <w:lvlJc w:val="left"/>
      <w:pPr>
        <w:tabs>
          <w:tab w:val="num" w:pos="1494"/>
        </w:tabs>
        <w:ind w:left="1494" w:hanging="1134"/>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760"/>
        </w:tabs>
        <w:ind w:left="3096" w:hanging="936"/>
      </w:pPr>
      <w:rPr>
        <w:rFonts w:hint="default"/>
      </w:rPr>
    </w:lvl>
    <w:lvl w:ilvl="6">
      <w:start w:val="1"/>
      <w:numFmt w:val="decimal"/>
      <w:lvlText w:val="%1.%2.%3.%4.%5.%6.%7."/>
      <w:lvlJc w:val="left"/>
      <w:pPr>
        <w:tabs>
          <w:tab w:val="num" w:pos="6840"/>
        </w:tabs>
        <w:ind w:left="3600" w:hanging="1080"/>
      </w:pPr>
      <w:rPr>
        <w:rFonts w:hint="default"/>
      </w:rPr>
    </w:lvl>
    <w:lvl w:ilvl="7">
      <w:start w:val="1"/>
      <w:numFmt w:val="decimal"/>
      <w:lvlText w:val="%1.%2.%3.%4.%5.%6.%7.%8."/>
      <w:lvlJc w:val="left"/>
      <w:pPr>
        <w:tabs>
          <w:tab w:val="num" w:pos="7560"/>
        </w:tabs>
        <w:ind w:left="4104" w:hanging="1224"/>
      </w:pPr>
      <w:rPr>
        <w:rFonts w:hint="default"/>
      </w:rPr>
    </w:lvl>
    <w:lvl w:ilvl="8">
      <w:start w:val="1"/>
      <w:numFmt w:val="decimal"/>
      <w:lvlText w:val="%1.%2.%3.%4.%5.%6.%7.%8.%9."/>
      <w:lvlJc w:val="left"/>
      <w:pPr>
        <w:tabs>
          <w:tab w:val="num" w:pos="8640"/>
        </w:tabs>
        <w:ind w:left="4680" w:hanging="1440"/>
      </w:pPr>
      <w:rPr>
        <w:rFonts w:hint="default"/>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FD652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pStyle w:val="Numberedheading1"/>
      <w:lvlText w:val="%1"/>
      <w:lvlJc w:val="left"/>
      <w:pPr>
        <w:tabs>
          <w:tab w:val="num" w:pos="2042"/>
        </w:tabs>
        <w:ind w:left="2042" w:hanging="1134"/>
      </w:pPr>
      <w:rPr>
        <w:rFonts w:hint="default"/>
      </w:rPr>
    </w:lvl>
    <w:lvl w:ilvl="1">
      <w:start w:val="1"/>
      <w:numFmt w:val="decimal"/>
      <w:pStyle w:val="Numberedheading2"/>
      <w:lvlText w:val="%1.%2"/>
      <w:lvlJc w:val="left"/>
      <w:pPr>
        <w:tabs>
          <w:tab w:val="num" w:pos="2042"/>
        </w:tabs>
        <w:ind w:left="2042" w:hanging="1134"/>
      </w:pPr>
      <w:rPr>
        <w:rFonts w:hint="default"/>
      </w:rPr>
    </w:lvl>
    <w:lvl w:ilvl="2">
      <w:start w:val="1"/>
      <w:numFmt w:val="decimal"/>
      <w:pStyle w:val="Numberedheading3"/>
      <w:lvlText w:val="%1.%2.%3"/>
      <w:lvlJc w:val="left"/>
      <w:pPr>
        <w:tabs>
          <w:tab w:val="num" w:pos="2042"/>
        </w:tabs>
        <w:ind w:left="2042" w:hanging="1134"/>
      </w:pPr>
      <w:rPr>
        <w:rFonts w:hint="default"/>
      </w:rPr>
    </w:lvl>
    <w:lvl w:ilvl="3">
      <w:start w:val="1"/>
      <w:numFmt w:val="decimal"/>
      <w:pStyle w:val="Numberedlevel4text"/>
      <w:lvlText w:val="%1.%2.%3.%4"/>
      <w:lvlJc w:val="left"/>
      <w:pPr>
        <w:tabs>
          <w:tab w:val="num" w:pos="2042"/>
        </w:tabs>
        <w:ind w:left="2042" w:hanging="1134"/>
      </w:pPr>
      <w:rPr>
        <w:rFonts w:hint="default"/>
      </w:rPr>
    </w:lvl>
    <w:lvl w:ilvl="4">
      <w:start w:val="1"/>
      <w:numFmt w:val="decimal"/>
      <w:lvlText w:val="%1.%2.%3.%4.%5."/>
      <w:lvlJc w:val="left"/>
      <w:pPr>
        <w:tabs>
          <w:tab w:val="num" w:pos="5228"/>
        </w:tabs>
        <w:ind w:left="3140" w:hanging="792"/>
      </w:pPr>
      <w:rPr>
        <w:rFonts w:hint="default"/>
      </w:rPr>
    </w:lvl>
    <w:lvl w:ilvl="5">
      <w:start w:val="1"/>
      <w:numFmt w:val="decimal"/>
      <w:lvlText w:val="%1.%2.%3.%4.%5.%6."/>
      <w:lvlJc w:val="left"/>
      <w:pPr>
        <w:tabs>
          <w:tab w:val="num" w:pos="6308"/>
        </w:tabs>
        <w:ind w:left="3644" w:hanging="936"/>
      </w:pPr>
      <w:rPr>
        <w:rFonts w:hint="default"/>
      </w:rPr>
    </w:lvl>
    <w:lvl w:ilvl="6">
      <w:start w:val="1"/>
      <w:numFmt w:val="decimal"/>
      <w:lvlText w:val="%1.%2.%3.%4.%5.%6.%7."/>
      <w:lvlJc w:val="left"/>
      <w:pPr>
        <w:tabs>
          <w:tab w:val="num" w:pos="7388"/>
        </w:tabs>
        <w:ind w:left="4148" w:hanging="1080"/>
      </w:pPr>
      <w:rPr>
        <w:rFonts w:hint="default"/>
      </w:rPr>
    </w:lvl>
    <w:lvl w:ilvl="7">
      <w:start w:val="1"/>
      <w:numFmt w:val="decimal"/>
      <w:lvlText w:val="%1.%2.%3.%4.%5.%6.%7.%8."/>
      <w:lvlJc w:val="left"/>
      <w:pPr>
        <w:tabs>
          <w:tab w:val="num" w:pos="8108"/>
        </w:tabs>
        <w:ind w:left="4652" w:hanging="1224"/>
      </w:pPr>
      <w:rPr>
        <w:rFonts w:hint="default"/>
      </w:rPr>
    </w:lvl>
    <w:lvl w:ilvl="8">
      <w:start w:val="1"/>
      <w:numFmt w:val="decimal"/>
      <w:lvlText w:val="%1.%2.%3.%4.%5.%6.%7.%8.%9."/>
      <w:lvlJc w:val="left"/>
      <w:pPr>
        <w:tabs>
          <w:tab w:val="num" w:pos="9188"/>
        </w:tabs>
        <w:ind w:left="5228" w:hanging="1440"/>
      </w:pPr>
      <w:rPr>
        <w:rFonts w:hint="default"/>
      </w:r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FCA2245"/>
    <w:multiLevelType w:val="hybridMultilevel"/>
    <w:tmpl w:val="E0FE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81CCD"/>
    <w:multiLevelType w:val="multilevel"/>
    <w:tmpl w:val="5BE6194C"/>
    <w:lvl w:ilvl="0">
      <w:start w:val="1"/>
      <w:numFmt w:val="bullet"/>
      <w:lvlText w:val=""/>
      <w:lvlJc w:val="left"/>
      <w:pPr>
        <w:tabs>
          <w:tab w:val="num" w:pos="1494"/>
        </w:tabs>
        <w:ind w:left="1494" w:hanging="1134"/>
      </w:pPr>
      <w:rPr>
        <w:rFonts w:ascii="Symbol" w:hAnsi="Symbol" w:hint="default"/>
      </w:rPr>
    </w:lvl>
    <w:lvl w:ilvl="1">
      <w:start w:val="1"/>
      <w:numFmt w:val="decimal"/>
      <w:lvlText w:val="%1.%2"/>
      <w:lvlJc w:val="left"/>
      <w:pPr>
        <w:tabs>
          <w:tab w:val="num" w:pos="1494"/>
        </w:tabs>
        <w:ind w:left="1494" w:hanging="1134"/>
      </w:pPr>
      <w:rPr>
        <w:rFonts w:hint="default"/>
      </w:rPr>
    </w:lvl>
    <w:lvl w:ilvl="2">
      <w:start w:val="1"/>
      <w:numFmt w:val="decimal"/>
      <w:lvlText w:val="%1.%2.%3"/>
      <w:lvlJc w:val="left"/>
      <w:pPr>
        <w:tabs>
          <w:tab w:val="num" w:pos="1494"/>
        </w:tabs>
        <w:ind w:left="1494" w:hanging="1134"/>
      </w:pPr>
      <w:rPr>
        <w:rFonts w:hint="default"/>
      </w:rPr>
    </w:lvl>
    <w:lvl w:ilvl="3">
      <w:start w:val="1"/>
      <w:numFmt w:val="decimal"/>
      <w:lvlText w:val="%1.%2.%3.%4"/>
      <w:lvlJc w:val="left"/>
      <w:pPr>
        <w:tabs>
          <w:tab w:val="num" w:pos="1494"/>
        </w:tabs>
        <w:ind w:left="1494" w:hanging="1134"/>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760"/>
        </w:tabs>
        <w:ind w:left="3096" w:hanging="936"/>
      </w:pPr>
      <w:rPr>
        <w:rFonts w:hint="default"/>
      </w:rPr>
    </w:lvl>
    <w:lvl w:ilvl="6">
      <w:start w:val="1"/>
      <w:numFmt w:val="decimal"/>
      <w:lvlText w:val="%1.%2.%3.%4.%5.%6.%7."/>
      <w:lvlJc w:val="left"/>
      <w:pPr>
        <w:tabs>
          <w:tab w:val="num" w:pos="6840"/>
        </w:tabs>
        <w:ind w:left="3600" w:hanging="1080"/>
      </w:pPr>
      <w:rPr>
        <w:rFonts w:hint="default"/>
      </w:rPr>
    </w:lvl>
    <w:lvl w:ilvl="7">
      <w:start w:val="1"/>
      <w:numFmt w:val="decimal"/>
      <w:lvlText w:val="%1.%2.%3.%4.%5.%6.%7.%8."/>
      <w:lvlJc w:val="left"/>
      <w:pPr>
        <w:tabs>
          <w:tab w:val="num" w:pos="7560"/>
        </w:tabs>
        <w:ind w:left="4104" w:hanging="1224"/>
      </w:pPr>
      <w:rPr>
        <w:rFonts w:hint="default"/>
      </w:rPr>
    </w:lvl>
    <w:lvl w:ilvl="8">
      <w:start w:val="1"/>
      <w:numFmt w:val="decimal"/>
      <w:lvlText w:val="%1.%2.%3.%4.%5.%6.%7.%8.%9."/>
      <w:lvlJc w:val="left"/>
      <w:pPr>
        <w:tabs>
          <w:tab w:val="num" w:pos="8640"/>
        </w:tabs>
        <w:ind w:left="4680" w:hanging="1440"/>
      </w:pPr>
      <w:rPr>
        <w:rFonts w:hint="default"/>
      </w:rPr>
    </w:lvl>
  </w:abstractNum>
  <w:abstractNum w:abstractNumId="19" w15:restartNumberingAfterBreak="0">
    <w:nsid w:val="32691184"/>
    <w:multiLevelType w:val="multilevel"/>
    <w:tmpl w:val="6BB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DF6196"/>
    <w:multiLevelType w:val="multilevel"/>
    <w:tmpl w:val="5BE6194C"/>
    <w:lvl w:ilvl="0">
      <w:start w:val="1"/>
      <w:numFmt w:val="bullet"/>
      <w:lvlText w:val=""/>
      <w:lvlJc w:val="left"/>
      <w:pPr>
        <w:tabs>
          <w:tab w:val="num" w:pos="1494"/>
        </w:tabs>
        <w:ind w:left="1494" w:hanging="1134"/>
      </w:pPr>
      <w:rPr>
        <w:rFonts w:ascii="Symbol" w:hAnsi="Symbol" w:hint="default"/>
      </w:rPr>
    </w:lvl>
    <w:lvl w:ilvl="1">
      <w:start w:val="1"/>
      <w:numFmt w:val="decimal"/>
      <w:lvlText w:val="%1.%2"/>
      <w:lvlJc w:val="left"/>
      <w:pPr>
        <w:tabs>
          <w:tab w:val="num" w:pos="1494"/>
        </w:tabs>
        <w:ind w:left="1494" w:hanging="1134"/>
      </w:pPr>
      <w:rPr>
        <w:rFonts w:hint="default"/>
      </w:rPr>
    </w:lvl>
    <w:lvl w:ilvl="2">
      <w:start w:val="1"/>
      <w:numFmt w:val="decimal"/>
      <w:lvlText w:val="%1.%2.%3"/>
      <w:lvlJc w:val="left"/>
      <w:pPr>
        <w:tabs>
          <w:tab w:val="num" w:pos="1494"/>
        </w:tabs>
        <w:ind w:left="1494" w:hanging="1134"/>
      </w:pPr>
      <w:rPr>
        <w:rFonts w:hint="default"/>
      </w:rPr>
    </w:lvl>
    <w:lvl w:ilvl="3">
      <w:start w:val="1"/>
      <w:numFmt w:val="decimal"/>
      <w:lvlText w:val="%1.%2.%3.%4"/>
      <w:lvlJc w:val="left"/>
      <w:pPr>
        <w:tabs>
          <w:tab w:val="num" w:pos="1494"/>
        </w:tabs>
        <w:ind w:left="1494" w:hanging="1134"/>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760"/>
        </w:tabs>
        <w:ind w:left="3096" w:hanging="936"/>
      </w:pPr>
      <w:rPr>
        <w:rFonts w:hint="default"/>
      </w:rPr>
    </w:lvl>
    <w:lvl w:ilvl="6">
      <w:start w:val="1"/>
      <w:numFmt w:val="decimal"/>
      <w:lvlText w:val="%1.%2.%3.%4.%5.%6.%7."/>
      <w:lvlJc w:val="left"/>
      <w:pPr>
        <w:tabs>
          <w:tab w:val="num" w:pos="6840"/>
        </w:tabs>
        <w:ind w:left="3600" w:hanging="1080"/>
      </w:pPr>
      <w:rPr>
        <w:rFonts w:hint="default"/>
      </w:rPr>
    </w:lvl>
    <w:lvl w:ilvl="7">
      <w:start w:val="1"/>
      <w:numFmt w:val="decimal"/>
      <w:lvlText w:val="%1.%2.%3.%4.%5.%6.%7.%8."/>
      <w:lvlJc w:val="left"/>
      <w:pPr>
        <w:tabs>
          <w:tab w:val="num" w:pos="7560"/>
        </w:tabs>
        <w:ind w:left="4104" w:hanging="1224"/>
      </w:pPr>
      <w:rPr>
        <w:rFonts w:hint="default"/>
      </w:rPr>
    </w:lvl>
    <w:lvl w:ilvl="8">
      <w:start w:val="1"/>
      <w:numFmt w:val="decimal"/>
      <w:lvlText w:val="%1.%2.%3.%4.%5.%6.%7.%8.%9."/>
      <w:lvlJc w:val="left"/>
      <w:pPr>
        <w:tabs>
          <w:tab w:val="num" w:pos="8640"/>
        </w:tabs>
        <w:ind w:left="4680" w:hanging="1440"/>
      </w:pPr>
      <w:rPr>
        <w:rFont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2CE0847"/>
    <w:multiLevelType w:val="hybridMultilevel"/>
    <w:tmpl w:val="B20606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5C6055E"/>
    <w:multiLevelType w:val="multilevel"/>
    <w:tmpl w:val="200C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8400FD8"/>
    <w:multiLevelType w:val="multilevel"/>
    <w:tmpl w:val="5BE6194C"/>
    <w:lvl w:ilvl="0">
      <w:start w:val="1"/>
      <w:numFmt w:val="bullet"/>
      <w:lvlText w:val=""/>
      <w:lvlJc w:val="left"/>
      <w:pPr>
        <w:tabs>
          <w:tab w:val="num" w:pos="1134"/>
        </w:tabs>
        <w:ind w:left="1134" w:hanging="1134"/>
      </w:pPr>
      <w:rPr>
        <w:rFonts w:ascii="Symbol" w:hAnsi="Symbol"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EA259E4"/>
    <w:multiLevelType w:val="hybridMultilevel"/>
    <w:tmpl w:val="A678F6A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0C1E73"/>
    <w:multiLevelType w:val="multilevel"/>
    <w:tmpl w:val="9B50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EE41951"/>
    <w:multiLevelType w:val="multilevel"/>
    <w:tmpl w:val="5BE6194C"/>
    <w:lvl w:ilvl="0">
      <w:start w:val="1"/>
      <w:numFmt w:val="bullet"/>
      <w:lvlText w:val=""/>
      <w:lvlJc w:val="left"/>
      <w:pPr>
        <w:tabs>
          <w:tab w:val="num" w:pos="1134"/>
        </w:tabs>
        <w:ind w:left="1134" w:hanging="1134"/>
      </w:pPr>
      <w:rPr>
        <w:rFonts w:ascii="Symbol" w:hAnsi="Symbol"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9"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1816654">
    <w:abstractNumId w:val="14"/>
  </w:num>
  <w:num w:numId="2" w16cid:durableId="116532623">
    <w:abstractNumId w:val="2"/>
  </w:num>
  <w:num w:numId="3" w16cid:durableId="2039620118">
    <w:abstractNumId w:val="38"/>
  </w:num>
  <w:num w:numId="4" w16cid:durableId="2116749296">
    <w:abstractNumId w:val="24"/>
  </w:num>
  <w:num w:numId="5" w16cid:durableId="611715962">
    <w:abstractNumId w:val="26"/>
  </w:num>
  <w:num w:numId="6" w16cid:durableId="377554922">
    <w:abstractNumId w:val="7"/>
  </w:num>
  <w:num w:numId="7" w16cid:durableId="1967815002">
    <w:abstractNumId w:val="10"/>
  </w:num>
  <w:num w:numId="8" w16cid:durableId="1478373446">
    <w:abstractNumId w:val="16"/>
  </w:num>
  <w:num w:numId="9" w16cid:durableId="1216622483">
    <w:abstractNumId w:val="22"/>
  </w:num>
  <w:num w:numId="10" w16cid:durableId="1028289363">
    <w:abstractNumId w:val="30"/>
  </w:num>
  <w:num w:numId="11" w16cid:durableId="1748379919">
    <w:abstractNumId w:val="9"/>
  </w:num>
  <w:num w:numId="12" w16cid:durableId="1008825018">
    <w:abstractNumId w:val="35"/>
  </w:num>
  <w:num w:numId="13" w16cid:durableId="128134450">
    <w:abstractNumId w:val="13"/>
  </w:num>
  <w:num w:numId="14" w16cid:durableId="503516617">
    <w:abstractNumId w:val="28"/>
  </w:num>
  <w:num w:numId="15" w16cid:durableId="1971012577">
    <w:abstractNumId w:val="32"/>
  </w:num>
  <w:num w:numId="16" w16cid:durableId="1256014139">
    <w:abstractNumId w:val="15"/>
  </w:num>
  <w:num w:numId="17" w16cid:durableId="230039927">
    <w:abstractNumId w:val="0"/>
  </w:num>
  <w:num w:numId="18" w16cid:durableId="882135492">
    <w:abstractNumId w:val="1"/>
  </w:num>
  <w:num w:numId="19" w16cid:durableId="194315641">
    <w:abstractNumId w:val="11"/>
  </w:num>
  <w:num w:numId="20" w16cid:durableId="1279488302">
    <w:abstractNumId w:val="20"/>
  </w:num>
  <w:num w:numId="21" w16cid:durableId="102305755">
    <w:abstractNumId w:val="8"/>
  </w:num>
  <w:num w:numId="22" w16cid:durableId="1863712968">
    <w:abstractNumId w:val="37"/>
  </w:num>
  <w:num w:numId="23" w16cid:durableId="426196748">
    <w:abstractNumId w:val="34"/>
  </w:num>
  <w:num w:numId="24" w16cid:durableId="1440686053">
    <w:abstractNumId w:val="39"/>
  </w:num>
  <w:num w:numId="25" w16cid:durableId="87122838">
    <w:abstractNumId w:val="12"/>
  </w:num>
  <w:num w:numId="26" w16cid:durableId="2069259383">
    <w:abstractNumId w:val="5"/>
  </w:num>
  <w:num w:numId="27" w16cid:durableId="1082874494">
    <w:abstractNumId w:val="5"/>
    <w:lvlOverride w:ilvl="0">
      <w:startOverride w:val="1"/>
    </w:lvlOverride>
  </w:num>
  <w:num w:numId="28" w16cid:durableId="119737226">
    <w:abstractNumId w:val="36"/>
  </w:num>
  <w:num w:numId="29" w16cid:durableId="1434279040">
    <w:abstractNumId w:val="29"/>
  </w:num>
  <w:num w:numId="30" w16cid:durableId="2110391395">
    <w:abstractNumId w:val="4"/>
  </w:num>
  <w:num w:numId="31" w16cid:durableId="673414213">
    <w:abstractNumId w:val="18"/>
  </w:num>
  <w:num w:numId="32" w16cid:durableId="1362559410">
    <w:abstractNumId w:val="23"/>
  </w:num>
  <w:num w:numId="33" w16cid:durableId="743456165">
    <w:abstractNumId w:val="21"/>
  </w:num>
  <w:num w:numId="34" w16cid:durableId="633020805">
    <w:abstractNumId w:val="6"/>
  </w:num>
  <w:num w:numId="35" w16cid:durableId="2043092004">
    <w:abstractNumId w:val="27"/>
  </w:num>
  <w:num w:numId="36" w16cid:durableId="1639652762">
    <w:abstractNumId w:val="19"/>
  </w:num>
  <w:num w:numId="37" w16cid:durableId="372388609">
    <w:abstractNumId w:val="25"/>
  </w:num>
  <w:num w:numId="38" w16cid:durableId="653991291">
    <w:abstractNumId w:val="33"/>
  </w:num>
  <w:num w:numId="39" w16cid:durableId="117603771">
    <w:abstractNumId w:val="17"/>
  </w:num>
  <w:num w:numId="40" w16cid:durableId="775519887">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73"/>
    <w:rsid w:val="000119FB"/>
    <w:rsid w:val="000133FC"/>
    <w:rsid w:val="00016FBF"/>
    <w:rsid w:val="000242AA"/>
    <w:rsid w:val="00025EF6"/>
    <w:rsid w:val="00027552"/>
    <w:rsid w:val="00036300"/>
    <w:rsid w:val="000410FD"/>
    <w:rsid w:val="00057044"/>
    <w:rsid w:val="000641C9"/>
    <w:rsid w:val="00074070"/>
    <w:rsid w:val="00080E0B"/>
    <w:rsid w:val="00093CBD"/>
    <w:rsid w:val="00094B5D"/>
    <w:rsid w:val="000A103F"/>
    <w:rsid w:val="000A1EC0"/>
    <w:rsid w:val="000C3F75"/>
    <w:rsid w:val="000C4168"/>
    <w:rsid w:val="000D09E0"/>
    <w:rsid w:val="000D4D13"/>
    <w:rsid w:val="000E6C5F"/>
    <w:rsid w:val="00101F34"/>
    <w:rsid w:val="00105B0A"/>
    <w:rsid w:val="001100C3"/>
    <w:rsid w:val="001172E1"/>
    <w:rsid w:val="001219F1"/>
    <w:rsid w:val="00123D3F"/>
    <w:rsid w:val="00130F6F"/>
    <w:rsid w:val="00131EB8"/>
    <w:rsid w:val="00150EF6"/>
    <w:rsid w:val="00156187"/>
    <w:rsid w:val="0016015F"/>
    <w:rsid w:val="00161AA0"/>
    <w:rsid w:val="001650FD"/>
    <w:rsid w:val="0017277D"/>
    <w:rsid w:val="001729BC"/>
    <w:rsid w:val="001B0506"/>
    <w:rsid w:val="001C032E"/>
    <w:rsid w:val="001C14A7"/>
    <w:rsid w:val="001D1C3E"/>
    <w:rsid w:val="001E067A"/>
    <w:rsid w:val="001E2F03"/>
    <w:rsid w:val="001F1C63"/>
    <w:rsid w:val="001F797A"/>
    <w:rsid w:val="0021029D"/>
    <w:rsid w:val="002169E7"/>
    <w:rsid w:val="00224703"/>
    <w:rsid w:val="00235CAB"/>
    <w:rsid w:val="00251D56"/>
    <w:rsid w:val="002526E6"/>
    <w:rsid w:val="002535B1"/>
    <w:rsid w:val="002541BB"/>
    <w:rsid w:val="00254F9F"/>
    <w:rsid w:val="00262EEB"/>
    <w:rsid w:val="00275C10"/>
    <w:rsid w:val="002877D2"/>
    <w:rsid w:val="00291396"/>
    <w:rsid w:val="00291AC8"/>
    <w:rsid w:val="002A024B"/>
    <w:rsid w:val="002A3712"/>
    <w:rsid w:val="002C3FAA"/>
    <w:rsid w:val="002D2722"/>
    <w:rsid w:val="002D7F28"/>
    <w:rsid w:val="002E380E"/>
    <w:rsid w:val="002F15CF"/>
    <w:rsid w:val="00304ADA"/>
    <w:rsid w:val="00311A6A"/>
    <w:rsid w:val="0031664C"/>
    <w:rsid w:val="00323BE0"/>
    <w:rsid w:val="003330E6"/>
    <w:rsid w:val="00335267"/>
    <w:rsid w:val="00353D3E"/>
    <w:rsid w:val="003563BC"/>
    <w:rsid w:val="00361A2F"/>
    <w:rsid w:val="00362226"/>
    <w:rsid w:val="003705AA"/>
    <w:rsid w:val="00377E36"/>
    <w:rsid w:val="0038143A"/>
    <w:rsid w:val="003815BB"/>
    <w:rsid w:val="003830CE"/>
    <w:rsid w:val="003927CE"/>
    <w:rsid w:val="003B1379"/>
    <w:rsid w:val="003B7BCF"/>
    <w:rsid w:val="003C36AC"/>
    <w:rsid w:val="003C4F33"/>
    <w:rsid w:val="003D0EFB"/>
    <w:rsid w:val="003D39B2"/>
    <w:rsid w:val="003D3B28"/>
    <w:rsid w:val="00400668"/>
    <w:rsid w:val="004511A7"/>
    <w:rsid w:val="004519B2"/>
    <w:rsid w:val="00454DF8"/>
    <w:rsid w:val="00461997"/>
    <w:rsid w:val="00464549"/>
    <w:rsid w:val="004820E9"/>
    <w:rsid w:val="0048361F"/>
    <w:rsid w:val="00483C2A"/>
    <w:rsid w:val="00484FE9"/>
    <w:rsid w:val="00485B88"/>
    <w:rsid w:val="004914C0"/>
    <w:rsid w:val="00493E2C"/>
    <w:rsid w:val="004A4E6B"/>
    <w:rsid w:val="004B4705"/>
    <w:rsid w:val="004B514C"/>
    <w:rsid w:val="004C4ACA"/>
    <w:rsid w:val="004D20C5"/>
    <w:rsid w:val="004D48C2"/>
    <w:rsid w:val="004F0D2A"/>
    <w:rsid w:val="004F6EA5"/>
    <w:rsid w:val="00503454"/>
    <w:rsid w:val="00514240"/>
    <w:rsid w:val="005263D5"/>
    <w:rsid w:val="00526C07"/>
    <w:rsid w:val="0053387C"/>
    <w:rsid w:val="005541FD"/>
    <w:rsid w:val="005614AA"/>
    <w:rsid w:val="005860F4"/>
    <w:rsid w:val="005866B1"/>
    <w:rsid w:val="005920BA"/>
    <w:rsid w:val="005A5E10"/>
    <w:rsid w:val="005C051F"/>
    <w:rsid w:val="005C4638"/>
    <w:rsid w:val="005C762E"/>
    <w:rsid w:val="005D098C"/>
    <w:rsid w:val="005D2A1E"/>
    <w:rsid w:val="005F5E83"/>
    <w:rsid w:val="00603E56"/>
    <w:rsid w:val="0060533D"/>
    <w:rsid w:val="0060662A"/>
    <w:rsid w:val="00614BDA"/>
    <w:rsid w:val="00617519"/>
    <w:rsid w:val="006302A3"/>
    <w:rsid w:val="006331B4"/>
    <w:rsid w:val="006343F3"/>
    <w:rsid w:val="0063533E"/>
    <w:rsid w:val="0064120B"/>
    <w:rsid w:val="00642906"/>
    <w:rsid w:val="00653EB4"/>
    <w:rsid w:val="006571D4"/>
    <w:rsid w:val="00680B94"/>
    <w:rsid w:val="0069313E"/>
    <w:rsid w:val="0069376F"/>
    <w:rsid w:val="006A0FCE"/>
    <w:rsid w:val="006A485A"/>
    <w:rsid w:val="006A721F"/>
    <w:rsid w:val="006B3904"/>
    <w:rsid w:val="006B76C5"/>
    <w:rsid w:val="006C3593"/>
    <w:rsid w:val="006D73F1"/>
    <w:rsid w:val="006E0548"/>
    <w:rsid w:val="006E0F0C"/>
    <w:rsid w:val="006F0EA9"/>
    <w:rsid w:val="006F3085"/>
    <w:rsid w:val="007242E8"/>
    <w:rsid w:val="007277C3"/>
    <w:rsid w:val="00732519"/>
    <w:rsid w:val="00737F9C"/>
    <w:rsid w:val="00777AFB"/>
    <w:rsid w:val="007A174B"/>
    <w:rsid w:val="007A286E"/>
    <w:rsid w:val="007A4EEE"/>
    <w:rsid w:val="007B5BCA"/>
    <w:rsid w:val="007D37B1"/>
    <w:rsid w:val="007F47A1"/>
    <w:rsid w:val="007F73F4"/>
    <w:rsid w:val="00812053"/>
    <w:rsid w:val="0081404B"/>
    <w:rsid w:val="008426DC"/>
    <w:rsid w:val="00843A61"/>
    <w:rsid w:val="008505C3"/>
    <w:rsid w:val="00862C0C"/>
    <w:rsid w:val="008740CF"/>
    <w:rsid w:val="00874C15"/>
    <w:rsid w:val="00877BCE"/>
    <w:rsid w:val="008853CB"/>
    <w:rsid w:val="00892EFB"/>
    <w:rsid w:val="008A3CB5"/>
    <w:rsid w:val="008A5DEB"/>
    <w:rsid w:val="008A6557"/>
    <w:rsid w:val="008B2D32"/>
    <w:rsid w:val="008C782E"/>
    <w:rsid w:val="008D17D2"/>
    <w:rsid w:val="008D26D0"/>
    <w:rsid w:val="008D6069"/>
    <w:rsid w:val="008E1796"/>
    <w:rsid w:val="008E7585"/>
    <w:rsid w:val="009108E6"/>
    <w:rsid w:val="00921354"/>
    <w:rsid w:val="00923A9A"/>
    <w:rsid w:val="00931062"/>
    <w:rsid w:val="00934032"/>
    <w:rsid w:val="0093412D"/>
    <w:rsid w:val="0094366C"/>
    <w:rsid w:val="00953ADF"/>
    <w:rsid w:val="00971131"/>
    <w:rsid w:val="0097422F"/>
    <w:rsid w:val="009775FD"/>
    <w:rsid w:val="009871F3"/>
    <w:rsid w:val="009A0289"/>
    <w:rsid w:val="009A4874"/>
    <w:rsid w:val="009B10D2"/>
    <w:rsid w:val="009B1D56"/>
    <w:rsid w:val="009B621A"/>
    <w:rsid w:val="009C45D9"/>
    <w:rsid w:val="009C6E2D"/>
    <w:rsid w:val="009E7D01"/>
    <w:rsid w:val="009F03B2"/>
    <w:rsid w:val="009F2BD4"/>
    <w:rsid w:val="00A06657"/>
    <w:rsid w:val="00A24850"/>
    <w:rsid w:val="00A24C1C"/>
    <w:rsid w:val="00A36575"/>
    <w:rsid w:val="00A500B0"/>
    <w:rsid w:val="00A65FB0"/>
    <w:rsid w:val="00A660F4"/>
    <w:rsid w:val="00A70E2A"/>
    <w:rsid w:val="00A7281B"/>
    <w:rsid w:val="00A80ADE"/>
    <w:rsid w:val="00A820E1"/>
    <w:rsid w:val="00A86D3D"/>
    <w:rsid w:val="00A90CFE"/>
    <w:rsid w:val="00A9341B"/>
    <w:rsid w:val="00A956DE"/>
    <w:rsid w:val="00AA0D32"/>
    <w:rsid w:val="00AB2948"/>
    <w:rsid w:val="00AB3710"/>
    <w:rsid w:val="00AB39FA"/>
    <w:rsid w:val="00AD2F25"/>
    <w:rsid w:val="00AD57E2"/>
    <w:rsid w:val="00AD5CB7"/>
    <w:rsid w:val="00AD5E0B"/>
    <w:rsid w:val="00AD6933"/>
    <w:rsid w:val="00AD6B7B"/>
    <w:rsid w:val="00AE00B7"/>
    <w:rsid w:val="00AE2E1F"/>
    <w:rsid w:val="00AE4180"/>
    <w:rsid w:val="00B0463B"/>
    <w:rsid w:val="00B15262"/>
    <w:rsid w:val="00B17E19"/>
    <w:rsid w:val="00B2202F"/>
    <w:rsid w:val="00B60D70"/>
    <w:rsid w:val="00B715DA"/>
    <w:rsid w:val="00B84BC1"/>
    <w:rsid w:val="00B9CE4E"/>
    <w:rsid w:val="00BA0179"/>
    <w:rsid w:val="00BA3089"/>
    <w:rsid w:val="00BA51EA"/>
    <w:rsid w:val="00BA589F"/>
    <w:rsid w:val="00BB047B"/>
    <w:rsid w:val="00BB1607"/>
    <w:rsid w:val="00BB6398"/>
    <w:rsid w:val="00BC0E86"/>
    <w:rsid w:val="00BD0372"/>
    <w:rsid w:val="00BD246E"/>
    <w:rsid w:val="00BD556A"/>
    <w:rsid w:val="00BD74D1"/>
    <w:rsid w:val="00BE0434"/>
    <w:rsid w:val="00BF4768"/>
    <w:rsid w:val="00BF6573"/>
    <w:rsid w:val="00C0755B"/>
    <w:rsid w:val="00C07BD9"/>
    <w:rsid w:val="00C139CA"/>
    <w:rsid w:val="00C243D1"/>
    <w:rsid w:val="00C31008"/>
    <w:rsid w:val="00C433C5"/>
    <w:rsid w:val="00C451F3"/>
    <w:rsid w:val="00C46D1C"/>
    <w:rsid w:val="00C51429"/>
    <w:rsid w:val="00C93963"/>
    <w:rsid w:val="00C95223"/>
    <w:rsid w:val="00CA3397"/>
    <w:rsid w:val="00CA33E1"/>
    <w:rsid w:val="00CB3B73"/>
    <w:rsid w:val="00CB6BEB"/>
    <w:rsid w:val="00CB6FBA"/>
    <w:rsid w:val="00CB74C0"/>
    <w:rsid w:val="00CC7414"/>
    <w:rsid w:val="00CD10EB"/>
    <w:rsid w:val="00CD5184"/>
    <w:rsid w:val="00CE7855"/>
    <w:rsid w:val="00CF2592"/>
    <w:rsid w:val="00CF7CAA"/>
    <w:rsid w:val="00D05DA1"/>
    <w:rsid w:val="00D1371E"/>
    <w:rsid w:val="00D3612A"/>
    <w:rsid w:val="00D37703"/>
    <w:rsid w:val="00D37F25"/>
    <w:rsid w:val="00D453F6"/>
    <w:rsid w:val="00D60D8D"/>
    <w:rsid w:val="00D73C98"/>
    <w:rsid w:val="00DA11DD"/>
    <w:rsid w:val="00DC0120"/>
    <w:rsid w:val="00DE643F"/>
    <w:rsid w:val="00E23F20"/>
    <w:rsid w:val="00E2509B"/>
    <w:rsid w:val="00E2795B"/>
    <w:rsid w:val="00E441EB"/>
    <w:rsid w:val="00E4622C"/>
    <w:rsid w:val="00E46571"/>
    <w:rsid w:val="00E51DDE"/>
    <w:rsid w:val="00E51FFB"/>
    <w:rsid w:val="00E53E42"/>
    <w:rsid w:val="00E63855"/>
    <w:rsid w:val="00E65A19"/>
    <w:rsid w:val="00E71CE3"/>
    <w:rsid w:val="00E805C3"/>
    <w:rsid w:val="00E95993"/>
    <w:rsid w:val="00E95BE2"/>
    <w:rsid w:val="00EA54F4"/>
    <w:rsid w:val="00EB03BB"/>
    <w:rsid w:val="00EB0F2B"/>
    <w:rsid w:val="00EB1C36"/>
    <w:rsid w:val="00ED5CBB"/>
    <w:rsid w:val="00EE2EB2"/>
    <w:rsid w:val="00EE3B03"/>
    <w:rsid w:val="00EE406C"/>
    <w:rsid w:val="00EE44A5"/>
    <w:rsid w:val="00F07534"/>
    <w:rsid w:val="00F15B6C"/>
    <w:rsid w:val="00F26A9F"/>
    <w:rsid w:val="00F26E68"/>
    <w:rsid w:val="00F33119"/>
    <w:rsid w:val="00F36E1E"/>
    <w:rsid w:val="00F42047"/>
    <w:rsid w:val="00F6528B"/>
    <w:rsid w:val="00F70556"/>
    <w:rsid w:val="00F73C47"/>
    <w:rsid w:val="00F81F2C"/>
    <w:rsid w:val="00F8456D"/>
    <w:rsid w:val="00F90E63"/>
    <w:rsid w:val="00FA66A6"/>
    <w:rsid w:val="00FA6EE7"/>
    <w:rsid w:val="00FB47DD"/>
    <w:rsid w:val="00FB73D3"/>
    <w:rsid w:val="00FC30DD"/>
    <w:rsid w:val="00FD4756"/>
    <w:rsid w:val="00FD52ED"/>
    <w:rsid w:val="00FE66F2"/>
    <w:rsid w:val="06DD8C90"/>
    <w:rsid w:val="07C8A875"/>
    <w:rsid w:val="081312C8"/>
    <w:rsid w:val="08886663"/>
    <w:rsid w:val="0A36A05B"/>
    <w:rsid w:val="0A4E4BFF"/>
    <w:rsid w:val="0D1BA4C7"/>
    <w:rsid w:val="0E602466"/>
    <w:rsid w:val="0EA961C2"/>
    <w:rsid w:val="0FFC274E"/>
    <w:rsid w:val="12279F1A"/>
    <w:rsid w:val="1233EDD7"/>
    <w:rsid w:val="13428DCB"/>
    <w:rsid w:val="13708413"/>
    <w:rsid w:val="14F6FD26"/>
    <w:rsid w:val="1528C5D9"/>
    <w:rsid w:val="165B3796"/>
    <w:rsid w:val="166CFD64"/>
    <w:rsid w:val="16B7961A"/>
    <w:rsid w:val="18C1C23A"/>
    <w:rsid w:val="19A25FF8"/>
    <w:rsid w:val="1C4FE78D"/>
    <w:rsid w:val="1CCF438A"/>
    <w:rsid w:val="1D00F833"/>
    <w:rsid w:val="1E4A631F"/>
    <w:rsid w:val="1EDA8CBA"/>
    <w:rsid w:val="1F017DF9"/>
    <w:rsid w:val="1F02B28E"/>
    <w:rsid w:val="204131CF"/>
    <w:rsid w:val="20ACB163"/>
    <w:rsid w:val="216BC9D9"/>
    <w:rsid w:val="230E3770"/>
    <w:rsid w:val="234B6C14"/>
    <w:rsid w:val="24A63AC4"/>
    <w:rsid w:val="2746D0C8"/>
    <w:rsid w:val="27BE8591"/>
    <w:rsid w:val="27D598F5"/>
    <w:rsid w:val="281B5B4C"/>
    <w:rsid w:val="29008C0D"/>
    <w:rsid w:val="2BEF93AA"/>
    <w:rsid w:val="2D29B9A6"/>
    <w:rsid w:val="2D96B980"/>
    <w:rsid w:val="2F5C62E2"/>
    <w:rsid w:val="30F9211E"/>
    <w:rsid w:val="364CF879"/>
    <w:rsid w:val="366626E4"/>
    <w:rsid w:val="36C227B9"/>
    <w:rsid w:val="37B3087A"/>
    <w:rsid w:val="3849D555"/>
    <w:rsid w:val="3A996630"/>
    <w:rsid w:val="3C4FAB12"/>
    <w:rsid w:val="3F47D023"/>
    <w:rsid w:val="404EC9DB"/>
    <w:rsid w:val="4266E438"/>
    <w:rsid w:val="429AE414"/>
    <w:rsid w:val="43700C72"/>
    <w:rsid w:val="43715EE7"/>
    <w:rsid w:val="43F27E38"/>
    <w:rsid w:val="479A0309"/>
    <w:rsid w:val="48A81FD8"/>
    <w:rsid w:val="49C7DDEA"/>
    <w:rsid w:val="4B54F46B"/>
    <w:rsid w:val="4D1196C7"/>
    <w:rsid w:val="4D319E16"/>
    <w:rsid w:val="4FD9F66C"/>
    <w:rsid w:val="51B925C0"/>
    <w:rsid w:val="52110EE6"/>
    <w:rsid w:val="527A8E7E"/>
    <w:rsid w:val="543B8E09"/>
    <w:rsid w:val="56D23035"/>
    <w:rsid w:val="56ECEB04"/>
    <w:rsid w:val="5971F59F"/>
    <w:rsid w:val="59AADD20"/>
    <w:rsid w:val="5A1AB078"/>
    <w:rsid w:val="5BD22A69"/>
    <w:rsid w:val="5D737FF3"/>
    <w:rsid w:val="5D9CBECA"/>
    <w:rsid w:val="5E73DA13"/>
    <w:rsid w:val="5E8F4161"/>
    <w:rsid w:val="5F21A6B5"/>
    <w:rsid w:val="5FDACE17"/>
    <w:rsid w:val="6057DEF0"/>
    <w:rsid w:val="607BEF0A"/>
    <w:rsid w:val="61CAB85A"/>
    <w:rsid w:val="644721FA"/>
    <w:rsid w:val="66879E7D"/>
    <w:rsid w:val="66F4132C"/>
    <w:rsid w:val="67BFC787"/>
    <w:rsid w:val="6827C72E"/>
    <w:rsid w:val="690E2AEE"/>
    <w:rsid w:val="6BD1A598"/>
    <w:rsid w:val="6D9AC4D9"/>
    <w:rsid w:val="6DE07C62"/>
    <w:rsid w:val="70F40FDD"/>
    <w:rsid w:val="7336E5A0"/>
    <w:rsid w:val="7339DE9B"/>
    <w:rsid w:val="735944E2"/>
    <w:rsid w:val="7722DAEE"/>
    <w:rsid w:val="7755CCC7"/>
    <w:rsid w:val="7B03BB1D"/>
    <w:rsid w:val="7B364ACC"/>
    <w:rsid w:val="7C759744"/>
    <w:rsid w:val="7E5A5DD1"/>
    <w:rsid w:val="7F6E2A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228BD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6"/>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6"/>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6"/>
      </w:numPr>
    </w:pPr>
  </w:style>
  <w:style w:type="paragraph" w:customStyle="1" w:styleId="Numberedlevel4text">
    <w:name w:val="Numbered level 4 text"/>
    <w:basedOn w:val="NICEnormal"/>
    <w:next w:val="NICEnormal"/>
    <w:locked/>
    <w:rsid w:val="00F26E68"/>
    <w:pPr>
      <w:numPr>
        <w:ilvl w:val="3"/>
        <w:numId w:val="16"/>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spacing w:after="0"/>
    </w:p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7"/>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9"/>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20"/>
      </w:numPr>
    </w:pPr>
  </w:style>
  <w:style w:type="paragraph" w:customStyle="1" w:styleId="Section3paragraphs">
    <w:name w:val="Section 3 paragraphs"/>
    <w:basedOn w:val="NICEnormal"/>
    <w:locked/>
    <w:rsid w:val="00D37703"/>
    <w:pPr>
      <w:numPr>
        <w:numId w:val="8"/>
      </w:numPr>
    </w:pPr>
  </w:style>
  <w:style w:type="paragraph" w:customStyle="1" w:styleId="Section411paragraphs">
    <w:name w:val="Section 4.1.1 paragraphs"/>
    <w:basedOn w:val="NICEnormal"/>
    <w:locked/>
    <w:rsid w:val="00D37703"/>
    <w:pPr>
      <w:numPr>
        <w:numId w:val="9"/>
      </w:numPr>
    </w:pPr>
  </w:style>
  <w:style w:type="paragraph" w:customStyle="1" w:styleId="Section412paragraphs">
    <w:name w:val="Section 4.1.2 paragraphs"/>
    <w:basedOn w:val="NICEnormal"/>
    <w:locked/>
    <w:rsid w:val="00D37703"/>
    <w:pPr>
      <w:numPr>
        <w:numId w:val="10"/>
      </w:numPr>
    </w:pPr>
  </w:style>
  <w:style w:type="paragraph" w:customStyle="1" w:styleId="Section42paragraphs">
    <w:name w:val="Section 4.2 paragraphs"/>
    <w:basedOn w:val="NICEnormal"/>
    <w:locked/>
    <w:rsid w:val="00D37703"/>
    <w:pPr>
      <w:numPr>
        <w:numId w:val="11"/>
      </w:numPr>
    </w:pPr>
  </w:style>
  <w:style w:type="paragraph" w:customStyle="1" w:styleId="Section43paragraphs">
    <w:name w:val="Section 4.3 paragraphs"/>
    <w:basedOn w:val="NICEnormal"/>
    <w:locked/>
    <w:rsid w:val="00AB39FA"/>
    <w:pPr>
      <w:numPr>
        <w:numId w:val="12"/>
      </w:numPr>
    </w:pPr>
  </w:style>
  <w:style w:type="paragraph" w:customStyle="1" w:styleId="Appendixlevel1">
    <w:name w:val="Appendix level 1"/>
    <w:basedOn w:val="NICEnormal"/>
    <w:autoRedefine/>
    <w:locked/>
    <w:rsid w:val="004B514C"/>
    <w:pPr>
      <w:numPr>
        <w:numId w:val="13"/>
      </w:numPr>
      <w:spacing w:before="240"/>
    </w:pPr>
  </w:style>
  <w:style w:type="paragraph" w:customStyle="1" w:styleId="Appendixlevel2">
    <w:name w:val="Appendix level 2"/>
    <w:basedOn w:val="NICEnormal"/>
    <w:locked/>
    <w:rsid w:val="004B514C"/>
    <w:pPr>
      <w:numPr>
        <w:numId w:val="14"/>
      </w:numPr>
      <w:spacing w:before="240"/>
    </w:pPr>
  </w:style>
  <w:style w:type="paragraph" w:customStyle="1" w:styleId="Appendixbullet">
    <w:name w:val="Appendix bullet"/>
    <w:basedOn w:val="NICEnormal"/>
    <w:locked/>
    <w:rsid w:val="004B514C"/>
    <w:pPr>
      <w:numPr>
        <w:numId w:val="15"/>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7"/>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1"/>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2"/>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6"/>
      </w:numPr>
      <w:tabs>
        <w:tab w:val="left" w:pos="426"/>
      </w:tabs>
    </w:pPr>
    <w:rPr>
      <w:noProof/>
    </w:rPr>
  </w:style>
  <w:style w:type="paragraph" w:customStyle="1" w:styleId="Bullets">
    <w:name w:val="Bullets"/>
    <w:basedOn w:val="Normal"/>
    <w:uiPriority w:val="5"/>
    <w:qFormat/>
    <w:locked/>
    <w:rsid w:val="009C6E2D"/>
    <w:pPr>
      <w:numPr>
        <w:numId w:val="24"/>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5"/>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character" w:customStyle="1" w:styleId="normaltextrun">
    <w:name w:val="normaltextrun"/>
    <w:basedOn w:val="DefaultParagraphFont"/>
    <w:rsid w:val="006F0EA9"/>
  </w:style>
  <w:style w:type="character" w:customStyle="1" w:styleId="eop">
    <w:name w:val="eop"/>
    <w:basedOn w:val="DefaultParagraphFont"/>
    <w:rsid w:val="006F0EA9"/>
  </w:style>
  <w:style w:type="paragraph" w:styleId="CommentSubject">
    <w:name w:val="annotation subject"/>
    <w:basedOn w:val="CommentText"/>
    <w:next w:val="CommentText"/>
    <w:link w:val="CommentSubjectChar"/>
    <w:rsid w:val="00D1371E"/>
    <w:rPr>
      <w:b/>
      <w:bCs/>
      <w:lang w:eastAsia="en-US"/>
    </w:rPr>
  </w:style>
  <w:style w:type="character" w:customStyle="1" w:styleId="CommentSubjectChar">
    <w:name w:val="Comment Subject Char"/>
    <w:basedOn w:val="CommentTextChar"/>
    <w:link w:val="CommentSubject"/>
    <w:rsid w:val="00D1371E"/>
    <w:rPr>
      <w:b/>
      <w:bCs/>
      <w:lang w:eastAsia="en-US"/>
    </w:rPr>
  </w:style>
  <w:style w:type="character" w:styleId="Mention">
    <w:name w:val="Mention"/>
    <w:basedOn w:val="DefaultParagraphFont"/>
    <w:uiPriority w:val="99"/>
    <w:unhideWhenUsed/>
    <w:locked/>
    <w:rsid w:val="006B39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00513">
      <w:bodyDiv w:val="1"/>
      <w:marLeft w:val="0"/>
      <w:marRight w:val="0"/>
      <w:marTop w:val="0"/>
      <w:marBottom w:val="0"/>
      <w:divBdr>
        <w:top w:val="none" w:sz="0" w:space="0" w:color="auto"/>
        <w:left w:val="none" w:sz="0" w:space="0" w:color="auto"/>
        <w:bottom w:val="none" w:sz="0" w:space="0" w:color="auto"/>
        <w:right w:val="none" w:sz="0" w:space="0" w:color="auto"/>
      </w:divBdr>
    </w:div>
    <w:div w:id="1019164991">
      <w:bodyDiv w:val="1"/>
      <w:marLeft w:val="0"/>
      <w:marRight w:val="0"/>
      <w:marTop w:val="0"/>
      <w:marBottom w:val="0"/>
      <w:divBdr>
        <w:top w:val="none" w:sz="0" w:space="0" w:color="auto"/>
        <w:left w:val="none" w:sz="0" w:space="0" w:color="auto"/>
        <w:bottom w:val="none" w:sz="0" w:space="0" w:color="auto"/>
        <w:right w:val="none" w:sz="0" w:space="0" w:color="auto"/>
      </w:divBdr>
    </w:div>
    <w:div w:id="200284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customXml/itemProps2.xml><?xml version="1.0" encoding="utf-8"?>
<ds:datastoreItem xmlns:ds="http://schemas.openxmlformats.org/officeDocument/2006/customXml" ds:itemID="{04531987-AC5D-4DB2-A19B-843994FC6654}"/>
</file>

<file path=customXml/itemProps3.xml><?xml version="1.0" encoding="utf-8"?>
<ds:datastoreItem xmlns:ds="http://schemas.openxmlformats.org/officeDocument/2006/customXml" ds:itemID="{4C295AC4-D7C2-402D-9315-3717C64C4412}"/>
</file>

<file path=customXml/itemProps4.xml><?xml version="1.0" encoding="utf-8"?>
<ds:datastoreItem xmlns:ds="http://schemas.openxmlformats.org/officeDocument/2006/customXml" ds:itemID="{AD60F232-1E51-41F5-9EBA-F32E3993D297}"/>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2025-03-12T11:35:00Z</dcterms:created>
  <dcterms:modified xsi:type="dcterms:W3CDTF">2025-03-12T11:35:00Z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2025-03-12T11:32:44Z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e9e6d92d-7b9b-4dc9-8bdc-69e379cb3aaa</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0x010100CFEB742D5E2988439A0FECDECF284312</vt:lpwstr>
  </property>
</Properties>
</file>