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D164" w14:textId="2433FA4C" w:rsidR="002C296A" w:rsidRPr="00582451" w:rsidRDefault="002C296A" w:rsidP="0009264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80444899"/>
      <w:bookmarkStart w:id="11" w:name="_Toc81519924"/>
      <w:bookmarkStart w:id="12" w:name="_Toc82009075"/>
      <w:bookmarkStart w:id="13" w:name="_Toc82129039"/>
      <w:bookmarkStart w:id="14" w:name="_Toc82284259"/>
      <w:bookmarkStart w:id="15" w:name="_Toc82384271"/>
      <w:bookmarkStart w:id="16" w:name="_Toc82399212"/>
      <w:bookmarkStart w:id="17" w:name="_Toc82402147"/>
      <w:bookmarkStart w:id="18" w:name="_Toc82413922"/>
      <w:bookmarkStart w:id="19" w:name="_Toc82737193"/>
      <w:bookmarkStart w:id="20" w:name="_Toc82905137"/>
      <w:bookmarkStart w:id="21" w:name="_Toc83128286"/>
      <w:bookmarkStart w:id="22" w:name="_Toc87374561"/>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1A5BB99" w14:textId="77777777" w:rsidR="002C296A" w:rsidRPr="0067455E" w:rsidRDefault="002C296A" w:rsidP="00CE4759">
      <w:pPr>
        <w:pStyle w:val="Title"/>
      </w:pPr>
      <w:bookmarkStart w:id="23" w:name="_Toc66781445"/>
      <w:bookmarkStart w:id="24" w:name="_Toc71289373"/>
      <w:bookmarkStart w:id="25" w:name="_Toc71289581"/>
      <w:bookmarkStart w:id="26" w:name="_Toc71289680"/>
      <w:bookmarkStart w:id="27" w:name="_Toc71290373"/>
      <w:bookmarkStart w:id="28" w:name="_Toc71542838"/>
      <w:bookmarkStart w:id="29" w:name="_Toc80444900"/>
      <w:bookmarkStart w:id="30" w:name="_Toc81519925"/>
      <w:bookmarkStart w:id="31" w:name="_Toc82009076"/>
      <w:bookmarkStart w:id="32" w:name="_Toc82129040"/>
      <w:bookmarkStart w:id="33" w:name="_Toc82284260"/>
      <w:bookmarkStart w:id="34" w:name="_Toc82384272"/>
      <w:bookmarkStart w:id="35" w:name="_Toc82399213"/>
      <w:bookmarkStart w:id="36" w:name="_Toc82402148"/>
      <w:bookmarkStart w:id="37" w:name="_Toc82413923"/>
      <w:bookmarkStart w:id="38" w:name="_Toc82737194"/>
      <w:bookmarkStart w:id="39" w:name="_Toc82905138"/>
      <w:bookmarkStart w:id="40" w:name="_Toc83128287"/>
      <w:bookmarkStart w:id="41" w:name="_Toc87374562"/>
      <w:bookmarkStart w:id="42" w:name="_Toc357694772"/>
      <w:bookmarkStart w:id="43" w:name="_Toc365024198"/>
      <w:bookmarkStart w:id="44" w:name="_Toc432164923"/>
      <w:bookmarkStart w:id="45" w:name="_Toc467141964"/>
      <w:r w:rsidRPr="0067455E">
        <w:t>Quality standards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67455E">
        <w:t xml:space="preserve"> </w:t>
      </w:r>
      <w:bookmarkEnd w:id="42"/>
      <w:bookmarkEnd w:id="43"/>
      <w:bookmarkEnd w:id="44"/>
      <w:bookmarkEnd w:id="45"/>
    </w:p>
    <w:p w14:paraId="7E1AC75A" w14:textId="3CFE7059" w:rsidR="002C296A" w:rsidRPr="0067455E" w:rsidRDefault="002C296A" w:rsidP="00CE4759">
      <w:pPr>
        <w:pStyle w:val="Title"/>
      </w:pPr>
      <w:bookmarkStart w:id="46" w:name="_Toc357694773"/>
      <w:bookmarkStart w:id="47" w:name="_Toc365024199"/>
      <w:bookmarkStart w:id="48" w:name="_Toc432164924"/>
      <w:bookmarkStart w:id="49" w:name="_Toc467141965"/>
      <w:bookmarkStart w:id="50" w:name="_Toc66781446"/>
      <w:bookmarkStart w:id="51" w:name="_Toc71289374"/>
      <w:bookmarkStart w:id="52" w:name="_Toc71289582"/>
      <w:bookmarkStart w:id="53" w:name="_Toc71289681"/>
      <w:bookmarkStart w:id="54" w:name="_Toc71290374"/>
      <w:bookmarkStart w:id="55" w:name="_Toc71542839"/>
      <w:bookmarkStart w:id="56" w:name="_Toc80444901"/>
      <w:bookmarkStart w:id="57" w:name="_Toc81519926"/>
      <w:bookmarkStart w:id="58" w:name="_Toc82009077"/>
      <w:bookmarkStart w:id="59" w:name="_Toc82129041"/>
      <w:bookmarkStart w:id="60" w:name="_Toc82284261"/>
      <w:bookmarkStart w:id="61" w:name="_Toc82384273"/>
      <w:bookmarkStart w:id="62" w:name="_Toc82399214"/>
      <w:bookmarkStart w:id="63" w:name="_Toc82402149"/>
      <w:bookmarkStart w:id="64" w:name="_Toc82413924"/>
      <w:bookmarkStart w:id="65" w:name="_Toc82737195"/>
      <w:bookmarkStart w:id="66" w:name="_Toc82905139"/>
      <w:bookmarkStart w:id="67" w:name="_Toc83128288"/>
      <w:bookmarkStart w:id="68" w:name="_Toc87374563"/>
      <w:r w:rsidRPr="0067455E">
        <w:t>Briefing paper</w:t>
      </w:r>
      <w:bookmarkEnd w:id="46"/>
      <w:bookmarkEnd w:id="47"/>
      <w:bookmarkEnd w:id="48"/>
      <w:bookmarkEnd w:id="49"/>
      <w:bookmarkEnd w:id="50"/>
      <w:r w:rsidR="008148A2">
        <w:t xml:space="preserve">: </w:t>
      </w:r>
      <w:bookmarkEnd w:id="51"/>
      <w:bookmarkEnd w:id="52"/>
      <w:bookmarkEnd w:id="53"/>
      <w:bookmarkEnd w:id="54"/>
      <w:bookmarkEnd w:id="55"/>
      <w:r w:rsidR="00245235">
        <w:t>Joint replacement (primary): hip, knee and shoulder</w:t>
      </w:r>
      <w:bookmarkEnd w:id="56"/>
      <w:bookmarkEnd w:id="57"/>
      <w:bookmarkEnd w:id="58"/>
      <w:bookmarkEnd w:id="59"/>
      <w:bookmarkEnd w:id="60"/>
      <w:bookmarkEnd w:id="61"/>
      <w:bookmarkEnd w:id="62"/>
      <w:bookmarkEnd w:id="63"/>
      <w:bookmarkEnd w:id="64"/>
      <w:bookmarkEnd w:id="65"/>
      <w:bookmarkEnd w:id="66"/>
      <w:bookmarkEnd w:id="67"/>
      <w:bookmarkEnd w:id="68"/>
    </w:p>
    <w:p w14:paraId="645EC1C0" w14:textId="35433FBB"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245235">
        <w:t>29 September 2021</w:t>
      </w:r>
      <w:r w:rsidR="00414915">
        <w:t xml:space="preserve"> </w:t>
      </w:r>
    </w:p>
    <w:p w14:paraId="1E7B0711" w14:textId="276894E7" w:rsidR="00EF4825" w:rsidRDefault="001A56EC" w:rsidP="00EF4825">
      <w:pPr>
        <w:pStyle w:val="Heading1"/>
        <w:rPr>
          <w:rFonts w:asciiTheme="minorHAnsi" w:eastAsiaTheme="minorEastAsia" w:hAnsiTheme="minorHAnsi" w:cstheme="minorBidi"/>
          <w:noProof/>
          <w:sz w:val="22"/>
          <w:szCs w:val="22"/>
          <w:lang w:eastAsia="en-GB"/>
        </w:rPr>
      </w:pPr>
      <w:r>
        <w:t xml:space="preserve"> </w:t>
      </w:r>
      <w:r w:rsidR="00702177">
        <w:fldChar w:fldCharType="begin"/>
      </w:r>
      <w:r w:rsidR="00702177">
        <w:instrText xml:space="preserve"> TOC \o "1-2" \h \z \u </w:instrText>
      </w:r>
      <w:r w:rsidR="00702177">
        <w:fldChar w:fldCharType="separate"/>
      </w:r>
    </w:p>
    <w:p w14:paraId="1BE58680" w14:textId="32F41673" w:rsidR="00EF4825" w:rsidRDefault="00751008">
      <w:pPr>
        <w:pStyle w:val="TOC1"/>
        <w:rPr>
          <w:rFonts w:asciiTheme="minorHAnsi" w:eastAsiaTheme="minorEastAsia" w:hAnsiTheme="minorHAnsi" w:cstheme="minorBidi"/>
          <w:sz w:val="22"/>
          <w:szCs w:val="22"/>
          <w:lang w:eastAsia="en-GB"/>
        </w:rPr>
      </w:pPr>
      <w:hyperlink w:anchor="_Toc87374564" w:history="1">
        <w:r w:rsidR="00EF4825" w:rsidRPr="00694CCB">
          <w:rPr>
            <w:rStyle w:val="Hyperlink"/>
          </w:rPr>
          <w:t>1</w:t>
        </w:r>
        <w:r w:rsidR="00EF4825">
          <w:rPr>
            <w:rFonts w:asciiTheme="minorHAnsi" w:eastAsiaTheme="minorEastAsia" w:hAnsiTheme="minorHAnsi" w:cstheme="minorBidi"/>
            <w:sz w:val="22"/>
            <w:szCs w:val="22"/>
            <w:lang w:eastAsia="en-GB"/>
          </w:rPr>
          <w:tab/>
        </w:r>
        <w:r w:rsidR="00EF4825" w:rsidRPr="00694CCB">
          <w:rPr>
            <w:rStyle w:val="Hyperlink"/>
          </w:rPr>
          <w:t>Introduction</w:t>
        </w:r>
        <w:r w:rsidR="00EF4825">
          <w:rPr>
            <w:webHidden/>
          </w:rPr>
          <w:tab/>
        </w:r>
        <w:r w:rsidR="00EF4825">
          <w:rPr>
            <w:webHidden/>
          </w:rPr>
          <w:fldChar w:fldCharType="begin"/>
        </w:r>
        <w:r w:rsidR="00EF4825">
          <w:rPr>
            <w:webHidden/>
          </w:rPr>
          <w:instrText xml:space="preserve"> PAGEREF _Toc87374564 \h </w:instrText>
        </w:r>
        <w:r w:rsidR="00EF4825">
          <w:rPr>
            <w:webHidden/>
          </w:rPr>
        </w:r>
        <w:r w:rsidR="00EF4825">
          <w:rPr>
            <w:webHidden/>
          </w:rPr>
          <w:fldChar w:fldCharType="separate"/>
        </w:r>
        <w:r w:rsidR="00A12E8A">
          <w:rPr>
            <w:webHidden/>
          </w:rPr>
          <w:t>2</w:t>
        </w:r>
        <w:r w:rsidR="00EF4825">
          <w:rPr>
            <w:webHidden/>
          </w:rPr>
          <w:fldChar w:fldCharType="end"/>
        </w:r>
      </w:hyperlink>
    </w:p>
    <w:p w14:paraId="06541B5E" w14:textId="458D1C3E" w:rsidR="00EF4825" w:rsidRDefault="00751008">
      <w:pPr>
        <w:pStyle w:val="TOC1"/>
        <w:rPr>
          <w:rFonts w:asciiTheme="minorHAnsi" w:eastAsiaTheme="minorEastAsia" w:hAnsiTheme="minorHAnsi" w:cstheme="minorBidi"/>
          <w:sz w:val="22"/>
          <w:szCs w:val="22"/>
          <w:lang w:eastAsia="en-GB"/>
        </w:rPr>
      </w:pPr>
      <w:hyperlink w:anchor="_Toc87374566" w:history="1">
        <w:r w:rsidR="00EF4825" w:rsidRPr="00694CCB">
          <w:rPr>
            <w:rStyle w:val="Hyperlink"/>
          </w:rPr>
          <w:t>2</w:t>
        </w:r>
        <w:r w:rsidR="00EF4825">
          <w:rPr>
            <w:rFonts w:asciiTheme="minorHAnsi" w:eastAsiaTheme="minorEastAsia" w:hAnsiTheme="minorHAnsi" w:cstheme="minorBidi"/>
            <w:sz w:val="22"/>
            <w:szCs w:val="22"/>
            <w:lang w:eastAsia="en-GB"/>
          </w:rPr>
          <w:tab/>
        </w:r>
        <w:r w:rsidR="00EF4825" w:rsidRPr="00694CCB">
          <w:rPr>
            <w:rStyle w:val="Hyperlink"/>
          </w:rPr>
          <w:t>Overview</w:t>
        </w:r>
        <w:r w:rsidR="00EF4825">
          <w:rPr>
            <w:webHidden/>
          </w:rPr>
          <w:tab/>
        </w:r>
        <w:r w:rsidR="00EF4825">
          <w:rPr>
            <w:webHidden/>
          </w:rPr>
          <w:fldChar w:fldCharType="begin"/>
        </w:r>
        <w:r w:rsidR="00EF4825">
          <w:rPr>
            <w:webHidden/>
          </w:rPr>
          <w:instrText xml:space="preserve"> PAGEREF _Toc87374566 \h </w:instrText>
        </w:r>
        <w:r w:rsidR="00EF4825">
          <w:rPr>
            <w:webHidden/>
          </w:rPr>
        </w:r>
        <w:r w:rsidR="00EF4825">
          <w:rPr>
            <w:webHidden/>
          </w:rPr>
          <w:fldChar w:fldCharType="separate"/>
        </w:r>
        <w:r w:rsidR="00A12E8A">
          <w:rPr>
            <w:webHidden/>
          </w:rPr>
          <w:t>2</w:t>
        </w:r>
        <w:r w:rsidR="00EF4825">
          <w:rPr>
            <w:webHidden/>
          </w:rPr>
          <w:fldChar w:fldCharType="end"/>
        </w:r>
      </w:hyperlink>
    </w:p>
    <w:p w14:paraId="71AFF7D0" w14:textId="4DF5BD6A" w:rsidR="00EF4825" w:rsidRDefault="00751008">
      <w:pPr>
        <w:pStyle w:val="TOC1"/>
        <w:rPr>
          <w:rFonts w:asciiTheme="minorHAnsi" w:eastAsiaTheme="minorEastAsia" w:hAnsiTheme="minorHAnsi" w:cstheme="minorBidi"/>
          <w:sz w:val="22"/>
          <w:szCs w:val="22"/>
          <w:lang w:eastAsia="en-GB"/>
        </w:rPr>
      </w:pPr>
      <w:hyperlink w:anchor="_Toc87374571" w:history="1">
        <w:r w:rsidR="00EF4825" w:rsidRPr="00694CCB">
          <w:rPr>
            <w:rStyle w:val="Hyperlink"/>
          </w:rPr>
          <w:t>3</w:t>
        </w:r>
        <w:r w:rsidR="00EF4825">
          <w:rPr>
            <w:rFonts w:asciiTheme="minorHAnsi" w:eastAsiaTheme="minorEastAsia" w:hAnsiTheme="minorHAnsi" w:cstheme="minorBidi"/>
            <w:sz w:val="22"/>
            <w:szCs w:val="22"/>
            <w:lang w:eastAsia="en-GB"/>
          </w:rPr>
          <w:tab/>
        </w:r>
        <w:r w:rsidR="00EF4825" w:rsidRPr="00694CCB">
          <w:rPr>
            <w:rStyle w:val="Hyperlink"/>
          </w:rPr>
          <w:t>Summary of suggestions</w:t>
        </w:r>
        <w:r w:rsidR="00EF4825">
          <w:rPr>
            <w:webHidden/>
          </w:rPr>
          <w:tab/>
        </w:r>
        <w:r w:rsidR="00EF4825">
          <w:rPr>
            <w:webHidden/>
          </w:rPr>
          <w:fldChar w:fldCharType="begin"/>
        </w:r>
        <w:r w:rsidR="00EF4825">
          <w:rPr>
            <w:webHidden/>
          </w:rPr>
          <w:instrText xml:space="preserve"> PAGEREF _Toc87374571 \h </w:instrText>
        </w:r>
        <w:r w:rsidR="00EF4825">
          <w:rPr>
            <w:webHidden/>
          </w:rPr>
        </w:r>
        <w:r w:rsidR="00EF4825">
          <w:rPr>
            <w:webHidden/>
          </w:rPr>
          <w:fldChar w:fldCharType="separate"/>
        </w:r>
        <w:r w:rsidR="00A12E8A">
          <w:rPr>
            <w:webHidden/>
          </w:rPr>
          <w:t>7</w:t>
        </w:r>
        <w:r w:rsidR="00EF4825">
          <w:rPr>
            <w:webHidden/>
          </w:rPr>
          <w:fldChar w:fldCharType="end"/>
        </w:r>
      </w:hyperlink>
    </w:p>
    <w:p w14:paraId="394EBE18" w14:textId="373F1848" w:rsidR="00EF4825" w:rsidRDefault="00751008">
      <w:pPr>
        <w:pStyle w:val="TOC1"/>
        <w:rPr>
          <w:rFonts w:asciiTheme="minorHAnsi" w:eastAsiaTheme="minorEastAsia" w:hAnsiTheme="minorHAnsi" w:cstheme="minorBidi"/>
          <w:sz w:val="22"/>
          <w:szCs w:val="22"/>
          <w:lang w:eastAsia="en-GB"/>
        </w:rPr>
      </w:pPr>
      <w:hyperlink w:anchor="_Toc87374574" w:history="1">
        <w:r w:rsidR="00EF4825" w:rsidRPr="00694CCB">
          <w:rPr>
            <w:rStyle w:val="Hyperlink"/>
          </w:rPr>
          <w:t>4</w:t>
        </w:r>
        <w:r w:rsidR="00EF4825">
          <w:rPr>
            <w:rFonts w:asciiTheme="minorHAnsi" w:eastAsiaTheme="minorEastAsia" w:hAnsiTheme="minorHAnsi" w:cstheme="minorBidi"/>
            <w:sz w:val="22"/>
            <w:szCs w:val="22"/>
            <w:lang w:eastAsia="en-GB"/>
          </w:rPr>
          <w:tab/>
        </w:r>
        <w:r w:rsidR="00EF4825" w:rsidRPr="00694CCB">
          <w:rPr>
            <w:rStyle w:val="Hyperlink"/>
          </w:rPr>
          <w:t>Suggested improvement areas</w:t>
        </w:r>
        <w:r w:rsidR="00EF4825">
          <w:rPr>
            <w:webHidden/>
          </w:rPr>
          <w:tab/>
        </w:r>
        <w:r w:rsidR="00EF4825">
          <w:rPr>
            <w:webHidden/>
          </w:rPr>
          <w:fldChar w:fldCharType="begin"/>
        </w:r>
        <w:r w:rsidR="00EF4825">
          <w:rPr>
            <w:webHidden/>
          </w:rPr>
          <w:instrText xml:space="preserve"> PAGEREF _Toc87374574 \h </w:instrText>
        </w:r>
        <w:r w:rsidR="00EF4825">
          <w:rPr>
            <w:webHidden/>
          </w:rPr>
        </w:r>
        <w:r w:rsidR="00EF4825">
          <w:rPr>
            <w:webHidden/>
          </w:rPr>
          <w:fldChar w:fldCharType="separate"/>
        </w:r>
        <w:r w:rsidR="00A12E8A">
          <w:rPr>
            <w:webHidden/>
          </w:rPr>
          <w:t>11</w:t>
        </w:r>
        <w:r w:rsidR="00EF4825">
          <w:rPr>
            <w:webHidden/>
          </w:rPr>
          <w:fldChar w:fldCharType="end"/>
        </w:r>
      </w:hyperlink>
    </w:p>
    <w:p w14:paraId="1CDF6946" w14:textId="7D9C07AE" w:rsidR="00EF4825" w:rsidRDefault="00751008">
      <w:pPr>
        <w:pStyle w:val="TOC2"/>
        <w:tabs>
          <w:tab w:val="left" w:pos="1276"/>
          <w:tab w:val="right" w:leader="dot" w:pos="9016"/>
        </w:tabs>
        <w:rPr>
          <w:rFonts w:asciiTheme="minorHAnsi" w:eastAsiaTheme="minorEastAsia" w:hAnsiTheme="minorHAnsi" w:cstheme="minorBidi"/>
          <w:noProof/>
          <w:sz w:val="22"/>
          <w:szCs w:val="22"/>
        </w:rPr>
      </w:pPr>
      <w:hyperlink w:anchor="_Toc87374575" w:history="1">
        <w:r w:rsidR="00EF4825" w:rsidRPr="00694CCB">
          <w:rPr>
            <w:rStyle w:val="Hyperlink"/>
            <w:noProof/>
          </w:rPr>
          <w:t>4.1</w:t>
        </w:r>
        <w:r w:rsidR="00EF4825">
          <w:rPr>
            <w:rFonts w:asciiTheme="minorHAnsi" w:eastAsiaTheme="minorEastAsia" w:hAnsiTheme="minorHAnsi" w:cstheme="minorBidi"/>
            <w:noProof/>
            <w:sz w:val="22"/>
            <w:szCs w:val="22"/>
          </w:rPr>
          <w:tab/>
        </w:r>
        <w:r w:rsidR="00EF4825" w:rsidRPr="00694CCB">
          <w:rPr>
            <w:rStyle w:val="Hyperlink"/>
            <w:noProof/>
          </w:rPr>
          <w:t>Self-management and preoperative care</w:t>
        </w:r>
        <w:r w:rsidR="00EF4825">
          <w:rPr>
            <w:noProof/>
            <w:webHidden/>
          </w:rPr>
          <w:tab/>
        </w:r>
        <w:r w:rsidR="00EF4825">
          <w:rPr>
            <w:noProof/>
            <w:webHidden/>
          </w:rPr>
          <w:fldChar w:fldCharType="begin"/>
        </w:r>
        <w:r w:rsidR="00EF4825">
          <w:rPr>
            <w:noProof/>
            <w:webHidden/>
          </w:rPr>
          <w:instrText xml:space="preserve"> PAGEREF _Toc87374575 \h </w:instrText>
        </w:r>
        <w:r w:rsidR="00EF4825">
          <w:rPr>
            <w:noProof/>
            <w:webHidden/>
          </w:rPr>
        </w:r>
        <w:r w:rsidR="00EF4825">
          <w:rPr>
            <w:noProof/>
            <w:webHidden/>
          </w:rPr>
          <w:fldChar w:fldCharType="separate"/>
        </w:r>
        <w:r w:rsidR="00A12E8A">
          <w:rPr>
            <w:noProof/>
            <w:webHidden/>
          </w:rPr>
          <w:t>11</w:t>
        </w:r>
        <w:r w:rsidR="00EF4825">
          <w:rPr>
            <w:noProof/>
            <w:webHidden/>
          </w:rPr>
          <w:fldChar w:fldCharType="end"/>
        </w:r>
      </w:hyperlink>
    </w:p>
    <w:p w14:paraId="41D67201" w14:textId="50AA01FA" w:rsidR="00EF4825" w:rsidRDefault="00751008">
      <w:pPr>
        <w:pStyle w:val="TOC2"/>
        <w:tabs>
          <w:tab w:val="left" w:pos="1276"/>
          <w:tab w:val="right" w:leader="dot" w:pos="9016"/>
        </w:tabs>
        <w:rPr>
          <w:rFonts w:asciiTheme="minorHAnsi" w:eastAsiaTheme="minorEastAsia" w:hAnsiTheme="minorHAnsi" w:cstheme="minorBidi"/>
          <w:noProof/>
          <w:sz w:val="22"/>
          <w:szCs w:val="22"/>
        </w:rPr>
      </w:pPr>
      <w:hyperlink w:anchor="_Toc87374576" w:history="1">
        <w:r w:rsidR="00EF4825" w:rsidRPr="00694CCB">
          <w:rPr>
            <w:rStyle w:val="Hyperlink"/>
            <w:noProof/>
          </w:rPr>
          <w:t>4.2</w:t>
        </w:r>
        <w:r w:rsidR="00EF4825">
          <w:rPr>
            <w:rFonts w:asciiTheme="minorHAnsi" w:eastAsiaTheme="minorEastAsia" w:hAnsiTheme="minorHAnsi" w:cstheme="minorBidi"/>
            <w:noProof/>
            <w:sz w:val="22"/>
            <w:szCs w:val="22"/>
          </w:rPr>
          <w:tab/>
        </w:r>
        <w:r w:rsidR="00EF4825" w:rsidRPr="00694CCB">
          <w:rPr>
            <w:rStyle w:val="Hyperlink"/>
            <w:noProof/>
          </w:rPr>
          <w:t>Shared decision making and information</w:t>
        </w:r>
        <w:r w:rsidR="00EF4825">
          <w:rPr>
            <w:noProof/>
            <w:webHidden/>
          </w:rPr>
          <w:tab/>
        </w:r>
        <w:r w:rsidR="00EF4825">
          <w:rPr>
            <w:noProof/>
            <w:webHidden/>
          </w:rPr>
          <w:fldChar w:fldCharType="begin"/>
        </w:r>
        <w:r w:rsidR="00EF4825">
          <w:rPr>
            <w:noProof/>
            <w:webHidden/>
          </w:rPr>
          <w:instrText xml:space="preserve"> PAGEREF _Toc87374576 \h </w:instrText>
        </w:r>
        <w:r w:rsidR="00EF4825">
          <w:rPr>
            <w:noProof/>
            <w:webHidden/>
          </w:rPr>
        </w:r>
        <w:r w:rsidR="00EF4825">
          <w:rPr>
            <w:noProof/>
            <w:webHidden/>
          </w:rPr>
          <w:fldChar w:fldCharType="separate"/>
        </w:r>
        <w:r w:rsidR="00A12E8A">
          <w:rPr>
            <w:noProof/>
            <w:webHidden/>
          </w:rPr>
          <w:t>16</w:t>
        </w:r>
        <w:r w:rsidR="00EF4825">
          <w:rPr>
            <w:noProof/>
            <w:webHidden/>
          </w:rPr>
          <w:fldChar w:fldCharType="end"/>
        </w:r>
      </w:hyperlink>
    </w:p>
    <w:p w14:paraId="5AE06674" w14:textId="3585C088" w:rsidR="00EF4825" w:rsidRDefault="00751008">
      <w:pPr>
        <w:pStyle w:val="TOC2"/>
        <w:tabs>
          <w:tab w:val="left" w:pos="1276"/>
          <w:tab w:val="right" w:leader="dot" w:pos="9016"/>
        </w:tabs>
        <w:rPr>
          <w:rFonts w:asciiTheme="minorHAnsi" w:eastAsiaTheme="minorEastAsia" w:hAnsiTheme="minorHAnsi" w:cstheme="minorBidi"/>
          <w:noProof/>
          <w:sz w:val="22"/>
          <w:szCs w:val="22"/>
        </w:rPr>
      </w:pPr>
      <w:hyperlink w:anchor="_Toc87374577" w:history="1">
        <w:r w:rsidR="00EF4825" w:rsidRPr="00694CCB">
          <w:rPr>
            <w:rStyle w:val="Hyperlink"/>
            <w:noProof/>
          </w:rPr>
          <w:t>4.3</w:t>
        </w:r>
        <w:r w:rsidR="00EF4825">
          <w:rPr>
            <w:rFonts w:asciiTheme="minorHAnsi" w:eastAsiaTheme="minorEastAsia" w:hAnsiTheme="minorHAnsi" w:cstheme="minorBidi"/>
            <w:noProof/>
            <w:sz w:val="22"/>
            <w:szCs w:val="22"/>
          </w:rPr>
          <w:tab/>
        </w:r>
        <w:r w:rsidR="00EF4825" w:rsidRPr="00694CCB">
          <w:rPr>
            <w:rStyle w:val="Hyperlink"/>
            <w:noProof/>
          </w:rPr>
          <w:t>Anaesthesia, tranexamic acid and VTE prophylaxis</w:t>
        </w:r>
        <w:r w:rsidR="00EF4825">
          <w:rPr>
            <w:noProof/>
            <w:webHidden/>
          </w:rPr>
          <w:tab/>
        </w:r>
        <w:r w:rsidR="00EF4825">
          <w:rPr>
            <w:noProof/>
            <w:webHidden/>
          </w:rPr>
          <w:fldChar w:fldCharType="begin"/>
        </w:r>
        <w:r w:rsidR="00EF4825">
          <w:rPr>
            <w:noProof/>
            <w:webHidden/>
          </w:rPr>
          <w:instrText xml:space="preserve"> PAGEREF _Toc87374577 \h </w:instrText>
        </w:r>
        <w:r w:rsidR="00EF4825">
          <w:rPr>
            <w:noProof/>
            <w:webHidden/>
          </w:rPr>
        </w:r>
        <w:r w:rsidR="00EF4825">
          <w:rPr>
            <w:noProof/>
            <w:webHidden/>
          </w:rPr>
          <w:fldChar w:fldCharType="separate"/>
        </w:r>
        <w:r w:rsidR="00A12E8A">
          <w:rPr>
            <w:noProof/>
            <w:webHidden/>
          </w:rPr>
          <w:t>19</w:t>
        </w:r>
        <w:r w:rsidR="00EF4825">
          <w:rPr>
            <w:noProof/>
            <w:webHidden/>
          </w:rPr>
          <w:fldChar w:fldCharType="end"/>
        </w:r>
      </w:hyperlink>
    </w:p>
    <w:p w14:paraId="6DC76507" w14:textId="0FB36823" w:rsidR="00EF4825" w:rsidRDefault="00751008">
      <w:pPr>
        <w:pStyle w:val="TOC2"/>
        <w:tabs>
          <w:tab w:val="left" w:pos="1276"/>
          <w:tab w:val="right" w:leader="dot" w:pos="9016"/>
        </w:tabs>
        <w:rPr>
          <w:rFonts w:asciiTheme="minorHAnsi" w:eastAsiaTheme="minorEastAsia" w:hAnsiTheme="minorHAnsi" w:cstheme="minorBidi"/>
          <w:noProof/>
          <w:sz w:val="22"/>
          <w:szCs w:val="22"/>
        </w:rPr>
      </w:pPr>
      <w:hyperlink w:anchor="_Toc87374578" w:history="1">
        <w:r w:rsidR="00EF4825" w:rsidRPr="00694CCB">
          <w:rPr>
            <w:rStyle w:val="Hyperlink"/>
            <w:noProof/>
          </w:rPr>
          <w:t>4.4</w:t>
        </w:r>
        <w:r w:rsidR="00EF4825">
          <w:rPr>
            <w:rFonts w:asciiTheme="minorHAnsi" w:eastAsiaTheme="minorEastAsia" w:hAnsiTheme="minorHAnsi" w:cstheme="minorBidi"/>
            <w:noProof/>
            <w:sz w:val="22"/>
            <w:szCs w:val="22"/>
          </w:rPr>
          <w:tab/>
        </w:r>
        <w:r w:rsidR="00EF4825" w:rsidRPr="00694CCB">
          <w:rPr>
            <w:rStyle w:val="Hyperlink"/>
            <w:noProof/>
          </w:rPr>
          <w:t>Surgery</w:t>
        </w:r>
        <w:r w:rsidR="00EF4825">
          <w:rPr>
            <w:noProof/>
            <w:webHidden/>
          </w:rPr>
          <w:tab/>
        </w:r>
        <w:r w:rsidR="00EF4825">
          <w:rPr>
            <w:noProof/>
            <w:webHidden/>
          </w:rPr>
          <w:fldChar w:fldCharType="begin"/>
        </w:r>
        <w:r w:rsidR="00EF4825">
          <w:rPr>
            <w:noProof/>
            <w:webHidden/>
          </w:rPr>
          <w:instrText xml:space="preserve"> PAGEREF _Toc87374578 \h </w:instrText>
        </w:r>
        <w:r w:rsidR="00EF4825">
          <w:rPr>
            <w:noProof/>
            <w:webHidden/>
          </w:rPr>
        </w:r>
        <w:r w:rsidR="00EF4825">
          <w:rPr>
            <w:noProof/>
            <w:webHidden/>
          </w:rPr>
          <w:fldChar w:fldCharType="separate"/>
        </w:r>
        <w:r w:rsidR="00A12E8A">
          <w:rPr>
            <w:noProof/>
            <w:webHidden/>
          </w:rPr>
          <w:t>22</w:t>
        </w:r>
        <w:r w:rsidR="00EF4825">
          <w:rPr>
            <w:noProof/>
            <w:webHidden/>
          </w:rPr>
          <w:fldChar w:fldCharType="end"/>
        </w:r>
      </w:hyperlink>
    </w:p>
    <w:p w14:paraId="157BA52C" w14:textId="4F57F870" w:rsidR="00EF4825" w:rsidRDefault="00751008">
      <w:pPr>
        <w:pStyle w:val="TOC2"/>
        <w:tabs>
          <w:tab w:val="left" w:pos="1276"/>
          <w:tab w:val="right" w:leader="dot" w:pos="9016"/>
        </w:tabs>
        <w:rPr>
          <w:rFonts w:asciiTheme="minorHAnsi" w:eastAsiaTheme="minorEastAsia" w:hAnsiTheme="minorHAnsi" w:cstheme="minorBidi"/>
          <w:noProof/>
          <w:sz w:val="22"/>
          <w:szCs w:val="22"/>
        </w:rPr>
      </w:pPr>
      <w:hyperlink w:anchor="_Toc87374579" w:history="1">
        <w:r w:rsidR="00EF4825" w:rsidRPr="00694CCB">
          <w:rPr>
            <w:rStyle w:val="Hyperlink"/>
            <w:noProof/>
          </w:rPr>
          <w:t>4.5</w:t>
        </w:r>
        <w:r w:rsidR="00EF4825">
          <w:rPr>
            <w:rFonts w:asciiTheme="minorHAnsi" w:eastAsiaTheme="minorEastAsia" w:hAnsiTheme="minorHAnsi" w:cstheme="minorBidi"/>
            <w:noProof/>
            <w:sz w:val="22"/>
            <w:szCs w:val="22"/>
          </w:rPr>
          <w:tab/>
        </w:r>
        <w:r w:rsidR="00EF4825" w:rsidRPr="00694CCB">
          <w:rPr>
            <w:rStyle w:val="Hyperlink"/>
            <w:noProof/>
          </w:rPr>
          <w:t>Postoperative rehabilitation and long-term care</w:t>
        </w:r>
        <w:r w:rsidR="00EF4825">
          <w:rPr>
            <w:noProof/>
            <w:webHidden/>
          </w:rPr>
          <w:tab/>
        </w:r>
        <w:r w:rsidR="00EF4825">
          <w:rPr>
            <w:noProof/>
            <w:webHidden/>
          </w:rPr>
          <w:fldChar w:fldCharType="begin"/>
        </w:r>
        <w:r w:rsidR="00EF4825">
          <w:rPr>
            <w:noProof/>
            <w:webHidden/>
          </w:rPr>
          <w:instrText xml:space="preserve"> PAGEREF _Toc87374579 \h </w:instrText>
        </w:r>
        <w:r w:rsidR="00EF4825">
          <w:rPr>
            <w:noProof/>
            <w:webHidden/>
          </w:rPr>
        </w:r>
        <w:r w:rsidR="00EF4825">
          <w:rPr>
            <w:noProof/>
            <w:webHidden/>
          </w:rPr>
          <w:fldChar w:fldCharType="separate"/>
        </w:r>
        <w:r w:rsidR="00A12E8A">
          <w:rPr>
            <w:noProof/>
            <w:webHidden/>
          </w:rPr>
          <w:t>27</w:t>
        </w:r>
        <w:r w:rsidR="00EF4825">
          <w:rPr>
            <w:noProof/>
            <w:webHidden/>
          </w:rPr>
          <w:fldChar w:fldCharType="end"/>
        </w:r>
      </w:hyperlink>
    </w:p>
    <w:p w14:paraId="437C448D" w14:textId="77C76634" w:rsidR="00EF4825" w:rsidRDefault="00751008">
      <w:pPr>
        <w:pStyle w:val="TOC2"/>
        <w:tabs>
          <w:tab w:val="left" w:pos="1276"/>
          <w:tab w:val="right" w:leader="dot" w:pos="9016"/>
        </w:tabs>
        <w:rPr>
          <w:rFonts w:asciiTheme="minorHAnsi" w:eastAsiaTheme="minorEastAsia" w:hAnsiTheme="minorHAnsi" w:cstheme="minorBidi"/>
          <w:noProof/>
          <w:sz w:val="22"/>
          <w:szCs w:val="22"/>
        </w:rPr>
      </w:pPr>
      <w:hyperlink w:anchor="_Toc87374580" w:history="1">
        <w:r w:rsidR="00EF4825" w:rsidRPr="00694CCB">
          <w:rPr>
            <w:rStyle w:val="Hyperlink"/>
            <w:noProof/>
          </w:rPr>
          <w:t>4.6</w:t>
        </w:r>
        <w:r w:rsidR="00EF4825">
          <w:rPr>
            <w:rFonts w:asciiTheme="minorHAnsi" w:eastAsiaTheme="minorEastAsia" w:hAnsiTheme="minorHAnsi" w:cstheme="minorBidi"/>
            <w:noProof/>
            <w:sz w:val="22"/>
            <w:szCs w:val="22"/>
          </w:rPr>
          <w:tab/>
        </w:r>
        <w:r w:rsidR="00EF4825" w:rsidRPr="00694CCB">
          <w:rPr>
            <w:rStyle w:val="Hyperlink"/>
            <w:noProof/>
          </w:rPr>
          <w:t>Additional areas</w:t>
        </w:r>
        <w:r w:rsidR="00EF4825">
          <w:rPr>
            <w:noProof/>
            <w:webHidden/>
          </w:rPr>
          <w:tab/>
        </w:r>
        <w:r w:rsidR="00EF4825">
          <w:rPr>
            <w:noProof/>
            <w:webHidden/>
          </w:rPr>
          <w:fldChar w:fldCharType="begin"/>
        </w:r>
        <w:r w:rsidR="00EF4825">
          <w:rPr>
            <w:noProof/>
            <w:webHidden/>
          </w:rPr>
          <w:instrText xml:space="preserve"> PAGEREF _Toc87374580 \h </w:instrText>
        </w:r>
        <w:r w:rsidR="00EF4825">
          <w:rPr>
            <w:noProof/>
            <w:webHidden/>
          </w:rPr>
        </w:r>
        <w:r w:rsidR="00EF4825">
          <w:rPr>
            <w:noProof/>
            <w:webHidden/>
          </w:rPr>
          <w:fldChar w:fldCharType="separate"/>
        </w:r>
        <w:r w:rsidR="00A12E8A">
          <w:rPr>
            <w:noProof/>
            <w:webHidden/>
          </w:rPr>
          <w:t>34</w:t>
        </w:r>
        <w:r w:rsidR="00EF4825">
          <w:rPr>
            <w:noProof/>
            <w:webHidden/>
          </w:rPr>
          <w:fldChar w:fldCharType="end"/>
        </w:r>
      </w:hyperlink>
    </w:p>
    <w:p w14:paraId="115EBE93" w14:textId="69A0EE00" w:rsidR="00EF4825" w:rsidRDefault="00751008">
      <w:pPr>
        <w:pStyle w:val="TOC1"/>
        <w:rPr>
          <w:rFonts w:asciiTheme="minorHAnsi" w:eastAsiaTheme="minorEastAsia" w:hAnsiTheme="minorHAnsi" w:cstheme="minorBidi"/>
          <w:sz w:val="22"/>
          <w:szCs w:val="22"/>
          <w:lang w:eastAsia="en-GB"/>
        </w:rPr>
      </w:pPr>
      <w:hyperlink w:anchor="_Toc87374581" w:history="1">
        <w:r w:rsidR="00EF4825" w:rsidRPr="00694CCB">
          <w:rPr>
            <w:rStyle w:val="Hyperlink"/>
          </w:rPr>
          <w:t>Appendix 1: Suggestions from registered stakeholders</w:t>
        </w:r>
        <w:r w:rsidR="00EF4825">
          <w:rPr>
            <w:webHidden/>
          </w:rPr>
          <w:tab/>
        </w:r>
        <w:r w:rsidR="00EF4825">
          <w:rPr>
            <w:webHidden/>
          </w:rPr>
          <w:fldChar w:fldCharType="begin"/>
        </w:r>
        <w:r w:rsidR="00EF4825">
          <w:rPr>
            <w:webHidden/>
          </w:rPr>
          <w:instrText xml:space="preserve"> PAGEREF _Toc87374581 \h </w:instrText>
        </w:r>
        <w:r w:rsidR="00EF4825">
          <w:rPr>
            <w:webHidden/>
          </w:rPr>
        </w:r>
        <w:r w:rsidR="00EF4825">
          <w:rPr>
            <w:webHidden/>
          </w:rPr>
          <w:fldChar w:fldCharType="separate"/>
        </w:r>
        <w:r w:rsidR="00A12E8A">
          <w:rPr>
            <w:webHidden/>
          </w:rPr>
          <w:t>37</w:t>
        </w:r>
        <w:r w:rsidR="00EF4825">
          <w:rPr>
            <w:webHidden/>
          </w:rPr>
          <w:fldChar w:fldCharType="end"/>
        </w:r>
      </w:hyperlink>
    </w:p>
    <w:p w14:paraId="71A0FE16" w14:textId="6D7307A3" w:rsidR="002E0243" w:rsidRDefault="00702177" w:rsidP="00A820F7">
      <w:pPr>
        <w:pStyle w:val="NICEnormal"/>
      </w:pPr>
      <w:r>
        <w:fldChar w:fldCharType="end"/>
      </w:r>
    </w:p>
    <w:p w14:paraId="69C609CE" w14:textId="0A6556D2" w:rsidR="00C40F27" w:rsidRPr="002E0243" w:rsidRDefault="002E0243" w:rsidP="002E0243">
      <w:pPr>
        <w:rPr>
          <w:rFonts w:ascii="Arial" w:hAnsi="Arial"/>
        </w:rPr>
      </w:pPr>
      <w:r>
        <w:br w:type="page"/>
      </w:r>
    </w:p>
    <w:p w14:paraId="42CD19EC" w14:textId="77777777" w:rsidR="002C296A" w:rsidRDefault="002C296A" w:rsidP="00A673EB">
      <w:pPr>
        <w:pStyle w:val="Numberedheading1"/>
      </w:pPr>
      <w:bookmarkStart w:id="69" w:name="_Toc87374564"/>
      <w:r w:rsidRPr="00A673EB">
        <w:lastRenderedPageBreak/>
        <w:t>Introduction</w:t>
      </w:r>
      <w:bookmarkEnd w:id="69"/>
    </w:p>
    <w:p w14:paraId="51684E4C" w14:textId="34A9D705"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245235">
        <w:t>joint replacement (primary): hip, knee and shoulder</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2990921A"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2A41B6C7"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360DC723" w14:textId="77777777" w:rsidR="00C22DED" w:rsidRPr="00D862D3" w:rsidRDefault="000750FD" w:rsidP="00D862D3">
      <w:pPr>
        <w:pStyle w:val="Numberedheading2"/>
      </w:pPr>
      <w:bookmarkStart w:id="70" w:name="_Toc71289585"/>
      <w:bookmarkStart w:id="71" w:name="_Toc71289684"/>
      <w:bookmarkStart w:id="72" w:name="_Toc71290377"/>
      <w:bookmarkStart w:id="73" w:name="_Toc71542842"/>
      <w:bookmarkStart w:id="74" w:name="_Toc80444904"/>
      <w:bookmarkStart w:id="75" w:name="_Toc82736368"/>
      <w:bookmarkStart w:id="76" w:name="_Toc82737198"/>
      <w:bookmarkStart w:id="77" w:name="_Toc82905142"/>
      <w:bookmarkStart w:id="78" w:name="_Toc83128290"/>
      <w:bookmarkStart w:id="79" w:name="_Toc87374565"/>
      <w:r w:rsidRPr="00D862D3">
        <w:t>D</w:t>
      </w:r>
      <w:r w:rsidR="00C22DED" w:rsidRPr="00D862D3">
        <w:t>evelopment source</w:t>
      </w:r>
      <w:bookmarkEnd w:id="70"/>
      <w:bookmarkEnd w:id="71"/>
      <w:bookmarkEnd w:id="72"/>
      <w:bookmarkEnd w:id="73"/>
      <w:bookmarkEnd w:id="74"/>
      <w:bookmarkEnd w:id="75"/>
      <w:bookmarkEnd w:id="76"/>
      <w:bookmarkEnd w:id="77"/>
      <w:bookmarkEnd w:id="78"/>
      <w:bookmarkEnd w:id="79"/>
    </w:p>
    <w:p w14:paraId="499D5132" w14:textId="7C493EAB" w:rsidR="00C22DED" w:rsidRPr="00E10156" w:rsidRDefault="003B6DDC" w:rsidP="002C296A">
      <w:pPr>
        <w:pStyle w:val="Paragraph"/>
      </w:pPr>
      <w:r>
        <w:t>T</w:t>
      </w:r>
      <w:r w:rsidR="00C22DED">
        <w:t>he key development source referenced in this briefing paper</w:t>
      </w:r>
      <w:r w:rsidR="00766AE9">
        <w:t xml:space="preserve"> is</w:t>
      </w:r>
      <w:r w:rsidR="001B3F81">
        <w:t>:</w:t>
      </w:r>
    </w:p>
    <w:p w14:paraId="58763627" w14:textId="1F3239D7" w:rsidR="00FA6FCE" w:rsidRPr="004C28E5" w:rsidRDefault="00751008" w:rsidP="00FA6FCE">
      <w:pPr>
        <w:pStyle w:val="Paragraph"/>
      </w:pPr>
      <w:hyperlink r:id="rId8" w:history="1">
        <w:r w:rsidR="00245235" w:rsidRPr="00245235">
          <w:rPr>
            <w:rStyle w:val="Hyperlink"/>
          </w:rPr>
          <w:t>Joint replacement (primary): hip, knee and shoulder. NICE guideline NG157</w:t>
        </w:r>
      </w:hyperlink>
      <w:r w:rsidR="00FA6FCE" w:rsidRPr="00245235">
        <w:t xml:space="preserve"> </w:t>
      </w:r>
      <w:r w:rsidR="005357B3" w:rsidRPr="00245235">
        <w:t>(</w:t>
      </w:r>
      <w:r w:rsidR="00FA6FCE" w:rsidRPr="00245235">
        <w:t>20</w:t>
      </w:r>
      <w:r w:rsidR="00245235" w:rsidRPr="00245235">
        <w:t>2</w:t>
      </w:r>
      <w:r w:rsidR="001B3F81">
        <w:t>0</w:t>
      </w:r>
      <w:r w:rsidR="005357B3" w:rsidRPr="00245235">
        <w:t>)</w:t>
      </w:r>
      <w:r w:rsidR="00FA6FCE" w:rsidRPr="00245235">
        <w:t xml:space="preserve">. </w:t>
      </w:r>
    </w:p>
    <w:p w14:paraId="3DB29A39" w14:textId="77777777" w:rsidR="002C296A" w:rsidRDefault="002C296A" w:rsidP="002C296A">
      <w:pPr>
        <w:pStyle w:val="Numberedheading1"/>
      </w:pPr>
      <w:bookmarkStart w:id="80" w:name="_Toc87374566"/>
      <w:r>
        <w:t>Overview</w:t>
      </w:r>
      <w:bookmarkEnd w:id="80"/>
    </w:p>
    <w:p w14:paraId="07D35F64" w14:textId="14C8F7CA" w:rsidR="002C296A" w:rsidRDefault="002C296A" w:rsidP="002C296A">
      <w:pPr>
        <w:pStyle w:val="Numberedheading2"/>
      </w:pPr>
      <w:bookmarkStart w:id="81" w:name="_Toc71289587"/>
      <w:bookmarkStart w:id="82" w:name="_Toc71289686"/>
      <w:bookmarkStart w:id="83" w:name="_Toc71290379"/>
      <w:bookmarkStart w:id="84" w:name="_Toc71542844"/>
      <w:bookmarkStart w:id="85" w:name="_Toc80444906"/>
      <w:bookmarkStart w:id="86" w:name="_Toc82413929"/>
      <w:bookmarkStart w:id="87" w:name="_Toc82736370"/>
      <w:bookmarkStart w:id="88" w:name="_Toc82737200"/>
      <w:bookmarkStart w:id="89" w:name="_Toc82905144"/>
      <w:bookmarkStart w:id="90" w:name="_Toc83128292"/>
      <w:bookmarkStart w:id="91" w:name="_Toc87374567"/>
      <w:r>
        <w:t>Focus of quality standard</w:t>
      </w:r>
      <w:bookmarkEnd w:id="81"/>
      <w:bookmarkEnd w:id="82"/>
      <w:bookmarkEnd w:id="83"/>
      <w:bookmarkEnd w:id="84"/>
      <w:bookmarkEnd w:id="85"/>
      <w:bookmarkEnd w:id="86"/>
      <w:bookmarkEnd w:id="87"/>
      <w:bookmarkEnd w:id="88"/>
      <w:bookmarkEnd w:id="89"/>
      <w:bookmarkEnd w:id="90"/>
      <w:bookmarkEnd w:id="91"/>
    </w:p>
    <w:p w14:paraId="52FF3B45" w14:textId="159D87D7" w:rsidR="00BF70EA" w:rsidRDefault="001B3F81" w:rsidP="00933944">
      <w:pPr>
        <w:pStyle w:val="Paragraph"/>
      </w:pPr>
      <w:r>
        <w:t xml:space="preserve">This quality standard will cover </w:t>
      </w:r>
      <w:r w:rsidRPr="001B3F81">
        <w:t>care for adults before, during and after primary elective hip, knee or shoulder joint replacement. It will not include revision joint replacement, joint replacement as immediate treatment following fracture or as treatment for primary or secondary cancer affecting the bones.</w:t>
      </w:r>
    </w:p>
    <w:p w14:paraId="375A6D23" w14:textId="12028652" w:rsidR="002C296A" w:rsidRDefault="002C296A" w:rsidP="00BF70EA">
      <w:pPr>
        <w:pStyle w:val="Numberedheading2"/>
      </w:pPr>
      <w:bookmarkStart w:id="92" w:name="_Toc71289588"/>
      <w:bookmarkStart w:id="93" w:name="_Toc71289687"/>
      <w:bookmarkStart w:id="94" w:name="_Toc71290380"/>
      <w:bookmarkStart w:id="95" w:name="_Toc71542845"/>
      <w:bookmarkStart w:id="96" w:name="_Toc80444907"/>
      <w:bookmarkStart w:id="97" w:name="_Toc82413930"/>
      <w:bookmarkStart w:id="98" w:name="_Toc82736371"/>
      <w:bookmarkStart w:id="99" w:name="_Toc82737201"/>
      <w:bookmarkStart w:id="100" w:name="_Toc82905145"/>
      <w:bookmarkStart w:id="101" w:name="_Toc83128293"/>
      <w:bookmarkStart w:id="102" w:name="_Toc87374568"/>
      <w:r>
        <w:t>Definition</w:t>
      </w:r>
      <w:bookmarkEnd w:id="92"/>
      <w:bookmarkEnd w:id="93"/>
      <w:bookmarkEnd w:id="94"/>
      <w:bookmarkEnd w:id="95"/>
      <w:bookmarkEnd w:id="96"/>
      <w:bookmarkEnd w:id="97"/>
      <w:bookmarkEnd w:id="98"/>
      <w:bookmarkEnd w:id="99"/>
      <w:bookmarkEnd w:id="100"/>
      <w:bookmarkEnd w:id="101"/>
      <w:bookmarkEnd w:id="102"/>
    </w:p>
    <w:p w14:paraId="613FA2D2" w14:textId="23E0B66B" w:rsidR="008D5F05" w:rsidRDefault="00D7532E" w:rsidP="000153FA">
      <w:pPr>
        <w:pStyle w:val="Paragraph"/>
      </w:pPr>
      <w:r>
        <w:t xml:space="preserve">Joint replacement </w:t>
      </w:r>
      <w:r w:rsidR="00063ADA">
        <w:t xml:space="preserve">(also known as arthroplasty) </w:t>
      </w:r>
      <w:r>
        <w:t>refers to surgical replacement of a joint</w:t>
      </w:r>
      <w:proofErr w:type="gramStart"/>
      <w:r>
        <w:t>.</w:t>
      </w:r>
      <w:r w:rsidR="000153FA">
        <w:t xml:space="preserve"> </w:t>
      </w:r>
      <w:r>
        <w:t xml:space="preserve"> </w:t>
      </w:r>
      <w:proofErr w:type="gramEnd"/>
      <w:r>
        <w:t xml:space="preserve">The procedure </w:t>
      </w:r>
      <w:r w:rsidR="000153FA">
        <w:t xml:space="preserve">involves replacing </w:t>
      </w:r>
      <w:r w:rsidR="005F1CD9">
        <w:t>a worn or damaged joint with a new, artificial one</w:t>
      </w:r>
      <w:r>
        <w:t xml:space="preserve">, using </w:t>
      </w:r>
      <w:r w:rsidR="006457A1">
        <w:t xml:space="preserve">a </w:t>
      </w:r>
      <w:r w:rsidR="005F1CD9">
        <w:t>prosthesis or implant</w:t>
      </w:r>
      <w:proofErr w:type="gramStart"/>
      <w:r w:rsidR="005F1CD9">
        <w:t>.</w:t>
      </w:r>
      <w:r w:rsidR="005F1CD9" w:rsidRPr="005F1CD9">
        <w:t xml:space="preserve"> </w:t>
      </w:r>
      <w:r w:rsidR="000153FA">
        <w:t xml:space="preserve"> </w:t>
      </w:r>
      <w:proofErr w:type="gramEnd"/>
      <w:r w:rsidR="000153FA">
        <w:t>A ‘primary</w:t>
      </w:r>
      <w:r w:rsidR="00620654">
        <w:t>’</w:t>
      </w:r>
      <w:r w:rsidR="000153FA">
        <w:t xml:space="preserve"> joint replacement is the first joint replacement operation on a particular joint</w:t>
      </w:r>
      <w:proofErr w:type="gramStart"/>
      <w:r w:rsidR="000153FA">
        <w:t>.</w:t>
      </w:r>
      <w:r w:rsidR="00FF790B">
        <w:t xml:space="preserve">  </w:t>
      </w:r>
      <w:proofErr w:type="gramEnd"/>
    </w:p>
    <w:p w14:paraId="5B8BB0AC" w14:textId="411E5F21" w:rsidR="000B258C" w:rsidRDefault="000B258C" w:rsidP="00245235">
      <w:pPr>
        <w:pStyle w:val="Paragraph"/>
      </w:pPr>
      <w:r w:rsidRPr="000B258C">
        <w:t>Hip, knee and shoulder joint replacements are performed to reduce pain and restore function in people with severe disability, most commonly from osteoarthritis when non-surgical options have been exhausted.</w:t>
      </w:r>
    </w:p>
    <w:p w14:paraId="46085317" w14:textId="7EC2E7AE" w:rsidR="003A7EF8" w:rsidRDefault="003A7EF8" w:rsidP="003A7EF8">
      <w:pPr>
        <w:pStyle w:val="Paragraph"/>
      </w:pPr>
      <w:r w:rsidRPr="00A651AF">
        <w:t xml:space="preserve">The </w:t>
      </w:r>
      <w:r w:rsidR="00976FFA">
        <w:t xml:space="preserve">type of operation </w:t>
      </w:r>
      <w:r w:rsidRPr="00A651AF">
        <w:t>offered var</w:t>
      </w:r>
      <w:r w:rsidR="00976FFA">
        <w:t>ies</w:t>
      </w:r>
      <w:r w:rsidRPr="00A651AF">
        <w:t xml:space="preserve"> and include</w:t>
      </w:r>
      <w:r w:rsidR="00620654">
        <w:t>s</w:t>
      </w:r>
      <w:r w:rsidRPr="00A651AF">
        <w:t xml:space="preserve"> a wide range of joint implants with differing designs, materials and bone fixation methods. This variability may produce </w:t>
      </w:r>
      <w:r w:rsidRPr="00A651AF">
        <w:lastRenderedPageBreak/>
        <w:t>different outcomes, both in short-term function (for example, pain and complications) and in long-term joint survival (how long and well the implant works before revision surgery to replace it with another joint replacement is needed)</w:t>
      </w:r>
      <w:proofErr w:type="gramStart"/>
      <w:r w:rsidRPr="00A651AF">
        <w:t xml:space="preserve">.  </w:t>
      </w:r>
      <w:proofErr w:type="gramEnd"/>
      <w:r w:rsidRPr="00A651AF">
        <w:t>Many joint replacements can last 10 to 20 years before a revision procedure is needed, although this is not the case for all types.</w:t>
      </w:r>
    </w:p>
    <w:p w14:paraId="3E7EE808" w14:textId="405F7DAC" w:rsidR="008E54B5" w:rsidRDefault="00E94910" w:rsidP="00245235">
      <w:pPr>
        <w:pStyle w:val="Paragraph"/>
        <w:rPr>
          <w:b/>
          <w:bCs/>
        </w:rPr>
      </w:pPr>
      <w:r>
        <w:rPr>
          <w:b/>
          <w:bCs/>
        </w:rPr>
        <w:t>Total h</w:t>
      </w:r>
      <w:r w:rsidR="00306008">
        <w:rPr>
          <w:b/>
          <w:bCs/>
        </w:rPr>
        <w:t>ip replacement</w:t>
      </w:r>
      <w:r>
        <w:rPr>
          <w:b/>
          <w:bCs/>
        </w:rPr>
        <w:t xml:space="preserve"> </w:t>
      </w:r>
      <w:r w:rsidR="000153FA">
        <w:rPr>
          <w:b/>
          <w:bCs/>
        </w:rPr>
        <w:t>(THR)</w:t>
      </w:r>
    </w:p>
    <w:p w14:paraId="2A2E02D4" w14:textId="262EE6C1" w:rsidR="000153FA" w:rsidRPr="000153FA" w:rsidRDefault="000153FA" w:rsidP="000153FA">
      <w:pPr>
        <w:pStyle w:val="Paragraph"/>
      </w:pPr>
      <w:r>
        <w:t>Surgery involves replacing the ball and the socket parts of the joint with artificial parts.</w:t>
      </w:r>
      <w:r w:rsidR="006457A1">
        <w:t xml:space="preserve"> </w:t>
      </w:r>
    </w:p>
    <w:p w14:paraId="1FDEFA15" w14:textId="3A96920B" w:rsidR="00306008" w:rsidRDefault="00306008" w:rsidP="00245235">
      <w:pPr>
        <w:pStyle w:val="Paragraph"/>
        <w:rPr>
          <w:b/>
          <w:bCs/>
        </w:rPr>
      </w:pPr>
      <w:r>
        <w:rPr>
          <w:b/>
          <w:bCs/>
        </w:rPr>
        <w:t>Knee replacement</w:t>
      </w:r>
      <w:r w:rsidR="00085C93">
        <w:rPr>
          <w:b/>
          <w:bCs/>
        </w:rPr>
        <w:t xml:space="preserve"> </w:t>
      </w:r>
    </w:p>
    <w:p w14:paraId="03A8E41C" w14:textId="53E91AD8" w:rsidR="000153FA" w:rsidRDefault="000153FA" w:rsidP="00245235">
      <w:pPr>
        <w:pStyle w:val="Paragraph"/>
      </w:pPr>
      <w:r>
        <w:t>Surgery</w:t>
      </w:r>
      <w:r w:rsidR="00234A92">
        <w:t xml:space="preserve"> consists of either</w:t>
      </w:r>
      <w:r>
        <w:t>:</w:t>
      </w:r>
    </w:p>
    <w:p w14:paraId="552940A6" w14:textId="36EBBEC6" w:rsidR="000153FA" w:rsidRDefault="00234A92" w:rsidP="000868F8">
      <w:pPr>
        <w:pStyle w:val="Paragraph"/>
        <w:numPr>
          <w:ilvl w:val="0"/>
          <w:numId w:val="8"/>
        </w:numPr>
      </w:pPr>
      <w:r>
        <w:t>Total knee replacement (TKR), which involves replacing both sides of the knee joint</w:t>
      </w:r>
      <w:proofErr w:type="gramStart"/>
      <w:r w:rsidR="00DB2E5B">
        <w:t>.</w:t>
      </w:r>
      <w:r w:rsidR="00106FA0">
        <w:t xml:space="preserve">  </w:t>
      </w:r>
      <w:proofErr w:type="gramEnd"/>
      <w:r w:rsidR="00106FA0">
        <w:t>An implant is attached to both parts of the shin bone and thigh bone (</w:t>
      </w:r>
      <w:r w:rsidR="00954A6E">
        <w:t xml:space="preserve">National Joint Registry (NJR) </w:t>
      </w:r>
      <w:hyperlink r:id="rId9" w:history="1">
        <w:r w:rsidR="00106FA0" w:rsidRPr="00106FA0">
          <w:rPr>
            <w:rStyle w:val="Hyperlink"/>
          </w:rPr>
          <w:t>Public and patient guide to the NJR’s 14</w:t>
        </w:r>
        <w:r w:rsidR="00106FA0" w:rsidRPr="00106FA0">
          <w:rPr>
            <w:rStyle w:val="Hyperlink"/>
            <w:vertAlign w:val="superscript"/>
          </w:rPr>
          <w:t>th</w:t>
        </w:r>
        <w:r w:rsidR="00106FA0" w:rsidRPr="00106FA0">
          <w:rPr>
            <w:rStyle w:val="Hyperlink"/>
          </w:rPr>
          <w:t xml:space="preserve"> annual report, 2017</w:t>
        </w:r>
      </w:hyperlink>
      <w:r w:rsidR="00106FA0">
        <w:t>).</w:t>
      </w:r>
    </w:p>
    <w:p w14:paraId="5F5627A9" w14:textId="065EF7B2" w:rsidR="00DB2E5B" w:rsidRDefault="00234A92" w:rsidP="00F374FC">
      <w:pPr>
        <w:pStyle w:val="Paragraph"/>
        <w:numPr>
          <w:ilvl w:val="0"/>
          <w:numId w:val="8"/>
        </w:numPr>
      </w:pPr>
      <w:r>
        <w:t>Partial knee replacement</w:t>
      </w:r>
      <w:r w:rsidR="00620654">
        <w:t xml:space="preserve"> (PKR)</w:t>
      </w:r>
      <w:r w:rsidR="00AB7EB3">
        <w:t>,</w:t>
      </w:r>
      <w:r>
        <w:t xml:space="preserve"> which involves replacing </w:t>
      </w:r>
      <w:r w:rsidR="002E0243">
        <w:t>part</w:t>
      </w:r>
      <w:r>
        <w:t xml:space="preserve"> of the knee joint</w:t>
      </w:r>
      <w:proofErr w:type="gramStart"/>
      <w:r w:rsidR="00106FA0">
        <w:t xml:space="preserve">.  </w:t>
      </w:r>
      <w:proofErr w:type="gramEnd"/>
      <w:r w:rsidR="00106FA0">
        <w:t xml:space="preserve">An implant is attached to only one part of the shin bone and one part of the thigh bone </w:t>
      </w:r>
      <w:hyperlink r:id="rId10" w:history="1">
        <w:r w:rsidR="00106FA0" w:rsidRPr="00106FA0">
          <w:rPr>
            <w:rStyle w:val="Hyperlink"/>
          </w:rPr>
          <w:t>(</w:t>
        </w:r>
        <w:bookmarkStart w:id="103" w:name="_Hlk82884981"/>
        <w:r w:rsidR="00106FA0" w:rsidRPr="00106FA0">
          <w:rPr>
            <w:rStyle w:val="Hyperlink"/>
          </w:rPr>
          <w:t>NJR (2017).</w:t>
        </w:r>
        <w:bookmarkEnd w:id="103"/>
      </w:hyperlink>
      <w:r w:rsidRPr="00234A92">
        <w:t>Th</w:t>
      </w:r>
      <w:r w:rsidR="00106FA0">
        <w:t>is</w:t>
      </w:r>
      <w:r w:rsidRPr="00234A92">
        <w:t xml:space="preserve"> procedure is also known as a </w:t>
      </w:r>
      <w:r>
        <w:t>‘</w:t>
      </w:r>
      <w:r w:rsidR="00063ADA" w:rsidRPr="00063ADA">
        <w:t>unicompartmental</w:t>
      </w:r>
      <w:r w:rsidR="006457A1">
        <w:t>’</w:t>
      </w:r>
      <w:r w:rsidR="00063ADA" w:rsidRPr="00063ADA">
        <w:t xml:space="preserve"> or </w:t>
      </w:r>
      <w:r w:rsidR="006457A1">
        <w:t>‘</w:t>
      </w:r>
      <w:r w:rsidR="00063ADA" w:rsidRPr="00063ADA">
        <w:t>unicondylar</w:t>
      </w:r>
      <w:r w:rsidR="00063ADA">
        <w:t>’ knee replacement</w:t>
      </w:r>
      <w:r w:rsidR="00620654">
        <w:t xml:space="preserve">.   </w:t>
      </w:r>
    </w:p>
    <w:p w14:paraId="1B202E5A" w14:textId="50102AC0" w:rsidR="00234A92" w:rsidRPr="000153FA" w:rsidRDefault="002E0243" w:rsidP="00DB2E5B">
      <w:pPr>
        <w:pStyle w:val="Paragraph"/>
      </w:pPr>
      <w:r>
        <w:t>D</w:t>
      </w:r>
      <w:r w:rsidR="00DB2E5B" w:rsidRPr="00DB2E5B">
        <w:t>uring</w:t>
      </w:r>
      <w:r w:rsidR="006457A1">
        <w:t xml:space="preserve"> TKR</w:t>
      </w:r>
      <w:r>
        <w:t>, p</w:t>
      </w:r>
      <w:r w:rsidRPr="002E0243">
        <w:t>atella resurfacing can be undertaken</w:t>
      </w:r>
      <w:proofErr w:type="gramStart"/>
      <w:r w:rsidR="00DB2E5B" w:rsidRPr="00DB2E5B">
        <w:t xml:space="preserve">.  </w:t>
      </w:r>
      <w:proofErr w:type="gramEnd"/>
      <w:r>
        <w:t xml:space="preserve">This </w:t>
      </w:r>
      <w:r w:rsidR="00DB2E5B" w:rsidRPr="00DB2E5B">
        <w:t xml:space="preserve">involves removing the under surface of the kneecap (the patella) and </w:t>
      </w:r>
      <w:r w:rsidR="00DB2E5B">
        <w:t xml:space="preserve">attaching </w:t>
      </w:r>
      <w:r w:rsidR="00DB2E5B" w:rsidRPr="00DB2E5B">
        <w:t>a</w:t>
      </w:r>
      <w:r w:rsidR="00DB2E5B">
        <w:t xml:space="preserve"> separate implant</w:t>
      </w:r>
      <w:r w:rsidR="00DB2E5B" w:rsidRPr="00DB2E5B">
        <w:t xml:space="preserve"> </w:t>
      </w:r>
      <w:r w:rsidR="00DB2E5B">
        <w:t xml:space="preserve">to the back of the kneecap, to articulate and fit smoothly with the femoral </w:t>
      </w:r>
      <w:r w:rsidR="005618D8">
        <w:t xml:space="preserve">(thigh) </w:t>
      </w:r>
      <w:r w:rsidR="00DB2E5B">
        <w:t>implant</w:t>
      </w:r>
      <w:proofErr w:type="gramStart"/>
      <w:r w:rsidR="00DB2E5B">
        <w:t xml:space="preserve">.  </w:t>
      </w:r>
      <w:proofErr w:type="gramEnd"/>
    </w:p>
    <w:p w14:paraId="6DBCADE5" w14:textId="36395363" w:rsidR="00085C93" w:rsidRPr="00967BAA" w:rsidRDefault="00306008" w:rsidP="00085C93">
      <w:pPr>
        <w:pStyle w:val="Paragraph"/>
        <w:rPr>
          <w:b/>
          <w:bCs/>
        </w:rPr>
      </w:pPr>
      <w:r>
        <w:rPr>
          <w:b/>
          <w:bCs/>
        </w:rPr>
        <w:t>Shoulder replacement</w:t>
      </w:r>
      <w:r w:rsidR="00085C93">
        <w:rPr>
          <w:b/>
          <w:bCs/>
        </w:rPr>
        <w:t xml:space="preserve"> </w:t>
      </w:r>
    </w:p>
    <w:p w14:paraId="6028E1AF" w14:textId="7C13692E" w:rsidR="00234A92" w:rsidRDefault="00D7532E" w:rsidP="00234A92">
      <w:pPr>
        <w:pStyle w:val="Paragraph"/>
      </w:pPr>
      <w:r>
        <w:t xml:space="preserve">Total replacement of the shoulder joint </w:t>
      </w:r>
      <w:r w:rsidR="00234A92">
        <w:t>consists of:</w:t>
      </w:r>
    </w:p>
    <w:p w14:paraId="5DF88288" w14:textId="2044FACD" w:rsidR="00D7532E" w:rsidRDefault="00D7532E" w:rsidP="000868F8">
      <w:pPr>
        <w:pStyle w:val="Paragraph"/>
        <w:numPr>
          <w:ilvl w:val="0"/>
          <w:numId w:val="9"/>
        </w:numPr>
      </w:pPr>
      <w:r>
        <w:t>‘Conventional shoulder replacement’, where the existing ball and socket are replaced with a new ball and socket, mimicking the normal anatomy of the shoulder</w:t>
      </w:r>
      <w:r w:rsidR="00DB2E5B">
        <w:t>.</w:t>
      </w:r>
    </w:p>
    <w:p w14:paraId="7BD14571" w14:textId="0FB6F7A2" w:rsidR="00234A92" w:rsidRDefault="00DB2E5B" w:rsidP="000868F8">
      <w:pPr>
        <w:pStyle w:val="Paragraph"/>
        <w:numPr>
          <w:ilvl w:val="0"/>
          <w:numId w:val="9"/>
        </w:numPr>
      </w:pPr>
      <w:r>
        <w:t xml:space="preserve">‘Reverse total shoulder replacement’, where </w:t>
      </w:r>
      <w:r w:rsidR="005618D8">
        <w:t xml:space="preserve">the </w:t>
      </w:r>
      <w:r>
        <w:t xml:space="preserve">normal anatomy of the shoulder is reversed: the ball part of the joint is replaced with a socket, and the socket part with a ball. </w:t>
      </w:r>
    </w:p>
    <w:p w14:paraId="51498E54" w14:textId="776642B0" w:rsidR="00967BAA" w:rsidRDefault="00967BAA" w:rsidP="00967BAA">
      <w:pPr>
        <w:pStyle w:val="Paragraph"/>
      </w:pPr>
      <w:r>
        <w:t>A group of muscles and associated tendons form the rotator cuff</w:t>
      </w:r>
      <w:r w:rsidR="00DB2E5B">
        <w:t>,</w:t>
      </w:r>
      <w:r>
        <w:t xml:space="preserve"> which controls movement of </w:t>
      </w:r>
      <w:r w:rsidR="00A651AF">
        <w:t>the</w:t>
      </w:r>
      <w:r>
        <w:t xml:space="preserve"> arm and helps hold the joint together.</w:t>
      </w:r>
      <w:r w:rsidR="006457A1">
        <w:t xml:space="preserve"> A reverse procedure tends to </w:t>
      </w:r>
      <w:r w:rsidR="006457A1">
        <w:lastRenderedPageBreak/>
        <w:t>be used in patients with severe arthritis and degeneration of the bone</w:t>
      </w:r>
      <w:r w:rsidR="009823F7">
        <w:t>,</w:t>
      </w:r>
      <w:r w:rsidR="006457A1">
        <w:t xml:space="preserve"> </w:t>
      </w:r>
      <w:r w:rsidR="00831536">
        <w:t xml:space="preserve">and </w:t>
      </w:r>
      <w:r w:rsidR="006457A1">
        <w:t>very weak muscles in the shoulder</w:t>
      </w:r>
      <w:r w:rsidR="009823F7">
        <w:t xml:space="preserve"> (</w:t>
      </w:r>
      <w:r w:rsidR="006457A1">
        <w:t>for example,</w:t>
      </w:r>
      <w:r w:rsidR="009823F7">
        <w:t xml:space="preserve"> due to </w:t>
      </w:r>
      <w:r w:rsidR="006457A1">
        <w:t>a torn rotator cuff muscle</w:t>
      </w:r>
      <w:r w:rsidR="009823F7">
        <w:t>)</w:t>
      </w:r>
      <w:r w:rsidR="006457A1">
        <w:t xml:space="preserve">. It allows the patient to use other, more able muscles to mobilise the joint </w:t>
      </w:r>
      <w:hyperlink r:id="rId11" w:history="1">
        <w:r w:rsidR="00620654">
          <w:rPr>
            <w:rStyle w:val="Hyperlink"/>
          </w:rPr>
          <w:t>(NJR, 2017)</w:t>
        </w:r>
      </w:hyperlink>
      <w:r w:rsidR="003A7EF8">
        <w:t>.</w:t>
      </w:r>
    </w:p>
    <w:p w14:paraId="4FEB2029" w14:textId="7FDE582F" w:rsidR="00A80024" w:rsidRDefault="00A80024" w:rsidP="00967BAA">
      <w:pPr>
        <w:pStyle w:val="Paragraph"/>
      </w:pPr>
      <w:r>
        <w:t>‘</w:t>
      </w:r>
      <w:r w:rsidRPr="00A80024">
        <w:t>Humeral hemiarthroplasty’</w:t>
      </w:r>
      <w:r>
        <w:t xml:space="preserve"> involves replacing the </w:t>
      </w:r>
      <w:r w:rsidRPr="00A80024">
        <w:t>top of the upper arm bone with a prosthesis, after shaping or removing the top of the bone (</w:t>
      </w:r>
      <w:hyperlink r:id="rId12" w:history="1">
        <w:r w:rsidRPr="00A80024">
          <w:rPr>
            <w:rStyle w:val="Hyperlink"/>
          </w:rPr>
          <w:t>NJR, 2017</w:t>
        </w:r>
      </w:hyperlink>
      <w:r w:rsidRPr="00A80024">
        <w:t>) following a previous fracture of the bone.</w:t>
      </w:r>
    </w:p>
    <w:p w14:paraId="34D62169" w14:textId="388FFFC2" w:rsidR="002C296A" w:rsidRPr="00FF20A8" w:rsidRDefault="002C296A" w:rsidP="002C296A">
      <w:pPr>
        <w:pStyle w:val="Numberedheading2"/>
      </w:pPr>
      <w:bookmarkStart w:id="104" w:name="_Toc71289589"/>
      <w:bookmarkStart w:id="105" w:name="_Toc71289688"/>
      <w:bookmarkStart w:id="106" w:name="_Toc71290381"/>
      <w:bookmarkStart w:id="107" w:name="_Toc71542846"/>
      <w:bookmarkStart w:id="108" w:name="_Toc80444908"/>
      <w:bookmarkStart w:id="109" w:name="_Toc82413931"/>
      <w:bookmarkStart w:id="110" w:name="_Toc82736372"/>
      <w:bookmarkStart w:id="111" w:name="_Toc82737202"/>
      <w:bookmarkStart w:id="112" w:name="_Toc82905146"/>
      <w:bookmarkStart w:id="113" w:name="_Toc83128294"/>
      <w:bookmarkStart w:id="114" w:name="_Toc87374569"/>
      <w:r>
        <w:t>Incidence and prevalence</w:t>
      </w:r>
      <w:bookmarkEnd w:id="104"/>
      <w:bookmarkEnd w:id="105"/>
      <w:bookmarkEnd w:id="106"/>
      <w:bookmarkEnd w:id="107"/>
      <w:bookmarkEnd w:id="108"/>
      <w:bookmarkEnd w:id="109"/>
      <w:bookmarkEnd w:id="110"/>
      <w:bookmarkEnd w:id="111"/>
      <w:bookmarkEnd w:id="112"/>
      <w:bookmarkEnd w:id="113"/>
      <w:bookmarkEnd w:id="114"/>
    </w:p>
    <w:p w14:paraId="0EC14ABB" w14:textId="29825CCB" w:rsidR="001A56EC" w:rsidRDefault="00BF1DF8" w:rsidP="001A56EC">
      <w:pPr>
        <w:pStyle w:val="Paragraph"/>
      </w:pPr>
      <w:r w:rsidRPr="00BF1DF8">
        <w:t xml:space="preserve">Hip, knee and shoulder joint replacements are among the most common orthopaedic operations performed in the UK. </w:t>
      </w:r>
      <w:hyperlink r:id="rId13" w:history="1">
        <w:r w:rsidR="001A56EC" w:rsidRPr="00030444">
          <w:rPr>
            <w:rStyle w:val="Hyperlink"/>
          </w:rPr>
          <w:t xml:space="preserve">NJR </w:t>
        </w:r>
        <w:r w:rsidR="00030444" w:rsidRPr="00030444">
          <w:rPr>
            <w:rStyle w:val="Hyperlink"/>
          </w:rPr>
          <w:t>R</w:t>
        </w:r>
        <w:r w:rsidR="001A56EC" w:rsidRPr="00030444">
          <w:rPr>
            <w:rStyle w:val="Hyperlink"/>
          </w:rPr>
          <w:t>eports</w:t>
        </w:r>
      </w:hyperlink>
      <w:r w:rsidR="001A56EC" w:rsidRPr="00030444">
        <w:t xml:space="preserve"> for 2019 show that in NHS hospitals </w:t>
      </w:r>
      <w:r w:rsidR="001A56EC" w:rsidRPr="00507974">
        <w:t xml:space="preserve">59,873 primary hip replacements, 62,407 knee replacements and </w:t>
      </w:r>
      <w:r w:rsidR="00400854" w:rsidRPr="00507974">
        <w:t>5,966</w:t>
      </w:r>
      <w:r w:rsidR="001A56EC" w:rsidRPr="00507974">
        <w:t xml:space="preserve"> shoulder replacements were carried out</w:t>
      </w:r>
      <w:proofErr w:type="gramStart"/>
      <w:r w:rsidR="001A56EC" w:rsidRPr="00507974">
        <w:t xml:space="preserve">.  </w:t>
      </w:r>
      <w:proofErr w:type="gramEnd"/>
      <w:r w:rsidR="001A56EC" w:rsidRPr="00507974">
        <w:t xml:space="preserve">37,877 primary hip replacements, 41,836 knee replacements and </w:t>
      </w:r>
      <w:r w:rsidR="0089129A" w:rsidRPr="00507974">
        <w:t>1,587 shoulder</w:t>
      </w:r>
      <w:r w:rsidR="001A56EC" w:rsidRPr="00507974">
        <w:t xml:space="preserve"> replacements were carried out in independent hospitals</w:t>
      </w:r>
      <w:r w:rsidR="0089129A" w:rsidRPr="00507974">
        <w:t xml:space="preserve">, </w:t>
      </w:r>
      <w:r w:rsidR="001A56EC" w:rsidRPr="00507974">
        <w:t xml:space="preserve">which include operations for NHS-funded patients. </w:t>
      </w:r>
      <w:r w:rsidR="00603BF2">
        <w:t xml:space="preserve">In independent sector treatment centres, </w:t>
      </w:r>
      <w:r w:rsidR="00400854" w:rsidRPr="00507974">
        <w:t>3,634 primary hip replacements, 4,263 knee replacements and 10</w:t>
      </w:r>
      <w:r w:rsidR="00D44B1A">
        <w:t>2</w:t>
      </w:r>
      <w:r w:rsidR="00400854" w:rsidRPr="00507974">
        <w:t xml:space="preserve"> shoulder replacements were carried out, which include operations for NHS</w:t>
      </w:r>
      <w:r w:rsidR="00D44B1A">
        <w:t>-</w:t>
      </w:r>
      <w:r w:rsidR="00400854" w:rsidRPr="00507974">
        <w:t>funded patients</w:t>
      </w:r>
      <w:r w:rsidR="0089129A" w:rsidRPr="00507974">
        <w:t>.</w:t>
      </w:r>
    </w:p>
    <w:p w14:paraId="0D4A418A" w14:textId="6E190A8A" w:rsidR="001B2957" w:rsidRDefault="001A56EC" w:rsidP="00E53C6B">
      <w:pPr>
        <w:pStyle w:val="Paragraph"/>
      </w:pPr>
      <w:r w:rsidRPr="00507974">
        <w:t xml:space="preserve">Equivalent data for 2020 </w:t>
      </w:r>
      <w:r w:rsidRPr="00030444">
        <w:t>show</w:t>
      </w:r>
      <w:r w:rsidR="00030444" w:rsidRPr="00030444">
        <w:t xml:space="preserve"> that in NHS hospitals </w:t>
      </w:r>
      <w:r w:rsidRPr="00507974">
        <w:t xml:space="preserve">29,334 primary hip replacements, 25,956 knee replacements and 2,967 shoulder replacements </w:t>
      </w:r>
      <w:r w:rsidR="00030444" w:rsidRPr="00507974">
        <w:t>were carried out</w:t>
      </w:r>
      <w:proofErr w:type="gramStart"/>
      <w:r w:rsidRPr="00507974">
        <w:t xml:space="preserve">.  </w:t>
      </w:r>
      <w:proofErr w:type="gramEnd"/>
      <w:r w:rsidRPr="00507974">
        <w:t>27,044 primary hip replacements, 25,141 knee replacements and 1,040 shoulder replacements were carried out in independent hospitals, which include</w:t>
      </w:r>
      <w:r w:rsidR="00400854" w:rsidRPr="00507974">
        <w:t xml:space="preserve"> </w:t>
      </w:r>
      <w:r w:rsidRPr="00507974">
        <w:t>operations for NHS-funded patients</w:t>
      </w:r>
      <w:proofErr w:type="gramStart"/>
      <w:r w:rsidRPr="00507974">
        <w:t xml:space="preserve">.  </w:t>
      </w:r>
      <w:proofErr w:type="gramEnd"/>
      <w:r w:rsidR="00603BF2" w:rsidRPr="00603BF2">
        <w:t>In independent sector treatment centres</w:t>
      </w:r>
      <w:r w:rsidR="00603BF2">
        <w:t>,</w:t>
      </w:r>
      <w:r w:rsidR="00603BF2" w:rsidRPr="00603BF2">
        <w:t xml:space="preserve"> </w:t>
      </w:r>
      <w:r w:rsidR="00B7567A" w:rsidRPr="00507974">
        <w:t xml:space="preserve">2,246 primary hip replacements, </w:t>
      </w:r>
      <w:r w:rsidR="00400854" w:rsidRPr="00507974">
        <w:t xml:space="preserve">2,263 primary knee replacements and </w:t>
      </w:r>
      <w:r w:rsidR="00D44B1A">
        <w:t xml:space="preserve">47 </w:t>
      </w:r>
      <w:r w:rsidR="00400854" w:rsidRPr="00507974">
        <w:t>shoulder replacements were carried out, which include operations for NHS-funded patients.</w:t>
      </w:r>
      <w:r w:rsidR="00400854">
        <w:t xml:space="preserve"> </w:t>
      </w:r>
    </w:p>
    <w:p w14:paraId="5D8BCA52" w14:textId="62501F4D" w:rsidR="00734CA8" w:rsidRDefault="003A7EF8" w:rsidP="00B70F2B">
      <w:pPr>
        <w:pStyle w:val="Paragraph"/>
      </w:pPr>
      <w:r>
        <w:t>Osteoarthritis</w:t>
      </w:r>
      <w:r w:rsidR="00E53C6B">
        <w:t xml:space="preserve"> is more prevalent among people aged 45 and over, women, and people who are obese.</w:t>
      </w:r>
      <w:r w:rsidR="00106FA0">
        <w:t xml:space="preserve"> This is reflected in demographic data </w:t>
      </w:r>
      <w:r w:rsidR="009A2ADB">
        <w:t>(</w:t>
      </w:r>
      <w:hyperlink r:id="rId14" w:history="1">
        <w:r w:rsidR="00B56CE1">
          <w:rPr>
            <w:rStyle w:val="Hyperlink"/>
          </w:rPr>
          <w:t>NJR, 17th annual report 2020, hereafter NJR 2020)</w:t>
        </w:r>
      </w:hyperlink>
      <w:r w:rsidR="00106FA0">
        <w:t xml:space="preserve"> about people </w:t>
      </w:r>
      <w:r w:rsidR="00A71D31">
        <w:t xml:space="preserve">who </w:t>
      </w:r>
      <w:r w:rsidR="00106FA0">
        <w:t>had joint replacement surgery</w:t>
      </w:r>
      <w:r w:rsidR="001A56EC">
        <w:t xml:space="preserve"> in 2019, based on: 95, 677 primary hip replacements, 103, 617 knee replacements and 7,294 shoulder replacements.</w:t>
      </w:r>
      <w:r w:rsidR="00106FA0">
        <w:t xml:space="preserve"> </w:t>
      </w:r>
      <w:r w:rsidR="00106FA0" w:rsidRPr="00106FA0">
        <w:t>90% of hip, 98% of knee, and 59% of shoulder primary joint replacements performed in 2019 were due to osteoarthritis</w:t>
      </w:r>
      <w:r w:rsidR="001A56EC">
        <w:t>.</w:t>
      </w:r>
    </w:p>
    <w:p w14:paraId="7D9FA1AA" w14:textId="36CDCA8E" w:rsidR="00E53C6B" w:rsidRDefault="00E53C6B" w:rsidP="00E53C6B">
      <w:pPr>
        <w:pStyle w:val="Paragraph"/>
      </w:pPr>
      <w:r>
        <w:t xml:space="preserve">Demographic data of people </w:t>
      </w:r>
      <w:r w:rsidR="00954A6E">
        <w:t xml:space="preserve">who had </w:t>
      </w:r>
      <w:r>
        <w:t xml:space="preserve">hip, knee and shoulder surgery reported in </w:t>
      </w:r>
      <w:hyperlink r:id="rId15" w:history="1">
        <w:r w:rsidR="00954A6E" w:rsidRPr="00AD387B">
          <w:rPr>
            <w:rStyle w:val="Hyperlink"/>
          </w:rPr>
          <w:t>NJR (2020</w:t>
        </w:r>
        <w:r w:rsidR="00AD387B" w:rsidRPr="00AD387B">
          <w:rPr>
            <w:rStyle w:val="Hyperlink"/>
          </w:rPr>
          <w:t>)</w:t>
        </w:r>
      </w:hyperlink>
      <w:r w:rsidR="00AD387B">
        <w:t xml:space="preserve"> also </w:t>
      </w:r>
      <w:r>
        <w:t xml:space="preserve">includes </w:t>
      </w:r>
      <w:r w:rsidR="00954A6E">
        <w:t xml:space="preserve">the </w:t>
      </w:r>
      <w:r>
        <w:t xml:space="preserve">average age for </w:t>
      </w:r>
      <w:r w:rsidR="009823F7">
        <w:t>males</w:t>
      </w:r>
      <w:r>
        <w:t xml:space="preserve"> (M) and </w:t>
      </w:r>
      <w:r w:rsidR="009823F7">
        <w:t xml:space="preserve">females </w:t>
      </w:r>
      <w:r>
        <w:t xml:space="preserve">(F), and </w:t>
      </w:r>
      <w:r w:rsidR="00C1082E">
        <w:t xml:space="preserve">average </w:t>
      </w:r>
      <w:r>
        <w:t>BMI</w:t>
      </w:r>
      <w:r w:rsidR="0070230A">
        <w:t>:</w:t>
      </w:r>
    </w:p>
    <w:p w14:paraId="7009FFCD" w14:textId="5194BF22" w:rsidR="00E53C6B" w:rsidRDefault="00E53C6B" w:rsidP="00A710D9">
      <w:pPr>
        <w:pStyle w:val="Paragraph"/>
        <w:numPr>
          <w:ilvl w:val="0"/>
          <w:numId w:val="10"/>
        </w:numPr>
      </w:pPr>
      <w:r>
        <w:t xml:space="preserve">Hip: </w:t>
      </w:r>
      <w:r>
        <w:tab/>
        <w:t>67.1 (M), 69.4 (F)</w:t>
      </w:r>
      <w:proofErr w:type="gramStart"/>
      <w:r w:rsidR="00C1082E">
        <w:t xml:space="preserve">.  </w:t>
      </w:r>
      <w:proofErr w:type="gramEnd"/>
      <w:r w:rsidR="00C1082E">
        <w:t xml:space="preserve"> </w:t>
      </w:r>
      <w:r w:rsidR="00C1082E">
        <w:tab/>
      </w:r>
      <w:r w:rsidR="00C1082E">
        <w:tab/>
        <w:t>BMI: 28.8 (overweight)</w:t>
      </w:r>
    </w:p>
    <w:p w14:paraId="5CA6898A" w14:textId="7D1834E5" w:rsidR="00E53C6B" w:rsidRDefault="00E53C6B" w:rsidP="00A710D9">
      <w:pPr>
        <w:pStyle w:val="Paragraph"/>
        <w:numPr>
          <w:ilvl w:val="0"/>
          <w:numId w:val="10"/>
        </w:numPr>
      </w:pPr>
      <w:r>
        <w:t xml:space="preserve">Knee: </w:t>
      </w:r>
      <w:r>
        <w:tab/>
        <w:t>68.8 (M), 69.2 (F)</w:t>
      </w:r>
      <w:r w:rsidR="00C1082E">
        <w:t>.</w:t>
      </w:r>
      <w:r w:rsidR="00C1082E">
        <w:tab/>
      </w:r>
      <w:r w:rsidR="00C1082E">
        <w:tab/>
        <w:t>BMI: 30.9 (obese)</w:t>
      </w:r>
    </w:p>
    <w:p w14:paraId="6781C57C" w14:textId="46D45046" w:rsidR="00E53C6B" w:rsidRDefault="00E53C6B" w:rsidP="00A710D9">
      <w:pPr>
        <w:pStyle w:val="Paragraph"/>
        <w:numPr>
          <w:ilvl w:val="0"/>
          <w:numId w:val="10"/>
        </w:numPr>
      </w:pPr>
      <w:r>
        <w:lastRenderedPageBreak/>
        <w:t>Shoulder: 69.5 (M), 73.5 (F)</w:t>
      </w:r>
      <w:proofErr w:type="gramStart"/>
      <w:r w:rsidR="00C1082E">
        <w:t xml:space="preserve">.  </w:t>
      </w:r>
      <w:proofErr w:type="gramEnd"/>
      <w:r w:rsidR="00C1082E">
        <w:t xml:space="preserve"> </w:t>
      </w:r>
      <w:r w:rsidR="00C1082E">
        <w:tab/>
      </w:r>
      <w:r w:rsidR="00C1082E">
        <w:tab/>
      </w:r>
      <w:r w:rsidR="00C1082E">
        <w:rPr>
          <w:bCs/>
        </w:rPr>
        <w:t>BMI: N</w:t>
      </w:r>
      <w:r w:rsidR="00FD6FD2">
        <w:rPr>
          <w:bCs/>
        </w:rPr>
        <w:t>ot stated.</w:t>
      </w:r>
      <w:r w:rsidR="00C1082E">
        <w:rPr>
          <w:bCs/>
        </w:rPr>
        <w:t xml:space="preserve"> </w:t>
      </w:r>
    </w:p>
    <w:p w14:paraId="2DF5AC35" w14:textId="0FE0104F" w:rsidR="00C1082E" w:rsidRDefault="00C1082E" w:rsidP="001A56EC">
      <w:pPr>
        <w:pStyle w:val="Paragraph"/>
      </w:pPr>
      <w:r>
        <w:t xml:space="preserve">The </w:t>
      </w:r>
      <w:r w:rsidR="00C06679">
        <w:t xml:space="preserve">data </w:t>
      </w:r>
      <w:r>
        <w:t xml:space="preserve">also highlights that a greater proportion of </w:t>
      </w:r>
      <w:r w:rsidR="009823F7">
        <w:t>females</w:t>
      </w:r>
      <w:r>
        <w:t xml:space="preserve"> than </w:t>
      </w:r>
      <w:r w:rsidR="009823F7">
        <w:t xml:space="preserve">males </w:t>
      </w:r>
      <w:r>
        <w:t>had primary hip, knee and shoulder replacements (60%, 56% and 70%, respectively)</w:t>
      </w:r>
      <w:proofErr w:type="gramStart"/>
      <w:r>
        <w:t xml:space="preserve">. </w:t>
      </w:r>
      <w:r w:rsidR="00240D25">
        <w:t xml:space="preserve"> </w:t>
      </w:r>
      <w:proofErr w:type="gramEnd"/>
      <w:r w:rsidR="00240D25">
        <w:t xml:space="preserve"> </w:t>
      </w:r>
      <w:r w:rsidR="001A56EC">
        <w:t>The infographic for 2020 (</w:t>
      </w:r>
      <w:hyperlink r:id="rId16" w:history="1">
        <w:r w:rsidR="00B56CE1">
          <w:rPr>
            <w:rStyle w:val="Hyperlink"/>
          </w:rPr>
          <w:t>NJR 18th annual report, 2021, hereafter NJR 2021</w:t>
        </w:r>
      </w:hyperlink>
      <w:r w:rsidR="001A56EC">
        <w:t xml:space="preserve">), </w:t>
      </w:r>
      <w:r w:rsidR="00513715">
        <w:t xml:space="preserve">is </w:t>
      </w:r>
      <w:r w:rsidR="001A56EC">
        <w:t>based on fewer primary procedures (54,858, 50,904 and 3,833 primary hip, knee and shoulder replacements respectively)</w:t>
      </w:r>
      <w:r w:rsidR="00513715">
        <w:t xml:space="preserve"> but</w:t>
      </w:r>
      <w:r w:rsidR="001A56EC">
        <w:t xml:space="preserve"> reflects the same</w:t>
      </w:r>
      <w:r w:rsidR="00507974">
        <w:t xml:space="preserve"> demographic characteristics.</w:t>
      </w:r>
      <w:r w:rsidR="00A71D31">
        <w:t xml:space="preserve"> Osteoarthritis is more prevalent among people living in deprived areas.</w:t>
      </w:r>
      <w:r w:rsidR="00A71D31" w:rsidRPr="00A71D31">
        <w:t xml:space="preserve"> </w:t>
      </w:r>
    </w:p>
    <w:p w14:paraId="74F610AB" w14:textId="54D30F26" w:rsidR="00855C1D" w:rsidRPr="00855C1D" w:rsidRDefault="00BF7ECF" w:rsidP="00855C1D">
      <w:pPr>
        <w:pStyle w:val="Paragraph"/>
        <w:rPr>
          <w:lang w:eastAsia="en-GB"/>
        </w:rPr>
      </w:pPr>
      <w:r w:rsidRPr="00BF7ECF">
        <w:rPr>
          <w:lang w:eastAsia="en-GB"/>
        </w:rPr>
        <w:t xml:space="preserve">NHS patients having hip or knee replacements are invited </w:t>
      </w:r>
      <w:r w:rsidR="00DB6B0F">
        <w:rPr>
          <w:lang w:eastAsia="en-GB"/>
        </w:rPr>
        <w:t xml:space="preserve">to </w:t>
      </w:r>
      <w:r>
        <w:rPr>
          <w:lang w:eastAsia="en-GB"/>
        </w:rPr>
        <w:t>complete</w:t>
      </w:r>
      <w:r w:rsidRPr="00BF7ECF">
        <w:rPr>
          <w:lang w:eastAsia="en-GB"/>
        </w:rPr>
        <w:t xml:space="preserve"> Patient Reported Outcome Measures (PROMs) questionnaires as part of </w:t>
      </w:r>
      <w:hyperlink r:id="rId17" w:history="1">
        <w:r w:rsidRPr="00BF7ECF">
          <w:rPr>
            <w:rStyle w:val="Hyperlink"/>
            <w:lang w:eastAsia="en-GB"/>
          </w:rPr>
          <w:t>NHS England’s PROMs programme</w:t>
        </w:r>
      </w:hyperlink>
      <w:r>
        <w:rPr>
          <w:lang w:eastAsia="en-GB"/>
        </w:rPr>
        <w:t>.</w:t>
      </w:r>
      <w:r w:rsidRPr="00BF7ECF">
        <w:rPr>
          <w:lang w:eastAsia="en-GB"/>
        </w:rPr>
        <w:t xml:space="preserve"> </w:t>
      </w:r>
      <w:r>
        <w:rPr>
          <w:lang w:eastAsia="en-GB"/>
        </w:rPr>
        <w:t>They</w:t>
      </w:r>
      <w:r w:rsidRPr="00BF7ECF">
        <w:rPr>
          <w:lang w:eastAsia="en-GB"/>
        </w:rPr>
        <w:t xml:space="preserve"> </w:t>
      </w:r>
      <w:r>
        <w:rPr>
          <w:lang w:eastAsia="en-GB"/>
        </w:rPr>
        <w:t xml:space="preserve">are asked </w:t>
      </w:r>
      <w:r w:rsidRPr="00BF7ECF">
        <w:rPr>
          <w:lang w:eastAsia="en-GB"/>
        </w:rPr>
        <w:t xml:space="preserve">about health and quality of life before </w:t>
      </w:r>
      <w:r>
        <w:rPr>
          <w:lang w:eastAsia="en-GB"/>
        </w:rPr>
        <w:t>their</w:t>
      </w:r>
      <w:r w:rsidRPr="00BF7ECF">
        <w:rPr>
          <w:lang w:eastAsia="en-GB"/>
        </w:rPr>
        <w:t xml:space="preserve"> operation, and about their health and the effectiveness of the operation at </w:t>
      </w:r>
      <w:r>
        <w:rPr>
          <w:lang w:eastAsia="en-GB"/>
        </w:rPr>
        <w:t xml:space="preserve">6 </w:t>
      </w:r>
      <w:r w:rsidRPr="00BF7ECF">
        <w:rPr>
          <w:lang w:eastAsia="en-GB"/>
        </w:rPr>
        <w:t>months.</w:t>
      </w:r>
      <w:r>
        <w:rPr>
          <w:lang w:eastAsia="en-GB"/>
        </w:rPr>
        <w:t xml:space="preserve"> </w:t>
      </w:r>
      <w:r w:rsidR="00976FFA">
        <w:rPr>
          <w:lang w:eastAsia="en-GB"/>
        </w:rPr>
        <w:t xml:space="preserve">The </w:t>
      </w:r>
      <w:r>
        <w:rPr>
          <w:lang w:eastAsia="en-GB"/>
        </w:rPr>
        <w:t>most recent</w:t>
      </w:r>
      <w:r w:rsidR="00976FFA">
        <w:rPr>
          <w:lang w:eastAsia="en-GB"/>
        </w:rPr>
        <w:t xml:space="preserve"> finalised data (April 2019 to March 2020) shows 97% of patients reported improvement following hip replacement and 94% following a knee replacement 6 months after surgery. Around 45% of people reported ‘excellent’ satisfaction with their hip surgery, but only around 30% of people after knee surgery. Around </w:t>
      </w:r>
      <w:r w:rsidR="005B5CD3">
        <w:rPr>
          <w:lang w:eastAsia="en-GB"/>
        </w:rPr>
        <w:t>46</w:t>
      </w:r>
      <w:r w:rsidR="00976FFA">
        <w:rPr>
          <w:lang w:eastAsia="en-GB"/>
        </w:rPr>
        <w:t xml:space="preserve">% </w:t>
      </w:r>
      <w:r w:rsidR="00DF6040">
        <w:rPr>
          <w:lang w:eastAsia="en-GB"/>
        </w:rPr>
        <w:t xml:space="preserve">of </w:t>
      </w:r>
      <w:r w:rsidR="00976FFA">
        <w:rPr>
          <w:lang w:eastAsia="en-GB"/>
        </w:rPr>
        <w:t>people reported that they found it ‘extremely difficult or impossible’ to kneel and get up again after a knee replacement</w:t>
      </w:r>
      <w:r w:rsidR="00CF063E">
        <w:rPr>
          <w:lang w:eastAsia="en-GB"/>
        </w:rPr>
        <w:t xml:space="preserve">; around </w:t>
      </w:r>
      <w:r w:rsidR="005B5CD3">
        <w:rPr>
          <w:lang w:eastAsia="en-GB"/>
        </w:rPr>
        <w:t>16</w:t>
      </w:r>
      <w:r w:rsidR="0051012E">
        <w:rPr>
          <w:lang w:eastAsia="en-GB"/>
        </w:rPr>
        <w:t xml:space="preserve">% reported usually </w:t>
      </w:r>
      <w:r w:rsidR="00963669">
        <w:rPr>
          <w:lang w:eastAsia="en-GB"/>
        </w:rPr>
        <w:t xml:space="preserve">experiencing </w:t>
      </w:r>
      <w:r w:rsidR="0051012E">
        <w:rPr>
          <w:lang w:eastAsia="en-GB"/>
        </w:rPr>
        <w:t>moderate or severe pain from the hip</w:t>
      </w:r>
      <w:r w:rsidR="005B5CD3">
        <w:rPr>
          <w:lang w:eastAsia="en-GB"/>
        </w:rPr>
        <w:t xml:space="preserve"> (those reporting the ‘most severe’ scores)</w:t>
      </w:r>
      <w:proofErr w:type="gramStart"/>
      <w:r w:rsidR="0051012E">
        <w:rPr>
          <w:lang w:eastAsia="en-GB"/>
        </w:rPr>
        <w:t xml:space="preserve">.  </w:t>
      </w:r>
      <w:proofErr w:type="gramEnd"/>
      <w:r w:rsidR="00855C1D">
        <w:rPr>
          <w:lang w:eastAsia="en-GB"/>
        </w:rPr>
        <w:t xml:space="preserve"> </w:t>
      </w:r>
      <w:hyperlink r:id="rId18" w:history="1">
        <w:r w:rsidR="00855C1D" w:rsidRPr="00855C1D">
          <w:rPr>
            <w:rStyle w:val="Hyperlink"/>
            <w:lang w:eastAsia="en-GB"/>
          </w:rPr>
          <w:t>GIRFT 2020</w:t>
        </w:r>
      </w:hyperlink>
      <w:r w:rsidR="00855C1D" w:rsidRPr="00855C1D">
        <w:rPr>
          <w:lang w:eastAsia="en-GB"/>
        </w:rPr>
        <w:t xml:space="preserve"> highlighted that average length of stay for both THR and TKR has reduced by a fifth between 2013/14 and 2018/19, to 4.16 and 4.11 days respectively</w:t>
      </w:r>
      <w:r w:rsidR="00DF6040">
        <w:rPr>
          <w:lang w:eastAsia="en-GB"/>
        </w:rPr>
        <w:t>.</w:t>
      </w:r>
    </w:p>
    <w:p w14:paraId="1C68A01A" w14:textId="1EEA73EC" w:rsidR="00976FFA" w:rsidRDefault="00976FFA" w:rsidP="00C1082E">
      <w:pPr>
        <w:pStyle w:val="Paragraph"/>
        <w:rPr>
          <w:lang w:eastAsia="en-GB"/>
        </w:rPr>
      </w:pPr>
    </w:p>
    <w:p w14:paraId="08C30B19" w14:textId="27D4B7D9" w:rsidR="002C296A" w:rsidRDefault="00976FFA" w:rsidP="006B1AAF">
      <w:pPr>
        <w:pStyle w:val="Numberedheading2"/>
      </w:pPr>
      <w:bookmarkStart w:id="115" w:name="_Toc82736373"/>
      <w:bookmarkStart w:id="116" w:name="_Toc82737203"/>
      <w:bookmarkStart w:id="117" w:name="_Toc82905147"/>
      <w:bookmarkStart w:id="118" w:name="_Toc83128295"/>
      <w:bookmarkStart w:id="119" w:name="_Toc87374570"/>
      <w:r>
        <w:t>Service delivery</w:t>
      </w:r>
      <w:bookmarkEnd w:id="115"/>
      <w:bookmarkEnd w:id="116"/>
      <w:bookmarkEnd w:id="117"/>
      <w:bookmarkEnd w:id="118"/>
      <w:bookmarkEnd w:id="119"/>
    </w:p>
    <w:p w14:paraId="26FB25F7" w14:textId="4913B4C2" w:rsidR="00976FFA" w:rsidRDefault="00976FFA" w:rsidP="00CF2408">
      <w:pPr>
        <w:spacing w:line="276" w:lineRule="auto"/>
        <w:rPr>
          <w:rFonts w:ascii="Arial" w:hAnsi="Arial"/>
          <w:lang w:eastAsia="en-GB"/>
        </w:rPr>
      </w:pPr>
      <w:r>
        <w:rPr>
          <w:rFonts w:ascii="Arial" w:hAnsi="Arial"/>
          <w:lang w:eastAsia="en-GB"/>
        </w:rPr>
        <w:t xml:space="preserve">Key parts of the joint replacement </w:t>
      </w:r>
      <w:r w:rsidR="00DF6040">
        <w:rPr>
          <w:rFonts w:ascii="Arial" w:hAnsi="Arial"/>
          <w:lang w:eastAsia="en-GB"/>
        </w:rPr>
        <w:t xml:space="preserve">pathway </w:t>
      </w:r>
      <w:r>
        <w:rPr>
          <w:rFonts w:ascii="Arial" w:hAnsi="Arial"/>
          <w:lang w:eastAsia="en-GB"/>
        </w:rPr>
        <w:t>are</w:t>
      </w:r>
      <w:r w:rsidRPr="00976FFA">
        <w:rPr>
          <w:rFonts w:ascii="Arial" w:hAnsi="Arial"/>
          <w:lang w:eastAsia="en-GB"/>
        </w:rPr>
        <w:t xml:space="preserve"> information </w:t>
      </w:r>
      <w:r>
        <w:rPr>
          <w:rFonts w:ascii="Arial" w:hAnsi="Arial"/>
          <w:lang w:eastAsia="en-GB"/>
        </w:rPr>
        <w:t>and decision-making to inform the decision to have surgery</w:t>
      </w:r>
      <w:r w:rsidR="00DF6040">
        <w:rPr>
          <w:rFonts w:ascii="Arial" w:hAnsi="Arial"/>
          <w:lang w:eastAsia="en-GB"/>
        </w:rPr>
        <w:t>,</w:t>
      </w:r>
      <w:r>
        <w:rPr>
          <w:rFonts w:ascii="Arial" w:hAnsi="Arial"/>
          <w:lang w:eastAsia="en-GB"/>
        </w:rPr>
        <w:t xml:space="preserve"> information about the recovery process and the likely risk of future surgery</w:t>
      </w:r>
      <w:proofErr w:type="gramStart"/>
      <w:r>
        <w:rPr>
          <w:rFonts w:ascii="Arial" w:hAnsi="Arial"/>
          <w:lang w:eastAsia="en-GB"/>
        </w:rPr>
        <w:t xml:space="preserve">.  </w:t>
      </w:r>
      <w:proofErr w:type="gramEnd"/>
      <w:r>
        <w:rPr>
          <w:rFonts w:ascii="Arial" w:hAnsi="Arial"/>
          <w:lang w:eastAsia="en-GB"/>
        </w:rPr>
        <w:t>Preoperative rehabilitation prepares patients for surgery, which may include physiotherapy, occupational therapy, counselling and education</w:t>
      </w:r>
      <w:proofErr w:type="gramStart"/>
      <w:r>
        <w:rPr>
          <w:rFonts w:ascii="Arial" w:hAnsi="Arial"/>
          <w:lang w:eastAsia="en-GB"/>
        </w:rPr>
        <w:t xml:space="preserve">.  </w:t>
      </w:r>
      <w:proofErr w:type="gramEnd"/>
      <w:r>
        <w:rPr>
          <w:rFonts w:ascii="Arial" w:hAnsi="Arial"/>
          <w:lang w:eastAsia="en-GB"/>
        </w:rPr>
        <w:t>It aims to optimise the outcomes of surgery, including length of stay</w:t>
      </w:r>
      <w:proofErr w:type="gramStart"/>
      <w:r>
        <w:rPr>
          <w:rFonts w:ascii="Arial" w:hAnsi="Arial"/>
          <w:lang w:eastAsia="en-GB"/>
        </w:rPr>
        <w:t xml:space="preserve">.  </w:t>
      </w:r>
      <w:proofErr w:type="gramEnd"/>
      <w:r>
        <w:rPr>
          <w:rFonts w:ascii="Arial" w:hAnsi="Arial"/>
          <w:lang w:eastAsia="en-GB"/>
        </w:rPr>
        <w:t xml:space="preserve">After surgery, patients have rehabilitation as </w:t>
      </w:r>
      <w:r w:rsidR="00DF6040">
        <w:rPr>
          <w:rFonts w:ascii="Arial" w:hAnsi="Arial"/>
          <w:lang w:eastAsia="en-GB"/>
        </w:rPr>
        <w:t xml:space="preserve">an </w:t>
      </w:r>
      <w:r>
        <w:rPr>
          <w:rFonts w:ascii="Arial" w:hAnsi="Arial"/>
          <w:lang w:eastAsia="en-GB"/>
        </w:rPr>
        <w:t>inpatient and following discharge from hospital.</w:t>
      </w:r>
    </w:p>
    <w:p w14:paraId="1246B457" w14:textId="3D8118B1" w:rsidR="00CA37E7" w:rsidRDefault="00CA37E7" w:rsidP="00CF2408">
      <w:pPr>
        <w:spacing w:line="276" w:lineRule="auto"/>
        <w:rPr>
          <w:rFonts w:ascii="Arial" w:hAnsi="Arial"/>
          <w:lang w:eastAsia="en-GB"/>
        </w:rPr>
      </w:pPr>
    </w:p>
    <w:p w14:paraId="1C9D02CA" w14:textId="658F4309" w:rsidR="00CA37E7" w:rsidRDefault="00CA37E7" w:rsidP="00CF2408">
      <w:pPr>
        <w:spacing w:line="276" w:lineRule="auto"/>
        <w:rPr>
          <w:rFonts w:ascii="Arial" w:hAnsi="Arial"/>
          <w:lang w:eastAsia="en-GB"/>
        </w:rPr>
      </w:pPr>
      <w:r>
        <w:rPr>
          <w:rFonts w:ascii="Arial" w:hAnsi="Arial"/>
          <w:lang w:eastAsia="en-GB"/>
        </w:rPr>
        <w:t xml:space="preserve">The </w:t>
      </w:r>
      <w:hyperlink r:id="rId19" w:history="1">
        <w:r w:rsidR="008967B5" w:rsidRPr="009A2ADB">
          <w:rPr>
            <w:rStyle w:val="Hyperlink"/>
            <w:rFonts w:ascii="Arial" w:hAnsi="Arial"/>
            <w:lang w:eastAsia="en-GB"/>
          </w:rPr>
          <w:t>Getting It Right First Time</w:t>
        </w:r>
        <w:r w:rsidRPr="009A2ADB">
          <w:rPr>
            <w:rStyle w:val="Hyperlink"/>
            <w:rFonts w:ascii="Arial" w:hAnsi="Arial"/>
            <w:lang w:eastAsia="en-GB"/>
          </w:rPr>
          <w:t xml:space="preserve"> </w:t>
        </w:r>
        <w:r w:rsidR="009F5FD7" w:rsidRPr="009A2ADB">
          <w:rPr>
            <w:rStyle w:val="Hyperlink"/>
            <w:rFonts w:ascii="Arial" w:hAnsi="Arial"/>
            <w:lang w:eastAsia="en-GB"/>
          </w:rPr>
          <w:t xml:space="preserve">(GIRFT) </w:t>
        </w:r>
        <w:r w:rsidR="008967B5" w:rsidRPr="009A2ADB">
          <w:rPr>
            <w:rStyle w:val="Hyperlink"/>
            <w:rFonts w:ascii="Arial" w:hAnsi="Arial"/>
            <w:lang w:eastAsia="en-GB"/>
          </w:rPr>
          <w:t xml:space="preserve">orthopaedic </w:t>
        </w:r>
        <w:r w:rsidRPr="009A2ADB">
          <w:rPr>
            <w:rStyle w:val="Hyperlink"/>
            <w:rFonts w:ascii="Arial" w:hAnsi="Arial"/>
            <w:lang w:eastAsia="en-GB"/>
          </w:rPr>
          <w:t xml:space="preserve">follow-up </w:t>
        </w:r>
        <w:r w:rsidR="00F65000" w:rsidRPr="009A2ADB">
          <w:rPr>
            <w:rStyle w:val="Hyperlink"/>
            <w:rFonts w:ascii="Arial" w:hAnsi="Arial"/>
            <w:lang w:eastAsia="en-GB"/>
          </w:rPr>
          <w:t>report (2020</w:t>
        </w:r>
        <w:r w:rsidR="008967B5" w:rsidRPr="009A2ADB">
          <w:rPr>
            <w:rStyle w:val="Hyperlink"/>
            <w:rFonts w:ascii="Arial" w:hAnsi="Arial"/>
            <w:lang w:eastAsia="en-GB"/>
          </w:rPr>
          <w:t>,</w:t>
        </w:r>
        <w:r w:rsidR="00F65000" w:rsidRPr="009A2ADB">
          <w:rPr>
            <w:rStyle w:val="Hyperlink"/>
            <w:rFonts w:ascii="Arial" w:hAnsi="Arial"/>
            <w:lang w:eastAsia="en-GB"/>
          </w:rPr>
          <w:t xml:space="preserve"> based on UK data</w:t>
        </w:r>
        <w:r w:rsidR="009A2ADB" w:rsidRPr="009A2ADB">
          <w:rPr>
            <w:rStyle w:val="Hyperlink"/>
            <w:rFonts w:ascii="Arial" w:hAnsi="Arial"/>
            <w:lang w:eastAsia="en-GB"/>
          </w:rPr>
          <w:t>, hereafter, GIRFT 2020</w:t>
        </w:r>
      </w:hyperlink>
      <w:r w:rsidR="008967B5">
        <w:rPr>
          <w:rFonts w:ascii="Arial" w:hAnsi="Arial"/>
          <w:lang w:eastAsia="en-GB"/>
        </w:rPr>
        <w:t>)</w:t>
      </w:r>
      <w:r w:rsidR="00F65000">
        <w:rPr>
          <w:rFonts w:ascii="Arial" w:hAnsi="Arial"/>
          <w:lang w:eastAsia="en-GB"/>
        </w:rPr>
        <w:t xml:space="preserve">, </w:t>
      </w:r>
      <w:r>
        <w:rPr>
          <w:rFonts w:ascii="Arial" w:hAnsi="Arial"/>
          <w:lang w:eastAsia="en-GB"/>
        </w:rPr>
        <w:t>reported improvements in service delivery</w:t>
      </w:r>
      <w:r w:rsidR="00054006">
        <w:rPr>
          <w:rFonts w:ascii="Arial" w:hAnsi="Arial"/>
          <w:lang w:eastAsia="en-GB"/>
        </w:rPr>
        <w:t xml:space="preserve"> against metrics and recommendations published in the first report</w:t>
      </w:r>
      <w:r w:rsidR="009F5FD7">
        <w:rPr>
          <w:rFonts w:ascii="Arial" w:hAnsi="Arial"/>
          <w:lang w:eastAsia="en-GB"/>
        </w:rPr>
        <w:t xml:space="preserve">, which </w:t>
      </w:r>
      <w:r w:rsidR="000F5893">
        <w:rPr>
          <w:rFonts w:ascii="Arial" w:hAnsi="Arial"/>
          <w:lang w:eastAsia="en-GB"/>
        </w:rPr>
        <w:t xml:space="preserve">covered </w:t>
      </w:r>
      <w:r w:rsidR="004E3812">
        <w:rPr>
          <w:rFonts w:ascii="Arial" w:hAnsi="Arial"/>
          <w:lang w:eastAsia="en-GB"/>
        </w:rPr>
        <w:t>England only</w:t>
      </w:r>
      <w:r w:rsidR="00054006">
        <w:rPr>
          <w:rFonts w:ascii="Arial" w:hAnsi="Arial"/>
          <w:lang w:eastAsia="en-GB"/>
        </w:rPr>
        <w:t xml:space="preserve"> </w:t>
      </w:r>
      <w:hyperlink r:id="rId20" w:history="1">
        <w:r w:rsidR="00054006" w:rsidRPr="00F374FC">
          <w:rPr>
            <w:rStyle w:val="Hyperlink"/>
            <w:rFonts w:ascii="Arial" w:hAnsi="Arial"/>
            <w:lang w:eastAsia="en-GB"/>
          </w:rPr>
          <w:t>(</w:t>
        </w:r>
        <w:r w:rsidR="00F374FC" w:rsidRPr="00F374FC">
          <w:rPr>
            <w:rStyle w:val="Hyperlink"/>
            <w:rFonts w:ascii="Arial" w:hAnsi="Arial"/>
            <w:lang w:eastAsia="en-GB"/>
          </w:rPr>
          <w:t xml:space="preserve">British Orthopaedic Association (BOA), </w:t>
        </w:r>
        <w:r w:rsidR="00054006" w:rsidRPr="00F374FC">
          <w:rPr>
            <w:rStyle w:val="Hyperlink"/>
            <w:rFonts w:ascii="Arial" w:hAnsi="Arial"/>
            <w:lang w:eastAsia="en-GB"/>
          </w:rPr>
          <w:t>2015)</w:t>
        </w:r>
        <w:r w:rsidR="008967B5" w:rsidRPr="00F374FC">
          <w:rPr>
            <w:rStyle w:val="Hyperlink"/>
            <w:rFonts w:ascii="Arial" w:hAnsi="Arial"/>
            <w:lang w:eastAsia="en-GB"/>
          </w:rPr>
          <w:t xml:space="preserve">. </w:t>
        </w:r>
      </w:hyperlink>
      <w:r w:rsidR="008967B5">
        <w:rPr>
          <w:rFonts w:ascii="Arial" w:hAnsi="Arial"/>
          <w:lang w:eastAsia="en-GB"/>
        </w:rPr>
        <w:t xml:space="preserve"> These included</w:t>
      </w:r>
      <w:r>
        <w:rPr>
          <w:rFonts w:ascii="Arial" w:hAnsi="Arial"/>
          <w:lang w:eastAsia="en-GB"/>
        </w:rPr>
        <w:t>:</w:t>
      </w:r>
    </w:p>
    <w:p w14:paraId="6AF0D1D2" w14:textId="15DEF458" w:rsidR="00092034" w:rsidRDefault="00092034" w:rsidP="000868F8">
      <w:pPr>
        <w:pStyle w:val="ListParagraph"/>
        <w:numPr>
          <w:ilvl w:val="0"/>
          <w:numId w:val="36"/>
        </w:numPr>
        <w:spacing w:line="276" w:lineRule="auto"/>
        <w:rPr>
          <w:rFonts w:ascii="Arial" w:hAnsi="Arial"/>
        </w:rPr>
      </w:pPr>
      <w:r>
        <w:rPr>
          <w:rFonts w:ascii="Arial" w:hAnsi="Arial"/>
        </w:rPr>
        <w:t xml:space="preserve">Reduction in the volume and total cost of litigation claims. </w:t>
      </w:r>
    </w:p>
    <w:p w14:paraId="3EB2BC11" w14:textId="733C4A07" w:rsidR="00F65000" w:rsidRDefault="00F65000" w:rsidP="000868F8">
      <w:pPr>
        <w:pStyle w:val="ListParagraph"/>
        <w:numPr>
          <w:ilvl w:val="0"/>
          <w:numId w:val="36"/>
        </w:numPr>
        <w:spacing w:line="276" w:lineRule="auto"/>
        <w:rPr>
          <w:rFonts w:ascii="Arial" w:hAnsi="Arial"/>
        </w:rPr>
      </w:pPr>
      <w:r>
        <w:rPr>
          <w:rFonts w:ascii="Arial" w:hAnsi="Arial"/>
        </w:rPr>
        <w:lastRenderedPageBreak/>
        <w:t>Allocation of elective surgery to ‘cold’ sites</w:t>
      </w:r>
      <w:r w:rsidR="008967B5">
        <w:rPr>
          <w:rFonts w:ascii="Arial" w:hAnsi="Arial"/>
        </w:rPr>
        <w:t>.</w:t>
      </w:r>
    </w:p>
    <w:p w14:paraId="0000D604" w14:textId="14391920" w:rsidR="00F65000" w:rsidRDefault="00F65000" w:rsidP="000868F8">
      <w:pPr>
        <w:pStyle w:val="ListParagraph"/>
        <w:numPr>
          <w:ilvl w:val="0"/>
          <w:numId w:val="36"/>
        </w:numPr>
        <w:spacing w:line="276" w:lineRule="auto"/>
        <w:rPr>
          <w:rFonts w:ascii="Arial" w:hAnsi="Arial"/>
        </w:rPr>
      </w:pPr>
      <w:r>
        <w:rPr>
          <w:rFonts w:ascii="Arial" w:hAnsi="Arial"/>
        </w:rPr>
        <w:t xml:space="preserve">Changes in theatre practice and </w:t>
      </w:r>
      <w:r w:rsidR="008967B5">
        <w:rPr>
          <w:rFonts w:ascii="Arial" w:hAnsi="Arial"/>
        </w:rPr>
        <w:t xml:space="preserve">ensuring </w:t>
      </w:r>
      <w:r w:rsidR="004E3812">
        <w:rPr>
          <w:rFonts w:ascii="Arial" w:hAnsi="Arial"/>
        </w:rPr>
        <w:t xml:space="preserve">protection </w:t>
      </w:r>
      <w:r w:rsidR="008967B5">
        <w:rPr>
          <w:rFonts w:ascii="Arial" w:hAnsi="Arial"/>
        </w:rPr>
        <w:t xml:space="preserve">of </w:t>
      </w:r>
      <w:r>
        <w:rPr>
          <w:rFonts w:ascii="Arial" w:hAnsi="Arial"/>
        </w:rPr>
        <w:t>‘ring-fenced’ beds</w:t>
      </w:r>
      <w:r w:rsidR="004E3812">
        <w:rPr>
          <w:rFonts w:ascii="Arial" w:hAnsi="Arial"/>
        </w:rPr>
        <w:t xml:space="preserve"> for elective patients</w:t>
      </w:r>
      <w:r w:rsidR="008967B5">
        <w:rPr>
          <w:rFonts w:ascii="Arial" w:hAnsi="Arial"/>
        </w:rPr>
        <w:t>.</w:t>
      </w:r>
    </w:p>
    <w:p w14:paraId="5FDFBC45" w14:textId="76149E17" w:rsidR="00F65000" w:rsidRDefault="00F65000" w:rsidP="000868F8">
      <w:pPr>
        <w:pStyle w:val="ListParagraph"/>
        <w:numPr>
          <w:ilvl w:val="0"/>
          <w:numId w:val="36"/>
        </w:numPr>
        <w:spacing w:line="276" w:lineRule="auto"/>
        <w:rPr>
          <w:rFonts w:ascii="Arial" w:hAnsi="Arial"/>
        </w:rPr>
      </w:pPr>
      <w:r>
        <w:rPr>
          <w:rFonts w:ascii="Arial" w:hAnsi="Arial"/>
        </w:rPr>
        <w:t xml:space="preserve">Development of networks to reduce the proportion of surgeons performing low-volume procedures, which are typically associated with poorer outcomes. </w:t>
      </w:r>
    </w:p>
    <w:p w14:paraId="72F6BA47" w14:textId="6A10CAE0" w:rsidR="009823F7" w:rsidRPr="00855C1D" w:rsidRDefault="00F65000" w:rsidP="00CF2408">
      <w:pPr>
        <w:pStyle w:val="ListParagraph"/>
        <w:numPr>
          <w:ilvl w:val="0"/>
          <w:numId w:val="36"/>
        </w:numPr>
        <w:spacing w:line="276" w:lineRule="auto"/>
        <w:rPr>
          <w:rFonts w:ascii="Arial" w:hAnsi="Arial"/>
        </w:rPr>
      </w:pPr>
      <w:r>
        <w:rPr>
          <w:rFonts w:ascii="Arial" w:hAnsi="Arial"/>
        </w:rPr>
        <w:t>Recognition of the need to invest in rehabilitation services</w:t>
      </w:r>
      <w:r w:rsidR="008967B5">
        <w:rPr>
          <w:rFonts w:ascii="Arial" w:hAnsi="Arial"/>
        </w:rPr>
        <w:t xml:space="preserve">, to </w:t>
      </w:r>
      <w:r w:rsidR="00054006">
        <w:rPr>
          <w:rFonts w:ascii="Arial" w:hAnsi="Arial"/>
        </w:rPr>
        <w:t xml:space="preserve">increase function and quality of life, and </w:t>
      </w:r>
      <w:r w:rsidR="008967B5">
        <w:rPr>
          <w:rFonts w:ascii="Arial" w:hAnsi="Arial"/>
        </w:rPr>
        <w:t>reduce length of stay</w:t>
      </w:r>
      <w:r w:rsidR="004E3812">
        <w:rPr>
          <w:rFonts w:ascii="Arial" w:hAnsi="Arial"/>
        </w:rPr>
        <w:t>, based on a report on rehabilitation services developed in collaboration with the Chartered Society of Physiotherapy</w:t>
      </w:r>
      <w:r w:rsidR="005E28D0">
        <w:rPr>
          <w:rFonts w:ascii="Arial" w:hAnsi="Arial"/>
        </w:rPr>
        <w:t>.</w:t>
      </w:r>
    </w:p>
    <w:p w14:paraId="3C8F2494" w14:textId="140A4E4C" w:rsidR="00F15933" w:rsidRDefault="00751008" w:rsidP="00F15933">
      <w:pPr>
        <w:pStyle w:val="Paragraph"/>
        <w:rPr>
          <w:rStyle w:val="eop"/>
          <w:color w:val="000000"/>
          <w:shd w:val="clear" w:color="auto" w:fill="FFFFFF"/>
        </w:rPr>
      </w:pPr>
      <w:hyperlink r:id="rId21" w:tgtFrame="_blank" w:history="1">
        <w:r w:rsidR="00154D5B">
          <w:rPr>
            <w:rStyle w:val="normaltextrun"/>
            <w:rFonts w:cs="Arial"/>
            <w:color w:val="0000FF"/>
            <w:u w:val="single"/>
            <w:shd w:val="clear" w:color="auto" w:fill="FFFFFF"/>
          </w:rPr>
          <w:t>NHS England’s </w:t>
        </w:r>
        <w:proofErr w:type="gramStart"/>
        <w:r w:rsidR="00154D5B">
          <w:rPr>
            <w:rStyle w:val="normaltextrun"/>
            <w:rFonts w:cs="Arial"/>
            <w:color w:val="0000FF"/>
            <w:u w:val="single"/>
            <w:shd w:val="clear" w:color="auto" w:fill="FFFFFF"/>
          </w:rPr>
          <w:t>Long Term</w:t>
        </w:r>
        <w:proofErr w:type="gramEnd"/>
        <w:r w:rsidR="00154D5B">
          <w:rPr>
            <w:rStyle w:val="normaltextrun"/>
            <w:rFonts w:cs="Arial"/>
            <w:color w:val="0000FF"/>
            <w:u w:val="single"/>
            <w:shd w:val="clear" w:color="auto" w:fill="FFFFFF"/>
          </w:rPr>
          <w:t> Plan</w:t>
        </w:r>
      </w:hyperlink>
      <w:r w:rsidR="00154D5B">
        <w:rPr>
          <w:rStyle w:val="normaltextrun"/>
          <w:rFonts w:cs="Arial"/>
          <w:color w:val="000000"/>
          <w:shd w:val="clear" w:color="auto" w:fill="FFFFFF"/>
        </w:rPr>
        <w:t> sets the ambition to bring care closer to home for patient</w:t>
      </w:r>
      <w:r w:rsidR="00DF6040">
        <w:rPr>
          <w:rStyle w:val="normaltextrun"/>
          <w:rFonts w:cs="Arial"/>
          <w:color w:val="000000"/>
          <w:shd w:val="clear" w:color="auto" w:fill="FFFFFF"/>
        </w:rPr>
        <w:t>s</w:t>
      </w:r>
      <w:r w:rsidR="00154D5B">
        <w:rPr>
          <w:rStyle w:val="normaltextrun"/>
          <w:rFonts w:cs="Arial"/>
          <w:color w:val="000000"/>
          <w:shd w:val="clear" w:color="auto" w:fill="FFFFFF"/>
        </w:rPr>
        <w:t xml:space="preserve">.  Work is being undertaken as part of the supporting Elective Care Transformation Programme to </w:t>
      </w:r>
      <w:r w:rsidR="004E6022">
        <w:rPr>
          <w:rStyle w:val="normaltextrun"/>
          <w:rFonts w:cs="Arial"/>
          <w:color w:val="000000"/>
          <w:shd w:val="clear" w:color="auto" w:fill="FFFFFF"/>
        </w:rPr>
        <w:t>enable</w:t>
      </w:r>
      <w:r w:rsidR="00154D5B">
        <w:rPr>
          <w:rStyle w:val="normaltextrun"/>
          <w:rFonts w:cs="Arial"/>
          <w:color w:val="000000"/>
          <w:shd w:val="clear" w:color="auto" w:fill="FFFFFF"/>
        </w:rPr>
        <w:t xml:space="preserve"> patients </w:t>
      </w:r>
      <w:r w:rsidR="004E6022">
        <w:rPr>
          <w:rStyle w:val="normaltextrun"/>
          <w:rFonts w:cs="Arial"/>
          <w:color w:val="000000"/>
          <w:shd w:val="clear" w:color="auto" w:fill="FFFFFF"/>
        </w:rPr>
        <w:t xml:space="preserve">to </w:t>
      </w:r>
      <w:r w:rsidR="00154D5B">
        <w:rPr>
          <w:rStyle w:val="normaltextrun"/>
          <w:rFonts w:cs="Arial"/>
          <w:color w:val="000000"/>
          <w:shd w:val="clear" w:color="auto" w:fill="FFFFFF"/>
        </w:rPr>
        <w:t>have direct access to </w:t>
      </w:r>
      <w:hyperlink r:id="rId22" w:tgtFrame="_blank" w:history="1">
        <w:r w:rsidR="00154D5B">
          <w:rPr>
            <w:rStyle w:val="normaltextrun"/>
            <w:rFonts w:cs="Arial"/>
            <w:color w:val="0000FF"/>
            <w:u w:val="single"/>
            <w:shd w:val="clear" w:color="auto" w:fill="FFFFFF"/>
          </w:rPr>
          <w:t>Musculoskeletal</w:t>
        </w:r>
        <w:r w:rsidR="008C03C9">
          <w:rPr>
            <w:rStyle w:val="normaltextrun"/>
            <w:rFonts w:cs="Arial"/>
            <w:color w:val="0000FF"/>
            <w:u w:val="single"/>
            <w:shd w:val="clear" w:color="auto" w:fill="FFFFFF"/>
          </w:rPr>
          <w:t xml:space="preserve"> (MSK)</w:t>
        </w:r>
        <w:r w:rsidR="00154D5B">
          <w:rPr>
            <w:rStyle w:val="normaltextrun"/>
            <w:rFonts w:cs="Arial"/>
            <w:color w:val="0000FF"/>
            <w:u w:val="single"/>
            <w:shd w:val="clear" w:color="auto" w:fill="FFFFFF"/>
          </w:rPr>
          <w:t xml:space="preserve"> First Contact Practitioners</w:t>
        </w:r>
      </w:hyperlink>
      <w:r w:rsidR="008C03C9">
        <w:t xml:space="preserve"> (physiotherapists with advanced clinical practice skills</w:t>
      </w:r>
      <w:r w:rsidR="004E6022">
        <w:t>).</w:t>
      </w:r>
      <w:r w:rsidR="008C03C9">
        <w:t xml:space="preserve"> </w:t>
      </w:r>
      <w:r w:rsidR="008C03C9">
        <w:rPr>
          <w:rStyle w:val="eop"/>
          <w:color w:val="000000"/>
          <w:shd w:val="clear" w:color="auto" w:fill="FFFFFF"/>
        </w:rPr>
        <w:t>MSK First Contact Practitioners</w:t>
      </w:r>
      <w:r w:rsidR="002F2EA1">
        <w:rPr>
          <w:rStyle w:val="eop"/>
          <w:color w:val="000000"/>
          <w:shd w:val="clear" w:color="auto" w:fill="FFFFFF"/>
        </w:rPr>
        <w:t xml:space="preserve"> provide support in a range of areas, including self-management, rehabilitation, referrals and collaborative working</w:t>
      </w:r>
      <w:proofErr w:type="gramStart"/>
      <w:r w:rsidR="002F2EA1">
        <w:rPr>
          <w:rStyle w:val="eop"/>
          <w:color w:val="000000"/>
          <w:shd w:val="clear" w:color="auto" w:fill="FFFFFF"/>
        </w:rPr>
        <w:t xml:space="preserve">.  </w:t>
      </w:r>
      <w:proofErr w:type="gramEnd"/>
      <w:r w:rsidR="002F2EA1">
        <w:rPr>
          <w:rStyle w:val="eop"/>
          <w:color w:val="000000"/>
          <w:shd w:val="clear" w:color="auto" w:fill="FFFFFF"/>
        </w:rPr>
        <w:t xml:space="preserve">People who have had orthopaedic surgery can be directed to them. </w:t>
      </w:r>
    </w:p>
    <w:p w14:paraId="2275515F" w14:textId="6EFAC1AB" w:rsidR="00092034" w:rsidRDefault="00F15933" w:rsidP="00F15933">
      <w:pPr>
        <w:pStyle w:val="Paragraph"/>
      </w:pPr>
      <w:r>
        <w:rPr>
          <w:rStyle w:val="eop"/>
          <w:color w:val="000000"/>
          <w:shd w:val="clear" w:color="auto" w:fill="FFFFFF"/>
        </w:rPr>
        <w:t xml:space="preserve">Musculoskeletal </w:t>
      </w:r>
      <w:r w:rsidR="00F235AB">
        <w:t xml:space="preserve">care </w:t>
      </w:r>
      <w:r w:rsidR="006405AF" w:rsidRPr="006405AF">
        <w:t xml:space="preserve">is </w:t>
      </w:r>
      <w:r w:rsidR="007C0877">
        <w:t>one</w:t>
      </w:r>
      <w:r w:rsidR="006405AF" w:rsidRPr="006405AF">
        <w:t xml:space="preserve"> of </w:t>
      </w:r>
      <w:hyperlink r:id="rId23" w:history="1">
        <w:r w:rsidR="006405AF" w:rsidRPr="00F235AB">
          <w:rPr>
            <w:rStyle w:val="Hyperlink"/>
          </w:rPr>
          <w:t>NHS</w:t>
        </w:r>
        <w:r w:rsidR="00F235AB" w:rsidRPr="00F235AB">
          <w:rPr>
            <w:rStyle w:val="Hyperlink"/>
          </w:rPr>
          <w:t xml:space="preserve"> England’s</w:t>
        </w:r>
        <w:r w:rsidR="006405AF" w:rsidRPr="00F235AB">
          <w:rPr>
            <w:rStyle w:val="Hyperlink"/>
          </w:rPr>
          <w:t xml:space="preserve"> 3 priorities for 2021</w:t>
        </w:r>
        <w:r w:rsidR="00F235AB" w:rsidRPr="00F235AB">
          <w:rPr>
            <w:rStyle w:val="Hyperlink"/>
          </w:rPr>
          <w:t>/22</w:t>
        </w:r>
      </w:hyperlink>
      <w:r w:rsidR="004F0831">
        <w:t>, and</w:t>
      </w:r>
      <w:r w:rsidR="00F235AB">
        <w:t xml:space="preserve"> </w:t>
      </w:r>
      <w:r w:rsidR="004F0831">
        <w:t>o</w:t>
      </w:r>
      <w:r w:rsidR="006405AF" w:rsidRPr="006405AF">
        <w:t>perational plan</w:t>
      </w:r>
      <w:r w:rsidR="004F0831">
        <w:t xml:space="preserve">ning for 2021/22 </w:t>
      </w:r>
      <w:r w:rsidR="00F235AB">
        <w:t>acknowledges the need to</w:t>
      </w:r>
      <w:r w:rsidR="006405AF" w:rsidRPr="006405AF">
        <w:t xml:space="preserve"> restor</w:t>
      </w:r>
      <w:r w:rsidR="00F235AB">
        <w:t>e</w:t>
      </w:r>
      <w:r w:rsidR="006405AF" w:rsidRPr="006405AF">
        <w:t xml:space="preserve"> services</w:t>
      </w:r>
      <w:r w:rsidR="006405AF">
        <w:t xml:space="preserve"> and reduc</w:t>
      </w:r>
      <w:r w:rsidR="00F235AB">
        <w:t>e</w:t>
      </w:r>
      <w:r w:rsidR="006405AF">
        <w:t xml:space="preserve"> care back logs </w:t>
      </w:r>
      <w:r w:rsidR="00F235AB">
        <w:t xml:space="preserve">directly caused by the </w:t>
      </w:r>
      <w:r w:rsidR="00606C63">
        <w:t xml:space="preserve">COVID-19 </w:t>
      </w:r>
      <w:r w:rsidR="00F235AB">
        <w:t xml:space="preserve">pandemic.  </w:t>
      </w:r>
      <w:hyperlink r:id="rId24" w:history="1">
        <w:r w:rsidR="00B3199B" w:rsidRPr="005E6ECA">
          <w:rPr>
            <w:rStyle w:val="Hyperlink"/>
          </w:rPr>
          <w:t>Best MSK Health Collaborative</w:t>
        </w:r>
      </w:hyperlink>
      <w:r w:rsidR="00F235AB">
        <w:t xml:space="preserve"> (NHS England and NHS Improvement</w:t>
      </w:r>
      <w:r w:rsidR="005C72CC">
        <w:t>)</w:t>
      </w:r>
      <w:r w:rsidR="00F235AB">
        <w:t xml:space="preserve"> </w:t>
      </w:r>
      <w:r w:rsidR="005C72CC">
        <w:t xml:space="preserve">was </w:t>
      </w:r>
      <w:r w:rsidR="00F235AB">
        <w:t xml:space="preserve">launched </w:t>
      </w:r>
      <w:r w:rsidR="005C72CC">
        <w:t xml:space="preserve">in </w:t>
      </w:r>
      <w:r w:rsidR="00F235AB">
        <w:t>202</w:t>
      </w:r>
      <w:r w:rsidR="005C72CC">
        <w:t>1</w:t>
      </w:r>
      <w:proofErr w:type="gramStart"/>
      <w:r w:rsidR="004F0831">
        <w:t>.</w:t>
      </w:r>
      <w:r w:rsidR="005C72CC">
        <w:t xml:space="preserve"> </w:t>
      </w:r>
      <w:r w:rsidR="00F235AB">
        <w:t xml:space="preserve"> </w:t>
      </w:r>
      <w:proofErr w:type="gramEnd"/>
      <w:r w:rsidR="004F0831">
        <w:t xml:space="preserve">Its work </w:t>
      </w:r>
      <w:r w:rsidR="00F235AB">
        <w:t>a</w:t>
      </w:r>
      <w:r w:rsidR="00B3199B">
        <w:t xml:space="preserve">ligns with </w:t>
      </w:r>
      <w:r w:rsidR="00F235AB">
        <w:t xml:space="preserve">existing programmes </w:t>
      </w:r>
      <w:r w:rsidR="006405AF">
        <w:t xml:space="preserve">and </w:t>
      </w:r>
      <w:r w:rsidR="004F0831">
        <w:t>is informed by NHS priorities</w:t>
      </w:r>
      <w:r w:rsidR="005C72CC">
        <w:t xml:space="preserve">. </w:t>
      </w:r>
      <w:r w:rsidR="00535A9B">
        <w:t>O</w:t>
      </w:r>
      <w:r w:rsidR="005E6ECA">
        <w:t>verall aim</w:t>
      </w:r>
      <w:r w:rsidR="00535A9B">
        <w:t>s</w:t>
      </w:r>
      <w:r w:rsidR="005E6ECA">
        <w:t xml:space="preserve"> </w:t>
      </w:r>
      <w:r>
        <w:t>include</w:t>
      </w:r>
      <w:r w:rsidR="00535A9B">
        <w:t xml:space="preserve"> </w:t>
      </w:r>
      <w:r w:rsidR="005E6ECA">
        <w:t>deliver</w:t>
      </w:r>
      <w:r>
        <w:t>ing</w:t>
      </w:r>
      <w:r w:rsidR="005E6ECA">
        <w:t xml:space="preserve"> high-quality</w:t>
      </w:r>
      <w:r>
        <w:t>, personalised</w:t>
      </w:r>
      <w:r w:rsidR="005E6ECA">
        <w:t xml:space="preserve"> integrated care</w:t>
      </w:r>
      <w:r w:rsidR="00113A6F">
        <w:t xml:space="preserve"> across </w:t>
      </w:r>
      <w:r>
        <w:t xml:space="preserve">end-to-end </w:t>
      </w:r>
      <w:r w:rsidR="00113A6F">
        <w:t>pathways</w:t>
      </w:r>
      <w:r>
        <w:t>.</w:t>
      </w:r>
      <w:r w:rsidR="00535A9B">
        <w:t xml:space="preserve"> </w:t>
      </w:r>
      <w:r w:rsidR="005C72CC" w:rsidRPr="005C72CC">
        <w:t>The work is carried out in collaboration with GIRFT</w:t>
      </w:r>
      <w:r w:rsidR="00A4306A">
        <w:t xml:space="preserve">; relevant workstreams include </w:t>
      </w:r>
      <w:r w:rsidR="004E6022">
        <w:t xml:space="preserve">the </w:t>
      </w:r>
      <w:hyperlink r:id="rId25" w:history="1">
        <w:r w:rsidR="004E6022">
          <w:rPr>
            <w:rStyle w:val="Hyperlink"/>
          </w:rPr>
          <w:t>High Volume Low Complexity (HVLC) Programme</w:t>
        </w:r>
      </w:hyperlink>
      <w:r w:rsidR="00646525">
        <w:t xml:space="preserve">, aimed at </w:t>
      </w:r>
      <w:r w:rsidR="00646525" w:rsidRPr="00646525">
        <w:t>supporting elective recovery and the development of standardised patient pathways across regions</w:t>
      </w:r>
      <w:proofErr w:type="gramStart"/>
      <w:r w:rsidR="00646525" w:rsidRPr="00646525">
        <w:t>.</w:t>
      </w:r>
      <w:r w:rsidR="00646525">
        <w:t xml:space="preserve">  </w:t>
      </w:r>
      <w:proofErr w:type="gramEnd"/>
    </w:p>
    <w:p w14:paraId="5CBC72A3" w14:textId="5045A522" w:rsidR="00646525" w:rsidRPr="00F15933" w:rsidRDefault="004F0831" w:rsidP="00F15933">
      <w:pPr>
        <w:pStyle w:val="Paragraph"/>
        <w:rPr>
          <w:color w:val="000000"/>
          <w:shd w:val="clear" w:color="auto" w:fill="FFFFFF"/>
        </w:rPr>
      </w:pPr>
      <w:r>
        <w:rPr>
          <w:color w:val="000000"/>
          <w:shd w:val="clear" w:color="auto" w:fill="FFFFFF"/>
        </w:rPr>
        <w:t>T</w:t>
      </w:r>
      <w:r w:rsidR="00646525">
        <w:rPr>
          <w:color w:val="000000"/>
          <w:shd w:val="clear" w:color="auto" w:fill="FFFFFF"/>
        </w:rPr>
        <w:t xml:space="preserve">here is also emergent work concerning personalised support for people </w:t>
      </w:r>
      <w:r>
        <w:rPr>
          <w:color w:val="000000"/>
          <w:shd w:val="clear" w:color="auto" w:fill="FFFFFF"/>
        </w:rPr>
        <w:t xml:space="preserve">with musculoskeletal conditions who are </w:t>
      </w:r>
      <w:r w:rsidR="00646525">
        <w:rPr>
          <w:color w:val="000000"/>
          <w:shd w:val="clear" w:color="auto" w:fill="FFFFFF"/>
        </w:rPr>
        <w:t xml:space="preserve">on waiting lists. </w:t>
      </w:r>
    </w:p>
    <w:p w14:paraId="452AF189" w14:textId="1B80DDC1" w:rsidR="00F15933" w:rsidRDefault="00F15933" w:rsidP="00154D5B">
      <w:pPr>
        <w:pStyle w:val="Paragraph"/>
      </w:pPr>
    </w:p>
    <w:p w14:paraId="39C7E571" w14:textId="62BA9608" w:rsidR="00F15933" w:rsidRDefault="00F15933" w:rsidP="00154D5B">
      <w:pPr>
        <w:pStyle w:val="Paragraph"/>
      </w:pPr>
    </w:p>
    <w:p w14:paraId="2B1A9D7B" w14:textId="720A7C05" w:rsidR="00F15933" w:rsidRDefault="00F15933" w:rsidP="00154D5B">
      <w:pPr>
        <w:pStyle w:val="Paragraph"/>
      </w:pPr>
    </w:p>
    <w:p w14:paraId="1744BFE2" w14:textId="4603C8BE" w:rsidR="00F15933" w:rsidRDefault="00F15933" w:rsidP="00154D5B">
      <w:pPr>
        <w:pStyle w:val="Paragraph"/>
      </w:pPr>
    </w:p>
    <w:p w14:paraId="56CAD482" w14:textId="33085C90" w:rsidR="000001B8" w:rsidRDefault="000001B8">
      <w:pPr>
        <w:rPr>
          <w:rFonts w:ascii="Arial" w:hAnsi="Arial"/>
        </w:rPr>
      </w:pPr>
      <w:r>
        <w:br w:type="page"/>
      </w:r>
    </w:p>
    <w:p w14:paraId="2927C95D" w14:textId="33EB37E1" w:rsidR="002C296A" w:rsidRDefault="002C296A" w:rsidP="002C296A">
      <w:pPr>
        <w:pStyle w:val="Numberedheading1"/>
      </w:pPr>
      <w:bookmarkStart w:id="120" w:name="_Toc340835232"/>
      <w:bookmarkStart w:id="121" w:name="_Toc87374571"/>
      <w:bookmarkEnd w:id="120"/>
      <w:r>
        <w:lastRenderedPageBreak/>
        <w:t>Summary of suggestions</w:t>
      </w:r>
      <w:bookmarkEnd w:id="121"/>
    </w:p>
    <w:p w14:paraId="7664C807" w14:textId="77777777" w:rsidR="002C296A" w:rsidRPr="007D4B1A" w:rsidRDefault="002C296A" w:rsidP="002C296A">
      <w:pPr>
        <w:pStyle w:val="Numberedheading2"/>
      </w:pPr>
      <w:bookmarkStart w:id="122" w:name="_Toc71289593"/>
      <w:bookmarkStart w:id="123" w:name="_Toc71289692"/>
      <w:bookmarkStart w:id="124" w:name="_Toc71290385"/>
      <w:bookmarkStart w:id="125" w:name="_Toc71542850"/>
      <w:bookmarkStart w:id="126" w:name="_Toc80444912"/>
      <w:bookmarkStart w:id="127" w:name="_Toc82413934"/>
      <w:bookmarkStart w:id="128" w:name="_Toc82736375"/>
      <w:bookmarkStart w:id="129" w:name="_Toc82737205"/>
      <w:bookmarkStart w:id="130" w:name="_Toc82905149"/>
      <w:bookmarkStart w:id="131" w:name="_Toc83128297"/>
      <w:bookmarkStart w:id="132" w:name="_Toc87374572"/>
      <w:r>
        <w:t>Responses</w:t>
      </w:r>
      <w:bookmarkEnd w:id="122"/>
      <w:bookmarkEnd w:id="123"/>
      <w:bookmarkEnd w:id="124"/>
      <w:bookmarkEnd w:id="125"/>
      <w:bookmarkEnd w:id="126"/>
      <w:bookmarkEnd w:id="127"/>
      <w:bookmarkEnd w:id="128"/>
      <w:bookmarkEnd w:id="129"/>
      <w:bookmarkEnd w:id="130"/>
      <w:bookmarkEnd w:id="131"/>
      <w:bookmarkEnd w:id="132"/>
    </w:p>
    <w:p w14:paraId="0A92CB60" w14:textId="2A777710" w:rsidR="00776158" w:rsidRDefault="00776158" w:rsidP="00776158">
      <w:pPr>
        <w:pStyle w:val="Paragraph"/>
      </w:pPr>
      <w:r>
        <w:t xml:space="preserve">A topic engagement exercise was first carried out </w:t>
      </w:r>
      <w:r w:rsidR="00D36B7E">
        <w:t>02</w:t>
      </w:r>
      <w:r>
        <w:t>/0</w:t>
      </w:r>
      <w:r w:rsidR="00D36B7E">
        <w:t>3</w:t>
      </w:r>
      <w:r>
        <w:t xml:space="preserve">/20 to </w:t>
      </w:r>
      <w:r w:rsidR="00D36B7E">
        <w:t>03</w:t>
      </w:r>
      <w:r>
        <w:t>/0</w:t>
      </w:r>
      <w:r w:rsidR="00D36B7E">
        <w:t>4</w:t>
      </w:r>
      <w:r>
        <w:t xml:space="preserve">/20. Responses were received from: </w:t>
      </w:r>
    </w:p>
    <w:p w14:paraId="0C23C0A3" w14:textId="3C9C79FA" w:rsidR="004625B1" w:rsidRDefault="00976FFA" w:rsidP="004625B1">
      <w:pPr>
        <w:pStyle w:val="Bulletleft1"/>
      </w:pPr>
      <w:r>
        <w:t xml:space="preserve">5 </w:t>
      </w:r>
      <w:r w:rsidR="00776158">
        <w:t>registered stakeholders</w:t>
      </w:r>
    </w:p>
    <w:p w14:paraId="1C5863BB" w14:textId="52A1D78C" w:rsidR="00776158" w:rsidRDefault="004625B1" w:rsidP="004625B1">
      <w:pPr>
        <w:pStyle w:val="Bulletleft1"/>
      </w:pPr>
      <w:r>
        <w:t>2</w:t>
      </w:r>
      <w:r w:rsidR="00776158">
        <w:t xml:space="preserve"> specialist committee members</w:t>
      </w:r>
    </w:p>
    <w:p w14:paraId="05F6BCB4" w14:textId="65A879D3" w:rsidR="00776158" w:rsidRDefault="004625B1" w:rsidP="004625B1">
      <w:pPr>
        <w:pStyle w:val="Bulletleft1"/>
      </w:pPr>
      <w:r>
        <w:t>NHS England</w:t>
      </w:r>
      <w:r w:rsidR="00DF6040">
        <w:t xml:space="preserve"> and </w:t>
      </w:r>
      <w:r>
        <w:t>Improvement Patient Safety Division</w:t>
      </w:r>
      <w:r w:rsidR="00AF5EB3">
        <w:t>.</w:t>
      </w:r>
    </w:p>
    <w:p w14:paraId="327071FF" w14:textId="04F0CCE8" w:rsidR="004625B1" w:rsidRDefault="00776158" w:rsidP="00776158">
      <w:pPr>
        <w:pStyle w:val="Paragraph"/>
      </w:pPr>
      <w:r>
        <w:t>The topic was then paused as NICE changed priorities in response to the coronavirus pandemic. Following restart, and due to the length of time that had passed, a second topic engagement exercise was carried out 1</w:t>
      </w:r>
      <w:r w:rsidR="00D36B7E">
        <w:t>3</w:t>
      </w:r>
      <w:r>
        <w:t>/07/21 to 27/07/21. Stakeholders were given the opportunity to replace their original comments or submit comments for the first time:</w:t>
      </w:r>
    </w:p>
    <w:p w14:paraId="75356A62" w14:textId="4B456E43" w:rsidR="00776158" w:rsidRPr="000460F1" w:rsidRDefault="00976FFA" w:rsidP="000460F1">
      <w:pPr>
        <w:pStyle w:val="Bulletleft1"/>
      </w:pPr>
      <w:r w:rsidRPr="000460F1">
        <w:t xml:space="preserve">7 </w:t>
      </w:r>
      <w:r w:rsidR="00776158" w:rsidRPr="000460F1">
        <w:t>registered stakeholder</w:t>
      </w:r>
      <w:r w:rsidR="00AF5EB3" w:rsidRPr="000460F1">
        <w:t>s</w:t>
      </w:r>
      <w:r w:rsidR="00776158" w:rsidRPr="000460F1">
        <w:t xml:space="preserve"> submitted first time comments</w:t>
      </w:r>
    </w:p>
    <w:p w14:paraId="1D3F16E8" w14:textId="4AAC0E7F" w:rsidR="00776158" w:rsidRPr="000460F1" w:rsidRDefault="004625B1" w:rsidP="000460F1">
      <w:pPr>
        <w:pStyle w:val="Bulletleft1"/>
      </w:pPr>
      <w:r w:rsidRPr="000460F1">
        <w:t>1</w:t>
      </w:r>
      <w:r w:rsidR="00776158" w:rsidRPr="000460F1">
        <w:t xml:space="preserve"> stakeholder updated their original response</w:t>
      </w:r>
    </w:p>
    <w:p w14:paraId="185E8BF0" w14:textId="41A3D6F5" w:rsidR="00776158" w:rsidRPr="000460F1" w:rsidRDefault="00CD78D8" w:rsidP="000460F1">
      <w:pPr>
        <w:pStyle w:val="Bulletleft1"/>
      </w:pPr>
      <w:r w:rsidRPr="000460F1">
        <w:t>4</w:t>
      </w:r>
      <w:r w:rsidR="00776158" w:rsidRPr="000460F1">
        <w:t xml:space="preserve"> stakeholders kept their original comments</w:t>
      </w:r>
      <w:r w:rsidRPr="000460F1">
        <w:t xml:space="preserve"> (including a ‘no comments’ response)</w:t>
      </w:r>
    </w:p>
    <w:p w14:paraId="7B2EF355" w14:textId="457A4DF2" w:rsidR="00E56547" w:rsidRPr="000460F1" w:rsidRDefault="004E712A" w:rsidP="000460F1">
      <w:pPr>
        <w:pStyle w:val="Bulletleft1"/>
      </w:pPr>
      <w:r w:rsidRPr="000460F1">
        <w:t xml:space="preserve">5 specialist committee members submitted first time comments </w:t>
      </w:r>
    </w:p>
    <w:p w14:paraId="7E2B3EDD" w14:textId="000D07B2" w:rsidR="00776158" w:rsidRPr="000460F1" w:rsidRDefault="004625B1" w:rsidP="000460F1">
      <w:pPr>
        <w:pStyle w:val="Bulletleft1"/>
      </w:pPr>
      <w:r w:rsidRPr="000460F1">
        <w:t xml:space="preserve">1 </w:t>
      </w:r>
      <w:r w:rsidR="00776158" w:rsidRPr="000460F1">
        <w:t>specialist committee member updated their original responses</w:t>
      </w:r>
    </w:p>
    <w:p w14:paraId="4B8F2759" w14:textId="0EECF5C8" w:rsidR="004625B1" w:rsidRPr="000460F1" w:rsidRDefault="004625B1" w:rsidP="000460F1">
      <w:pPr>
        <w:pStyle w:val="Bulletleft1"/>
      </w:pPr>
      <w:r w:rsidRPr="000460F1">
        <w:t xml:space="preserve">1 </w:t>
      </w:r>
      <w:r w:rsidR="00776158" w:rsidRPr="000460F1">
        <w:t>specialist committee members kept their original comments</w:t>
      </w:r>
    </w:p>
    <w:p w14:paraId="47941095" w14:textId="339DC363" w:rsidR="004625B1" w:rsidRPr="000460F1" w:rsidRDefault="004625B1" w:rsidP="000460F1">
      <w:pPr>
        <w:pStyle w:val="Bulletleft1"/>
      </w:pPr>
      <w:r w:rsidRPr="000460F1">
        <w:t>NHS England</w:t>
      </w:r>
      <w:r w:rsidR="00E63D76" w:rsidRPr="000460F1">
        <w:t xml:space="preserve"> and </w:t>
      </w:r>
      <w:r w:rsidRPr="000460F1">
        <w:t xml:space="preserve">Improvement </w:t>
      </w:r>
      <w:r w:rsidR="008B0A81" w:rsidRPr="000460F1">
        <w:t xml:space="preserve">Patient Safety </w:t>
      </w:r>
      <w:r w:rsidR="00AB7EB3" w:rsidRPr="000460F1">
        <w:t>d</w:t>
      </w:r>
      <w:r w:rsidR="008B0A81" w:rsidRPr="000460F1">
        <w:t xml:space="preserve">ivision </w:t>
      </w:r>
      <w:r w:rsidRPr="000460F1">
        <w:t>replaced their response</w:t>
      </w:r>
    </w:p>
    <w:p w14:paraId="60CEB33D" w14:textId="65799B3F" w:rsidR="004625B1" w:rsidRDefault="004625B1" w:rsidP="00B56CE1">
      <w:pPr>
        <w:pStyle w:val="Bulletleft1"/>
        <w:spacing w:line="276" w:lineRule="auto"/>
      </w:pPr>
      <w:r>
        <w:t xml:space="preserve">The </w:t>
      </w:r>
      <w:r w:rsidR="004E712A" w:rsidRPr="004E712A">
        <w:t xml:space="preserve">National Clinical Director </w:t>
      </w:r>
      <w:r w:rsidR="008047C6">
        <w:t xml:space="preserve">for </w:t>
      </w:r>
      <w:r w:rsidR="004E712A" w:rsidRPr="004E712A">
        <w:t>Musculoskeletal Conditions NHS England and Improvement</w:t>
      </w:r>
      <w:r w:rsidR="004E712A">
        <w:t xml:space="preserve"> submitted a response.</w:t>
      </w:r>
      <w:r w:rsidR="00855C1D">
        <w:t xml:space="preserve"> </w:t>
      </w:r>
    </w:p>
    <w:p w14:paraId="349E5FC5" w14:textId="323EB29F" w:rsidR="00F6784F" w:rsidRDefault="00F6784F" w:rsidP="00F6784F">
      <w:pPr>
        <w:pStyle w:val="Paragraph"/>
      </w:pPr>
      <w:r w:rsidRPr="00F6784F">
        <w:t xml:space="preserve">The responses have been summarised in </w:t>
      </w:r>
      <w:r w:rsidR="005C5CEC">
        <w:t>T</w:t>
      </w:r>
      <w:r w:rsidRPr="00F6784F">
        <w:t xml:space="preserve">able </w:t>
      </w:r>
      <w:r w:rsidR="000460F1">
        <w:t>1</w:t>
      </w:r>
      <w:r w:rsidRPr="00F6784F">
        <w:t xml:space="preserve"> for further consideration by the committee.</w:t>
      </w:r>
      <w:r w:rsidR="004625B1" w:rsidRPr="004625B1">
        <w:t xml:space="preserve"> Full details of all the suggestions provided are given in </w:t>
      </w:r>
      <w:r w:rsidR="005C5CEC">
        <w:t>A</w:t>
      </w:r>
      <w:r w:rsidR="004625B1" w:rsidRPr="004625B1">
        <w:t xml:space="preserve">ppendix </w:t>
      </w:r>
      <w:r w:rsidR="00751008">
        <w:t>1</w:t>
      </w:r>
      <w:r w:rsidR="004625B1" w:rsidRPr="004625B1">
        <w:t xml:space="preserve"> for information.</w:t>
      </w:r>
    </w:p>
    <w:p w14:paraId="3F69F5D6" w14:textId="77777777" w:rsidR="006B080F" w:rsidRDefault="006B080F" w:rsidP="006B080F">
      <w:pPr>
        <w:pStyle w:val="Numberedheading2"/>
      </w:pPr>
      <w:bookmarkStart w:id="133" w:name="_Toc71289594"/>
      <w:bookmarkStart w:id="134" w:name="_Toc71289693"/>
      <w:bookmarkStart w:id="135" w:name="_Toc71290386"/>
      <w:bookmarkStart w:id="136" w:name="_Toc71542851"/>
      <w:bookmarkStart w:id="137" w:name="_Toc80444913"/>
      <w:bookmarkStart w:id="138" w:name="_Toc82413935"/>
      <w:bookmarkStart w:id="139" w:name="_Toc82736376"/>
      <w:bookmarkStart w:id="140" w:name="_Toc82737206"/>
      <w:bookmarkStart w:id="141" w:name="_Toc82905150"/>
      <w:bookmarkStart w:id="142" w:name="_Toc83128298"/>
      <w:bookmarkStart w:id="143" w:name="_Toc87374573"/>
      <w:r w:rsidRPr="006B080F">
        <w:lastRenderedPageBreak/>
        <w:t>Priorities for committee discussion</w:t>
      </w:r>
      <w:bookmarkEnd w:id="133"/>
      <w:bookmarkEnd w:id="134"/>
      <w:bookmarkEnd w:id="135"/>
      <w:bookmarkEnd w:id="136"/>
      <w:bookmarkEnd w:id="137"/>
      <w:bookmarkEnd w:id="138"/>
      <w:bookmarkEnd w:id="139"/>
      <w:bookmarkEnd w:id="140"/>
      <w:bookmarkEnd w:id="141"/>
      <w:bookmarkEnd w:id="142"/>
      <w:bookmarkEnd w:id="143"/>
    </w:p>
    <w:p w14:paraId="5F08E131" w14:textId="567485E6" w:rsidR="006B080F" w:rsidRDefault="006B080F" w:rsidP="00B65D9F">
      <w:pPr>
        <w:pStyle w:val="Caption"/>
      </w:pPr>
      <w:r>
        <w:t xml:space="preserve">Table </w:t>
      </w:r>
      <w:r w:rsidR="00855C1D">
        <w:t>1</w:t>
      </w:r>
      <w:r>
        <w:t xml:space="preserve"> </w:t>
      </w:r>
      <w:r w:rsidRPr="006B080F">
        <w:t>Summary of information available for suggested areas for improvement</w:t>
      </w:r>
    </w:p>
    <w:p w14:paraId="0EB4C7E5" w14:textId="27B36418" w:rsidR="00F15933" w:rsidRPr="00F15933" w:rsidRDefault="00F15933" w:rsidP="00AA6105">
      <w:pPr>
        <w:pStyle w:val="NICEnormal"/>
        <w:spacing w:line="276" w:lineRule="auto"/>
      </w:pPr>
      <w:r w:rsidRPr="00D6110B">
        <w:rPr>
          <w:b/>
          <w:bCs/>
        </w:rPr>
        <w:t>Note</w:t>
      </w:r>
      <w:r>
        <w:t>: Except for implant (prosthesis) errors</w:t>
      </w:r>
      <w:r w:rsidR="00EF4F07">
        <w:t xml:space="preserve"> and VTE prophylaxis</w:t>
      </w:r>
      <w:r w:rsidR="00B66B57">
        <w:t>,</w:t>
      </w:r>
      <w:r>
        <w:t xml:space="preserve"> </w:t>
      </w:r>
      <w:r w:rsidR="00D6110B">
        <w:t xml:space="preserve">published </w:t>
      </w:r>
      <w:r>
        <w:t>current practice was not identified for shoulder joint replacement.</w:t>
      </w:r>
      <w:r w:rsidR="00D6110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Caption w:val="Summary of information available for suggested areas for improvement"/>
        <w:tblDescription w:val="Information about quality improvement areas that were identified by stakeholders during the stakeholder engagement exercise, such as whether the areas are in scope, supported by guideline recommendations, current practice and covered by existing quality standard statements. A decision on the priority to discuss is also given."/>
      </w:tblPr>
      <w:tblGrid>
        <w:gridCol w:w="1979"/>
        <w:gridCol w:w="1419"/>
        <w:gridCol w:w="1134"/>
        <w:gridCol w:w="1134"/>
        <w:gridCol w:w="1134"/>
        <w:gridCol w:w="1132"/>
        <w:gridCol w:w="1084"/>
      </w:tblGrid>
      <w:tr w:rsidR="001A2B81" w:rsidRPr="004D1E94" w14:paraId="4DAB12E9" w14:textId="77777777" w:rsidTr="00DB6B0F">
        <w:trPr>
          <w:tblHeader/>
        </w:trPr>
        <w:tc>
          <w:tcPr>
            <w:tcW w:w="1097" w:type="pct"/>
            <w:tcBorders>
              <w:top w:val="single" w:sz="4" w:space="0" w:color="auto"/>
            </w:tcBorders>
            <w:shd w:val="clear" w:color="auto" w:fill="auto"/>
          </w:tcPr>
          <w:p w14:paraId="321BAEE7" w14:textId="77777777" w:rsidR="006728F0" w:rsidRPr="00A07FE5" w:rsidRDefault="006728F0" w:rsidP="003B150B">
            <w:pPr>
              <w:pStyle w:val="Tabletitle"/>
            </w:pPr>
            <w:r w:rsidRPr="00A07FE5">
              <w:t>Suggested area for improvement</w:t>
            </w:r>
          </w:p>
        </w:tc>
        <w:tc>
          <w:tcPr>
            <w:tcW w:w="787" w:type="pct"/>
            <w:tcBorders>
              <w:top w:val="single" w:sz="4" w:space="0" w:color="auto"/>
            </w:tcBorders>
          </w:tcPr>
          <w:p w14:paraId="6B11B16D" w14:textId="77777777" w:rsidR="006728F0" w:rsidRPr="00A07FE5" w:rsidRDefault="006728F0" w:rsidP="003B150B">
            <w:pPr>
              <w:pStyle w:val="Tabletitle"/>
              <w:rPr>
                <w:b w:val="0"/>
              </w:rPr>
            </w:pPr>
            <w:r w:rsidRPr="00A07FE5">
              <w:t xml:space="preserve">Stakeholder </w:t>
            </w:r>
          </w:p>
        </w:tc>
        <w:tc>
          <w:tcPr>
            <w:tcW w:w="629" w:type="pct"/>
            <w:tcBorders>
              <w:top w:val="single" w:sz="4" w:space="0" w:color="auto"/>
            </w:tcBorders>
          </w:tcPr>
          <w:p w14:paraId="20D096D0" w14:textId="77777777" w:rsidR="006728F0" w:rsidRPr="00A07FE5" w:rsidRDefault="006728F0" w:rsidP="003B150B">
            <w:pPr>
              <w:pStyle w:val="Tabletitle"/>
              <w:rPr>
                <w:b w:val="0"/>
              </w:rPr>
            </w:pPr>
            <w:r w:rsidRPr="00A07FE5">
              <w:t>In scope</w:t>
            </w:r>
          </w:p>
        </w:tc>
        <w:tc>
          <w:tcPr>
            <w:tcW w:w="629" w:type="pct"/>
            <w:tcBorders>
              <w:top w:val="single" w:sz="4" w:space="0" w:color="auto"/>
            </w:tcBorders>
          </w:tcPr>
          <w:p w14:paraId="7D3678E8" w14:textId="77777777" w:rsidR="006728F0" w:rsidRPr="00A07FE5" w:rsidRDefault="006728F0" w:rsidP="003B150B">
            <w:pPr>
              <w:pStyle w:val="Tabletitle"/>
              <w:rPr>
                <w:b w:val="0"/>
              </w:rPr>
            </w:pPr>
            <w:r w:rsidRPr="00A07FE5">
              <w:t>Guideline recs</w:t>
            </w:r>
          </w:p>
        </w:tc>
        <w:tc>
          <w:tcPr>
            <w:tcW w:w="629" w:type="pct"/>
            <w:tcBorders>
              <w:top w:val="single" w:sz="4" w:space="0" w:color="auto"/>
            </w:tcBorders>
          </w:tcPr>
          <w:p w14:paraId="2DC96A32" w14:textId="77777777" w:rsidR="006728F0" w:rsidRPr="00A07FE5" w:rsidRDefault="006728F0" w:rsidP="003B150B">
            <w:pPr>
              <w:pStyle w:val="Tabletitle"/>
              <w:rPr>
                <w:b w:val="0"/>
              </w:rPr>
            </w:pPr>
            <w:r w:rsidRPr="00A07FE5">
              <w:t xml:space="preserve">Current practice evidence  </w:t>
            </w:r>
          </w:p>
        </w:tc>
        <w:tc>
          <w:tcPr>
            <w:tcW w:w="628" w:type="pct"/>
            <w:tcBorders>
              <w:top w:val="single" w:sz="4" w:space="0" w:color="auto"/>
            </w:tcBorders>
          </w:tcPr>
          <w:p w14:paraId="22FBDB34" w14:textId="77777777" w:rsidR="006728F0" w:rsidRPr="00A07FE5" w:rsidRDefault="006728F0" w:rsidP="003B150B">
            <w:pPr>
              <w:pStyle w:val="Tabletitle"/>
              <w:rPr>
                <w:b w:val="0"/>
              </w:rPr>
            </w:pPr>
            <w:r w:rsidRPr="00A07FE5">
              <w:t>Existing QS statement</w:t>
            </w:r>
          </w:p>
        </w:tc>
        <w:tc>
          <w:tcPr>
            <w:tcW w:w="601" w:type="pct"/>
            <w:tcBorders>
              <w:top w:val="single" w:sz="4" w:space="0" w:color="auto"/>
            </w:tcBorders>
          </w:tcPr>
          <w:p w14:paraId="331527F8" w14:textId="77777777" w:rsidR="006728F0" w:rsidRPr="00A07FE5" w:rsidRDefault="006728F0" w:rsidP="003B150B">
            <w:pPr>
              <w:pStyle w:val="Tabletitle"/>
              <w:rPr>
                <w:b w:val="0"/>
              </w:rPr>
            </w:pPr>
            <w:r w:rsidRPr="00A07FE5">
              <w:t>Priority to discuss?</w:t>
            </w:r>
          </w:p>
        </w:tc>
      </w:tr>
      <w:tr w:rsidR="001A2B81" w:rsidRPr="00910B42" w14:paraId="03E9F37B" w14:textId="77777777" w:rsidTr="00DB6B0F">
        <w:trPr>
          <w:trHeight w:val="382"/>
        </w:trPr>
        <w:tc>
          <w:tcPr>
            <w:tcW w:w="1097" w:type="pct"/>
            <w:tcBorders>
              <w:top w:val="single" w:sz="4" w:space="0" w:color="auto"/>
              <w:left w:val="single" w:sz="4" w:space="0" w:color="auto"/>
              <w:bottom w:val="dashed" w:sz="4" w:space="0" w:color="auto"/>
              <w:right w:val="single" w:sz="4" w:space="0" w:color="auto"/>
            </w:tcBorders>
            <w:shd w:val="clear" w:color="auto" w:fill="auto"/>
          </w:tcPr>
          <w:p w14:paraId="560DD34F" w14:textId="370A2D68" w:rsidR="006728F0" w:rsidRPr="00C361E6" w:rsidRDefault="00AF5EB3" w:rsidP="003B150B">
            <w:pPr>
              <w:pStyle w:val="Tabletext"/>
              <w:rPr>
                <w:b/>
                <w:bCs/>
              </w:rPr>
            </w:pPr>
            <w:r>
              <w:rPr>
                <w:b/>
                <w:bCs/>
              </w:rPr>
              <w:t xml:space="preserve">Self-management and preoperative </w:t>
            </w:r>
            <w:r w:rsidR="00A67D52">
              <w:rPr>
                <w:b/>
                <w:bCs/>
              </w:rPr>
              <w:t>care</w:t>
            </w:r>
          </w:p>
        </w:tc>
        <w:tc>
          <w:tcPr>
            <w:tcW w:w="787" w:type="pct"/>
            <w:tcBorders>
              <w:bottom w:val="dashed" w:sz="4" w:space="0" w:color="auto"/>
            </w:tcBorders>
          </w:tcPr>
          <w:p w14:paraId="6B706AA5" w14:textId="4F557483" w:rsidR="006728F0" w:rsidRDefault="006728F0" w:rsidP="003B150B">
            <w:pPr>
              <w:pStyle w:val="Tabletext"/>
            </w:pPr>
          </w:p>
        </w:tc>
        <w:tc>
          <w:tcPr>
            <w:tcW w:w="629" w:type="pct"/>
            <w:tcBorders>
              <w:bottom w:val="dashed" w:sz="4" w:space="0" w:color="auto"/>
            </w:tcBorders>
          </w:tcPr>
          <w:p w14:paraId="52B819D3" w14:textId="77777777" w:rsidR="006728F0" w:rsidRPr="00910B42" w:rsidRDefault="006728F0" w:rsidP="003B150B">
            <w:pPr>
              <w:pStyle w:val="Tabletext"/>
            </w:pPr>
          </w:p>
        </w:tc>
        <w:tc>
          <w:tcPr>
            <w:tcW w:w="629" w:type="pct"/>
            <w:tcBorders>
              <w:bottom w:val="dashed" w:sz="4" w:space="0" w:color="auto"/>
            </w:tcBorders>
          </w:tcPr>
          <w:p w14:paraId="7BC3A46B" w14:textId="77777777" w:rsidR="006728F0" w:rsidRPr="00910B42" w:rsidRDefault="006728F0" w:rsidP="003B150B">
            <w:pPr>
              <w:pStyle w:val="Tabletext"/>
            </w:pPr>
          </w:p>
        </w:tc>
        <w:tc>
          <w:tcPr>
            <w:tcW w:w="629" w:type="pct"/>
            <w:tcBorders>
              <w:bottom w:val="dashed" w:sz="4" w:space="0" w:color="auto"/>
            </w:tcBorders>
          </w:tcPr>
          <w:p w14:paraId="1B8784E0" w14:textId="77777777" w:rsidR="006728F0" w:rsidRPr="00910B42" w:rsidRDefault="006728F0" w:rsidP="003B150B">
            <w:pPr>
              <w:pStyle w:val="Tabletext"/>
            </w:pPr>
          </w:p>
        </w:tc>
        <w:tc>
          <w:tcPr>
            <w:tcW w:w="628" w:type="pct"/>
            <w:tcBorders>
              <w:bottom w:val="dashed" w:sz="4" w:space="0" w:color="auto"/>
            </w:tcBorders>
          </w:tcPr>
          <w:p w14:paraId="39013D59" w14:textId="77777777" w:rsidR="006728F0" w:rsidRPr="00910B42" w:rsidRDefault="006728F0" w:rsidP="003B150B">
            <w:pPr>
              <w:pStyle w:val="Tabletext"/>
            </w:pPr>
          </w:p>
        </w:tc>
        <w:tc>
          <w:tcPr>
            <w:tcW w:w="601" w:type="pct"/>
            <w:tcBorders>
              <w:bottom w:val="dashed" w:sz="4" w:space="0" w:color="auto"/>
            </w:tcBorders>
          </w:tcPr>
          <w:p w14:paraId="7F9B4D1B" w14:textId="77777777" w:rsidR="006728F0" w:rsidRPr="00910B42" w:rsidRDefault="006728F0" w:rsidP="003B150B">
            <w:pPr>
              <w:pStyle w:val="Tabletext"/>
              <w:rPr>
                <w:b/>
                <w:bCs/>
              </w:rPr>
            </w:pPr>
          </w:p>
        </w:tc>
      </w:tr>
      <w:tr w:rsidR="001A2B81" w:rsidRPr="00910B42" w14:paraId="003BB407" w14:textId="77777777" w:rsidTr="00DB6B0F">
        <w:trPr>
          <w:trHeight w:val="756"/>
        </w:trPr>
        <w:tc>
          <w:tcPr>
            <w:tcW w:w="1097" w:type="pct"/>
            <w:tcBorders>
              <w:top w:val="dashed" w:sz="4" w:space="0" w:color="auto"/>
              <w:left w:val="single" w:sz="4" w:space="0" w:color="auto"/>
              <w:bottom w:val="dashed" w:sz="4" w:space="0" w:color="auto"/>
              <w:right w:val="single" w:sz="4" w:space="0" w:color="auto"/>
            </w:tcBorders>
            <w:shd w:val="clear" w:color="auto" w:fill="auto"/>
          </w:tcPr>
          <w:p w14:paraId="412E7419" w14:textId="0FB7AAB0" w:rsidR="006728F0" w:rsidRPr="00C361E6" w:rsidRDefault="006728F0" w:rsidP="000868F8">
            <w:pPr>
              <w:pStyle w:val="Tabletext"/>
              <w:numPr>
                <w:ilvl w:val="0"/>
                <w:numId w:val="24"/>
              </w:numPr>
            </w:pPr>
            <w:r>
              <w:t>Self-management</w:t>
            </w:r>
          </w:p>
        </w:tc>
        <w:tc>
          <w:tcPr>
            <w:tcW w:w="787" w:type="pct"/>
            <w:tcBorders>
              <w:top w:val="dashed" w:sz="4" w:space="0" w:color="auto"/>
              <w:bottom w:val="dashed" w:sz="4" w:space="0" w:color="auto"/>
            </w:tcBorders>
          </w:tcPr>
          <w:p w14:paraId="2E28C8B0" w14:textId="1C1BCF0B" w:rsidR="006728F0" w:rsidRDefault="00A814CC" w:rsidP="003B150B">
            <w:pPr>
              <w:pStyle w:val="Tabletext"/>
            </w:pPr>
            <w:r>
              <w:t xml:space="preserve">NCD, </w:t>
            </w:r>
            <w:r w:rsidR="005E28D0">
              <w:t>VA</w:t>
            </w:r>
          </w:p>
        </w:tc>
        <w:tc>
          <w:tcPr>
            <w:tcW w:w="629" w:type="pct"/>
            <w:tcBorders>
              <w:top w:val="dashed" w:sz="4" w:space="0" w:color="auto"/>
              <w:bottom w:val="dashed" w:sz="4" w:space="0" w:color="auto"/>
            </w:tcBorders>
          </w:tcPr>
          <w:p w14:paraId="6DA7C719" w14:textId="77777777" w:rsidR="006728F0" w:rsidRPr="00910B42" w:rsidRDefault="006728F0" w:rsidP="003B150B">
            <w:pPr>
              <w:pStyle w:val="Tabletext"/>
            </w:pPr>
            <w:r>
              <w:t>Yes</w:t>
            </w:r>
          </w:p>
        </w:tc>
        <w:tc>
          <w:tcPr>
            <w:tcW w:w="629" w:type="pct"/>
            <w:tcBorders>
              <w:top w:val="dashed" w:sz="4" w:space="0" w:color="auto"/>
              <w:bottom w:val="dashed" w:sz="4" w:space="0" w:color="auto"/>
            </w:tcBorders>
          </w:tcPr>
          <w:p w14:paraId="588E0F01" w14:textId="0F2C18C2" w:rsidR="006728F0" w:rsidRPr="00910B42" w:rsidRDefault="00976FFA" w:rsidP="003B150B">
            <w:pPr>
              <w:pStyle w:val="Tabletext"/>
            </w:pPr>
            <w:r>
              <w:t>No</w:t>
            </w:r>
          </w:p>
        </w:tc>
        <w:tc>
          <w:tcPr>
            <w:tcW w:w="629" w:type="pct"/>
            <w:tcBorders>
              <w:top w:val="dashed" w:sz="4" w:space="0" w:color="auto"/>
              <w:bottom w:val="dashed" w:sz="4" w:space="0" w:color="auto"/>
            </w:tcBorders>
          </w:tcPr>
          <w:p w14:paraId="5CE27C31" w14:textId="7F5DC87E" w:rsidR="006728F0" w:rsidRPr="00910B42" w:rsidRDefault="00D36B7E" w:rsidP="003B150B">
            <w:pPr>
              <w:pStyle w:val="Tabletext"/>
            </w:pPr>
            <w:r>
              <w:t>Yes</w:t>
            </w:r>
          </w:p>
        </w:tc>
        <w:tc>
          <w:tcPr>
            <w:tcW w:w="628" w:type="pct"/>
            <w:tcBorders>
              <w:top w:val="dashed" w:sz="4" w:space="0" w:color="auto"/>
              <w:bottom w:val="dashed" w:sz="4" w:space="0" w:color="auto"/>
            </w:tcBorders>
          </w:tcPr>
          <w:p w14:paraId="77C3540A" w14:textId="5813B63F" w:rsidR="006728F0" w:rsidRPr="00910B42" w:rsidRDefault="00D36B7E" w:rsidP="003B150B">
            <w:pPr>
              <w:pStyle w:val="Tabletext"/>
            </w:pPr>
            <w:r>
              <w:t>Yes</w:t>
            </w:r>
          </w:p>
        </w:tc>
        <w:tc>
          <w:tcPr>
            <w:tcW w:w="601" w:type="pct"/>
            <w:tcBorders>
              <w:top w:val="dashed" w:sz="4" w:space="0" w:color="auto"/>
              <w:bottom w:val="dashed" w:sz="4" w:space="0" w:color="auto"/>
            </w:tcBorders>
          </w:tcPr>
          <w:p w14:paraId="1B7C0796" w14:textId="0AE1B79A" w:rsidR="006728F0" w:rsidRPr="00910B42" w:rsidRDefault="00976FFA" w:rsidP="003B150B">
            <w:pPr>
              <w:pStyle w:val="Tabletext"/>
              <w:rPr>
                <w:b/>
                <w:bCs/>
              </w:rPr>
            </w:pPr>
            <w:r>
              <w:rPr>
                <w:b/>
                <w:bCs/>
              </w:rPr>
              <w:t>No</w:t>
            </w:r>
          </w:p>
        </w:tc>
      </w:tr>
      <w:tr w:rsidR="001A2B81" w:rsidRPr="00910B42" w14:paraId="2382FA4D" w14:textId="77777777" w:rsidTr="00DB6B0F">
        <w:trPr>
          <w:trHeight w:val="240"/>
        </w:trPr>
        <w:tc>
          <w:tcPr>
            <w:tcW w:w="1097" w:type="pct"/>
            <w:tcBorders>
              <w:top w:val="dashed" w:sz="4" w:space="0" w:color="auto"/>
              <w:left w:val="single" w:sz="4" w:space="0" w:color="auto"/>
              <w:bottom w:val="dashed" w:sz="4" w:space="0" w:color="auto"/>
              <w:right w:val="single" w:sz="4" w:space="0" w:color="auto"/>
            </w:tcBorders>
            <w:shd w:val="clear" w:color="auto" w:fill="auto"/>
          </w:tcPr>
          <w:p w14:paraId="0D761C4E" w14:textId="4DA6157F" w:rsidR="00A42630" w:rsidRPr="00C361E6" w:rsidRDefault="002749C0" w:rsidP="000868F8">
            <w:pPr>
              <w:pStyle w:val="Tabletext"/>
              <w:numPr>
                <w:ilvl w:val="0"/>
                <w:numId w:val="24"/>
              </w:numPr>
            </w:pPr>
            <w:r>
              <w:t xml:space="preserve">Preoperative </w:t>
            </w:r>
            <w:r w:rsidR="008C3A6C">
              <w:t>care</w:t>
            </w:r>
          </w:p>
        </w:tc>
        <w:tc>
          <w:tcPr>
            <w:tcW w:w="787" w:type="pct"/>
            <w:tcBorders>
              <w:top w:val="dashed" w:sz="4" w:space="0" w:color="auto"/>
              <w:bottom w:val="dashed" w:sz="4" w:space="0" w:color="auto"/>
            </w:tcBorders>
          </w:tcPr>
          <w:p w14:paraId="072892D0" w14:textId="5EC757ED" w:rsidR="00A42630" w:rsidRPr="005E28D0" w:rsidRDefault="00AF5EB3" w:rsidP="003B150B">
            <w:pPr>
              <w:pStyle w:val="Tabletext"/>
              <w:rPr>
                <w:bCs/>
              </w:rPr>
            </w:pPr>
            <w:r>
              <w:t xml:space="preserve">AGILE, </w:t>
            </w:r>
            <w:r w:rsidR="005E28D0">
              <w:t xml:space="preserve">BOA (end. </w:t>
            </w:r>
            <w:r w:rsidR="005E28D0">
              <w:rPr>
                <w:bCs/>
              </w:rPr>
              <w:t>BHS),</w:t>
            </w:r>
            <w:r w:rsidR="00A814CC">
              <w:rPr>
                <w:bCs/>
              </w:rPr>
              <w:t xml:space="preserve"> NCD,</w:t>
            </w:r>
            <w:r w:rsidR="005E28D0">
              <w:rPr>
                <w:bCs/>
              </w:rPr>
              <w:t xml:space="preserve"> NE, SCM</w:t>
            </w:r>
            <w:r w:rsidR="00976FFA">
              <w:rPr>
                <w:bCs/>
              </w:rPr>
              <w:t>s</w:t>
            </w:r>
            <w:r w:rsidR="005E28D0">
              <w:rPr>
                <w:bCs/>
              </w:rPr>
              <w:t xml:space="preserve"> </w:t>
            </w:r>
          </w:p>
        </w:tc>
        <w:tc>
          <w:tcPr>
            <w:tcW w:w="629" w:type="pct"/>
            <w:tcBorders>
              <w:top w:val="dashed" w:sz="4" w:space="0" w:color="auto"/>
              <w:bottom w:val="dashed" w:sz="4" w:space="0" w:color="auto"/>
            </w:tcBorders>
          </w:tcPr>
          <w:p w14:paraId="3A94F96E" w14:textId="77777777" w:rsidR="00A42630" w:rsidRPr="00910B42" w:rsidRDefault="00A42630" w:rsidP="003B150B">
            <w:pPr>
              <w:pStyle w:val="Tabletext"/>
            </w:pPr>
            <w:r>
              <w:t>Yes</w:t>
            </w:r>
          </w:p>
        </w:tc>
        <w:tc>
          <w:tcPr>
            <w:tcW w:w="629" w:type="pct"/>
            <w:tcBorders>
              <w:top w:val="dashed" w:sz="4" w:space="0" w:color="auto"/>
              <w:bottom w:val="dashed" w:sz="4" w:space="0" w:color="auto"/>
            </w:tcBorders>
          </w:tcPr>
          <w:p w14:paraId="0031C205" w14:textId="77777777" w:rsidR="00A42630" w:rsidRPr="00910B42" w:rsidRDefault="00A42630" w:rsidP="003B150B">
            <w:pPr>
              <w:pStyle w:val="Tabletext"/>
            </w:pPr>
            <w:r>
              <w:t>Yes</w:t>
            </w:r>
          </w:p>
        </w:tc>
        <w:tc>
          <w:tcPr>
            <w:tcW w:w="629" w:type="pct"/>
            <w:tcBorders>
              <w:top w:val="dashed" w:sz="4" w:space="0" w:color="auto"/>
              <w:bottom w:val="dashed" w:sz="4" w:space="0" w:color="auto"/>
            </w:tcBorders>
          </w:tcPr>
          <w:p w14:paraId="0FECE354" w14:textId="209728EF" w:rsidR="00A42630" w:rsidRPr="00910B42" w:rsidRDefault="00A42630" w:rsidP="003B150B">
            <w:pPr>
              <w:pStyle w:val="Tabletext"/>
            </w:pPr>
            <w:r>
              <w:t xml:space="preserve">Yes </w:t>
            </w:r>
          </w:p>
        </w:tc>
        <w:tc>
          <w:tcPr>
            <w:tcW w:w="628" w:type="pct"/>
            <w:tcBorders>
              <w:top w:val="dashed" w:sz="4" w:space="0" w:color="auto"/>
              <w:bottom w:val="dashed" w:sz="4" w:space="0" w:color="auto"/>
            </w:tcBorders>
          </w:tcPr>
          <w:p w14:paraId="0DD9D920" w14:textId="77777777" w:rsidR="00A42630" w:rsidRPr="00910B42" w:rsidRDefault="00A42630" w:rsidP="003B150B">
            <w:pPr>
              <w:pStyle w:val="Tabletext"/>
            </w:pPr>
            <w:r>
              <w:t>No</w:t>
            </w:r>
          </w:p>
        </w:tc>
        <w:tc>
          <w:tcPr>
            <w:tcW w:w="601" w:type="pct"/>
            <w:tcBorders>
              <w:top w:val="dashed" w:sz="4" w:space="0" w:color="auto"/>
              <w:bottom w:val="dashed" w:sz="4" w:space="0" w:color="auto"/>
            </w:tcBorders>
          </w:tcPr>
          <w:p w14:paraId="796B46AB" w14:textId="77777777" w:rsidR="00A42630" w:rsidRPr="00910B42" w:rsidRDefault="00A42630" w:rsidP="003B150B">
            <w:pPr>
              <w:pStyle w:val="Tabletext"/>
              <w:rPr>
                <w:b/>
                <w:bCs/>
              </w:rPr>
            </w:pPr>
            <w:r>
              <w:rPr>
                <w:b/>
                <w:bCs/>
              </w:rPr>
              <w:t>Yes</w:t>
            </w:r>
          </w:p>
        </w:tc>
      </w:tr>
      <w:tr w:rsidR="001A2B81" w:rsidRPr="00910B42" w14:paraId="529BCE9C" w14:textId="77777777" w:rsidTr="00DB6B0F">
        <w:trPr>
          <w:trHeight w:val="382"/>
        </w:trPr>
        <w:tc>
          <w:tcPr>
            <w:tcW w:w="1097" w:type="pct"/>
            <w:tcBorders>
              <w:top w:val="single" w:sz="4" w:space="0" w:color="auto"/>
              <w:left w:val="single" w:sz="4" w:space="0" w:color="auto"/>
              <w:bottom w:val="dashed" w:sz="4" w:space="0" w:color="auto"/>
              <w:right w:val="single" w:sz="4" w:space="0" w:color="auto"/>
            </w:tcBorders>
            <w:shd w:val="clear" w:color="auto" w:fill="auto"/>
          </w:tcPr>
          <w:p w14:paraId="6C05AAA0" w14:textId="238FD01F" w:rsidR="006728F0" w:rsidRPr="00D36B7E" w:rsidRDefault="00A42630" w:rsidP="006728F0">
            <w:pPr>
              <w:pStyle w:val="Tabletext"/>
              <w:rPr>
                <w:b/>
                <w:bCs/>
              </w:rPr>
            </w:pPr>
            <w:r>
              <w:rPr>
                <w:b/>
                <w:bCs/>
              </w:rPr>
              <w:t xml:space="preserve">Shared </w:t>
            </w:r>
            <w:proofErr w:type="gramStart"/>
            <w:r>
              <w:rPr>
                <w:b/>
                <w:bCs/>
              </w:rPr>
              <w:t>decision making</w:t>
            </w:r>
            <w:proofErr w:type="gramEnd"/>
            <w:r>
              <w:rPr>
                <w:b/>
                <w:bCs/>
              </w:rPr>
              <w:t xml:space="preserve"> information </w:t>
            </w:r>
          </w:p>
        </w:tc>
        <w:tc>
          <w:tcPr>
            <w:tcW w:w="787" w:type="pct"/>
            <w:tcBorders>
              <w:top w:val="single" w:sz="4" w:space="0" w:color="auto"/>
              <w:bottom w:val="dashed" w:sz="4" w:space="0" w:color="auto"/>
            </w:tcBorders>
          </w:tcPr>
          <w:p w14:paraId="306FAC72" w14:textId="77777777" w:rsidR="006728F0" w:rsidRPr="00A86098" w:rsidRDefault="006728F0" w:rsidP="003B150B">
            <w:pPr>
              <w:pStyle w:val="Tabletext"/>
              <w:rPr>
                <w:szCs w:val="22"/>
              </w:rPr>
            </w:pPr>
          </w:p>
        </w:tc>
        <w:tc>
          <w:tcPr>
            <w:tcW w:w="629" w:type="pct"/>
            <w:tcBorders>
              <w:top w:val="single" w:sz="4" w:space="0" w:color="auto"/>
              <w:bottom w:val="dashed" w:sz="4" w:space="0" w:color="auto"/>
            </w:tcBorders>
          </w:tcPr>
          <w:p w14:paraId="47374FAE" w14:textId="77777777" w:rsidR="006728F0" w:rsidRDefault="006728F0" w:rsidP="003B150B">
            <w:pPr>
              <w:pStyle w:val="Tabletext"/>
            </w:pPr>
          </w:p>
        </w:tc>
        <w:tc>
          <w:tcPr>
            <w:tcW w:w="629" w:type="pct"/>
            <w:tcBorders>
              <w:top w:val="single" w:sz="4" w:space="0" w:color="auto"/>
              <w:bottom w:val="dashed" w:sz="4" w:space="0" w:color="auto"/>
            </w:tcBorders>
          </w:tcPr>
          <w:p w14:paraId="2FF89DE1" w14:textId="77777777" w:rsidR="006728F0" w:rsidRDefault="006728F0" w:rsidP="003B150B">
            <w:pPr>
              <w:pStyle w:val="Tabletext"/>
            </w:pPr>
          </w:p>
        </w:tc>
        <w:tc>
          <w:tcPr>
            <w:tcW w:w="629" w:type="pct"/>
            <w:tcBorders>
              <w:top w:val="single" w:sz="4" w:space="0" w:color="auto"/>
              <w:bottom w:val="dashed" w:sz="4" w:space="0" w:color="auto"/>
            </w:tcBorders>
          </w:tcPr>
          <w:p w14:paraId="6FCD8824" w14:textId="77777777" w:rsidR="006728F0" w:rsidRDefault="006728F0" w:rsidP="003B150B">
            <w:pPr>
              <w:pStyle w:val="Tabletext"/>
            </w:pPr>
          </w:p>
        </w:tc>
        <w:tc>
          <w:tcPr>
            <w:tcW w:w="628" w:type="pct"/>
            <w:tcBorders>
              <w:top w:val="single" w:sz="4" w:space="0" w:color="auto"/>
              <w:bottom w:val="dashed" w:sz="4" w:space="0" w:color="auto"/>
            </w:tcBorders>
          </w:tcPr>
          <w:p w14:paraId="3AECD141" w14:textId="77777777" w:rsidR="006728F0" w:rsidRDefault="006728F0" w:rsidP="003B150B">
            <w:pPr>
              <w:pStyle w:val="Tabletext"/>
            </w:pPr>
          </w:p>
        </w:tc>
        <w:tc>
          <w:tcPr>
            <w:tcW w:w="601" w:type="pct"/>
            <w:tcBorders>
              <w:top w:val="single" w:sz="4" w:space="0" w:color="auto"/>
              <w:bottom w:val="dashed" w:sz="4" w:space="0" w:color="auto"/>
            </w:tcBorders>
          </w:tcPr>
          <w:p w14:paraId="2A246DFA" w14:textId="77777777" w:rsidR="006728F0" w:rsidRDefault="006728F0" w:rsidP="003B150B">
            <w:pPr>
              <w:pStyle w:val="Tabletext"/>
              <w:rPr>
                <w:b/>
                <w:bCs/>
              </w:rPr>
            </w:pPr>
          </w:p>
        </w:tc>
      </w:tr>
      <w:tr w:rsidR="001A2B81" w:rsidRPr="00910B42" w14:paraId="6E40814E" w14:textId="77777777" w:rsidTr="00DB6B0F">
        <w:trPr>
          <w:trHeight w:val="190"/>
        </w:trPr>
        <w:tc>
          <w:tcPr>
            <w:tcW w:w="1097" w:type="pct"/>
            <w:tcBorders>
              <w:top w:val="dashed" w:sz="4" w:space="0" w:color="auto"/>
              <w:left w:val="single" w:sz="4" w:space="0" w:color="auto"/>
              <w:bottom w:val="dashed" w:sz="4" w:space="0" w:color="auto"/>
              <w:right w:val="single" w:sz="4" w:space="0" w:color="auto"/>
            </w:tcBorders>
            <w:shd w:val="clear" w:color="auto" w:fill="auto"/>
          </w:tcPr>
          <w:p w14:paraId="72C9227A" w14:textId="648C0B97" w:rsidR="00B37A10" w:rsidRPr="00C361E6" w:rsidRDefault="00B37A10" w:rsidP="000868F8">
            <w:pPr>
              <w:pStyle w:val="Tabletext"/>
              <w:numPr>
                <w:ilvl w:val="0"/>
                <w:numId w:val="24"/>
              </w:numPr>
              <w:rPr>
                <w:b/>
                <w:bCs/>
              </w:rPr>
            </w:pPr>
            <w:r>
              <w:t>Shared decision making</w:t>
            </w:r>
          </w:p>
        </w:tc>
        <w:tc>
          <w:tcPr>
            <w:tcW w:w="787" w:type="pct"/>
            <w:tcBorders>
              <w:top w:val="dashed" w:sz="4" w:space="0" w:color="auto"/>
              <w:bottom w:val="dashed" w:sz="4" w:space="0" w:color="auto"/>
            </w:tcBorders>
          </w:tcPr>
          <w:p w14:paraId="293C9F9A" w14:textId="1DC7DDD1" w:rsidR="00B37A10" w:rsidRDefault="00641E12" w:rsidP="003B150B">
            <w:pPr>
              <w:pStyle w:val="Tabletext"/>
            </w:pPr>
            <w:r>
              <w:t xml:space="preserve">AGILE, </w:t>
            </w:r>
            <w:r w:rsidR="005E28D0">
              <w:t>BOA (end. BHS),</w:t>
            </w:r>
            <w:r w:rsidR="00A814CC">
              <w:t xml:space="preserve"> NCD,</w:t>
            </w:r>
            <w:r w:rsidR="00BC7585">
              <w:t xml:space="preserve"> SCM7</w:t>
            </w:r>
          </w:p>
        </w:tc>
        <w:tc>
          <w:tcPr>
            <w:tcW w:w="629" w:type="pct"/>
            <w:tcBorders>
              <w:top w:val="dashed" w:sz="4" w:space="0" w:color="auto"/>
              <w:bottom w:val="dashed" w:sz="4" w:space="0" w:color="auto"/>
            </w:tcBorders>
          </w:tcPr>
          <w:p w14:paraId="15C3A566" w14:textId="77777777" w:rsidR="00B37A10" w:rsidRPr="00910B42" w:rsidRDefault="00B37A10" w:rsidP="003B150B">
            <w:pPr>
              <w:pStyle w:val="Tabletext"/>
            </w:pPr>
            <w:r>
              <w:t>Yes</w:t>
            </w:r>
          </w:p>
        </w:tc>
        <w:tc>
          <w:tcPr>
            <w:tcW w:w="629" w:type="pct"/>
            <w:tcBorders>
              <w:top w:val="dashed" w:sz="4" w:space="0" w:color="auto"/>
              <w:bottom w:val="dashed" w:sz="4" w:space="0" w:color="auto"/>
            </w:tcBorders>
          </w:tcPr>
          <w:p w14:paraId="0DACF45A" w14:textId="77777777" w:rsidR="00B37A10" w:rsidRPr="00910B42" w:rsidRDefault="00B37A10" w:rsidP="003B150B">
            <w:pPr>
              <w:pStyle w:val="Tabletext"/>
            </w:pPr>
            <w:r>
              <w:t>Yes</w:t>
            </w:r>
          </w:p>
        </w:tc>
        <w:tc>
          <w:tcPr>
            <w:tcW w:w="629" w:type="pct"/>
            <w:tcBorders>
              <w:top w:val="dashed" w:sz="4" w:space="0" w:color="auto"/>
              <w:bottom w:val="dashed" w:sz="4" w:space="0" w:color="auto"/>
            </w:tcBorders>
          </w:tcPr>
          <w:p w14:paraId="3F26E04F" w14:textId="5137D75F" w:rsidR="00B37A10" w:rsidRPr="00910B42" w:rsidRDefault="00B37A10" w:rsidP="003B150B">
            <w:pPr>
              <w:pStyle w:val="Tabletext"/>
            </w:pPr>
            <w:r>
              <w:t>No</w:t>
            </w:r>
          </w:p>
        </w:tc>
        <w:tc>
          <w:tcPr>
            <w:tcW w:w="628" w:type="pct"/>
            <w:tcBorders>
              <w:top w:val="dashed" w:sz="4" w:space="0" w:color="auto"/>
              <w:bottom w:val="dashed" w:sz="4" w:space="0" w:color="auto"/>
            </w:tcBorders>
          </w:tcPr>
          <w:p w14:paraId="517818B4" w14:textId="65AB170E" w:rsidR="00B37A10" w:rsidRPr="00910B42" w:rsidRDefault="00B37A10" w:rsidP="003B150B">
            <w:pPr>
              <w:pStyle w:val="Tabletext"/>
            </w:pPr>
            <w:r>
              <w:t xml:space="preserve">Yes </w:t>
            </w:r>
          </w:p>
        </w:tc>
        <w:tc>
          <w:tcPr>
            <w:tcW w:w="601" w:type="pct"/>
            <w:tcBorders>
              <w:top w:val="dashed" w:sz="4" w:space="0" w:color="auto"/>
              <w:bottom w:val="dashed" w:sz="4" w:space="0" w:color="auto"/>
            </w:tcBorders>
          </w:tcPr>
          <w:p w14:paraId="0758A1B6" w14:textId="77777777" w:rsidR="00B37A10" w:rsidRPr="00910B42" w:rsidRDefault="00B37A10" w:rsidP="003B150B">
            <w:pPr>
              <w:pStyle w:val="Tabletext"/>
              <w:rPr>
                <w:b/>
                <w:bCs/>
              </w:rPr>
            </w:pPr>
            <w:r>
              <w:rPr>
                <w:b/>
                <w:bCs/>
              </w:rPr>
              <w:t>Yes</w:t>
            </w:r>
          </w:p>
        </w:tc>
      </w:tr>
      <w:tr w:rsidR="001A2B81" w:rsidRPr="00910B42" w14:paraId="3396E2B8" w14:textId="77777777" w:rsidTr="00DB6B0F">
        <w:trPr>
          <w:trHeight w:val="190"/>
        </w:trPr>
        <w:tc>
          <w:tcPr>
            <w:tcW w:w="1097" w:type="pct"/>
            <w:tcBorders>
              <w:top w:val="dashed" w:sz="4" w:space="0" w:color="auto"/>
              <w:left w:val="single" w:sz="4" w:space="0" w:color="auto"/>
              <w:bottom w:val="single" w:sz="4" w:space="0" w:color="auto"/>
              <w:right w:val="single" w:sz="4" w:space="0" w:color="auto"/>
            </w:tcBorders>
            <w:shd w:val="clear" w:color="auto" w:fill="auto"/>
          </w:tcPr>
          <w:p w14:paraId="2A7B0C13" w14:textId="73877BCD" w:rsidR="00B37A10" w:rsidRDefault="00B37A10" w:rsidP="000868F8">
            <w:pPr>
              <w:pStyle w:val="Tabletext"/>
              <w:numPr>
                <w:ilvl w:val="0"/>
                <w:numId w:val="24"/>
              </w:numPr>
            </w:pPr>
            <w:r>
              <w:t xml:space="preserve">Information </w:t>
            </w:r>
          </w:p>
        </w:tc>
        <w:tc>
          <w:tcPr>
            <w:tcW w:w="787" w:type="pct"/>
            <w:tcBorders>
              <w:top w:val="dashed" w:sz="4" w:space="0" w:color="auto"/>
              <w:left w:val="single" w:sz="4" w:space="0" w:color="auto"/>
              <w:bottom w:val="single" w:sz="4" w:space="0" w:color="auto"/>
              <w:right w:val="single" w:sz="4" w:space="0" w:color="auto"/>
            </w:tcBorders>
          </w:tcPr>
          <w:p w14:paraId="4D8AFF3B" w14:textId="703096B7" w:rsidR="00B37A10" w:rsidRPr="001F3892" w:rsidRDefault="005E28D0" w:rsidP="003B150B">
            <w:pPr>
              <w:pStyle w:val="Tabletext"/>
              <w:rPr>
                <w:szCs w:val="22"/>
              </w:rPr>
            </w:pPr>
            <w:r>
              <w:rPr>
                <w:szCs w:val="22"/>
              </w:rPr>
              <w:t>BESS, SCM</w:t>
            </w:r>
            <w:r w:rsidR="00A65DD8">
              <w:rPr>
                <w:szCs w:val="22"/>
              </w:rPr>
              <w:t>s</w:t>
            </w:r>
            <w:r>
              <w:rPr>
                <w:szCs w:val="22"/>
              </w:rPr>
              <w:t xml:space="preserve">, VA </w:t>
            </w:r>
          </w:p>
        </w:tc>
        <w:tc>
          <w:tcPr>
            <w:tcW w:w="629" w:type="pct"/>
            <w:tcBorders>
              <w:top w:val="dashed" w:sz="4" w:space="0" w:color="auto"/>
              <w:left w:val="single" w:sz="4" w:space="0" w:color="auto"/>
              <w:bottom w:val="single" w:sz="4" w:space="0" w:color="auto"/>
              <w:right w:val="single" w:sz="4" w:space="0" w:color="auto"/>
            </w:tcBorders>
          </w:tcPr>
          <w:p w14:paraId="686E5B77" w14:textId="713A946D" w:rsidR="00B37A10" w:rsidRDefault="00B37A10" w:rsidP="003B150B">
            <w:pPr>
              <w:pStyle w:val="Tabletext"/>
            </w:pPr>
            <w:r>
              <w:t>Yes</w:t>
            </w:r>
          </w:p>
        </w:tc>
        <w:tc>
          <w:tcPr>
            <w:tcW w:w="629" w:type="pct"/>
            <w:tcBorders>
              <w:top w:val="dashed" w:sz="4" w:space="0" w:color="auto"/>
              <w:left w:val="single" w:sz="4" w:space="0" w:color="auto"/>
              <w:bottom w:val="single" w:sz="4" w:space="0" w:color="auto"/>
              <w:right w:val="single" w:sz="4" w:space="0" w:color="auto"/>
            </w:tcBorders>
          </w:tcPr>
          <w:p w14:paraId="6CB7C6AF" w14:textId="674ACC00" w:rsidR="00B37A10" w:rsidRDefault="00B37A10" w:rsidP="003B150B">
            <w:pPr>
              <w:pStyle w:val="Tabletext"/>
            </w:pPr>
            <w:r>
              <w:t>Yes</w:t>
            </w:r>
          </w:p>
        </w:tc>
        <w:tc>
          <w:tcPr>
            <w:tcW w:w="629" w:type="pct"/>
            <w:tcBorders>
              <w:top w:val="dashed" w:sz="4" w:space="0" w:color="auto"/>
              <w:left w:val="single" w:sz="4" w:space="0" w:color="auto"/>
              <w:bottom w:val="single" w:sz="4" w:space="0" w:color="auto"/>
              <w:right w:val="single" w:sz="4" w:space="0" w:color="auto"/>
            </w:tcBorders>
          </w:tcPr>
          <w:p w14:paraId="614E1B56" w14:textId="2B33B4E1" w:rsidR="00B37A10" w:rsidRDefault="009E277E" w:rsidP="003B150B">
            <w:pPr>
              <w:pStyle w:val="Tabletext"/>
            </w:pPr>
            <w:r>
              <w:t xml:space="preserve">Yes </w:t>
            </w:r>
          </w:p>
        </w:tc>
        <w:tc>
          <w:tcPr>
            <w:tcW w:w="628" w:type="pct"/>
            <w:tcBorders>
              <w:top w:val="dashed" w:sz="4" w:space="0" w:color="auto"/>
              <w:left w:val="single" w:sz="4" w:space="0" w:color="auto"/>
              <w:bottom w:val="single" w:sz="4" w:space="0" w:color="auto"/>
              <w:right w:val="single" w:sz="4" w:space="0" w:color="auto"/>
            </w:tcBorders>
          </w:tcPr>
          <w:p w14:paraId="0C7BA483" w14:textId="39044BA7" w:rsidR="00B37A10" w:rsidRDefault="009E277E" w:rsidP="003B150B">
            <w:pPr>
              <w:pStyle w:val="Tabletext"/>
            </w:pPr>
            <w:r>
              <w:t>Partial: QS15</w:t>
            </w:r>
          </w:p>
        </w:tc>
        <w:tc>
          <w:tcPr>
            <w:tcW w:w="601" w:type="pct"/>
            <w:tcBorders>
              <w:top w:val="dashed" w:sz="4" w:space="0" w:color="auto"/>
              <w:left w:val="single" w:sz="4" w:space="0" w:color="auto"/>
              <w:bottom w:val="single" w:sz="4" w:space="0" w:color="auto"/>
              <w:right w:val="single" w:sz="4" w:space="0" w:color="auto"/>
            </w:tcBorders>
          </w:tcPr>
          <w:p w14:paraId="7E62E923" w14:textId="10687474" w:rsidR="00B37A10" w:rsidRDefault="00B37A10" w:rsidP="003B150B">
            <w:pPr>
              <w:pStyle w:val="Tabletext"/>
              <w:rPr>
                <w:b/>
                <w:bCs/>
              </w:rPr>
            </w:pPr>
            <w:r>
              <w:rPr>
                <w:b/>
                <w:bCs/>
              </w:rPr>
              <w:t>Yes</w:t>
            </w:r>
          </w:p>
        </w:tc>
      </w:tr>
      <w:tr w:rsidR="001A2B81" w:rsidRPr="00910B42" w14:paraId="67D0F716" w14:textId="77777777" w:rsidTr="00DB6B0F">
        <w:trPr>
          <w:trHeight w:val="144"/>
        </w:trPr>
        <w:tc>
          <w:tcPr>
            <w:tcW w:w="1097" w:type="pct"/>
            <w:tcBorders>
              <w:top w:val="dashed" w:sz="4" w:space="0" w:color="auto"/>
              <w:left w:val="single" w:sz="4" w:space="0" w:color="auto"/>
              <w:bottom w:val="dashed" w:sz="4" w:space="0" w:color="auto"/>
              <w:right w:val="single" w:sz="4" w:space="0" w:color="auto"/>
            </w:tcBorders>
            <w:shd w:val="clear" w:color="auto" w:fill="auto"/>
          </w:tcPr>
          <w:p w14:paraId="6E6227E2" w14:textId="712FADEA" w:rsidR="00FB5DF2" w:rsidRPr="00B37A10" w:rsidRDefault="00FB5DF2" w:rsidP="00B37A10">
            <w:pPr>
              <w:pStyle w:val="Tabletext"/>
              <w:rPr>
                <w:b/>
                <w:bCs/>
              </w:rPr>
            </w:pPr>
            <w:r w:rsidRPr="00FB5DF2">
              <w:rPr>
                <w:b/>
                <w:bCs/>
              </w:rPr>
              <w:t>Anaesthesia, tranexamic acid and VTE prophylaxis</w:t>
            </w:r>
          </w:p>
        </w:tc>
        <w:tc>
          <w:tcPr>
            <w:tcW w:w="787" w:type="pct"/>
            <w:tcBorders>
              <w:top w:val="dashed" w:sz="4" w:space="0" w:color="auto"/>
              <w:left w:val="single" w:sz="4" w:space="0" w:color="auto"/>
              <w:bottom w:val="dashed" w:sz="4" w:space="0" w:color="auto"/>
              <w:right w:val="single" w:sz="4" w:space="0" w:color="auto"/>
            </w:tcBorders>
          </w:tcPr>
          <w:p w14:paraId="46A0F9F2" w14:textId="77777777" w:rsidR="00FB5DF2" w:rsidRPr="001F3892" w:rsidRDefault="00FB5DF2" w:rsidP="003B150B">
            <w:pPr>
              <w:pStyle w:val="Tabletext"/>
              <w:rPr>
                <w:szCs w:val="22"/>
              </w:rPr>
            </w:pPr>
          </w:p>
        </w:tc>
        <w:tc>
          <w:tcPr>
            <w:tcW w:w="629" w:type="pct"/>
            <w:tcBorders>
              <w:top w:val="dashed" w:sz="4" w:space="0" w:color="auto"/>
              <w:left w:val="single" w:sz="4" w:space="0" w:color="auto"/>
              <w:bottom w:val="dashed" w:sz="4" w:space="0" w:color="auto"/>
              <w:right w:val="single" w:sz="4" w:space="0" w:color="auto"/>
            </w:tcBorders>
          </w:tcPr>
          <w:p w14:paraId="28A181AC" w14:textId="3E162D17" w:rsidR="00FB5DF2" w:rsidRDefault="00FB5DF2" w:rsidP="003B150B">
            <w:pPr>
              <w:pStyle w:val="Tabletext"/>
            </w:pPr>
          </w:p>
        </w:tc>
        <w:tc>
          <w:tcPr>
            <w:tcW w:w="629" w:type="pct"/>
            <w:tcBorders>
              <w:top w:val="dashed" w:sz="4" w:space="0" w:color="auto"/>
              <w:left w:val="single" w:sz="4" w:space="0" w:color="auto"/>
              <w:bottom w:val="dashed" w:sz="4" w:space="0" w:color="auto"/>
              <w:right w:val="single" w:sz="4" w:space="0" w:color="auto"/>
            </w:tcBorders>
          </w:tcPr>
          <w:p w14:paraId="56F86545" w14:textId="51C2ED4B" w:rsidR="00FB5DF2" w:rsidRDefault="00FB5DF2" w:rsidP="003B150B">
            <w:pPr>
              <w:pStyle w:val="Tabletext"/>
            </w:pPr>
          </w:p>
        </w:tc>
        <w:tc>
          <w:tcPr>
            <w:tcW w:w="629" w:type="pct"/>
            <w:tcBorders>
              <w:top w:val="dashed" w:sz="4" w:space="0" w:color="auto"/>
              <w:left w:val="single" w:sz="4" w:space="0" w:color="auto"/>
              <w:bottom w:val="dashed" w:sz="4" w:space="0" w:color="auto"/>
              <w:right w:val="single" w:sz="4" w:space="0" w:color="auto"/>
            </w:tcBorders>
          </w:tcPr>
          <w:p w14:paraId="1251F457" w14:textId="73F9D08F" w:rsidR="00FB5DF2" w:rsidRDefault="00FB5DF2" w:rsidP="003B150B">
            <w:pPr>
              <w:pStyle w:val="Tabletext"/>
            </w:pPr>
          </w:p>
        </w:tc>
        <w:tc>
          <w:tcPr>
            <w:tcW w:w="628" w:type="pct"/>
            <w:tcBorders>
              <w:top w:val="dashed" w:sz="4" w:space="0" w:color="auto"/>
              <w:left w:val="single" w:sz="4" w:space="0" w:color="auto"/>
              <w:bottom w:val="dashed" w:sz="4" w:space="0" w:color="auto"/>
              <w:right w:val="single" w:sz="4" w:space="0" w:color="auto"/>
            </w:tcBorders>
          </w:tcPr>
          <w:p w14:paraId="6D177323" w14:textId="105DA7C4" w:rsidR="00FB5DF2" w:rsidRDefault="00FB5DF2" w:rsidP="003B150B">
            <w:pPr>
              <w:pStyle w:val="Tabletext"/>
            </w:pPr>
          </w:p>
        </w:tc>
        <w:tc>
          <w:tcPr>
            <w:tcW w:w="601" w:type="pct"/>
            <w:tcBorders>
              <w:top w:val="dashed" w:sz="4" w:space="0" w:color="auto"/>
              <w:left w:val="single" w:sz="4" w:space="0" w:color="auto"/>
              <w:bottom w:val="dashed" w:sz="4" w:space="0" w:color="auto"/>
              <w:right w:val="single" w:sz="4" w:space="0" w:color="auto"/>
            </w:tcBorders>
          </w:tcPr>
          <w:p w14:paraId="37A8F522" w14:textId="1EAA8FDC" w:rsidR="00FB5DF2" w:rsidRDefault="00FB5DF2" w:rsidP="003B150B">
            <w:pPr>
              <w:pStyle w:val="Tabletext"/>
              <w:rPr>
                <w:b/>
                <w:bCs/>
              </w:rPr>
            </w:pPr>
          </w:p>
        </w:tc>
      </w:tr>
      <w:tr w:rsidR="001A2B81" w:rsidRPr="00910B42" w14:paraId="67ABE145" w14:textId="77777777" w:rsidTr="00DB6B0F">
        <w:trPr>
          <w:trHeight w:val="142"/>
        </w:trPr>
        <w:tc>
          <w:tcPr>
            <w:tcW w:w="1097" w:type="pct"/>
            <w:tcBorders>
              <w:top w:val="dashed" w:sz="4" w:space="0" w:color="auto"/>
              <w:left w:val="single" w:sz="4" w:space="0" w:color="auto"/>
              <w:bottom w:val="dashed" w:sz="4" w:space="0" w:color="auto"/>
              <w:right w:val="single" w:sz="4" w:space="0" w:color="auto"/>
            </w:tcBorders>
            <w:shd w:val="clear" w:color="auto" w:fill="auto"/>
          </w:tcPr>
          <w:p w14:paraId="74E64BC5" w14:textId="1F0113CD" w:rsidR="00EE6FC8" w:rsidRPr="00FB5DF2" w:rsidRDefault="00EE6FC8" w:rsidP="000868F8">
            <w:pPr>
              <w:pStyle w:val="Tabletext"/>
              <w:numPr>
                <w:ilvl w:val="0"/>
                <w:numId w:val="24"/>
              </w:numPr>
            </w:pPr>
            <w:r>
              <w:t>Choice of anaesthesia</w:t>
            </w:r>
          </w:p>
        </w:tc>
        <w:tc>
          <w:tcPr>
            <w:tcW w:w="787" w:type="pct"/>
            <w:tcBorders>
              <w:top w:val="dashed" w:sz="4" w:space="0" w:color="auto"/>
              <w:left w:val="single" w:sz="4" w:space="0" w:color="auto"/>
              <w:bottom w:val="dashed" w:sz="4" w:space="0" w:color="auto"/>
              <w:right w:val="single" w:sz="4" w:space="0" w:color="auto"/>
            </w:tcBorders>
          </w:tcPr>
          <w:p w14:paraId="41F5ACF1" w14:textId="155A2F61" w:rsidR="00EE6FC8" w:rsidRPr="001F3892" w:rsidRDefault="00BC7585" w:rsidP="00EE6FC8">
            <w:pPr>
              <w:pStyle w:val="Tabletext"/>
              <w:rPr>
                <w:szCs w:val="22"/>
              </w:rPr>
            </w:pPr>
            <w:r>
              <w:rPr>
                <w:szCs w:val="22"/>
              </w:rPr>
              <w:t>SCM7</w:t>
            </w:r>
          </w:p>
        </w:tc>
        <w:tc>
          <w:tcPr>
            <w:tcW w:w="629" w:type="pct"/>
            <w:tcBorders>
              <w:top w:val="dashed" w:sz="4" w:space="0" w:color="auto"/>
              <w:left w:val="single" w:sz="4" w:space="0" w:color="auto"/>
              <w:bottom w:val="dashed" w:sz="4" w:space="0" w:color="auto"/>
              <w:right w:val="single" w:sz="4" w:space="0" w:color="auto"/>
            </w:tcBorders>
          </w:tcPr>
          <w:p w14:paraId="08F87471" w14:textId="22D3C1D4" w:rsidR="00EE6FC8" w:rsidRDefault="00EE6FC8" w:rsidP="00EE6FC8">
            <w:pPr>
              <w:pStyle w:val="Tabletext"/>
            </w:pPr>
            <w:r>
              <w:t>Yes</w:t>
            </w:r>
          </w:p>
        </w:tc>
        <w:tc>
          <w:tcPr>
            <w:tcW w:w="629" w:type="pct"/>
            <w:tcBorders>
              <w:top w:val="dashed" w:sz="4" w:space="0" w:color="auto"/>
              <w:left w:val="single" w:sz="4" w:space="0" w:color="auto"/>
              <w:bottom w:val="dashed" w:sz="4" w:space="0" w:color="auto"/>
              <w:right w:val="single" w:sz="4" w:space="0" w:color="auto"/>
            </w:tcBorders>
          </w:tcPr>
          <w:p w14:paraId="3E97D331" w14:textId="30BFAEE5" w:rsidR="00EE6FC8" w:rsidRDefault="00EE6FC8" w:rsidP="00EE6FC8">
            <w:pPr>
              <w:pStyle w:val="Tabletext"/>
            </w:pPr>
            <w:r>
              <w:t>Yes</w:t>
            </w:r>
          </w:p>
        </w:tc>
        <w:tc>
          <w:tcPr>
            <w:tcW w:w="629" w:type="pct"/>
            <w:tcBorders>
              <w:top w:val="dashed" w:sz="4" w:space="0" w:color="auto"/>
              <w:left w:val="single" w:sz="4" w:space="0" w:color="auto"/>
              <w:bottom w:val="dashed" w:sz="4" w:space="0" w:color="auto"/>
              <w:right w:val="single" w:sz="4" w:space="0" w:color="auto"/>
            </w:tcBorders>
          </w:tcPr>
          <w:p w14:paraId="618DC4DB" w14:textId="0A897741" w:rsidR="00EE6FC8" w:rsidRDefault="00EE6FC8" w:rsidP="00EE6FC8">
            <w:pPr>
              <w:pStyle w:val="Tabletext"/>
            </w:pPr>
            <w:r>
              <w:t xml:space="preserve">Yes </w:t>
            </w:r>
          </w:p>
        </w:tc>
        <w:tc>
          <w:tcPr>
            <w:tcW w:w="628" w:type="pct"/>
            <w:tcBorders>
              <w:top w:val="dashed" w:sz="4" w:space="0" w:color="auto"/>
              <w:left w:val="single" w:sz="4" w:space="0" w:color="auto"/>
              <w:bottom w:val="dashed" w:sz="4" w:space="0" w:color="auto"/>
              <w:right w:val="single" w:sz="4" w:space="0" w:color="auto"/>
            </w:tcBorders>
          </w:tcPr>
          <w:p w14:paraId="16C5FF65" w14:textId="13DF2BBE" w:rsidR="00EE6FC8" w:rsidRDefault="00EE6FC8" w:rsidP="00EE6FC8">
            <w:pPr>
              <w:pStyle w:val="Tabletext"/>
            </w:pPr>
            <w:r>
              <w:t>No</w:t>
            </w:r>
          </w:p>
        </w:tc>
        <w:tc>
          <w:tcPr>
            <w:tcW w:w="601" w:type="pct"/>
            <w:tcBorders>
              <w:top w:val="dashed" w:sz="4" w:space="0" w:color="auto"/>
              <w:left w:val="single" w:sz="4" w:space="0" w:color="auto"/>
              <w:bottom w:val="dashed" w:sz="4" w:space="0" w:color="auto"/>
              <w:right w:val="single" w:sz="4" w:space="0" w:color="auto"/>
            </w:tcBorders>
          </w:tcPr>
          <w:p w14:paraId="44E38681" w14:textId="739DCBCC" w:rsidR="00EE6FC8" w:rsidRDefault="00EE6FC8" w:rsidP="00EE6FC8">
            <w:pPr>
              <w:pStyle w:val="Tabletext"/>
              <w:rPr>
                <w:b/>
                <w:bCs/>
              </w:rPr>
            </w:pPr>
            <w:r>
              <w:rPr>
                <w:b/>
                <w:bCs/>
              </w:rPr>
              <w:t>Yes</w:t>
            </w:r>
          </w:p>
        </w:tc>
      </w:tr>
      <w:tr w:rsidR="001A2B81" w:rsidRPr="00910B42" w14:paraId="780F334B" w14:textId="77777777" w:rsidTr="00DB6B0F">
        <w:trPr>
          <w:trHeight w:val="142"/>
        </w:trPr>
        <w:tc>
          <w:tcPr>
            <w:tcW w:w="1097" w:type="pct"/>
            <w:tcBorders>
              <w:top w:val="dashed" w:sz="4" w:space="0" w:color="auto"/>
              <w:left w:val="single" w:sz="4" w:space="0" w:color="auto"/>
              <w:bottom w:val="dashed" w:sz="4" w:space="0" w:color="auto"/>
              <w:right w:val="single" w:sz="4" w:space="0" w:color="auto"/>
            </w:tcBorders>
            <w:shd w:val="clear" w:color="auto" w:fill="auto"/>
          </w:tcPr>
          <w:p w14:paraId="47EE0F2C" w14:textId="01E3A7B8" w:rsidR="00EE6FC8" w:rsidRPr="00FB5DF2" w:rsidRDefault="00EE6FC8" w:rsidP="000868F8">
            <w:pPr>
              <w:pStyle w:val="Tabletext"/>
              <w:numPr>
                <w:ilvl w:val="0"/>
                <w:numId w:val="24"/>
              </w:numPr>
            </w:pPr>
            <w:r>
              <w:t>Tranexamic acid</w:t>
            </w:r>
          </w:p>
        </w:tc>
        <w:tc>
          <w:tcPr>
            <w:tcW w:w="787" w:type="pct"/>
            <w:tcBorders>
              <w:top w:val="dashed" w:sz="4" w:space="0" w:color="auto"/>
              <w:left w:val="single" w:sz="4" w:space="0" w:color="auto"/>
              <w:bottom w:val="dashed" w:sz="4" w:space="0" w:color="auto"/>
              <w:right w:val="single" w:sz="4" w:space="0" w:color="auto"/>
            </w:tcBorders>
          </w:tcPr>
          <w:p w14:paraId="12C8F589" w14:textId="39AB16E8" w:rsidR="00EE6FC8" w:rsidRPr="001F3892" w:rsidRDefault="00BC7585" w:rsidP="00EE6FC8">
            <w:pPr>
              <w:pStyle w:val="Tabletext"/>
              <w:rPr>
                <w:szCs w:val="22"/>
              </w:rPr>
            </w:pPr>
            <w:r>
              <w:rPr>
                <w:szCs w:val="22"/>
              </w:rPr>
              <w:t>SCM1</w:t>
            </w:r>
          </w:p>
        </w:tc>
        <w:tc>
          <w:tcPr>
            <w:tcW w:w="629" w:type="pct"/>
            <w:tcBorders>
              <w:top w:val="dashed" w:sz="4" w:space="0" w:color="auto"/>
              <w:left w:val="single" w:sz="4" w:space="0" w:color="auto"/>
              <w:bottom w:val="dashed" w:sz="4" w:space="0" w:color="auto"/>
              <w:right w:val="single" w:sz="4" w:space="0" w:color="auto"/>
            </w:tcBorders>
          </w:tcPr>
          <w:p w14:paraId="4280477C" w14:textId="72F91BA5" w:rsidR="00EE6FC8" w:rsidRDefault="00EE6FC8" w:rsidP="00EE6FC8">
            <w:pPr>
              <w:pStyle w:val="Tabletext"/>
            </w:pPr>
            <w:r>
              <w:t>Yes</w:t>
            </w:r>
          </w:p>
        </w:tc>
        <w:tc>
          <w:tcPr>
            <w:tcW w:w="629" w:type="pct"/>
            <w:tcBorders>
              <w:top w:val="dashed" w:sz="4" w:space="0" w:color="auto"/>
              <w:left w:val="single" w:sz="4" w:space="0" w:color="auto"/>
              <w:bottom w:val="dashed" w:sz="4" w:space="0" w:color="auto"/>
              <w:right w:val="single" w:sz="4" w:space="0" w:color="auto"/>
            </w:tcBorders>
          </w:tcPr>
          <w:p w14:paraId="4E433B29" w14:textId="7193A21B" w:rsidR="00EE6FC8" w:rsidRDefault="00EE6FC8" w:rsidP="00EE6FC8">
            <w:pPr>
              <w:pStyle w:val="Tabletext"/>
            </w:pPr>
            <w:r>
              <w:t>Yes</w:t>
            </w:r>
          </w:p>
        </w:tc>
        <w:tc>
          <w:tcPr>
            <w:tcW w:w="629" w:type="pct"/>
            <w:tcBorders>
              <w:top w:val="dashed" w:sz="4" w:space="0" w:color="auto"/>
              <w:left w:val="single" w:sz="4" w:space="0" w:color="auto"/>
              <w:bottom w:val="dashed" w:sz="4" w:space="0" w:color="auto"/>
              <w:right w:val="single" w:sz="4" w:space="0" w:color="auto"/>
            </w:tcBorders>
          </w:tcPr>
          <w:p w14:paraId="044168F1" w14:textId="56B0B335" w:rsidR="00EE6FC8" w:rsidRDefault="00EE6FC8" w:rsidP="00EE6FC8">
            <w:pPr>
              <w:pStyle w:val="Tabletext"/>
            </w:pPr>
            <w:r w:rsidRPr="00EE6FC8">
              <w:t xml:space="preserve">Yes </w:t>
            </w:r>
          </w:p>
        </w:tc>
        <w:tc>
          <w:tcPr>
            <w:tcW w:w="628" w:type="pct"/>
            <w:tcBorders>
              <w:top w:val="dashed" w:sz="4" w:space="0" w:color="auto"/>
              <w:left w:val="single" w:sz="4" w:space="0" w:color="auto"/>
              <w:bottom w:val="dashed" w:sz="4" w:space="0" w:color="auto"/>
              <w:right w:val="single" w:sz="4" w:space="0" w:color="auto"/>
            </w:tcBorders>
          </w:tcPr>
          <w:p w14:paraId="5C639F3F" w14:textId="01C45041" w:rsidR="00EE6FC8" w:rsidRDefault="00EE6FC8" w:rsidP="00EE6FC8">
            <w:pPr>
              <w:pStyle w:val="Tabletext"/>
            </w:pPr>
            <w:r>
              <w:t>No</w:t>
            </w:r>
          </w:p>
        </w:tc>
        <w:tc>
          <w:tcPr>
            <w:tcW w:w="601" w:type="pct"/>
            <w:tcBorders>
              <w:top w:val="dashed" w:sz="4" w:space="0" w:color="auto"/>
              <w:left w:val="single" w:sz="4" w:space="0" w:color="auto"/>
              <w:bottom w:val="dashed" w:sz="4" w:space="0" w:color="auto"/>
              <w:right w:val="single" w:sz="4" w:space="0" w:color="auto"/>
            </w:tcBorders>
          </w:tcPr>
          <w:p w14:paraId="74E1087A" w14:textId="505F30F8" w:rsidR="00EE6FC8" w:rsidRDefault="00EE6FC8" w:rsidP="00EE6FC8">
            <w:pPr>
              <w:pStyle w:val="Tabletext"/>
              <w:rPr>
                <w:b/>
                <w:bCs/>
              </w:rPr>
            </w:pPr>
            <w:r>
              <w:rPr>
                <w:b/>
                <w:bCs/>
              </w:rPr>
              <w:t>Yes</w:t>
            </w:r>
          </w:p>
        </w:tc>
      </w:tr>
      <w:tr w:rsidR="001A2B81" w:rsidRPr="00910B42" w14:paraId="22079248" w14:textId="77777777" w:rsidTr="00DB6B0F">
        <w:trPr>
          <w:trHeight w:val="142"/>
        </w:trPr>
        <w:tc>
          <w:tcPr>
            <w:tcW w:w="1097" w:type="pct"/>
            <w:tcBorders>
              <w:top w:val="dashed" w:sz="4" w:space="0" w:color="auto"/>
              <w:left w:val="single" w:sz="4" w:space="0" w:color="auto"/>
              <w:bottom w:val="dashed" w:sz="4" w:space="0" w:color="auto"/>
              <w:right w:val="single" w:sz="4" w:space="0" w:color="auto"/>
            </w:tcBorders>
            <w:shd w:val="clear" w:color="auto" w:fill="auto"/>
          </w:tcPr>
          <w:p w14:paraId="7A2FB190" w14:textId="00F44940" w:rsidR="00EE6FC8" w:rsidRPr="00FB5DF2" w:rsidRDefault="00EE6FC8" w:rsidP="000868F8">
            <w:pPr>
              <w:pStyle w:val="Tabletext"/>
              <w:numPr>
                <w:ilvl w:val="0"/>
                <w:numId w:val="24"/>
              </w:numPr>
            </w:pPr>
            <w:r>
              <w:t>VTE (DVT) prophylaxis</w:t>
            </w:r>
          </w:p>
        </w:tc>
        <w:tc>
          <w:tcPr>
            <w:tcW w:w="787" w:type="pct"/>
            <w:tcBorders>
              <w:top w:val="dashed" w:sz="4" w:space="0" w:color="auto"/>
              <w:left w:val="single" w:sz="4" w:space="0" w:color="auto"/>
              <w:bottom w:val="dashed" w:sz="4" w:space="0" w:color="auto"/>
              <w:right w:val="single" w:sz="4" w:space="0" w:color="auto"/>
            </w:tcBorders>
          </w:tcPr>
          <w:p w14:paraId="12BBE21E" w14:textId="0BF1539F" w:rsidR="00EE6FC8" w:rsidRPr="001F3892" w:rsidRDefault="00BC7585" w:rsidP="00EE6FC8">
            <w:pPr>
              <w:pStyle w:val="Tabletext"/>
              <w:rPr>
                <w:szCs w:val="22"/>
              </w:rPr>
            </w:pPr>
            <w:r>
              <w:rPr>
                <w:szCs w:val="22"/>
              </w:rPr>
              <w:t>NE</w:t>
            </w:r>
          </w:p>
        </w:tc>
        <w:tc>
          <w:tcPr>
            <w:tcW w:w="629" w:type="pct"/>
            <w:tcBorders>
              <w:top w:val="dashed" w:sz="4" w:space="0" w:color="auto"/>
              <w:left w:val="single" w:sz="4" w:space="0" w:color="auto"/>
              <w:bottom w:val="dashed" w:sz="4" w:space="0" w:color="auto"/>
              <w:right w:val="single" w:sz="4" w:space="0" w:color="auto"/>
            </w:tcBorders>
          </w:tcPr>
          <w:p w14:paraId="4CDE55AA" w14:textId="3265E3FC" w:rsidR="00EE6FC8" w:rsidRDefault="00EE6FC8" w:rsidP="00EE6FC8">
            <w:pPr>
              <w:pStyle w:val="Tabletext"/>
            </w:pPr>
            <w:r>
              <w:t>Yes</w:t>
            </w:r>
          </w:p>
        </w:tc>
        <w:tc>
          <w:tcPr>
            <w:tcW w:w="629" w:type="pct"/>
            <w:tcBorders>
              <w:top w:val="dashed" w:sz="4" w:space="0" w:color="auto"/>
              <w:left w:val="single" w:sz="4" w:space="0" w:color="auto"/>
              <w:bottom w:val="dashed" w:sz="4" w:space="0" w:color="auto"/>
              <w:right w:val="single" w:sz="4" w:space="0" w:color="auto"/>
            </w:tcBorders>
          </w:tcPr>
          <w:p w14:paraId="08894084" w14:textId="1D00997C" w:rsidR="00EE6FC8" w:rsidRDefault="00EE6FC8" w:rsidP="00EE6FC8">
            <w:pPr>
              <w:pStyle w:val="Tabletext"/>
            </w:pPr>
            <w:r>
              <w:t>No</w:t>
            </w:r>
          </w:p>
        </w:tc>
        <w:tc>
          <w:tcPr>
            <w:tcW w:w="629" w:type="pct"/>
            <w:tcBorders>
              <w:top w:val="dashed" w:sz="4" w:space="0" w:color="auto"/>
              <w:left w:val="single" w:sz="4" w:space="0" w:color="auto"/>
              <w:bottom w:val="dashed" w:sz="4" w:space="0" w:color="auto"/>
              <w:right w:val="single" w:sz="4" w:space="0" w:color="auto"/>
            </w:tcBorders>
          </w:tcPr>
          <w:p w14:paraId="147CAEB2" w14:textId="53D7D3BE" w:rsidR="00EE6FC8" w:rsidRDefault="00EE6FC8" w:rsidP="00EE6FC8">
            <w:pPr>
              <w:pStyle w:val="Tabletext"/>
            </w:pPr>
            <w:r>
              <w:t xml:space="preserve">Yes </w:t>
            </w:r>
          </w:p>
        </w:tc>
        <w:tc>
          <w:tcPr>
            <w:tcW w:w="628" w:type="pct"/>
            <w:tcBorders>
              <w:top w:val="dashed" w:sz="4" w:space="0" w:color="auto"/>
              <w:left w:val="single" w:sz="4" w:space="0" w:color="auto"/>
              <w:bottom w:val="dashed" w:sz="4" w:space="0" w:color="auto"/>
              <w:right w:val="single" w:sz="4" w:space="0" w:color="auto"/>
            </w:tcBorders>
          </w:tcPr>
          <w:p w14:paraId="0E46929F" w14:textId="1DAE2780" w:rsidR="00EE6FC8" w:rsidRDefault="00EE6FC8" w:rsidP="00EE6FC8">
            <w:pPr>
              <w:pStyle w:val="Tabletext"/>
            </w:pPr>
            <w:r>
              <w:t>No</w:t>
            </w:r>
          </w:p>
        </w:tc>
        <w:tc>
          <w:tcPr>
            <w:tcW w:w="601" w:type="pct"/>
            <w:tcBorders>
              <w:top w:val="dashed" w:sz="4" w:space="0" w:color="auto"/>
              <w:left w:val="single" w:sz="4" w:space="0" w:color="auto"/>
              <w:bottom w:val="dashed" w:sz="4" w:space="0" w:color="auto"/>
              <w:right w:val="single" w:sz="4" w:space="0" w:color="auto"/>
            </w:tcBorders>
          </w:tcPr>
          <w:p w14:paraId="44739AD4" w14:textId="465B1418" w:rsidR="00EE6FC8" w:rsidRDefault="00976FFA" w:rsidP="00EE6FC8">
            <w:pPr>
              <w:pStyle w:val="Tabletext"/>
              <w:rPr>
                <w:b/>
                <w:bCs/>
              </w:rPr>
            </w:pPr>
            <w:r>
              <w:rPr>
                <w:b/>
                <w:bCs/>
              </w:rPr>
              <w:t>No</w:t>
            </w:r>
          </w:p>
        </w:tc>
      </w:tr>
      <w:tr w:rsidR="001A2B81" w:rsidRPr="00910B42" w14:paraId="62799722"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3BAD8466" w14:textId="1CDEAEFD" w:rsidR="00EE6FC8" w:rsidRPr="00B57A9C" w:rsidRDefault="00EE6FC8" w:rsidP="00EE6FC8">
            <w:pPr>
              <w:pStyle w:val="Tabletext"/>
              <w:rPr>
                <w:b/>
                <w:bCs/>
              </w:rPr>
            </w:pPr>
            <w:r>
              <w:rPr>
                <w:b/>
                <w:bCs/>
              </w:rPr>
              <w:t>Surgery</w:t>
            </w:r>
          </w:p>
        </w:tc>
        <w:tc>
          <w:tcPr>
            <w:tcW w:w="787" w:type="pct"/>
            <w:tcBorders>
              <w:top w:val="single" w:sz="4" w:space="0" w:color="auto"/>
              <w:bottom w:val="single" w:sz="4" w:space="0" w:color="auto"/>
            </w:tcBorders>
          </w:tcPr>
          <w:p w14:paraId="0ABD08A9" w14:textId="77777777" w:rsidR="00EE6FC8" w:rsidRDefault="00EE6FC8" w:rsidP="00EE6FC8">
            <w:pPr>
              <w:pStyle w:val="Tabletext"/>
            </w:pPr>
          </w:p>
        </w:tc>
        <w:tc>
          <w:tcPr>
            <w:tcW w:w="629" w:type="pct"/>
            <w:tcBorders>
              <w:top w:val="single" w:sz="4" w:space="0" w:color="auto"/>
              <w:bottom w:val="single" w:sz="4" w:space="0" w:color="auto"/>
            </w:tcBorders>
          </w:tcPr>
          <w:p w14:paraId="1101F970" w14:textId="77777777" w:rsidR="00EE6FC8" w:rsidRPr="00910B42" w:rsidRDefault="00EE6FC8" w:rsidP="00EE6FC8">
            <w:pPr>
              <w:pStyle w:val="Tabletext"/>
            </w:pPr>
          </w:p>
        </w:tc>
        <w:tc>
          <w:tcPr>
            <w:tcW w:w="629" w:type="pct"/>
            <w:tcBorders>
              <w:top w:val="single" w:sz="4" w:space="0" w:color="auto"/>
              <w:bottom w:val="single" w:sz="4" w:space="0" w:color="auto"/>
            </w:tcBorders>
          </w:tcPr>
          <w:p w14:paraId="13CB0074" w14:textId="77777777" w:rsidR="00EE6FC8" w:rsidRPr="00910B42" w:rsidRDefault="00EE6FC8" w:rsidP="00EE6FC8">
            <w:pPr>
              <w:pStyle w:val="Tabletext"/>
            </w:pPr>
          </w:p>
        </w:tc>
        <w:tc>
          <w:tcPr>
            <w:tcW w:w="629" w:type="pct"/>
            <w:tcBorders>
              <w:top w:val="single" w:sz="4" w:space="0" w:color="auto"/>
              <w:bottom w:val="single" w:sz="4" w:space="0" w:color="auto"/>
            </w:tcBorders>
          </w:tcPr>
          <w:p w14:paraId="6DDD0F8B" w14:textId="77777777" w:rsidR="00EE6FC8" w:rsidRPr="00910B42" w:rsidRDefault="00EE6FC8" w:rsidP="00EE6FC8">
            <w:pPr>
              <w:pStyle w:val="Tabletext"/>
            </w:pPr>
          </w:p>
        </w:tc>
        <w:tc>
          <w:tcPr>
            <w:tcW w:w="628" w:type="pct"/>
            <w:tcBorders>
              <w:top w:val="single" w:sz="4" w:space="0" w:color="auto"/>
              <w:bottom w:val="single" w:sz="4" w:space="0" w:color="auto"/>
            </w:tcBorders>
          </w:tcPr>
          <w:p w14:paraId="54AA4A8B" w14:textId="77777777" w:rsidR="00EE6FC8" w:rsidRPr="00910B42" w:rsidRDefault="00EE6FC8" w:rsidP="00EE6FC8">
            <w:pPr>
              <w:pStyle w:val="Tabletext"/>
            </w:pPr>
          </w:p>
        </w:tc>
        <w:tc>
          <w:tcPr>
            <w:tcW w:w="601" w:type="pct"/>
            <w:tcBorders>
              <w:top w:val="single" w:sz="4" w:space="0" w:color="auto"/>
              <w:bottom w:val="single" w:sz="4" w:space="0" w:color="auto"/>
            </w:tcBorders>
          </w:tcPr>
          <w:p w14:paraId="23FAAADD" w14:textId="77777777" w:rsidR="00EE6FC8" w:rsidRPr="00910B42" w:rsidRDefault="00EE6FC8" w:rsidP="00EE6FC8">
            <w:pPr>
              <w:pStyle w:val="Tabletext"/>
              <w:rPr>
                <w:b/>
                <w:bCs/>
              </w:rPr>
            </w:pPr>
          </w:p>
        </w:tc>
      </w:tr>
      <w:tr w:rsidR="001A2B81" w:rsidRPr="00910B42" w14:paraId="5D660076"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0F477E5C" w14:textId="59899D4E" w:rsidR="00EE6FC8" w:rsidRPr="00EE6FC8" w:rsidRDefault="00EE6FC8" w:rsidP="000868F8">
            <w:pPr>
              <w:pStyle w:val="Tabletext"/>
              <w:numPr>
                <w:ilvl w:val="0"/>
                <w:numId w:val="24"/>
              </w:numPr>
            </w:pPr>
            <w:r w:rsidRPr="00EE6FC8">
              <w:lastRenderedPageBreak/>
              <w:t>Implant (prosthesis) errors</w:t>
            </w:r>
          </w:p>
        </w:tc>
        <w:tc>
          <w:tcPr>
            <w:tcW w:w="787" w:type="pct"/>
            <w:tcBorders>
              <w:top w:val="single" w:sz="4" w:space="0" w:color="auto"/>
              <w:bottom w:val="single" w:sz="4" w:space="0" w:color="auto"/>
            </w:tcBorders>
          </w:tcPr>
          <w:p w14:paraId="44C74A8A" w14:textId="56FDB754" w:rsidR="00EE6FC8" w:rsidRDefault="00BC7585" w:rsidP="00EE6FC8">
            <w:pPr>
              <w:pStyle w:val="Tabletext"/>
            </w:pPr>
            <w:r>
              <w:t>BOA</w:t>
            </w:r>
            <w:r w:rsidR="00AF5EB3">
              <w:t xml:space="preserve"> (end. BHS)</w:t>
            </w:r>
            <w:r w:rsidR="002615B3">
              <w:t>, SCM7</w:t>
            </w:r>
          </w:p>
        </w:tc>
        <w:tc>
          <w:tcPr>
            <w:tcW w:w="629" w:type="pct"/>
            <w:tcBorders>
              <w:top w:val="single" w:sz="4" w:space="0" w:color="auto"/>
              <w:bottom w:val="single" w:sz="4" w:space="0" w:color="auto"/>
            </w:tcBorders>
          </w:tcPr>
          <w:p w14:paraId="2C837609" w14:textId="24CF6C2D" w:rsidR="00EE6FC8" w:rsidRPr="00910B42" w:rsidRDefault="00EE6FC8" w:rsidP="00EE6FC8">
            <w:pPr>
              <w:pStyle w:val="Tabletext"/>
            </w:pPr>
            <w:r>
              <w:t>Yes</w:t>
            </w:r>
          </w:p>
        </w:tc>
        <w:tc>
          <w:tcPr>
            <w:tcW w:w="629" w:type="pct"/>
            <w:tcBorders>
              <w:top w:val="single" w:sz="4" w:space="0" w:color="auto"/>
              <w:bottom w:val="single" w:sz="4" w:space="0" w:color="auto"/>
            </w:tcBorders>
          </w:tcPr>
          <w:p w14:paraId="4A54124F" w14:textId="76CBABCE" w:rsidR="00EE6FC8" w:rsidRPr="00910B42" w:rsidRDefault="000825D2" w:rsidP="00EE6FC8">
            <w:pPr>
              <w:pStyle w:val="Tabletext"/>
            </w:pPr>
            <w:r>
              <w:t>Yes</w:t>
            </w:r>
          </w:p>
        </w:tc>
        <w:tc>
          <w:tcPr>
            <w:tcW w:w="629" w:type="pct"/>
            <w:tcBorders>
              <w:top w:val="single" w:sz="4" w:space="0" w:color="auto"/>
              <w:bottom w:val="single" w:sz="4" w:space="0" w:color="auto"/>
            </w:tcBorders>
          </w:tcPr>
          <w:p w14:paraId="164F2EC7" w14:textId="0C85127A" w:rsidR="00EE6FC8" w:rsidRPr="00910B42" w:rsidRDefault="00EE6FC8" w:rsidP="00EE6FC8">
            <w:pPr>
              <w:pStyle w:val="Tabletext"/>
            </w:pPr>
            <w:r>
              <w:t>Yes</w:t>
            </w:r>
          </w:p>
        </w:tc>
        <w:tc>
          <w:tcPr>
            <w:tcW w:w="628" w:type="pct"/>
            <w:tcBorders>
              <w:top w:val="single" w:sz="4" w:space="0" w:color="auto"/>
              <w:bottom w:val="single" w:sz="4" w:space="0" w:color="auto"/>
            </w:tcBorders>
          </w:tcPr>
          <w:p w14:paraId="76C2461B" w14:textId="0F6DF50B" w:rsidR="00EE6FC8" w:rsidRPr="00910B42" w:rsidRDefault="00EE6FC8" w:rsidP="00EE6FC8">
            <w:pPr>
              <w:pStyle w:val="Tabletext"/>
            </w:pPr>
            <w:r>
              <w:t>No</w:t>
            </w:r>
          </w:p>
        </w:tc>
        <w:tc>
          <w:tcPr>
            <w:tcW w:w="601" w:type="pct"/>
            <w:tcBorders>
              <w:top w:val="single" w:sz="4" w:space="0" w:color="auto"/>
              <w:bottom w:val="single" w:sz="4" w:space="0" w:color="auto"/>
            </w:tcBorders>
          </w:tcPr>
          <w:p w14:paraId="16087465" w14:textId="3A96EF82" w:rsidR="00EE6FC8" w:rsidRPr="00910B42" w:rsidRDefault="00EE6FC8" w:rsidP="00EE6FC8">
            <w:pPr>
              <w:pStyle w:val="Tabletext"/>
              <w:rPr>
                <w:b/>
                <w:bCs/>
              </w:rPr>
            </w:pPr>
            <w:r>
              <w:rPr>
                <w:b/>
                <w:bCs/>
              </w:rPr>
              <w:t>Yes</w:t>
            </w:r>
          </w:p>
        </w:tc>
      </w:tr>
      <w:tr w:rsidR="001A2B81" w:rsidRPr="00910B42" w14:paraId="605E5F12"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3F3F7C23" w14:textId="710F5DB9" w:rsidR="00EE6FC8" w:rsidRPr="00B57A9C" w:rsidRDefault="00EE6FC8" w:rsidP="000868F8">
            <w:pPr>
              <w:pStyle w:val="Tabletext"/>
              <w:numPr>
                <w:ilvl w:val="0"/>
                <w:numId w:val="24"/>
              </w:numPr>
              <w:rPr>
                <w:b/>
                <w:bCs/>
              </w:rPr>
            </w:pPr>
            <w:r>
              <w:t xml:space="preserve">Bone </w:t>
            </w:r>
            <w:r w:rsidR="00104176">
              <w:t>C</w:t>
            </w:r>
            <w:r>
              <w:t xml:space="preserve">ement </w:t>
            </w:r>
            <w:r w:rsidR="00104176">
              <w:t>I</w:t>
            </w:r>
            <w:r>
              <w:t xml:space="preserve">mplantation </w:t>
            </w:r>
            <w:r w:rsidR="00104176">
              <w:t>S</w:t>
            </w:r>
            <w:r>
              <w:t>yndrome</w:t>
            </w:r>
          </w:p>
        </w:tc>
        <w:tc>
          <w:tcPr>
            <w:tcW w:w="787" w:type="pct"/>
            <w:tcBorders>
              <w:top w:val="single" w:sz="4" w:space="0" w:color="auto"/>
              <w:bottom w:val="single" w:sz="4" w:space="0" w:color="auto"/>
            </w:tcBorders>
          </w:tcPr>
          <w:p w14:paraId="018A25E8" w14:textId="3106969D" w:rsidR="00EE6FC8" w:rsidRDefault="00BC7585" w:rsidP="00EE6FC8">
            <w:pPr>
              <w:pStyle w:val="Tabletext"/>
            </w:pPr>
            <w:r>
              <w:t>NHSE</w:t>
            </w:r>
            <w:r w:rsidR="00A67D52">
              <w:t>&amp;</w:t>
            </w:r>
            <w:r>
              <w:t>I PS</w:t>
            </w:r>
          </w:p>
        </w:tc>
        <w:tc>
          <w:tcPr>
            <w:tcW w:w="629" w:type="pct"/>
            <w:tcBorders>
              <w:top w:val="single" w:sz="4" w:space="0" w:color="auto"/>
              <w:bottom w:val="single" w:sz="4" w:space="0" w:color="auto"/>
            </w:tcBorders>
          </w:tcPr>
          <w:p w14:paraId="2BDCEAEE" w14:textId="4B6AFA12" w:rsidR="00EE6FC8" w:rsidRPr="00910B42" w:rsidRDefault="000825D2" w:rsidP="00EE6FC8">
            <w:pPr>
              <w:pStyle w:val="Tabletext"/>
            </w:pPr>
            <w:r>
              <w:t>Yes</w:t>
            </w:r>
          </w:p>
        </w:tc>
        <w:tc>
          <w:tcPr>
            <w:tcW w:w="629" w:type="pct"/>
            <w:tcBorders>
              <w:top w:val="single" w:sz="4" w:space="0" w:color="auto"/>
              <w:bottom w:val="single" w:sz="4" w:space="0" w:color="auto"/>
            </w:tcBorders>
          </w:tcPr>
          <w:p w14:paraId="552D8866" w14:textId="74D7107B" w:rsidR="00EE6FC8" w:rsidRPr="00910B42" w:rsidRDefault="000825D2" w:rsidP="00EE6FC8">
            <w:pPr>
              <w:pStyle w:val="Tabletext"/>
            </w:pPr>
            <w:r>
              <w:t xml:space="preserve">Yes </w:t>
            </w:r>
          </w:p>
        </w:tc>
        <w:tc>
          <w:tcPr>
            <w:tcW w:w="629" w:type="pct"/>
            <w:tcBorders>
              <w:top w:val="single" w:sz="4" w:space="0" w:color="auto"/>
              <w:bottom w:val="single" w:sz="4" w:space="0" w:color="auto"/>
            </w:tcBorders>
          </w:tcPr>
          <w:p w14:paraId="4ED69186" w14:textId="3BA0E4B0" w:rsidR="00EE6FC8" w:rsidRPr="00910B42" w:rsidRDefault="00285404" w:rsidP="00EE6FC8">
            <w:pPr>
              <w:pStyle w:val="Tabletext"/>
            </w:pPr>
            <w:r>
              <w:t>Yes</w:t>
            </w:r>
          </w:p>
        </w:tc>
        <w:tc>
          <w:tcPr>
            <w:tcW w:w="628" w:type="pct"/>
            <w:tcBorders>
              <w:top w:val="single" w:sz="4" w:space="0" w:color="auto"/>
              <w:bottom w:val="single" w:sz="4" w:space="0" w:color="auto"/>
            </w:tcBorders>
          </w:tcPr>
          <w:p w14:paraId="1899A962" w14:textId="4046FE28" w:rsidR="00EE6FC8" w:rsidRPr="00910B42" w:rsidRDefault="000825D2" w:rsidP="00EE6FC8">
            <w:pPr>
              <w:pStyle w:val="Tabletext"/>
            </w:pPr>
            <w:r>
              <w:t>No</w:t>
            </w:r>
          </w:p>
        </w:tc>
        <w:tc>
          <w:tcPr>
            <w:tcW w:w="601" w:type="pct"/>
            <w:tcBorders>
              <w:top w:val="single" w:sz="4" w:space="0" w:color="auto"/>
              <w:bottom w:val="single" w:sz="4" w:space="0" w:color="auto"/>
            </w:tcBorders>
          </w:tcPr>
          <w:p w14:paraId="5A03D710" w14:textId="784E92F7" w:rsidR="00EE6FC8" w:rsidRPr="00910B42" w:rsidRDefault="000825D2" w:rsidP="00EE6FC8">
            <w:pPr>
              <w:pStyle w:val="Tabletext"/>
              <w:rPr>
                <w:b/>
                <w:bCs/>
              </w:rPr>
            </w:pPr>
            <w:r>
              <w:rPr>
                <w:b/>
                <w:bCs/>
              </w:rPr>
              <w:t>Yes</w:t>
            </w:r>
          </w:p>
        </w:tc>
      </w:tr>
      <w:tr w:rsidR="001A2B81" w:rsidRPr="00910B42" w14:paraId="6AA2FF18"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06F77CE5" w14:textId="259931CF" w:rsidR="00EE6FC8" w:rsidRPr="000825D2" w:rsidRDefault="000825D2" w:rsidP="000868F8">
            <w:pPr>
              <w:pStyle w:val="Tabletext"/>
              <w:numPr>
                <w:ilvl w:val="0"/>
                <w:numId w:val="24"/>
              </w:numPr>
            </w:pPr>
            <w:r w:rsidRPr="000825D2">
              <w:t xml:space="preserve">Choice between </w:t>
            </w:r>
            <w:r w:rsidR="00620654">
              <w:t>PKR</w:t>
            </w:r>
            <w:r w:rsidRPr="000825D2">
              <w:t xml:space="preserve"> and TKR</w:t>
            </w:r>
          </w:p>
        </w:tc>
        <w:tc>
          <w:tcPr>
            <w:tcW w:w="787" w:type="pct"/>
            <w:tcBorders>
              <w:top w:val="single" w:sz="4" w:space="0" w:color="auto"/>
              <w:bottom w:val="single" w:sz="4" w:space="0" w:color="auto"/>
            </w:tcBorders>
          </w:tcPr>
          <w:p w14:paraId="5F7F232C" w14:textId="2F1EC2D9" w:rsidR="00EE6FC8" w:rsidRDefault="002615B3" w:rsidP="00EE6FC8">
            <w:pPr>
              <w:pStyle w:val="Tabletext"/>
            </w:pPr>
            <w:r>
              <w:t>SCM</w:t>
            </w:r>
            <w:r w:rsidR="00976FFA">
              <w:t>s</w:t>
            </w:r>
            <w:r>
              <w:t>, ZB</w:t>
            </w:r>
          </w:p>
        </w:tc>
        <w:tc>
          <w:tcPr>
            <w:tcW w:w="629" w:type="pct"/>
            <w:tcBorders>
              <w:top w:val="single" w:sz="4" w:space="0" w:color="auto"/>
              <w:bottom w:val="single" w:sz="4" w:space="0" w:color="auto"/>
            </w:tcBorders>
          </w:tcPr>
          <w:p w14:paraId="2B7541DA" w14:textId="0AEB7319" w:rsidR="00EE6FC8" w:rsidRPr="00910B42" w:rsidRDefault="000825D2" w:rsidP="00EE6FC8">
            <w:pPr>
              <w:pStyle w:val="Tabletext"/>
            </w:pPr>
            <w:r>
              <w:t>Yes</w:t>
            </w:r>
          </w:p>
        </w:tc>
        <w:tc>
          <w:tcPr>
            <w:tcW w:w="629" w:type="pct"/>
            <w:tcBorders>
              <w:top w:val="single" w:sz="4" w:space="0" w:color="auto"/>
              <w:bottom w:val="single" w:sz="4" w:space="0" w:color="auto"/>
            </w:tcBorders>
          </w:tcPr>
          <w:p w14:paraId="4C6C0D21" w14:textId="5A2B2D20" w:rsidR="00EE6FC8" w:rsidRPr="00910B42" w:rsidRDefault="000825D2" w:rsidP="00EE6FC8">
            <w:pPr>
              <w:pStyle w:val="Tabletext"/>
            </w:pPr>
            <w:r>
              <w:t>Yes</w:t>
            </w:r>
          </w:p>
        </w:tc>
        <w:tc>
          <w:tcPr>
            <w:tcW w:w="629" w:type="pct"/>
            <w:tcBorders>
              <w:top w:val="single" w:sz="4" w:space="0" w:color="auto"/>
              <w:bottom w:val="single" w:sz="4" w:space="0" w:color="auto"/>
            </w:tcBorders>
          </w:tcPr>
          <w:p w14:paraId="68408905" w14:textId="77E3F395" w:rsidR="00EE6FC8" w:rsidRPr="00910B42" w:rsidRDefault="000825D2" w:rsidP="00EE6FC8">
            <w:pPr>
              <w:pStyle w:val="Tabletext"/>
            </w:pPr>
            <w:r>
              <w:t>Yes</w:t>
            </w:r>
          </w:p>
        </w:tc>
        <w:tc>
          <w:tcPr>
            <w:tcW w:w="628" w:type="pct"/>
            <w:tcBorders>
              <w:top w:val="single" w:sz="4" w:space="0" w:color="auto"/>
              <w:bottom w:val="single" w:sz="4" w:space="0" w:color="auto"/>
            </w:tcBorders>
          </w:tcPr>
          <w:p w14:paraId="0ED58373" w14:textId="66F04197" w:rsidR="00EE6FC8" w:rsidRPr="00910B42" w:rsidRDefault="000825D2" w:rsidP="00EE6FC8">
            <w:pPr>
              <w:pStyle w:val="Tabletext"/>
            </w:pPr>
            <w:r>
              <w:t>No</w:t>
            </w:r>
          </w:p>
        </w:tc>
        <w:tc>
          <w:tcPr>
            <w:tcW w:w="601" w:type="pct"/>
            <w:tcBorders>
              <w:top w:val="single" w:sz="4" w:space="0" w:color="auto"/>
              <w:bottom w:val="single" w:sz="4" w:space="0" w:color="auto"/>
            </w:tcBorders>
          </w:tcPr>
          <w:p w14:paraId="30208535" w14:textId="5617C141" w:rsidR="00EE6FC8" w:rsidRPr="00910B42" w:rsidRDefault="000825D2" w:rsidP="00EE6FC8">
            <w:pPr>
              <w:pStyle w:val="Tabletext"/>
              <w:rPr>
                <w:b/>
                <w:bCs/>
              </w:rPr>
            </w:pPr>
            <w:r>
              <w:rPr>
                <w:b/>
                <w:bCs/>
              </w:rPr>
              <w:t>Yes</w:t>
            </w:r>
          </w:p>
        </w:tc>
      </w:tr>
      <w:tr w:rsidR="001A2B81" w:rsidRPr="00910B42" w14:paraId="3C21E2BA"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6C8DF28F" w14:textId="67F2405F" w:rsidR="000825D2" w:rsidRPr="00B57A9C" w:rsidRDefault="000825D2" w:rsidP="000868F8">
            <w:pPr>
              <w:pStyle w:val="Tabletext"/>
              <w:numPr>
                <w:ilvl w:val="0"/>
                <w:numId w:val="24"/>
              </w:numPr>
              <w:rPr>
                <w:b/>
                <w:bCs/>
              </w:rPr>
            </w:pPr>
            <w:r>
              <w:t>Patella resurfacing</w:t>
            </w:r>
            <w:r w:rsidR="00EF4F07">
              <w:t xml:space="preserve"> (TKR)</w:t>
            </w:r>
          </w:p>
        </w:tc>
        <w:tc>
          <w:tcPr>
            <w:tcW w:w="787" w:type="pct"/>
            <w:tcBorders>
              <w:top w:val="single" w:sz="4" w:space="0" w:color="auto"/>
              <w:bottom w:val="single" w:sz="4" w:space="0" w:color="auto"/>
            </w:tcBorders>
          </w:tcPr>
          <w:p w14:paraId="1C9F3D68" w14:textId="772BD5DB" w:rsidR="000825D2" w:rsidRDefault="00BC7585" w:rsidP="00EE6FC8">
            <w:pPr>
              <w:pStyle w:val="Tabletext"/>
            </w:pPr>
            <w:r>
              <w:t>SCM1</w:t>
            </w:r>
          </w:p>
        </w:tc>
        <w:tc>
          <w:tcPr>
            <w:tcW w:w="629" w:type="pct"/>
            <w:tcBorders>
              <w:top w:val="single" w:sz="4" w:space="0" w:color="auto"/>
              <w:bottom w:val="single" w:sz="4" w:space="0" w:color="auto"/>
            </w:tcBorders>
          </w:tcPr>
          <w:p w14:paraId="24037029" w14:textId="57DC3BBF" w:rsidR="000825D2" w:rsidRPr="00910B42" w:rsidRDefault="000825D2" w:rsidP="00EE6FC8">
            <w:pPr>
              <w:pStyle w:val="Tabletext"/>
            </w:pPr>
            <w:r>
              <w:t>Yes</w:t>
            </w:r>
          </w:p>
        </w:tc>
        <w:tc>
          <w:tcPr>
            <w:tcW w:w="629" w:type="pct"/>
            <w:tcBorders>
              <w:top w:val="single" w:sz="4" w:space="0" w:color="auto"/>
              <w:bottom w:val="single" w:sz="4" w:space="0" w:color="auto"/>
            </w:tcBorders>
          </w:tcPr>
          <w:p w14:paraId="32F2A345" w14:textId="340854E6" w:rsidR="000825D2" w:rsidRPr="00910B42" w:rsidRDefault="000825D2" w:rsidP="00EE6FC8">
            <w:pPr>
              <w:pStyle w:val="Tabletext"/>
            </w:pPr>
            <w:r>
              <w:t>Yes</w:t>
            </w:r>
          </w:p>
        </w:tc>
        <w:tc>
          <w:tcPr>
            <w:tcW w:w="629" w:type="pct"/>
            <w:tcBorders>
              <w:top w:val="single" w:sz="4" w:space="0" w:color="auto"/>
              <w:bottom w:val="single" w:sz="4" w:space="0" w:color="auto"/>
            </w:tcBorders>
          </w:tcPr>
          <w:p w14:paraId="216E67C2" w14:textId="51A18F76" w:rsidR="000825D2" w:rsidRPr="00910B42" w:rsidRDefault="000825D2" w:rsidP="00EE6FC8">
            <w:pPr>
              <w:pStyle w:val="Tabletext"/>
            </w:pPr>
            <w:r>
              <w:t>Yes</w:t>
            </w:r>
          </w:p>
        </w:tc>
        <w:tc>
          <w:tcPr>
            <w:tcW w:w="628" w:type="pct"/>
            <w:tcBorders>
              <w:top w:val="single" w:sz="4" w:space="0" w:color="auto"/>
              <w:bottom w:val="single" w:sz="4" w:space="0" w:color="auto"/>
            </w:tcBorders>
          </w:tcPr>
          <w:p w14:paraId="238F4137" w14:textId="1067F790" w:rsidR="000825D2" w:rsidRPr="00910B42" w:rsidRDefault="000825D2" w:rsidP="00EE6FC8">
            <w:pPr>
              <w:pStyle w:val="Tabletext"/>
            </w:pPr>
            <w:r>
              <w:t>No</w:t>
            </w:r>
          </w:p>
        </w:tc>
        <w:tc>
          <w:tcPr>
            <w:tcW w:w="601" w:type="pct"/>
            <w:tcBorders>
              <w:top w:val="single" w:sz="4" w:space="0" w:color="auto"/>
              <w:bottom w:val="single" w:sz="4" w:space="0" w:color="auto"/>
            </w:tcBorders>
          </w:tcPr>
          <w:p w14:paraId="49C59640" w14:textId="0E81F913" w:rsidR="000825D2" w:rsidRPr="00910B42" w:rsidRDefault="000825D2" w:rsidP="00EE6FC8">
            <w:pPr>
              <w:pStyle w:val="Tabletext"/>
              <w:rPr>
                <w:b/>
                <w:bCs/>
              </w:rPr>
            </w:pPr>
            <w:r>
              <w:rPr>
                <w:b/>
                <w:bCs/>
              </w:rPr>
              <w:t>Yes</w:t>
            </w:r>
          </w:p>
        </w:tc>
      </w:tr>
      <w:tr w:rsidR="001A2B81" w:rsidRPr="00910B42" w14:paraId="1D3A18B5"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19F4CBAC" w14:textId="5CF4DFBD" w:rsidR="000825D2" w:rsidRPr="000825D2" w:rsidRDefault="000825D2" w:rsidP="00EE6FC8">
            <w:pPr>
              <w:pStyle w:val="Tabletext"/>
              <w:rPr>
                <w:b/>
                <w:bCs/>
              </w:rPr>
            </w:pPr>
            <w:r w:rsidRPr="000825D2">
              <w:rPr>
                <w:b/>
                <w:bCs/>
              </w:rPr>
              <w:t>Postoperative rehabilitation and long-term care</w:t>
            </w:r>
          </w:p>
        </w:tc>
        <w:tc>
          <w:tcPr>
            <w:tcW w:w="787" w:type="pct"/>
            <w:tcBorders>
              <w:top w:val="single" w:sz="4" w:space="0" w:color="auto"/>
              <w:bottom w:val="single" w:sz="4" w:space="0" w:color="auto"/>
            </w:tcBorders>
          </w:tcPr>
          <w:p w14:paraId="5F3648B2" w14:textId="77777777" w:rsidR="000825D2" w:rsidRDefault="000825D2" w:rsidP="00EE6FC8">
            <w:pPr>
              <w:pStyle w:val="Tabletext"/>
            </w:pPr>
          </w:p>
        </w:tc>
        <w:tc>
          <w:tcPr>
            <w:tcW w:w="629" w:type="pct"/>
            <w:tcBorders>
              <w:top w:val="single" w:sz="4" w:space="0" w:color="auto"/>
              <w:bottom w:val="single" w:sz="4" w:space="0" w:color="auto"/>
            </w:tcBorders>
          </w:tcPr>
          <w:p w14:paraId="408FABE2" w14:textId="77777777" w:rsidR="000825D2" w:rsidRPr="00910B42" w:rsidRDefault="000825D2" w:rsidP="00EE6FC8">
            <w:pPr>
              <w:pStyle w:val="Tabletext"/>
            </w:pPr>
          </w:p>
        </w:tc>
        <w:tc>
          <w:tcPr>
            <w:tcW w:w="629" w:type="pct"/>
            <w:tcBorders>
              <w:top w:val="single" w:sz="4" w:space="0" w:color="auto"/>
              <w:bottom w:val="single" w:sz="4" w:space="0" w:color="auto"/>
            </w:tcBorders>
          </w:tcPr>
          <w:p w14:paraId="62C1C10F" w14:textId="77777777" w:rsidR="000825D2" w:rsidRPr="00910B42" w:rsidRDefault="000825D2" w:rsidP="00EE6FC8">
            <w:pPr>
              <w:pStyle w:val="Tabletext"/>
            </w:pPr>
          </w:p>
        </w:tc>
        <w:tc>
          <w:tcPr>
            <w:tcW w:w="629" w:type="pct"/>
            <w:tcBorders>
              <w:top w:val="single" w:sz="4" w:space="0" w:color="auto"/>
              <w:bottom w:val="single" w:sz="4" w:space="0" w:color="auto"/>
            </w:tcBorders>
          </w:tcPr>
          <w:p w14:paraId="3E1852FC" w14:textId="77777777" w:rsidR="000825D2" w:rsidRPr="00910B42" w:rsidRDefault="000825D2" w:rsidP="00EE6FC8">
            <w:pPr>
              <w:pStyle w:val="Tabletext"/>
            </w:pPr>
          </w:p>
        </w:tc>
        <w:tc>
          <w:tcPr>
            <w:tcW w:w="628" w:type="pct"/>
            <w:tcBorders>
              <w:top w:val="single" w:sz="4" w:space="0" w:color="auto"/>
              <w:bottom w:val="single" w:sz="4" w:space="0" w:color="auto"/>
            </w:tcBorders>
          </w:tcPr>
          <w:p w14:paraId="46347506" w14:textId="77777777" w:rsidR="000825D2" w:rsidRPr="00910B42" w:rsidRDefault="000825D2" w:rsidP="00EE6FC8">
            <w:pPr>
              <w:pStyle w:val="Tabletext"/>
            </w:pPr>
          </w:p>
        </w:tc>
        <w:tc>
          <w:tcPr>
            <w:tcW w:w="601" w:type="pct"/>
            <w:tcBorders>
              <w:top w:val="single" w:sz="4" w:space="0" w:color="auto"/>
              <w:bottom w:val="single" w:sz="4" w:space="0" w:color="auto"/>
            </w:tcBorders>
          </w:tcPr>
          <w:p w14:paraId="657A3B19" w14:textId="77777777" w:rsidR="000825D2" w:rsidRPr="00910B42" w:rsidRDefault="000825D2" w:rsidP="00EE6FC8">
            <w:pPr>
              <w:pStyle w:val="Tabletext"/>
              <w:rPr>
                <w:b/>
                <w:bCs/>
              </w:rPr>
            </w:pPr>
          </w:p>
        </w:tc>
      </w:tr>
      <w:tr w:rsidR="001A2B81" w:rsidRPr="00910B42" w14:paraId="12CE468A"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702829A5" w14:textId="6E13C7BC" w:rsidR="000825D2" w:rsidRPr="000825D2" w:rsidRDefault="002615B3" w:rsidP="000868F8">
            <w:pPr>
              <w:pStyle w:val="Tabletext"/>
              <w:numPr>
                <w:ilvl w:val="0"/>
                <w:numId w:val="24"/>
              </w:numPr>
            </w:pPr>
            <w:r>
              <w:t xml:space="preserve">Inpatient rehabilitation </w:t>
            </w:r>
          </w:p>
        </w:tc>
        <w:tc>
          <w:tcPr>
            <w:tcW w:w="787" w:type="pct"/>
            <w:tcBorders>
              <w:top w:val="single" w:sz="4" w:space="0" w:color="auto"/>
              <w:bottom w:val="single" w:sz="4" w:space="0" w:color="auto"/>
            </w:tcBorders>
          </w:tcPr>
          <w:p w14:paraId="4FD28E95" w14:textId="710D59A8" w:rsidR="000825D2" w:rsidRDefault="002615B3" w:rsidP="00EE6FC8">
            <w:pPr>
              <w:pStyle w:val="Tabletext"/>
            </w:pPr>
            <w:r>
              <w:t xml:space="preserve">AGILE, </w:t>
            </w:r>
            <w:r w:rsidR="008F49C9">
              <w:t xml:space="preserve">BESS </w:t>
            </w:r>
            <w:r w:rsidR="00AF5EB3">
              <w:t>BOA (end. BHS),</w:t>
            </w:r>
            <w:r>
              <w:t xml:space="preserve"> </w:t>
            </w:r>
            <w:r w:rsidR="00A814CC">
              <w:t xml:space="preserve">NCD, </w:t>
            </w:r>
            <w:r>
              <w:t xml:space="preserve">NE, </w:t>
            </w:r>
            <w:r w:rsidR="00A65DD8">
              <w:t>SCMs</w:t>
            </w:r>
          </w:p>
        </w:tc>
        <w:tc>
          <w:tcPr>
            <w:tcW w:w="629" w:type="pct"/>
            <w:tcBorders>
              <w:top w:val="single" w:sz="4" w:space="0" w:color="auto"/>
              <w:bottom w:val="single" w:sz="4" w:space="0" w:color="auto"/>
            </w:tcBorders>
          </w:tcPr>
          <w:p w14:paraId="5BB4DCD8" w14:textId="22D3042A" w:rsidR="000825D2" w:rsidRPr="00910B42" w:rsidRDefault="000825D2" w:rsidP="00EE6FC8">
            <w:pPr>
              <w:pStyle w:val="Tabletext"/>
            </w:pPr>
            <w:r>
              <w:t>Yes</w:t>
            </w:r>
          </w:p>
        </w:tc>
        <w:tc>
          <w:tcPr>
            <w:tcW w:w="629" w:type="pct"/>
            <w:tcBorders>
              <w:top w:val="single" w:sz="4" w:space="0" w:color="auto"/>
              <w:bottom w:val="single" w:sz="4" w:space="0" w:color="auto"/>
            </w:tcBorders>
          </w:tcPr>
          <w:p w14:paraId="448927D4" w14:textId="6408BD8D" w:rsidR="000825D2" w:rsidRPr="00910B42" w:rsidRDefault="000825D2" w:rsidP="00EE6FC8">
            <w:pPr>
              <w:pStyle w:val="Tabletext"/>
            </w:pPr>
            <w:r>
              <w:t>Yes</w:t>
            </w:r>
          </w:p>
        </w:tc>
        <w:tc>
          <w:tcPr>
            <w:tcW w:w="629" w:type="pct"/>
            <w:tcBorders>
              <w:top w:val="single" w:sz="4" w:space="0" w:color="auto"/>
              <w:bottom w:val="single" w:sz="4" w:space="0" w:color="auto"/>
            </w:tcBorders>
          </w:tcPr>
          <w:p w14:paraId="5CC9D64B" w14:textId="405F2EFB" w:rsidR="000825D2" w:rsidRPr="00910B42" w:rsidRDefault="000825D2" w:rsidP="00EE6FC8">
            <w:pPr>
              <w:pStyle w:val="Tabletext"/>
            </w:pPr>
            <w:r>
              <w:t xml:space="preserve">Yes </w:t>
            </w:r>
          </w:p>
        </w:tc>
        <w:tc>
          <w:tcPr>
            <w:tcW w:w="628" w:type="pct"/>
            <w:tcBorders>
              <w:top w:val="single" w:sz="4" w:space="0" w:color="auto"/>
              <w:bottom w:val="single" w:sz="4" w:space="0" w:color="auto"/>
            </w:tcBorders>
          </w:tcPr>
          <w:p w14:paraId="462ED2C3" w14:textId="55C663AB" w:rsidR="000825D2" w:rsidRPr="00910B42" w:rsidRDefault="00F429D8" w:rsidP="00EE6FC8">
            <w:pPr>
              <w:pStyle w:val="Tabletext"/>
            </w:pPr>
            <w:r>
              <w:t>No</w:t>
            </w:r>
          </w:p>
        </w:tc>
        <w:tc>
          <w:tcPr>
            <w:tcW w:w="601" w:type="pct"/>
            <w:tcBorders>
              <w:top w:val="single" w:sz="4" w:space="0" w:color="auto"/>
              <w:bottom w:val="single" w:sz="4" w:space="0" w:color="auto"/>
            </w:tcBorders>
          </w:tcPr>
          <w:p w14:paraId="0D5862AD" w14:textId="51A045DC" w:rsidR="000825D2" w:rsidRPr="00910B42" w:rsidRDefault="00F429D8" w:rsidP="00EE6FC8">
            <w:pPr>
              <w:pStyle w:val="Tabletext"/>
              <w:rPr>
                <w:b/>
                <w:bCs/>
              </w:rPr>
            </w:pPr>
            <w:r>
              <w:rPr>
                <w:b/>
                <w:bCs/>
              </w:rPr>
              <w:t>Yes</w:t>
            </w:r>
          </w:p>
        </w:tc>
      </w:tr>
      <w:tr w:rsidR="001A2B81" w:rsidRPr="00910B42" w14:paraId="70FE6A2B"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763C4BC1" w14:textId="5E5A769A" w:rsidR="00EE6FC8" w:rsidRPr="00B57A9C" w:rsidRDefault="002615B3" w:rsidP="000868F8">
            <w:pPr>
              <w:pStyle w:val="Tabletext"/>
              <w:numPr>
                <w:ilvl w:val="0"/>
                <w:numId w:val="24"/>
              </w:numPr>
              <w:rPr>
                <w:b/>
                <w:bCs/>
              </w:rPr>
            </w:pPr>
            <w:r w:rsidRPr="002615B3">
              <w:t>Post-discharge rehabilitation</w:t>
            </w:r>
          </w:p>
        </w:tc>
        <w:tc>
          <w:tcPr>
            <w:tcW w:w="787" w:type="pct"/>
            <w:tcBorders>
              <w:top w:val="single" w:sz="4" w:space="0" w:color="auto"/>
              <w:bottom w:val="single" w:sz="4" w:space="0" w:color="auto"/>
            </w:tcBorders>
          </w:tcPr>
          <w:p w14:paraId="3DEA0FCF" w14:textId="56E8897F" w:rsidR="00EE6FC8" w:rsidRDefault="00A65DD8" w:rsidP="00EE6FC8">
            <w:pPr>
              <w:pStyle w:val="Tabletext"/>
            </w:pPr>
            <w:r>
              <w:t>AGILE,</w:t>
            </w:r>
            <w:r w:rsidR="008F49C9">
              <w:t xml:space="preserve"> </w:t>
            </w:r>
            <w:r>
              <w:t xml:space="preserve">BMS, </w:t>
            </w:r>
            <w:r w:rsidR="00AF5EB3">
              <w:t xml:space="preserve">BOA (end. BHS), </w:t>
            </w:r>
            <w:r w:rsidR="00A814CC">
              <w:t xml:space="preserve">NCD, </w:t>
            </w:r>
            <w:r>
              <w:t>NE, SCMs</w:t>
            </w:r>
            <w:r w:rsidR="002615B3">
              <w:t>, VA</w:t>
            </w:r>
          </w:p>
          <w:p w14:paraId="0233306A" w14:textId="46EE456C" w:rsidR="002615B3" w:rsidRPr="002615B3" w:rsidRDefault="002615B3" w:rsidP="002615B3">
            <w:pPr>
              <w:ind w:firstLine="720"/>
            </w:pPr>
          </w:p>
        </w:tc>
        <w:tc>
          <w:tcPr>
            <w:tcW w:w="629" w:type="pct"/>
            <w:tcBorders>
              <w:top w:val="single" w:sz="4" w:space="0" w:color="auto"/>
              <w:bottom w:val="single" w:sz="4" w:space="0" w:color="auto"/>
            </w:tcBorders>
          </w:tcPr>
          <w:p w14:paraId="00D50B62" w14:textId="6D3FCC0A" w:rsidR="00EE6FC8" w:rsidRPr="00910B42" w:rsidRDefault="000825D2" w:rsidP="00EE6FC8">
            <w:pPr>
              <w:pStyle w:val="Tabletext"/>
            </w:pPr>
            <w:r>
              <w:t>Yes</w:t>
            </w:r>
          </w:p>
        </w:tc>
        <w:tc>
          <w:tcPr>
            <w:tcW w:w="629" w:type="pct"/>
            <w:tcBorders>
              <w:top w:val="single" w:sz="4" w:space="0" w:color="auto"/>
              <w:bottom w:val="single" w:sz="4" w:space="0" w:color="auto"/>
            </w:tcBorders>
          </w:tcPr>
          <w:p w14:paraId="0BB9DFA9" w14:textId="77777777" w:rsidR="00EE6FC8" w:rsidRDefault="000825D2" w:rsidP="00EE6FC8">
            <w:pPr>
              <w:pStyle w:val="Tabletext"/>
            </w:pPr>
            <w:r>
              <w:t>Yes</w:t>
            </w:r>
          </w:p>
          <w:p w14:paraId="6BF147A1" w14:textId="77777777" w:rsidR="008F49C9" w:rsidRDefault="008F49C9" w:rsidP="008F49C9">
            <w:pPr>
              <w:rPr>
                <w:rFonts w:ascii="Arial" w:hAnsi="Arial"/>
                <w:sz w:val="22"/>
              </w:rPr>
            </w:pPr>
          </w:p>
          <w:p w14:paraId="08225CEA" w14:textId="74C6066C" w:rsidR="008F49C9" w:rsidRPr="008F49C9" w:rsidRDefault="008F49C9" w:rsidP="008F49C9"/>
        </w:tc>
        <w:tc>
          <w:tcPr>
            <w:tcW w:w="629" w:type="pct"/>
            <w:tcBorders>
              <w:top w:val="single" w:sz="4" w:space="0" w:color="auto"/>
              <w:bottom w:val="single" w:sz="4" w:space="0" w:color="auto"/>
            </w:tcBorders>
          </w:tcPr>
          <w:p w14:paraId="29532ADC" w14:textId="6BC67BBC" w:rsidR="00EE6FC8" w:rsidRPr="00910B42" w:rsidRDefault="00B66B57" w:rsidP="00EE6FC8">
            <w:pPr>
              <w:pStyle w:val="Tabletext"/>
            </w:pPr>
            <w:r>
              <w:t>Yes</w:t>
            </w:r>
          </w:p>
        </w:tc>
        <w:tc>
          <w:tcPr>
            <w:tcW w:w="628" w:type="pct"/>
            <w:tcBorders>
              <w:top w:val="single" w:sz="4" w:space="0" w:color="auto"/>
              <w:bottom w:val="single" w:sz="4" w:space="0" w:color="auto"/>
            </w:tcBorders>
          </w:tcPr>
          <w:p w14:paraId="76A006ED" w14:textId="27B9B80D" w:rsidR="00EE6FC8" w:rsidRPr="00910B42" w:rsidRDefault="000825D2" w:rsidP="00EE6FC8">
            <w:pPr>
              <w:pStyle w:val="Tabletext"/>
            </w:pPr>
            <w:r>
              <w:t>No</w:t>
            </w:r>
          </w:p>
        </w:tc>
        <w:tc>
          <w:tcPr>
            <w:tcW w:w="601" w:type="pct"/>
            <w:tcBorders>
              <w:top w:val="single" w:sz="4" w:space="0" w:color="auto"/>
              <w:bottom w:val="single" w:sz="4" w:space="0" w:color="auto"/>
            </w:tcBorders>
          </w:tcPr>
          <w:p w14:paraId="7436AFAD" w14:textId="5F016F7C" w:rsidR="00EE6FC8" w:rsidRPr="00910B42" w:rsidRDefault="000825D2" w:rsidP="00EE6FC8">
            <w:pPr>
              <w:pStyle w:val="Tabletext"/>
              <w:rPr>
                <w:b/>
                <w:bCs/>
              </w:rPr>
            </w:pPr>
            <w:r>
              <w:rPr>
                <w:b/>
                <w:bCs/>
              </w:rPr>
              <w:t>Yes</w:t>
            </w:r>
          </w:p>
        </w:tc>
      </w:tr>
      <w:tr w:rsidR="001A2B81" w:rsidRPr="00910B42" w14:paraId="500E9C44"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427ABBAF" w14:textId="3444DAF6" w:rsidR="000825D2" w:rsidRDefault="00B30C5D" w:rsidP="000868F8">
            <w:pPr>
              <w:pStyle w:val="Tabletext"/>
              <w:numPr>
                <w:ilvl w:val="0"/>
                <w:numId w:val="24"/>
              </w:numPr>
            </w:pPr>
            <w:r>
              <w:t>L</w:t>
            </w:r>
            <w:r w:rsidR="00AD4612" w:rsidRPr="00AD4612">
              <w:t>ong-term care</w:t>
            </w:r>
          </w:p>
        </w:tc>
        <w:tc>
          <w:tcPr>
            <w:tcW w:w="787" w:type="pct"/>
            <w:tcBorders>
              <w:top w:val="single" w:sz="4" w:space="0" w:color="auto"/>
              <w:bottom w:val="single" w:sz="4" w:space="0" w:color="auto"/>
            </w:tcBorders>
          </w:tcPr>
          <w:p w14:paraId="797EF4C6" w14:textId="7EE120EC" w:rsidR="000825D2" w:rsidRDefault="002615B3" w:rsidP="00EE6FC8">
            <w:pPr>
              <w:pStyle w:val="Tabletext"/>
            </w:pPr>
            <w:r>
              <w:t>BMS, NE, SCM4</w:t>
            </w:r>
          </w:p>
        </w:tc>
        <w:tc>
          <w:tcPr>
            <w:tcW w:w="629" w:type="pct"/>
            <w:tcBorders>
              <w:top w:val="single" w:sz="4" w:space="0" w:color="auto"/>
              <w:bottom w:val="single" w:sz="4" w:space="0" w:color="auto"/>
            </w:tcBorders>
          </w:tcPr>
          <w:p w14:paraId="168145B8" w14:textId="214191CE" w:rsidR="000825D2" w:rsidRPr="00910B42" w:rsidRDefault="00AD4612" w:rsidP="00EE6FC8">
            <w:pPr>
              <w:pStyle w:val="Tabletext"/>
            </w:pPr>
            <w:r>
              <w:t>Yes</w:t>
            </w:r>
          </w:p>
        </w:tc>
        <w:tc>
          <w:tcPr>
            <w:tcW w:w="629" w:type="pct"/>
            <w:tcBorders>
              <w:top w:val="single" w:sz="4" w:space="0" w:color="auto"/>
              <w:bottom w:val="single" w:sz="4" w:space="0" w:color="auto"/>
            </w:tcBorders>
          </w:tcPr>
          <w:p w14:paraId="785C6BFF" w14:textId="1BC3C2C8" w:rsidR="000825D2" w:rsidRPr="00910B42" w:rsidRDefault="00356078" w:rsidP="00EE6FC8">
            <w:pPr>
              <w:pStyle w:val="Tabletext"/>
            </w:pPr>
            <w:r>
              <w:t>No</w:t>
            </w:r>
            <w:r w:rsidR="00AD4612">
              <w:t xml:space="preserve"> </w:t>
            </w:r>
          </w:p>
        </w:tc>
        <w:tc>
          <w:tcPr>
            <w:tcW w:w="629" w:type="pct"/>
            <w:tcBorders>
              <w:top w:val="single" w:sz="4" w:space="0" w:color="auto"/>
              <w:bottom w:val="single" w:sz="4" w:space="0" w:color="auto"/>
            </w:tcBorders>
          </w:tcPr>
          <w:p w14:paraId="0CA812C5" w14:textId="045C80D1" w:rsidR="000825D2" w:rsidRPr="00910B42" w:rsidRDefault="00B66B57" w:rsidP="00EE6FC8">
            <w:pPr>
              <w:pStyle w:val="Tabletext"/>
            </w:pPr>
            <w:r>
              <w:t>No</w:t>
            </w:r>
            <w:r w:rsidR="00AD4612">
              <w:t xml:space="preserve"> </w:t>
            </w:r>
          </w:p>
        </w:tc>
        <w:tc>
          <w:tcPr>
            <w:tcW w:w="628" w:type="pct"/>
            <w:tcBorders>
              <w:top w:val="single" w:sz="4" w:space="0" w:color="auto"/>
              <w:bottom w:val="single" w:sz="4" w:space="0" w:color="auto"/>
            </w:tcBorders>
          </w:tcPr>
          <w:p w14:paraId="26E4D03B" w14:textId="35A18C0C" w:rsidR="000825D2" w:rsidRPr="00910B42" w:rsidRDefault="00AD4612" w:rsidP="00EE6FC8">
            <w:pPr>
              <w:pStyle w:val="Tabletext"/>
            </w:pPr>
            <w:r>
              <w:t>No</w:t>
            </w:r>
          </w:p>
        </w:tc>
        <w:tc>
          <w:tcPr>
            <w:tcW w:w="601" w:type="pct"/>
            <w:tcBorders>
              <w:top w:val="single" w:sz="4" w:space="0" w:color="auto"/>
              <w:bottom w:val="single" w:sz="4" w:space="0" w:color="auto"/>
            </w:tcBorders>
          </w:tcPr>
          <w:p w14:paraId="331537E8" w14:textId="2FEB00CF" w:rsidR="000825D2" w:rsidRPr="00910B42" w:rsidRDefault="006239FF" w:rsidP="00EE6FC8">
            <w:pPr>
              <w:pStyle w:val="Tabletext"/>
              <w:rPr>
                <w:b/>
                <w:bCs/>
              </w:rPr>
            </w:pPr>
            <w:r>
              <w:rPr>
                <w:b/>
                <w:bCs/>
              </w:rPr>
              <w:t>No</w:t>
            </w:r>
          </w:p>
        </w:tc>
      </w:tr>
      <w:tr w:rsidR="001A2B81" w:rsidRPr="00910B42" w14:paraId="3369975F" w14:textId="77777777" w:rsidTr="00DB6B0F">
        <w:trPr>
          <w:trHeight w:val="382"/>
        </w:trPr>
        <w:tc>
          <w:tcPr>
            <w:tcW w:w="1097" w:type="pct"/>
            <w:tcBorders>
              <w:top w:val="single" w:sz="4" w:space="0" w:color="auto"/>
              <w:left w:val="single" w:sz="4" w:space="0" w:color="auto"/>
              <w:bottom w:val="single" w:sz="4" w:space="0" w:color="auto"/>
              <w:right w:val="single" w:sz="4" w:space="0" w:color="auto"/>
            </w:tcBorders>
            <w:shd w:val="clear" w:color="auto" w:fill="auto"/>
          </w:tcPr>
          <w:p w14:paraId="70688482" w14:textId="2596A267" w:rsidR="000825D2" w:rsidRPr="00AD4612" w:rsidRDefault="00AD4612" w:rsidP="00AD4612">
            <w:pPr>
              <w:pStyle w:val="Tabletext"/>
              <w:rPr>
                <w:b/>
                <w:bCs/>
              </w:rPr>
            </w:pPr>
            <w:r>
              <w:rPr>
                <w:b/>
                <w:bCs/>
              </w:rPr>
              <w:t>Additional areas</w:t>
            </w:r>
          </w:p>
        </w:tc>
        <w:tc>
          <w:tcPr>
            <w:tcW w:w="787" w:type="pct"/>
            <w:tcBorders>
              <w:top w:val="single" w:sz="4" w:space="0" w:color="auto"/>
              <w:bottom w:val="single" w:sz="4" w:space="0" w:color="auto"/>
            </w:tcBorders>
          </w:tcPr>
          <w:p w14:paraId="74B05B1F" w14:textId="77777777" w:rsidR="000825D2" w:rsidRDefault="000825D2" w:rsidP="00EE6FC8">
            <w:pPr>
              <w:pStyle w:val="Tabletext"/>
            </w:pPr>
          </w:p>
        </w:tc>
        <w:tc>
          <w:tcPr>
            <w:tcW w:w="629" w:type="pct"/>
            <w:tcBorders>
              <w:top w:val="single" w:sz="4" w:space="0" w:color="auto"/>
              <w:bottom w:val="single" w:sz="4" w:space="0" w:color="auto"/>
            </w:tcBorders>
          </w:tcPr>
          <w:p w14:paraId="2CA4A3AE" w14:textId="77777777" w:rsidR="000825D2" w:rsidRPr="00910B42" w:rsidRDefault="000825D2" w:rsidP="00EE6FC8">
            <w:pPr>
              <w:pStyle w:val="Tabletext"/>
            </w:pPr>
          </w:p>
        </w:tc>
        <w:tc>
          <w:tcPr>
            <w:tcW w:w="629" w:type="pct"/>
            <w:tcBorders>
              <w:top w:val="single" w:sz="4" w:space="0" w:color="auto"/>
              <w:bottom w:val="single" w:sz="4" w:space="0" w:color="auto"/>
            </w:tcBorders>
          </w:tcPr>
          <w:p w14:paraId="432827F2" w14:textId="77777777" w:rsidR="000825D2" w:rsidRPr="00910B42" w:rsidRDefault="000825D2" w:rsidP="00EE6FC8">
            <w:pPr>
              <w:pStyle w:val="Tabletext"/>
            </w:pPr>
          </w:p>
        </w:tc>
        <w:tc>
          <w:tcPr>
            <w:tcW w:w="629" w:type="pct"/>
            <w:tcBorders>
              <w:top w:val="single" w:sz="4" w:space="0" w:color="auto"/>
              <w:bottom w:val="single" w:sz="4" w:space="0" w:color="auto"/>
            </w:tcBorders>
          </w:tcPr>
          <w:p w14:paraId="769151AB" w14:textId="77777777" w:rsidR="000825D2" w:rsidRPr="00910B42" w:rsidRDefault="000825D2" w:rsidP="00EE6FC8">
            <w:pPr>
              <w:pStyle w:val="Tabletext"/>
            </w:pPr>
          </w:p>
        </w:tc>
        <w:tc>
          <w:tcPr>
            <w:tcW w:w="628" w:type="pct"/>
            <w:tcBorders>
              <w:top w:val="single" w:sz="4" w:space="0" w:color="auto"/>
              <w:bottom w:val="single" w:sz="4" w:space="0" w:color="auto"/>
            </w:tcBorders>
          </w:tcPr>
          <w:p w14:paraId="3FF6F665" w14:textId="77777777" w:rsidR="000825D2" w:rsidRPr="00910B42" w:rsidRDefault="000825D2" w:rsidP="00EE6FC8">
            <w:pPr>
              <w:pStyle w:val="Tabletext"/>
            </w:pPr>
          </w:p>
        </w:tc>
        <w:tc>
          <w:tcPr>
            <w:tcW w:w="601" w:type="pct"/>
            <w:tcBorders>
              <w:top w:val="single" w:sz="4" w:space="0" w:color="auto"/>
              <w:bottom w:val="single" w:sz="4" w:space="0" w:color="auto"/>
            </w:tcBorders>
          </w:tcPr>
          <w:p w14:paraId="0057627A" w14:textId="77777777" w:rsidR="000825D2" w:rsidRPr="00910B42" w:rsidRDefault="000825D2" w:rsidP="00EE6FC8">
            <w:pPr>
              <w:pStyle w:val="Tabletext"/>
              <w:rPr>
                <w:b/>
                <w:bCs/>
              </w:rPr>
            </w:pPr>
          </w:p>
        </w:tc>
      </w:tr>
      <w:tr w:rsidR="001A2B81" w:rsidRPr="00910B42" w14:paraId="461924C7" w14:textId="77777777" w:rsidTr="00DB6B0F">
        <w:trPr>
          <w:trHeight w:val="382"/>
        </w:trPr>
        <w:tc>
          <w:tcPr>
            <w:tcW w:w="1097" w:type="pct"/>
            <w:tcBorders>
              <w:top w:val="single" w:sz="4" w:space="0" w:color="auto"/>
              <w:left w:val="single" w:sz="4" w:space="0" w:color="auto"/>
              <w:bottom w:val="dashed" w:sz="4" w:space="0" w:color="auto"/>
              <w:right w:val="single" w:sz="4" w:space="0" w:color="auto"/>
            </w:tcBorders>
            <w:shd w:val="clear" w:color="auto" w:fill="auto"/>
          </w:tcPr>
          <w:p w14:paraId="6DA7CBB1" w14:textId="0DD39EC3" w:rsidR="00EE6FC8" w:rsidRPr="00E451B2" w:rsidRDefault="00AD4612" w:rsidP="000868F8">
            <w:pPr>
              <w:pStyle w:val="Tabletext"/>
              <w:numPr>
                <w:ilvl w:val="0"/>
                <w:numId w:val="24"/>
              </w:numPr>
              <w:rPr>
                <w:b/>
                <w:bCs/>
              </w:rPr>
            </w:pPr>
            <w:r>
              <w:t>Audits and registries</w:t>
            </w:r>
          </w:p>
        </w:tc>
        <w:tc>
          <w:tcPr>
            <w:tcW w:w="787" w:type="pct"/>
            <w:tcBorders>
              <w:top w:val="single" w:sz="4" w:space="0" w:color="auto"/>
              <w:bottom w:val="dashed" w:sz="4" w:space="0" w:color="auto"/>
            </w:tcBorders>
          </w:tcPr>
          <w:p w14:paraId="593E250F" w14:textId="2F5A0CBB" w:rsidR="00EE6FC8" w:rsidRDefault="002615B3" w:rsidP="00EE6FC8">
            <w:pPr>
              <w:pStyle w:val="Tabletext"/>
            </w:pPr>
            <w:r>
              <w:t>BESS, BOA (end BHS), NJR, SCM6</w:t>
            </w:r>
          </w:p>
        </w:tc>
        <w:tc>
          <w:tcPr>
            <w:tcW w:w="629" w:type="pct"/>
            <w:tcBorders>
              <w:top w:val="single" w:sz="4" w:space="0" w:color="auto"/>
              <w:bottom w:val="dashed" w:sz="4" w:space="0" w:color="auto"/>
            </w:tcBorders>
          </w:tcPr>
          <w:p w14:paraId="40208FAF" w14:textId="06B612C8" w:rsidR="00EE6FC8" w:rsidRPr="00910B42" w:rsidRDefault="00AD4612" w:rsidP="00EE6FC8">
            <w:pPr>
              <w:pStyle w:val="Tabletext"/>
            </w:pPr>
            <w:r>
              <w:t>No</w:t>
            </w:r>
          </w:p>
        </w:tc>
        <w:tc>
          <w:tcPr>
            <w:tcW w:w="629" w:type="pct"/>
            <w:tcBorders>
              <w:top w:val="single" w:sz="4" w:space="0" w:color="auto"/>
              <w:bottom w:val="dashed" w:sz="4" w:space="0" w:color="auto"/>
            </w:tcBorders>
          </w:tcPr>
          <w:p w14:paraId="3C35013E" w14:textId="55C6CCAE" w:rsidR="00EE6FC8" w:rsidRPr="00910B42" w:rsidRDefault="00AD4612" w:rsidP="00EE6FC8">
            <w:pPr>
              <w:pStyle w:val="Tabletext"/>
            </w:pPr>
            <w:r>
              <w:t>Yes</w:t>
            </w:r>
          </w:p>
        </w:tc>
        <w:tc>
          <w:tcPr>
            <w:tcW w:w="629" w:type="pct"/>
            <w:tcBorders>
              <w:top w:val="single" w:sz="4" w:space="0" w:color="auto"/>
              <w:bottom w:val="dashed" w:sz="4" w:space="0" w:color="auto"/>
            </w:tcBorders>
          </w:tcPr>
          <w:p w14:paraId="587D8B1A" w14:textId="25115BA0" w:rsidR="00EE6FC8" w:rsidRPr="00910B42" w:rsidRDefault="00B66B57" w:rsidP="00EE6FC8">
            <w:pPr>
              <w:pStyle w:val="Tabletext"/>
            </w:pPr>
            <w:r>
              <w:t>N/A</w:t>
            </w:r>
          </w:p>
        </w:tc>
        <w:tc>
          <w:tcPr>
            <w:tcW w:w="628" w:type="pct"/>
            <w:tcBorders>
              <w:top w:val="single" w:sz="4" w:space="0" w:color="auto"/>
              <w:bottom w:val="dashed" w:sz="4" w:space="0" w:color="auto"/>
            </w:tcBorders>
          </w:tcPr>
          <w:p w14:paraId="634E4DA5" w14:textId="3F257015" w:rsidR="00EE6FC8" w:rsidRPr="00910B42" w:rsidRDefault="00AD4612" w:rsidP="00EE6FC8">
            <w:pPr>
              <w:pStyle w:val="Tabletext"/>
            </w:pPr>
            <w:r>
              <w:t>No</w:t>
            </w:r>
          </w:p>
        </w:tc>
        <w:tc>
          <w:tcPr>
            <w:tcW w:w="601" w:type="pct"/>
            <w:tcBorders>
              <w:top w:val="single" w:sz="4" w:space="0" w:color="auto"/>
              <w:bottom w:val="dashed" w:sz="4" w:space="0" w:color="auto"/>
            </w:tcBorders>
          </w:tcPr>
          <w:p w14:paraId="4E058DAE" w14:textId="0D79C613" w:rsidR="00EE6FC8" w:rsidRPr="00910B42" w:rsidRDefault="00AD4612" w:rsidP="00EE6FC8">
            <w:pPr>
              <w:pStyle w:val="Tabletext"/>
              <w:rPr>
                <w:b/>
                <w:bCs/>
              </w:rPr>
            </w:pPr>
            <w:r>
              <w:rPr>
                <w:b/>
                <w:bCs/>
              </w:rPr>
              <w:t>No</w:t>
            </w:r>
          </w:p>
        </w:tc>
      </w:tr>
      <w:tr w:rsidR="001A2B81" w:rsidRPr="00910B42" w14:paraId="6B506809" w14:textId="77777777" w:rsidTr="00DB6B0F">
        <w:trPr>
          <w:trHeight w:val="382"/>
        </w:trPr>
        <w:tc>
          <w:tcPr>
            <w:tcW w:w="1097" w:type="pct"/>
            <w:tcBorders>
              <w:top w:val="dashed" w:sz="4" w:space="0" w:color="auto"/>
              <w:left w:val="single" w:sz="4" w:space="0" w:color="auto"/>
              <w:bottom w:val="single" w:sz="4" w:space="0" w:color="auto"/>
              <w:right w:val="single" w:sz="4" w:space="0" w:color="auto"/>
            </w:tcBorders>
            <w:shd w:val="clear" w:color="auto" w:fill="auto"/>
          </w:tcPr>
          <w:p w14:paraId="4DA4B498" w14:textId="591481A5" w:rsidR="00EE6FC8" w:rsidRPr="00E451B2" w:rsidRDefault="00AD4612" w:rsidP="000868F8">
            <w:pPr>
              <w:pStyle w:val="Tabletext"/>
              <w:numPr>
                <w:ilvl w:val="0"/>
                <w:numId w:val="24"/>
              </w:numPr>
              <w:rPr>
                <w:b/>
                <w:bCs/>
              </w:rPr>
            </w:pPr>
            <w:r>
              <w:t>Implants</w:t>
            </w:r>
          </w:p>
        </w:tc>
        <w:tc>
          <w:tcPr>
            <w:tcW w:w="787" w:type="pct"/>
            <w:tcBorders>
              <w:top w:val="dashed" w:sz="4" w:space="0" w:color="auto"/>
              <w:bottom w:val="single" w:sz="4" w:space="0" w:color="auto"/>
            </w:tcBorders>
          </w:tcPr>
          <w:p w14:paraId="42B0FDF1" w14:textId="11C7EBE5" w:rsidR="00EE6FC8" w:rsidRDefault="002615B3" w:rsidP="00EE6FC8">
            <w:pPr>
              <w:pStyle w:val="Tabletext"/>
            </w:pPr>
            <w:r>
              <w:t>NJR</w:t>
            </w:r>
          </w:p>
        </w:tc>
        <w:tc>
          <w:tcPr>
            <w:tcW w:w="629" w:type="pct"/>
            <w:tcBorders>
              <w:top w:val="dashed" w:sz="4" w:space="0" w:color="auto"/>
              <w:bottom w:val="single" w:sz="4" w:space="0" w:color="auto"/>
            </w:tcBorders>
          </w:tcPr>
          <w:p w14:paraId="1B0ACE69" w14:textId="7440FAA8" w:rsidR="00EE6FC8" w:rsidRPr="00910B42" w:rsidRDefault="00AD4612" w:rsidP="00EE6FC8">
            <w:pPr>
              <w:pStyle w:val="Tabletext"/>
            </w:pPr>
            <w:r>
              <w:t>No</w:t>
            </w:r>
          </w:p>
        </w:tc>
        <w:tc>
          <w:tcPr>
            <w:tcW w:w="629" w:type="pct"/>
            <w:tcBorders>
              <w:top w:val="dashed" w:sz="4" w:space="0" w:color="auto"/>
              <w:bottom w:val="single" w:sz="4" w:space="0" w:color="auto"/>
            </w:tcBorders>
          </w:tcPr>
          <w:p w14:paraId="089D4D0B" w14:textId="68BF0047" w:rsidR="00EE6FC8" w:rsidRPr="00910B42" w:rsidRDefault="00AD4612" w:rsidP="00EE6FC8">
            <w:pPr>
              <w:pStyle w:val="Tabletext"/>
            </w:pPr>
            <w:r>
              <w:t>Yes</w:t>
            </w:r>
          </w:p>
        </w:tc>
        <w:tc>
          <w:tcPr>
            <w:tcW w:w="629" w:type="pct"/>
            <w:tcBorders>
              <w:top w:val="dashed" w:sz="4" w:space="0" w:color="auto"/>
              <w:bottom w:val="single" w:sz="4" w:space="0" w:color="auto"/>
            </w:tcBorders>
          </w:tcPr>
          <w:p w14:paraId="15A149A2" w14:textId="2E170B95" w:rsidR="00EE6FC8" w:rsidRPr="00910B42" w:rsidRDefault="00F429D8" w:rsidP="00EE6FC8">
            <w:pPr>
              <w:pStyle w:val="Tabletext"/>
            </w:pPr>
            <w:r>
              <w:t>N</w:t>
            </w:r>
            <w:r w:rsidR="00B66B57">
              <w:t>/A</w:t>
            </w:r>
          </w:p>
        </w:tc>
        <w:tc>
          <w:tcPr>
            <w:tcW w:w="628" w:type="pct"/>
            <w:tcBorders>
              <w:top w:val="dashed" w:sz="4" w:space="0" w:color="auto"/>
              <w:bottom w:val="single" w:sz="4" w:space="0" w:color="auto"/>
            </w:tcBorders>
          </w:tcPr>
          <w:p w14:paraId="67928CE3" w14:textId="7B042BEA" w:rsidR="00EE6FC8" w:rsidRPr="00910B42" w:rsidRDefault="00F429D8" w:rsidP="00EE6FC8">
            <w:pPr>
              <w:pStyle w:val="Tabletext"/>
            </w:pPr>
            <w:r w:rsidRPr="00F429D8">
              <w:t>TA304</w:t>
            </w:r>
          </w:p>
        </w:tc>
        <w:tc>
          <w:tcPr>
            <w:tcW w:w="601" w:type="pct"/>
            <w:tcBorders>
              <w:top w:val="dashed" w:sz="4" w:space="0" w:color="auto"/>
              <w:bottom w:val="single" w:sz="4" w:space="0" w:color="auto"/>
            </w:tcBorders>
          </w:tcPr>
          <w:p w14:paraId="7C33D3C7" w14:textId="1F765260" w:rsidR="00EE6FC8" w:rsidRPr="00910B42" w:rsidRDefault="00EF4F07" w:rsidP="00EE6FC8">
            <w:pPr>
              <w:pStyle w:val="Tabletext"/>
              <w:rPr>
                <w:b/>
                <w:bCs/>
              </w:rPr>
            </w:pPr>
            <w:r>
              <w:rPr>
                <w:b/>
                <w:bCs/>
              </w:rPr>
              <w:t>No</w:t>
            </w:r>
          </w:p>
        </w:tc>
      </w:tr>
      <w:tr w:rsidR="001A2B81" w:rsidRPr="00910B42" w14:paraId="54F8488D" w14:textId="77777777" w:rsidTr="00DB6B0F">
        <w:trPr>
          <w:trHeight w:val="382"/>
        </w:trPr>
        <w:tc>
          <w:tcPr>
            <w:tcW w:w="1097" w:type="pct"/>
            <w:tcBorders>
              <w:top w:val="single" w:sz="4" w:space="0" w:color="auto"/>
              <w:left w:val="single" w:sz="4" w:space="0" w:color="auto"/>
              <w:bottom w:val="dashed" w:sz="4" w:space="0" w:color="auto"/>
              <w:right w:val="single" w:sz="4" w:space="0" w:color="auto"/>
            </w:tcBorders>
            <w:shd w:val="clear" w:color="auto" w:fill="auto"/>
          </w:tcPr>
          <w:p w14:paraId="06B40D18" w14:textId="55939EC6" w:rsidR="00EE6FC8" w:rsidRPr="00E451B2" w:rsidRDefault="00AD4612" w:rsidP="000868F8">
            <w:pPr>
              <w:pStyle w:val="Tabletext"/>
              <w:numPr>
                <w:ilvl w:val="0"/>
                <w:numId w:val="24"/>
              </w:numPr>
              <w:rPr>
                <w:b/>
                <w:bCs/>
              </w:rPr>
            </w:pPr>
            <w:r>
              <w:t>New guidance</w:t>
            </w:r>
          </w:p>
        </w:tc>
        <w:tc>
          <w:tcPr>
            <w:tcW w:w="787" w:type="pct"/>
            <w:tcBorders>
              <w:top w:val="single" w:sz="4" w:space="0" w:color="auto"/>
              <w:bottom w:val="dashed" w:sz="4" w:space="0" w:color="auto"/>
            </w:tcBorders>
          </w:tcPr>
          <w:p w14:paraId="446713E1" w14:textId="16C085E0" w:rsidR="00EE6FC8" w:rsidRDefault="002615B3" w:rsidP="00EE6FC8">
            <w:pPr>
              <w:pStyle w:val="Tabletext"/>
            </w:pPr>
            <w:r>
              <w:t>ACP</w:t>
            </w:r>
            <w:r w:rsidR="001E0345">
              <w:t>A</w:t>
            </w:r>
            <w:r>
              <w:t>, BMS, CH, NHS</w:t>
            </w:r>
            <w:r w:rsidR="00A65DD8">
              <w:t>E</w:t>
            </w:r>
            <w:r w:rsidR="00694FCD">
              <w:t>&amp;</w:t>
            </w:r>
            <w:r>
              <w:t>I PS</w:t>
            </w:r>
          </w:p>
        </w:tc>
        <w:tc>
          <w:tcPr>
            <w:tcW w:w="629" w:type="pct"/>
            <w:tcBorders>
              <w:top w:val="single" w:sz="4" w:space="0" w:color="auto"/>
              <w:bottom w:val="dashed" w:sz="4" w:space="0" w:color="auto"/>
            </w:tcBorders>
          </w:tcPr>
          <w:p w14:paraId="4172877D" w14:textId="77777777" w:rsidR="00EE6FC8" w:rsidRPr="00910B42" w:rsidRDefault="00EE6FC8" w:rsidP="00EE6FC8">
            <w:pPr>
              <w:pStyle w:val="Tabletext"/>
            </w:pPr>
            <w:r>
              <w:t>No</w:t>
            </w:r>
          </w:p>
        </w:tc>
        <w:tc>
          <w:tcPr>
            <w:tcW w:w="629" w:type="pct"/>
            <w:tcBorders>
              <w:top w:val="single" w:sz="4" w:space="0" w:color="auto"/>
              <w:bottom w:val="dashed" w:sz="4" w:space="0" w:color="auto"/>
            </w:tcBorders>
          </w:tcPr>
          <w:p w14:paraId="61C49DB3" w14:textId="06444ED2" w:rsidR="00EE6FC8" w:rsidRPr="00910B42" w:rsidRDefault="00AD4612" w:rsidP="00EE6FC8">
            <w:pPr>
              <w:pStyle w:val="Tabletext"/>
            </w:pPr>
            <w:r>
              <w:t>Yes</w:t>
            </w:r>
          </w:p>
        </w:tc>
        <w:tc>
          <w:tcPr>
            <w:tcW w:w="629" w:type="pct"/>
            <w:tcBorders>
              <w:top w:val="single" w:sz="4" w:space="0" w:color="auto"/>
              <w:bottom w:val="dashed" w:sz="4" w:space="0" w:color="auto"/>
            </w:tcBorders>
          </w:tcPr>
          <w:p w14:paraId="4EE2CD51" w14:textId="7D2B156F" w:rsidR="00EE6FC8" w:rsidRPr="00910B42" w:rsidRDefault="00EE6FC8" w:rsidP="00EE6FC8">
            <w:pPr>
              <w:pStyle w:val="Tabletext"/>
            </w:pPr>
            <w:r>
              <w:t>N</w:t>
            </w:r>
            <w:r w:rsidR="00B66B57">
              <w:t>/A</w:t>
            </w:r>
          </w:p>
        </w:tc>
        <w:tc>
          <w:tcPr>
            <w:tcW w:w="628" w:type="pct"/>
            <w:tcBorders>
              <w:top w:val="single" w:sz="4" w:space="0" w:color="auto"/>
              <w:bottom w:val="dashed" w:sz="4" w:space="0" w:color="auto"/>
            </w:tcBorders>
          </w:tcPr>
          <w:p w14:paraId="6DEB8ED7" w14:textId="77777777" w:rsidR="00EE6FC8" w:rsidRPr="00910B42" w:rsidRDefault="00EE6FC8" w:rsidP="00EE6FC8">
            <w:pPr>
              <w:pStyle w:val="Tabletext"/>
            </w:pPr>
            <w:r>
              <w:t>No</w:t>
            </w:r>
          </w:p>
        </w:tc>
        <w:tc>
          <w:tcPr>
            <w:tcW w:w="601" w:type="pct"/>
            <w:tcBorders>
              <w:top w:val="single" w:sz="4" w:space="0" w:color="auto"/>
              <w:bottom w:val="dashed" w:sz="4" w:space="0" w:color="auto"/>
            </w:tcBorders>
          </w:tcPr>
          <w:p w14:paraId="00D3B5F6" w14:textId="4CE6669E" w:rsidR="00EE6FC8" w:rsidRPr="00910B42" w:rsidRDefault="00EF4F07" w:rsidP="00EE6FC8">
            <w:pPr>
              <w:pStyle w:val="Tabletext"/>
              <w:rPr>
                <w:b/>
                <w:bCs/>
              </w:rPr>
            </w:pPr>
            <w:r>
              <w:rPr>
                <w:b/>
                <w:bCs/>
              </w:rPr>
              <w:t>No</w:t>
            </w:r>
            <w:r w:rsidR="00AD4612">
              <w:rPr>
                <w:b/>
                <w:bCs/>
              </w:rPr>
              <w:t xml:space="preserve"> </w:t>
            </w:r>
          </w:p>
        </w:tc>
      </w:tr>
      <w:tr w:rsidR="001A2B81" w:rsidRPr="00910B42" w14:paraId="437BD22F" w14:textId="77777777" w:rsidTr="00DB6B0F">
        <w:trPr>
          <w:trHeight w:val="382"/>
        </w:trPr>
        <w:tc>
          <w:tcPr>
            <w:tcW w:w="1097" w:type="pct"/>
            <w:tcBorders>
              <w:top w:val="dashed" w:sz="4" w:space="0" w:color="auto"/>
              <w:left w:val="single" w:sz="4" w:space="0" w:color="auto"/>
              <w:bottom w:val="dashed" w:sz="4" w:space="0" w:color="auto"/>
              <w:right w:val="single" w:sz="4" w:space="0" w:color="auto"/>
            </w:tcBorders>
            <w:shd w:val="clear" w:color="auto" w:fill="auto"/>
          </w:tcPr>
          <w:p w14:paraId="54042D2D" w14:textId="72F18003" w:rsidR="00EE6FC8" w:rsidRPr="00E451B2" w:rsidRDefault="00AD4612" w:rsidP="000868F8">
            <w:pPr>
              <w:pStyle w:val="Tabletext"/>
              <w:numPr>
                <w:ilvl w:val="0"/>
                <w:numId w:val="24"/>
              </w:numPr>
              <w:rPr>
                <w:b/>
                <w:bCs/>
              </w:rPr>
            </w:pPr>
            <w:r>
              <w:t>Referral for joint surgery</w:t>
            </w:r>
          </w:p>
        </w:tc>
        <w:tc>
          <w:tcPr>
            <w:tcW w:w="787" w:type="pct"/>
            <w:tcBorders>
              <w:top w:val="dashed" w:sz="4" w:space="0" w:color="auto"/>
              <w:bottom w:val="dashed" w:sz="4" w:space="0" w:color="auto"/>
            </w:tcBorders>
          </w:tcPr>
          <w:p w14:paraId="3F46087D" w14:textId="7630952F" w:rsidR="00EE6FC8" w:rsidRDefault="002615B3" w:rsidP="00EE6FC8">
            <w:pPr>
              <w:pStyle w:val="Tabletext"/>
            </w:pPr>
            <w:r>
              <w:t>CH, VA</w:t>
            </w:r>
          </w:p>
        </w:tc>
        <w:tc>
          <w:tcPr>
            <w:tcW w:w="629" w:type="pct"/>
            <w:tcBorders>
              <w:top w:val="dashed" w:sz="4" w:space="0" w:color="auto"/>
              <w:bottom w:val="dashed" w:sz="4" w:space="0" w:color="auto"/>
            </w:tcBorders>
          </w:tcPr>
          <w:p w14:paraId="7CC087E3" w14:textId="77777777" w:rsidR="00EE6FC8" w:rsidRPr="00910B42" w:rsidRDefault="00EE6FC8" w:rsidP="00EE6FC8">
            <w:pPr>
              <w:pStyle w:val="Tabletext"/>
            </w:pPr>
            <w:r>
              <w:t>No</w:t>
            </w:r>
          </w:p>
        </w:tc>
        <w:tc>
          <w:tcPr>
            <w:tcW w:w="629" w:type="pct"/>
            <w:tcBorders>
              <w:top w:val="dashed" w:sz="4" w:space="0" w:color="auto"/>
              <w:bottom w:val="dashed" w:sz="4" w:space="0" w:color="auto"/>
            </w:tcBorders>
          </w:tcPr>
          <w:p w14:paraId="0129FF90" w14:textId="5B636C31" w:rsidR="00EE6FC8" w:rsidRPr="00910B42" w:rsidRDefault="00AD4612" w:rsidP="00EE6FC8">
            <w:pPr>
              <w:pStyle w:val="Tabletext"/>
            </w:pPr>
            <w:r>
              <w:t>No</w:t>
            </w:r>
          </w:p>
        </w:tc>
        <w:tc>
          <w:tcPr>
            <w:tcW w:w="629" w:type="pct"/>
            <w:tcBorders>
              <w:top w:val="dashed" w:sz="4" w:space="0" w:color="auto"/>
              <w:bottom w:val="dashed" w:sz="4" w:space="0" w:color="auto"/>
            </w:tcBorders>
          </w:tcPr>
          <w:p w14:paraId="433DE099" w14:textId="1143C910" w:rsidR="00EE6FC8" w:rsidRPr="00910B42" w:rsidRDefault="00EE6FC8" w:rsidP="00EE6FC8">
            <w:pPr>
              <w:pStyle w:val="Tabletext"/>
            </w:pPr>
            <w:r>
              <w:t>N</w:t>
            </w:r>
            <w:r w:rsidR="00B66B57">
              <w:t>/A</w:t>
            </w:r>
          </w:p>
        </w:tc>
        <w:tc>
          <w:tcPr>
            <w:tcW w:w="628" w:type="pct"/>
            <w:tcBorders>
              <w:top w:val="dashed" w:sz="4" w:space="0" w:color="auto"/>
              <w:bottom w:val="dashed" w:sz="4" w:space="0" w:color="auto"/>
            </w:tcBorders>
          </w:tcPr>
          <w:p w14:paraId="37DE2AA5" w14:textId="002EABB2" w:rsidR="00EE6FC8" w:rsidRPr="00910B42" w:rsidRDefault="00EE6FC8" w:rsidP="00EE6FC8">
            <w:pPr>
              <w:pStyle w:val="Tabletext"/>
            </w:pPr>
            <w:r>
              <w:t>Yes</w:t>
            </w:r>
            <w:r w:rsidR="00AD4612">
              <w:t xml:space="preserve"> (QS87)</w:t>
            </w:r>
          </w:p>
        </w:tc>
        <w:tc>
          <w:tcPr>
            <w:tcW w:w="601" w:type="pct"/>
            <w:tcBorders>
              <w:top w:val="dashed" w:sz="4" w:space="0" w:color="auto"/>
              <w:bottom w:val="dashed" w:sz="4" w:space="0" w:color="auto"/>
            </w:tcBorders>
          </w:tcPr>
          <w:p w14:paraId="6116D1CF" w14:textId="77777777" w:rsidR="00EE6FC8" w:rsidRPr="00910B42" w:rsidRDefault="00EE6FC8" w:rsidP="00EE6FC8">
            <w:pPr>
              <w:pStyle w:val="Tabletext"/>
              <w:rPr>
                <w:b/>
                <w:bCs/>
              </w:rPr>
            </w:pPr>
            <w:r>
              <w:rPr>
                <w:b/>
                <w:bCs/>
              </w:rPr>
              <w:t>No</w:t>
            </w:r>
          </w:p>
        </w:tc>
      </w:tr>
    </w:tbl>
    <w:p w14:paraId="7EAC620E" w14:textId="77777777" w:rsidR="006728F0" w:rsidRPr="006728F0" w:rsidRDefault="006728F0" w:rsidP="006728F0">
      <w:pPr>
        <w:pStyle w:val="NICEnormal"/>
      </w:pPr>
    </w:p>
    <w:p w14:paraId="1E3DB155" w14:textId="1E97503E" w:rsidR="00B65D9F" w:rsidRPr="003E5053" w:rsidRDefault="00B65D9F" w:rsidP="00B65D9F">
      <w:pPr>
        <w:pStyle w:val="Paragraph"/>
      </w:pPr>
      <w:r w:rsidRPr="003E5053">
        <w:lastRenderedPageBreak/>
        <w:t xml:space="preserve">Abbreviations: </w:t>
      </w:r>
    </w:p>
    <w:p w14:paraId="486824D2" w14:textId="5E596800" w:rsidR="001E0345" w:rsidRDefault="000C29CE" w:rsidP="001A56EC">
      <w:pPr>
        <w:pStyle w:val="Bulletleft1"/>
        <w:spacing w:line="240" w:lineRule="auto"/>
      </w:pPr>
      <w:r>
        <w:t>ACP</w:t>
      </w:r>
      <w:r w:rsidR="001E0345">
        <w:t>A</w:t>
      </w:r>
      <w:r>
        <w:t>, Arthroplasty Care Practitioners’ Association</w:t>
      </w:r>
    </w:p>
    <w:p w14:paraId="06BF2703" w14:textId="67A88E4E" w:rsidR="003E5053" w:rsidRDefault="003E5053" w:rsidP="001A56EC">
      <w:pPr>
        <w:pStyle w:val="Bulletleft1"/>
        <w:spacing w:line="240" w:lineRule="auto"/>
      </w:pPr>
      <w:r>
        <w:t>AGILE (s</w:t>
      </w:r>
      <w:r w:rsidRPr="003E5053">
        <w:t xml:space="preserve">pecial </w:t>
      </w:r>
      <w:r>
        <w:t>i</w:t>
      </w:r>
      <w:r w:rsidRPr="003E5053">
        <w:t xml:space="preserve">nterest </w:t>
      </w:r>
      <w:r>
        <w:t>g</w:t>
      </w:r>
      <w:r w:rsidRPr="003E5053">
        <w:t xml:space="preserve">roup </w:t>
      </w:r>
      <w:r>
        <w:t>r</w:t>
      </w:r>
      <w:r w:rsidRPr="003E5053">
        <w:t xml:space="preserve">epresenting </w:t>
      </w:r>
      <w:r>
        <w:t>p</w:t>
      </w:r>
      <w:r w:rsidRPr="003E5053">
        <w:t xml:space="preserve">hysiotherapists </w:t>
      </w:r>
      <w:r>
        <w:t>w</w:t>
      </w:r>
      <w:r w:rsidRPr="003E5053">
        <w:t xml:space="preserve">orking </w:t>
      </w:r>
      <w:r>
        <w:t>w</w:t>
      </w:r>
      <w:r w:rsidRPr="003E5053">
        <w:t xml:space="preserve">ith </w:t>
      </w:r>
      <w:r>
        <w:t>o</w:t>
      </w:r>
      <w:r w:rsidRPr="003E5053">
        <w:t xml:space="preserve">lder </w:t>
      </w:r>
      <w:r>
        <w:t>p</w:t>
      </w:r>
      <w:r w:rsidRPr="003E5053">
        <w:t xml:space="preserve">eople), </w:t>
      </w:r>
      <w:r>
        <w:t xml:space="preserve">affiliated </w:t>
      </w:r>
      <w:r w:rsidRPr="003E5053">
        <w:t>to the Chartered Society of Physiotherapy</w:t>
      </w:r>
    </w:p>
    <w:p w14:paraId="644D4AA7" w14:textId="0435E0C8" w:rsidR="003E5053" w:rsidRPr="0020663C" w:rsidRDefault="003E5053" w:rsidP="001A56EC">
      <w:pPr>
        <w:pStyle w:val="Bulletleft1"/>
        <w:spacing w:line="240" w:lineRule="auto"/>
      </w:pPr>
      <w:r>
        <w:t>BESS, British Elbow &amp; Shoulder Society</w:t>
      </w:r>
    </w:p>
    <w:p w14:paraId="59364615" w14:textId="00928BF1" w:rsidR="003E5053" w:rsidRPr="00F97696" w:rsidRDefault="003E5053" w:rsidP="001A56EC">
      <w:pPr>
        <w:pStyle w:val="Bulletleft1"/>
        <w:spacing w:line="240" w:lineRule="auto"/>
      </w:pPr>
      <w:r w:rsidRPr="00F97696">
        <w:t>BMS, Bristol Medical School (Musculoskeletal Research Unit, Translational Health Sciences)</w:t>
      </w:r>
    </w:p>
    <w:p w14:paraId="3FC8D2DC" w14:textId="59EA25F6" w:rsidR="00B65D9F" w:rsidRDefault="0020663C" w:rsidP="001A56EC">
      <w:pPr>
        <w:pStyle w:val="Bulletleft1"/>
        <w:spacing w:line="240" w:lineRule="auto"/>
      </w:pPr>
      <w:r w:rsidRPr="0020663C">
        <w:t>BOA (end. BHS), British Orthopaedic Association (response endorsed by the British Hip Society)</w:t>
      </w:r>
    </w:p>
    <w:p w14:paraId="413E4796" w14:textId="54FEFC44" w:rsidR="003E5053" w:rsidRDefault="003E5053" w:rsidP="001A56EC">
      <w:pPr>
        <w:pStyle w:val="Bulletleft1"/>
        <w:spacing w:line="240" w:lineRule="auto"/>
      </w:pPr>
      <w:r>
        <w:t>CH, Connect Health</w:t>
      </w:r>
    </w:p>
    <w:p w14:paraId="282A10F4" w14:textId="1C31795E" w:rsidR="006C7489" w:rsidRDefault="006C7489" w:rsidP="00B56CE1">
      <w:pPr>
        <w:pStyle w:val="Bulletleft1"/>
        <w:spacing w:line="276" w:lineRule="auto"/>
      </w:pPr>
      <w:r>
        <w:t xml:space="preserve">NCD, The </w:t>
      </w:r>
      <w:r w:rsidRPr="004E712A">
        <w:t xml:space="preserve">National Clinical Director </w:t>
      </w:r>
      <w:r>
        <w:t xml:space="preserve">for </w:t>
      </w:r>
      <w:r w:rsidRPr="004E712A">
        <w:t>Musculoskeletal Conditions NHS England and Improvement</w:t>
      </w:r>
    </w:p>
    <w:p w14:paraId="36333007" w14:textId="70FCB433" w:rsidR="003E5053" w:rsidRDefault="003E5053" w:rsidP="001A56EC">
      <w:pPr>
        <w:pStyle w:val="Bulletleft1"/>
        <w:spacing w:line="240" w:lineRule="auto"/>
      </w:pPr>
      <w:r>
        <w:t>NE</w:t>
      </w:r>
      <w:r w:rsidRPr="0020663C">
        <w:t xml:space="preserve">, </w:t>
      </w:r>
      <w:r>
        <w:t xml:space="preserve">NeuroCare Europe </w:t>
      </w:r>
    </w:p>
    <w:p w14:paraId="164E189E" w14:textId="251A968C" w:rsidR="00B65D9F" w:rsidRDefault="003E5053" w:rsidP="001A56EC">
      <w:pPr>
        <w:pStyle w:val="Bulletleft1"/>
        <w:spacing w:line="240" w:lineRule="auto"/>
      </w:pPr>
      <w:r>
        <w:t>NH</w:t>
      </w:r>
      <w:r w:rsidR="000C29CE">
        <w:t>S</w:t>
      </w:r>
      <w:r w:rsidR="00776158">
        <w:t>E</w:t>
      </w:r>
      <w:r w:rsidR="00A67D52">
        <w:t>&amp;</w:t>
      </w:r>
      <w:r w:rsidR="000C29CE">
        <w:t>I</w:t>
      </w:r>
      <w:r w:rsidR="001E0345">
        <w:t xml:space="preserve"> PS</w:t>
      </w:r>
      <w:r>
        <w:t xml:space="preserve">, NHS </w:t>
      </w:r>
      <w:r w:rsidR="00776158">
        <w:t>England</w:t>
      </w:r>
      <w:r w:rsidR="00664BB7">
        <w:t xml:space="preserve"> and </w:t>
      </w:r>
      <w:r>
        <w:t xml:space="preserve">Improvement – </w:t>
      </w:r>
      <w:r w:rsidR="000C29CE">
        <w:t>p</w:t>
      </w:r>
      <w:r>
        <w:t xml:space="preserve">atient </w:t>
      </w:r>
      <w:r w:rsidR="000C29CE">
        <w:t>s</w:t>
      </w:r>
      <w:r>
        <w:t xml:space="preserve">afety </w:t>
      </w:r>
      <w:r w:rsidR="000C29CE">
        <w:t>d</w:t>
      </w:r>
      <w:r>
        <w:t>ivision</w:t>
      </w:r>
    </w:p>
    <w:p w14:paraId="505AA7A3" w14:textId="013CFFA0" w:rsidR="003E5053" w:rsidRPr="0020663C" w:rsidRDefault="003E5053" w:rsidP="001A56EC">
      <w:pPr>
        <w:pStyle w:val="Bulletleft1"/>
        <w:spacing w:line="240" w:lineRule="auto"/>
      </w:pPr>
      <w:r>
        <w:t>NJR, National Joint Registry</w:t>
      </w:r>
    </w:p>
    <w:p w14:paraId="4BDBD7C0" w14:textId="4BF0AF80" w:rsidR="000C29CE" w:rsidRDefault="000C29CE" w:rsidP="001A56EC">
      <w:pPr>
        <w:pStyle w:val="Bulletleft1"/>
        <w:spacing w:line="240" w:lineRule="auto"/>
      </w:pPr>
      <w:r w:rsidRPr="000C29CE">
        <w:t xml:space="preserve">RCN, Royal College of Nursing </w:t>
      </w:r>
    </w:p>
    <w:p w14:paraId="6EB14A9A" w14:textId="5090D80C" w:rsidR="0020663C" w:rsidRPr="0020663C" w:rsidRDefault="0020663C" w:rsidP="001A56EC">
      <w:pPr>
        <w:pStyle w:val="Bulletleft1"/>
        <w:spacing w:line="240" w:lineRule="auto"/>
      </w:pPr>
      <w:r w:rsidRPr="0020663C">
        <w:t>SCM, Specialist Committee Member</w:t>
      </w:r>
    </w:p>
    <w:p w14:paraId="39D07C5F" w14:textId="77777777" w:rsidR="00E54A31" w:rsidRDefault="0020663C" w:rsidP="001A56EC">
      <w:pPr>
        <w:pStyle w:val="Bulletleft1"/>
        <w:spacing w:line="240" w:lineRule="auto"/>
      </w:pPr>
      <w:r w:rsidRPr="0020663C">
        <w:t>VA, Versus Arthritis</w:t>
      </w:r>
    </w:p>
    <w:p w14:paraId="0F742615" w14:textId="56E211C4" w:rsidR="00E54A31" w:rsidRPr="0020663C" w:rsidRDefault="00E54A31" w:rsidP="001A56EC">
      <w:pPr>
        <w:pStyle w:val="Bulletleft1"/>
        <w:spacing w:line="240" w:lineRule="auto"/>
      </w:pPr>
      <w:r>
        <w:t>ZB, Zimmer Biomet</w:t>
      </w:r>
    </w:p>
    <w:p w14:paraId="7E75CA4D" w14:textId="77CBC6B8" w:rsidR="003E5053" w:rsidRDefault="003E5053" w:rsidP="003E5053">
      <w:pPr>
        <w:pStyle w:val="Bulletleft1last"/>
        <w:numPr>
          <w:ilvl w:val="0"/>
          <w:numId w:val="0"/>
        </w:numPr>
        <w:ind w:left="284" w:hanging="284"/>
      </w:pPr>
    </w:p>
    <w:p w14:paraId="7EADE825" w14:textId="5FBD258A" w:rsidR="006728F0" w:rsidRPr="00BF74C8" w:rsidRDefault="006728F0" w:rsidP="003E5053">
      <w:pPr>
        <w:pStyle w:val="Bulletleft1last"/>
        <w:numPr>
          <w:ilvl w:val="0"/>
          <w:numId w:val="0"/>
        </w:numPr>
        <w:ind w:left="284" w:hanging="284"/>
        <w:rPr>
          <w:lang w:val="en-GB"/>
        </w:rPr>
        <w:sectPr w:rsidR="006728F0" w:rsidRPr="00BF74C8" w:rsidSect="00F46C34">
          <w:footerReference w:type="default" r:id="rId26"/>
          <w:footerReference w:type="first" r:id="rId27"/>
          <w:pgSz w:w="11906" w:h="16838"/>
          <w:pgMar w:top="1440" w:right="1440" w:bottom="2410" w:left="1440" w:header="709" w:footer="709" w:gutter="0"/>
          <w:cols w:space="708"/>
          <w:titlePg/>
          <w:docGrid w:linePitch="360"/>
        </w:sectPr>
      </w:pPr>
    </w:p>
    <w:p w14:paraId="1B6FE30A" w14:textId="216E4D2E" w:rsidR="003B6DDC" w:rsidRDefault="002C296A" w:rsidP="003116A1">
      <w:pPr>
        <w:pStyle w:val="Numberedheading1"/>
      </w:pPr>
      <w:bookmarkStart w:id="144" w:name="_Toc87374574"/>
      <w:r>
        <w:lastRenderedPageBreak/>
        <w:t>Suggested improvement area</w:t>
      </w:r>
      <w:r w:rsidR="003B6DDC">
        <w:t>s</w:t>
      </w:r>
      <w:bookmarkEnd w:id="144"/>
    </w:p>
    <w:p w14:paraId="2E65BD4B"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101BA4BD" w14:textId="083AFE31" w:rsidR="002C296A" w:rsidRPr="00433117" w:rsidRDefault="00645DCB" w:rsidP="003B6DDC">
      <w:pPr>
        <w:pStyle w:val="Numberedheading2"/>
      </w:pPr>
      <w:bookmarkStart w:id="145" w:name="_Toc87374575"/>
      <w:r>
        <w:t xml:space="preserve">Self-management </w:t>
      </w:r>
      <w:r w:rsidR="00A84E87">
        <w:t xml:space="preserve">and </w:t>
      </w:r>
      <w:r>
        <w:t>pre</w:t>
      </w:r>
      <w:r w:rsidR="00A93E48">
        <w:t xml:space="preserve">operative </w:t>
      </w:r>
      <w:r w:rsidR="00E970BC">
        <w:t>care</w:t>
      </w:r>
      <w:bookmarkEnd w:id="145"/>
      <w:r w:rsidR="00901082">
        <w:t xml:space="preserve"> </w:t>
      </w:r>
    </w:p>
    <w:p w14:paraId="1CBDD035" w14:textId="622DDB91" w:rsidR="00F6531E" w:rsidRDefault="00F6531E" w:rsidP="009858E2">
      <w:pPr>
        <w:pStyle w:val="Heading3"/>
      </w:pPr>
      <w:r>
        <w:t>Self-management</w:t>
      </w:r>
    </w:p>
    <w:p w14:paraId="287EE293" w14:textId="2813B088" w:rsidR="00F97696" w:rsidRDefault="00F6531E" w:rsidP="00F6531E">
      <w:pPr>
        <w:spacing w:line="276" w:lineRule="auto"/>
        <w:rPr>
          <w:rFonts w:ascii="Arial" w:hAnsi="Arial"/>
          <w:lang w:eastAsia="en-GB"/>
        </w:rPr>
      </w:pPr>
      <w:r w:rsidRPr="00F6531E">
        <w:rPr>
          <w:rFonts w:ascii="Arial" w:hAnsi="Arial"/>
          <w:lang w:eastAsia="en-GB"/>
        </w:rPr>
        <w:t xml:space="preserve">Stakeholders suggested that self-management was important for people </w:t>
      </w:r>
      <w:r w:rsidR="00577577">
        <w:rPr>
          <w:rFonts w:ascii="Arial" w:hAnsi="Arial"/>
          <w:lang w:eastAsia="en-GB"/>
        </w:rPr>
        <w:t>a</w:t>
      </w:r>
      <w:r w:rsidRPr="00F6531E">
        <w:rPr>
          <w:rFonts w:ascii="Arial" w:hAnsi="Arial"/>
          <w:lang w:eastAsia="en-GB"/>
        </w:rPr>
        <w:t>waiting</w:t>
      </w:r>
      <w:r w:rsidR="004F0831">
        <w:rPr>
          <w:rFonts w:ascii="Arial" w:hAnsi="Arial"/>
          <w:lang w:eastAsia="en-GB"/>
        </w:rPr>
        <w:t xml:space="preserve"> joint replacement surgery</w:t>
      </w:r>
      <w:r w:rsidR="008D13C6">
        <w:rPr>
          <w:rFonts w:ascii="Arial" w:hAnsi="Arial"/>
          <w:lang w:eastAsia="en-GB"/>
        </w:rPr>
        <w:t xml:space="preserve">, particularly in </w:t>
      </w:r>
      <w:r w:rsidR="004F0831">
        <w:rPr>
          <w:rFonts w:ascii="Arial" w:hAnsi="Arial"/>
          <w:lang w:eastAsia="en-GB"/>
        </w:rPr>
        <w:t>the context</w:t>
      </w:r>
      <w:r w:rsidR="008D13C6">
        <w:rPr>
          <w:rFonts w:ascii="Arial" w:hAnsi="Arial"/>
          <w:lang w:eastAsia="en-GB"/>
        </w:rPr>
        <w:t xml:space="preserve"> of increased waiting times due to </w:t>
      </w:r>
      <w:r w:rsidR="004F0831">
        <w:rPr>
          <w:rFonts w:ascii="Arial" w:hAnsi="Arial"/>
          <w:lang w:eastAsia="en-GB"/>
        </w:rPr>
        <w:t xml:space="preserve">the </w:t>
      </w:r>
      <w:r w:rsidR="00386AFA">
        <w:rPr>
          <w:rFonts w:ascii="Arial" w:hAnsi="Arial"/>
          <w:lang w:eastAsia="en-GB"/>
        </w:rPr>
        <w:t xml:space="preserve">COVID-19 </w:t>
      </w:r>
      <w:r w:rsidR="004F0831">
        <w:rPr>
          <w:rFonts w:ascii="Arial" w:hAnsi="Arial"/>
          <w:lang w:eastAsia="en-GB"/>
        </w:rPr>
        <w:t>pandemic</w:t>
      </w:r>
      <w:proofErr w:type="gramStart"/>
      <w:r w:rsidR="004F0831">
        <w:rPr>
          <w:rFonts w:ascii="Arial" w:hAnsi="Arial"/>
          <w:lang w:eastAsia="en-GB"/>
        </w:rPr>
        <w:t xml:space="preserve">. </w:t>
      </w:r>
      <w:r w:rsidR="00F97696">
        <w:rPr>
          <w:rFonts w:ascii="Arial" w:hAnsi="Arial"/>
          <w:lang w:eastAsia="en-GB"/>
        </w:rPr>
        <w:t xml:space="preserve"> </w:t>
      </w:r>
      <w:proofErr w:type="gramEnd"/>
      <w:r w:rsidR="00F97696">
        <w:rPr>
          <w:rFonts w:ascii="Arial" w:hAnsi="Arial"/>
          <w:lang w:eastAsia="en-GB"/>
        </w:rPr>
        <w:t>Stakeholders</w:t>
      </w:r>
      <w:r w:rsidR="004F0831">
        <w:rPr>
          <w:rFonts w:ascii="Arial" w:hAnsi="Arial"/>
          <w:lang w:eastAsia="en-GB"/>
        </w:rPr>
        <w:t xml:space="preserve"> highlighted the following</w:t>
      </w:r>
      <w:r w:rsidR="00CA66F2">
        <w:rPr>
          <w:rFonts w:ascii="Arial" w:hAnsi="Arial"/>
          <w:lang w:eastAsia="en-GB"/>
        </w:rPr>
        <w:t xml:space="preserve"> elements</w:t>
      </w:r>
      <w:r w:rsidR="00F97696">
        <w:rPr>
          <w:rFonts w:ascii="Arial" w:hAnsi="Arial"/>
          <w:lang w:eastAsia="en-GB"/>
        </w:rPr>
        <w:t>:</w:t>
      </w:r>
      <w:r w:rsidRPr="00F6531E">
        <w:rPr>
          <w:rFonts w:ascii="Arial" w:hAnsi="Arial"/>
          <w:lang w:eastAsia="en-GB"/>
        </w:rPr>
        <w:t xml:space="preserve"> </w:t>
      </w:r>
    </w:p>
    <w:p w14:paraId="527D64A2" w14:textId="002CA994" w:rsidR="00F97696" w:rsidRDefault="00F6531E" w:rsidP="000868F8">
      <w:pPr>
        <w:pStyle w:val="ListParagraph"/>
        <w:numPr>
          <w:ilvl w:val="0"/>
          <w:numId w:val="21"/>
        </w:numPr>
        <w:spacing w:line="276" w:lineRule="auto"/>
        <w:rPr>
          <w:rFonts w:ascii="Arial" w:hAnsi="Arial"/>
        </w:rPr>
      </w:pPr>
      <w:r w:rsidRPr="00F97696">
        <w:rPr>
          <w:rFonts w:ascii="Arial" w:hAnsi="Arial"/>
        </w:rPr>
        <w:t>Managing pain and other symptoms</w:t>
      </w:r>
      <w:r w:rsidR="00E60BF4">
        <w:rPr>
          <w:rFonts w:ascii="Arial" w:hAnsi="Arial"/>
        </w:rPr>
        <w:t xml:space="preserve"> of arthritis</w:t>
      </w:r>
      <w:r w:rsidR="00CA66F2">
        <w:rPr>
          <w:rFonts w:ascii="Arial" w:hAnsi="Arial"/>
        </w:rPr>
        <w:t>.</w:t>
      </w:r>
    </w:p>
    <w:p w14:paraId="4485C8DA" w14:textId="28A11569" w:rsidR="00F97696" w:rsidRDefault="00E60BF4" w:rsidP="000868F8">
      <w:pPr>
        <w:pStyle w:val="ListParagraph"/>
        <w:numPr>
          <w:ilvl w:val="0"/>
          <w:numId w:val="21"/>
        </w:numPr>
        <w:spacing w:line="276" w:lineRule="auto"/>
        <w:rPr>
          <w:rFonts w:ascii="Arial" w:hAnsi="Arial"/>
        </w:rPr>
      </w:pPr>
      <w:r>
        <w:rPr>
          <w:rFonts w:ascii="Arial" w:hAnsi="Arial"/>
        </w:rPr>
        <w:t>Access to p</w:t>
      </w:r>
      <w:r w:rsidR="00F6531E" w:rsidRPr="00F97696">
        <w:rPr>
          <w:rFonts w:ascii="Arial" w:hAnsi="Arial"/>
        </w:rPr>
        <w:t>hysical activity and exercise programmes</w:t>
      </w:r>
      <w:r w:rsidR="00F97696">
        <w:rPr>
          <w:rFonts w:ascii="Arial" w:hAnsi="Arial"/>
        </w:rPr>
        <w:t>.</w:t>
      </w:r>
    </w:p>
    <w:p w14:paraId="464B8AAD" w14:textId="51903EE9" w:rsidR="00CA66F2" w:rsidRDefault="00F97696" w:rsidP="000868F8">
      <w:pPr>
        <w:pStyle w:val="ListParagraph"/>
        <w:numPr>
          <w:ilvl w:val="0"/>
          <w:numId w:val="21"/>
        </w:numPr>
        <w:spacing w:line="276" w:lineRule="auto"/>
        <w:rPr>
          <w:rFonts w:ascii="Arial" w:hAnsi="Arial"/>
        </w:rPr>
      </w:pPr>
      <w:r>
        <w:rPr>
          <w:rFonts w:ascii="Arial" w:hAnsi="Arial"/>
        </w:rPr>
        <w:t>A</w:t>
      </w:r>
      <w:r w:rsidR="0024000F" w:rsidRPr="00F97696">
        <w:rPr>
          <w:rFonts w:ascii="Arial" w:hAnsi="Arial"/>
        </w:rPr>
        <w:t>dvice from healthcare professionals</w:t>
      </w:r>
      <w:r w:rsidR="00971215">
        <w:rPr>
          <w:rFonts w:ascii="Arial" w:hAnsi="Arial"/>
        </w:rPr>
        <w:t xml:space="preserve"> </w:t>
      </w:r>
      <w:r w:rsidR="0024000F" w:rsidRPr="00F97696">
        <w:rPr>
          <w:rFonts w:ascii="Arial" w:hAnsi="Arial"/>
        </w:rPr>
        <w:t xml:space="preserve">on </w:t>
      </w:r>
      <w:r w:rsidR="00F6531E" w:rsidRPr="00F97696">
        <w:rPr>
          <w:rFonts w:ascii="Arial" w:hAnsi="Arial"/>
        </w:rPr>
        <w:t>manag</w:t>
      </w:r>
      <w:r w:rsidR="0024000F" w:rsidRPr="00F97696">
        <w:rPr>
          <w:rFonts w:ascii="Arial" w:hAnsi="Arial"/>
        </w:rPr>
        <w:t>ing</w:t>
      </w:r>
      <w:r w:rsidR="00F6531E" w:rsidRPr="00F97696">
        <w:rPr>
          <w:rFonts w:ascii="Arial" w:hAnsi="Arial"/>
        </w:rPr>
        <w:t xml:space="preserve"> pain and fatigue</w:t>
      </w:r>
      <w:r w:rsidR="007E4D7F">
        <w:rPr>
          <w:rFonts w:ascii="Arial" w:hAnsi="Arial"/>
        </w:rPr>
        <w:t>.</w:t>
      </w:r>
    </w:p>
    <w:p w14:paraId="25CA4816" w14:textId="65142403" w:rsidR="00976FFA" w:rsidRDefault="00976FFA" w:rsidP="000868F8">
      <w:pPr>
        <w:pStyle w:val="ListParagraph"/>
        <w:numPr>
          <w:ilvl w:val="0"/>
          <w:numId w:val="21"/>
        </w:numPr>
        <w:spacing w:line="276" w:lineRule="auto"/>
        <w:rPr>
          <w:rFonts w:ascii="Arial" w:hAnsi="Arial"/>
        </w:rPr>
      </w:pPr>
      <w:r>
        <w:rPr>
          <w:rFonts w:ascii="Arial" w:hAnsi="Arial"/>
        </w:rPr>
        <w:t>Supporting mental health.</w:t>
      </w:r>
    </w:p>
    <w:p w14:paraId="1438BBEE" w14:textId="23970A4F" w:rsidR="00CA66F2" w:rsidRDefault="00CA66F2" w:rsidP="00CA66F2">
      <w:pPr>
        <w:spacing w:line="276" w:lineRule="auto"/>
        <w:rPr>
          <w:rFonts w:ascii="Arial" w:hAnsi="Arial"/>
        </w:rPr>
      </w:pPr>
    </w:p>
    <w:p w14:paraId="144D3068" w14:textId="240344D7" w:rsidR="00F6531E" w:rsidRPr="00CA66F2" w:rsidRDefault="00E60BF4" w:rsidP="00CA66F2">
      <w:pPr>
        <w:spacing w:line="276" w:lineRule="auto"/>
        <w:rPr>
          <w:rFonts w:ascii="Arial" w:hAnsi="Arial"/>
        </w:rPr>
      </w:pPr>
      <w:r w:rsidRPr="00CA66F2">
        <w:rPr>
          <w:rFonts w:ascii="Arial" w:hAnsi="Arial"/>
        </w:rPr>
        <w:t>Stakeholders</w:t>
      </w:r>
      <w:r w:rsidR="00971215">
        <w:rPr>
          <w:rFonts w:ascii="Arial" w:hAnsi="Arial"/>
        </w:rPr>
        <w:t xml:space="preserve"> proposed </w:t>
      </w:r>
      <w:r w:rsidRPr="00CA66F2">
        <w:rPr>
          <w:rFonts w:ascii="Arial" w:hAnsi="Arial"/>
        </w:rPr>
        <w:t xml:space="preserve">that </w:t>
      </w:r>
      <w:r w:rsidR="00020E68">
        <w:rPr>
          <w:rFonts w:ascii="Arial" w:hAnsi="Arial"/>
        </w:rPr>
        <w:t xml:space="preserve">effective support for self-management </w:t>
      </w:r>
      <w:r w:rsidRPr="00CA66F2">
        <w:rPr>
          <w:rFonts w:ascii="Arial" w:hAnsi="Arial"/>
        </w:rPr>
        <w:t xml:space="preserve">could be delivered by </w:t>
      </w:r>
      <w:r w:rsidR="00154D5B">
        <w:rPr>
          <w:rFonts w:ascii="Arial" w:hAnsi="Arial"/>
        </w:rPr>
        <w:t xml:space="preserve">healthcare professionals </w:t>
      </w:r>
      <w:r w:rsidR="00646525">
        <w:rPr>
          <w:rFonts w:ascii="Arial" w:hAnsi="Arial"/>
        </w:rPr>
        <w:t>working within primary care</w:t>
      </w:r>
      <w:r w:rsidR="00EC67D0">
        <w:rPr>
          <w:rFonts w:ascii="Arial" w:hAnsi="Arial"/>
        </w:rPr>
        <w:t>,</w:t>
      </w:r>
      <w:r w:rsidR="00646525">
        <w:rPr>
          <w:rFonts w:ascii="Arial" w:hAnsi="Arial"/>
        </w:rPr>
        <w:t xml:space="preserve"> </w:t>
      </w:r>
      <w:r w:rsidR="00154D5B">
        <w:rPr>
          <w:rFonts w:ascii="Arial" w:hAnsi="Arial"/>
        </w:rPr>
        <w:t>such as First Contact Practitioners</w:t>
      </w:r>
      <w:r w:rsidR="00F20AA0">
        <w:rPr>
          <w:rFonts w:ascii="Arial" w:hAnsi="Arial"/>
        </w:rPr>
        <w:t xml:space="preserve"> (FCPs)</w:t>
      </w:r>
      <w:r w:rsidR="004E6022">
        <w:rPr>
          <w:rFonts w:ascii="Arial" w:hAnsi="Arial"/>
        </w:rPr>
        <w:t>.</w:t>
      </w:r>
      <w:r w:rsidR="00154D5B">
        <w:rPr>
          <w:rFonts w:ascii="Arial" w:hAnsi="Arial"/>
        </w:rPr>
        <w:t xml:space="preserve"> </w:t>
      </w:r>
    </w:p>
    <w:p w14:paraId="780A788C" w14:textId="111FA198" w:rsidR="00D9316B" w:rsidRPr="007B1C0E" w:rsidRDefault="00D9316B" w:rsidP="00D9316B">
      <w:pPr>
        <w:pStyle w:val="Heading4"/>
      </w:pPr>
      <w:r>
        <w:t>S</w:t>
      </w:r>
      <w:r w:rsidRPr="00CD3D03">
        <w:t xml:space="preserve">elected recommendations </w:t>
      </w:r>
    </w:p>
    <w:p w14:paraId="17DC6599" w14:textId="77777777" w:rsidR="00D91F8E" w:rsidRPr="00D9316B" w:rsidRDefault="00D91F8E" w:rsidP="000460F1">
      <w:pPr>
        <w:pStyle w:val="NICEnormal"/>
        <w:spacing w:after="120"/>
        <w:rPr>
          <w:b/>
          <w:bCs/>
          <w:iCs/>
        </w:rPr>
      </w:pPr>
      <w:r w:rsidRPr="00D9316B">
        <w:t>Statements in existing quality standards</w:t>
      </w:r>
    </w:p>
    <w:p w14:paraId="7D325D4B" w14:textId="1C567CCE" w:rsidR="00D91F8E" w:rsidRPr="00D9316B" w:rsidRDefault="00751008" w:rsidP="00A7539E">
      <w:pPr>
        <w:pStyle w:val="NICEnormal"/>
        <w:rPr>
          <w:b/>
          <w:bCs/>
          <w:iCs/>
        </w:rPr>
      </w:pPr>
      <w:hyperlink r:id="rId28" w:history="1">
        <w:r w:rsidR="00D91F8E">
          <w:rPr>
            <w:rStyle w:val="Hyperlink"/>
          </w:rPr>
          <w:t>NICE’s quality standard on osteoarthritis (QS87)</w:t>
        </w:r>
      </w:hyperlink>
      <w:r w:rsidR="00C956EF">
        <w:rPr>
          <w:rStyle w:val="Hyperlink"/>
        </w:rPr>
        <w:t>:</w:t>
      </w:r>
      <w:r w:rsidR="00275425" w:rsidRPr="00D9316B" w:rsidDel="00275425">
        <w:t xml:space="preserve"> </w:t>
      </w:r>
    </w:p>
    <w:p w14:paraId="103207BA" w14:textId="14E23ABC" w:rsidR="00D91F8E" w:rsidRDefault="00D91F8E" w:rsidP="000460F1">
      <w:pPr>
        <w:pStyle w:val="NICEnormal"/>
        <w:spacing w:line="276" w:lineRule="auto"/>
        <w:rPr>
          <w:b/>
          <w:bCs/>
          <w:iCs/>
        </w:rPr>
      </w:pPr>
      <w:r w:rsidRPr="00D9316B">
        <w:t xml:space="preserve">Statement </w:t>
      </w:r>
      <w:r>
        <w:t>3</w:t>
      </w:r>
      <w:r w:rsidRPr="00D9316B">
        <w:t xml:space="preserve">. </w:t>
      </w:r>
      <w:r w:rsidRPr="00D91F8E">
        <w:t>Adults with osteoarthritis participate in developing a self</w:t>
      </w:r>
      <w:r w:rsidRPr="00D91F8E">
        <w:rPr>
          <w:rFonts w:ascii="Cambria Math" w:hAnsi="Cambria Math" w:cs="Cambria Math"/>
        </w:rPr>
        <w:t>‑</w:t>
      </w:r>
      <w:r w:rsidRPr="00D91F8E">
        <w:t>management plan that directs them to any support they may need.</w:t>
      </w:r>
    </w:p>
    <w:p w14:paraId="45F3F36C" w14:textId="1ACA9092" w:rsidR="00D91F8E" w:rsidRPr="00D91F8E" w:rsidRDefault="00D91F8E" w:rsidP="00E637E4">
      <w:pPr>
        <w:pStyle w:val="NICEnormal"/>
        <w:spacing w:line="276" w:lineRule="auto"/>
      </w:pPr>
      <w:r w:rsidRPr="00D91F8E">
        <w:t>Statement</w:t>
      </w:r>
      <w:r>
        <w:t xml:space="preserve"> 4</w:t>
      </w:r>
      <w:r w:rsidRPr="00D91F8E">
        <w:t>. Adults with osteoarthritis are advised to participate in muscle strengthening and aerobic exercise.</w:t>
      </w:r>
    </w:p>
    <w:p w14:paraId="50B02973" w14:textId="6D5D9200" w:rsidR="00043B49" w:rsidRDefault="00043B49" w:rsidP="004E712A">
      <w:pPr>
        <w:pStyle w:val="Heading4"/>
      </w:pPr>
      <w:bookmarkStart w:id="146" w:name="_Hlk80367015"/>
      <w:r w:rsidRPr="00043B49">
        <w:t>Current UK practice</w:t>
      </w:r>
    </w:p>
    <w:bookmarkStart w:id="147" w:name="_Hlk82766738"/>
    <w:p w14:paraId="61C2F24C" w14:textId="7E24BEE9" w:rsidR="00972D15" w:rsidRDefault="00580AD1" w:rsidP="00972D15">
      <w:pPr>
        <w:pStyle w:val="NICEnormal"/>
        <w:spacing w:line="276" w:lineRule="auto"/>
      </w:pPr>
      <w:r>
        <w:fldChar w:fldCharType="begin"/>
      </w:r>
      <w:r w:rsidR="004E6022">
        <w:instrText>HYPERLINK "https://www.health.org.uk/what-we-do/a-healthier-uk-population/mobilising-action-for-healthy-lives/covid-19-impact-inquiry"</w:instrText>
      </w:r>
      <w:r>
        <w:fldChar w:fldCharType="separate"/>
      </w:r>
      <w:r w:rsidR="004E6022">
        <w:rPr>
          <w:rStyle w:val="Hyperlink"/>
        </w:rPr>
        <w:t>Versus Arthritis’s response to the Health Foundation’s COVID-19 Impact Enquiry (2020)</w:t>
      </w:r>
      <w:r>
        <w:rPr>
          <w:rStyle w:val="Hyperlink"/>
        </w:rPr>
        <w:fldChar w:fldCharType="end"/>
      </w:r>
      <w:r w:rsidR="00130B79">
        <w:t xml:space="preserve"> </w:t>
      </w:r>
      <w:r w:rsidR="004E6022">
        <w:t xml:space="preserve">cited </w:t>
      </w:r>
      <w:r w:rsidR="00130B79">
        <w:t>the findings of their Joint Replacement COVID-19 Impact Survey</w:t>
      </w:r>
      <w:r w:rsidR="007744BC">
        <w:t xml:space="preserve"> (October and November 2020)</w:t>
      </w:r>
      <w:proofErr w:type="gramStart"/>
      <w:r w:rsidR="00130B79">
        <w:t xml:space="preserve">.  </w:t>
      </w:r>
      <w:proofErr w:type="gramEnd"/>
      <w:r w:rsidR="00130B79">
        <w:t>Of 688</w:t>
      </w:r>
      <w:r w:rsidR="00130B79" w:rsidRPr="005D659D">
        <w:t xml:space="preserve"> people </w:t>
      </w:r>
      <w:r w:rsidR="00130B79">
        <w:t xml:space="preserve">in England waiting for joint replacement surgery </w:t>
      </w:r>
      <w:r w:rsidR="00130B79" w:rsidRPr="005D659D">
        <w:t xml:space="preserve">who </w:t>
      </w:r>
      <w:r w:rsidR="00130B79">
        <w:t>responded</w:t>
      </w:r>
      <w:r w:rsidR="007744BC">
        <w:t>,</w:t>
      </w:r>
      <w:r w:rsidR="00130B79">
        <w:t xml:space="preserve"> </w:t>
      </w:r>
      <w:r w:rsidR="00EC67D0">
        <w:t xml:space="preserve">it was </w:t>
      </w:r>
      <w:r w:rsidR="00130B79">
        <w:t xml:space="preserve">reported </w:t>
      </w:r>
      <w:r w:rsidR="00130B79" w:rsidRPr="005D659D">
        <w:t>that</w:t>
      </w:r>
      <w:r w:rsidR="00560C23">
        <w:t>:</w:t>
      </w:r>
    </w:p>
    <w:bookmarkEnd w:id="147"/>
    <w:p w14:paraId="7F65C9B9" w14:textId="325E2BCC" w:rsidR="00976FFA" w:rsidRDefault="00976FFA" w:rsidP="00972D15">
      <w:pPr>
        <w:pStyle w:val="Bulletleft1"/>
        <w:spacing w:line="276" w:lineRule="auto"/>
      </w:pPr>
      <w:r>
        <w:t>90% reported reduced mobility.</w:t>
      </w:r>
    </w:p>
    <w:p w14:paraId="0BD07EC3" w14:textId="08471A4E" w:rsidR="00976FFA" w:rsidRDefault="00976FFA" w:rsidP="00972D15">
      <w:pPr>
        <w:pStyle w:val="Bulletleft1"/>
        <w:spacing w:line="276" w:lineRule="auto"/>
      </w:pPr>
      <w:r>
        <w:t xml:space="preserve">89% reported </w:t>
      </w:r>
      <w:r w:rsidR="007744BC">
        <w:t xml:space="preserve">that </w:t>
      </w:r>
      <w:r>
        <w:t xml:space="preserve">their pain levels had deteriorated. </w:t>
      </w:r>
    </w:p>
    <w:p w14:paraId="3AB960C7" w14:textId="1866FF75" w:rsidR="00976FFA" w:rsidRDefault="00976FFA" w:rsidP="00972D15">
      <w:pPr>
        <w:pStyle w:val="Bulletleft1"/>
        <w:spacing w:line="276" w:lineRule="auto"/>
      </w:pPr>
      <w:r>
        <w:t xml:space="preserve">79% reported </w:t>
      </w:r>
      <w:r w:rsidR="007744BC">
        <w:t xml:space="preserve">that </w:t>
      </w:r>
      <w:r>
        <w:t>they were less independent</w:t>
      </w:r>
      <w:r w:rsidR="00972D15">
        <w:t>.</w:t>
      </w:r>
    </w:p>
    <w:p w14:paraId="521BAE84" w14:textId="3B77084C" w:rsidR="00130B79" w:rsidRDefault="00976FFA" w:rsidP="00972D15">
      <w:pPr>
        <w:pStyle w:val="Bulletleft1"/>
        <w:spacing w:line="276" w:lineRule="auto"/>
      </w:pPr>
      <w:r>
        <w:t xml:space="preserve">72% </w:t>
      </w:r>
      <w:r w:rsidR="00130B79">
        <w:t>reported</w:t>
      </w:r>
      <w:r>
        <w:t xml:space="preserve"> that their mental health had deteriorated. </w:t>
      </w:r>
    </w:p>
    <w:p w14:paraId="60862E4A" w14:textId="46DCBF2D" w:rsidR="00B213B4" w:rsidRDefault="00B213B4" w:rsidP="00B213B4">
      <w:pPr>
        <w:pStyle w:val="Bulletleft1"/>
      </w:pPr>
      <w:r w:rsidRPr="00B213B4">
        <w:t>14% had been offered access to a physiotherapist while waiting for surgery.</w:t>
      </w:r>
    </w:p>
    <w:p w14:paraId="7FDD02F2" w14:textId="516FA738" w:rsidR="00B842DD" w:rsidRDefault="00B842DD" w:rsidP="00B842DD">
      <w:pPr>
        <w:pStyle w:val="Bulletleft1"/>
        <w:numPr>
          <w:ilvl w:val="0"/>
          <w:numId w:val="0"/>
        </w:numPr>
        <w:spacing w:line="276" w:lineRule="auto"/>
      </w:pPr>
      <w:r>
        <w:lastRenderedPageBreak/>
        <w:t xml:space="preserve">Versus Arthritis’s </w:t>
      </w:r>
      <w:hyperlink r:id="rId29" w:history="1">
        <w:r w:rsidRPr="00B842DD">
          <w:rPr>
            <w:rStyle w:val="Hyperlink"/>
          </w:rPr>
          <w:t>Impossible to Ignore campaign</w:t>
        </w:r>
      </w:hyperlink>
      <w:r>
        <w:t xml:space="preserve"> also refers to all but the last of these findings in a survey of 900 people across the UK about their experience of waiting for surgery (2021). </w:t>
      </w:r>
    </w:p>
    <w:p w14:paraId="33259A01" w14:textId="5E5A4052" w:rsidR="009858E2" w:rsidRPr="003A57C1" w:rsidRDefault="009F03CE" w:rsidP="004E712A">
      <w:pPr>
        <w:pStyle w:val="Heading3"/>
      </w:pPr>
      <w:r>
        <w:t>P</w:t>
      </w:r>
      <w:r w:rsidR="00577577">
        <w:t>re</w:t>
      </w:r>
      <w:r w:rsidR="00A93E48">
        <w:t xml:space="preserve">operative </w:t>
      </w:r>
      <w:r w:rsidR="008C3A6C">
        <w:t>care</w:t>
      </w:r>
    </w:p>
    <w:bookmarkEnd w:id="146"/>
    <w:p w14:paraId="36BE91F4" w14:textId="1E90B0CB" w:rsidR="00F97696" w:rsidRDefault="00F97696" w:rsidP="00F6531E">
      <w:pPr>
        <w:pStyle w:val="Paragraphnonumbers"/>
      </w:pPr>
      <w:r>
        <w:t xml:space="preserve">Stakeholders felt </w:t>
      </w:r>
      <w:r w:rsidR="009973AE">
        <w:t xml:space="preserve">that </w:t>
      </w:r>
      <w:r>
        <w:t xml:space="preserve">this </w:t>
      </w:r>
      <w:r w:rsidR="009973AE">
        <w:t xml:space="preserve">is </w:t>
      </w:r>
      <w:r>
        <w:t>an important area for quality improvemen</w:t>
      </w:r>
      <w:r w:rsidR="00B31600">
        <w:t xml:space="preserve">t, </w:t>
      </w:r>
      <w:r w:rsidR="009973AE">
        <w:t>suggesting</w:t>
      </w:r>
      <w:r w:rsidR="00B31600">
        <w:t xml:space="preserve"> a range of </w:t>
      </w:r>
      <w:r w:rsidR="003A7F32">
        <w:t>specific areas</w:t>
      </w:r>
      <w:r w:rsidR="009973AE">
        <w:t>:</w:t>
      </w:r>
    </w:p>
    <w:p w14:paraId="418B3286" w14:textId="7CFFE542" w:rsidR="00A67D52" w:rsidRDefault="009F03CE" w:rsidP="000460F1">
      <w:pPr>
        <w:pStyle w:val="Bulletleft1"/>
        <w:spacing w:line="276" w:lineRule="auto"/>
      </w:pPr>
      <w:r w:rsidRPr="009F03CE">
        <w:t>Holistic</w:t>
      </w:r>
      <w:r w:rsidR="00B31600">
        <w:t>, multidisciplinary approach to</w:t>
      </w:r>
      <w:r w:rsidR="00C8500A">
        <w:t xml:space="preserve"> preoperative/preadmission</w:t>
      </w:r>
      <w:r w:rsidR="00B31600">
        <w:t xml:space="preserve"> assessment</w:t>
      </w:r>
      <w:r w:rsidR="00A67D52">
        <w:t xml:space="preserve">. </w:t>
      </w:r>
    </w:p>
    <w:p w14:paraId="005C7AE8" w14:textId="79D0C1D8" w:rsidR="00A67D52" w:rsidRDefault="00A67D52" w:rsidP="000460F1">
      <w:pPr>
        <w:pStyle w:val="Bulletleft1"/>
        <w:spacing w:line="276" w:lineRule="auto"/>
      </w:pPr>
      <w:r>
        <w:t xml:space="preserve">Identifying people </w:t>
      </w:r>
      <w:r w:rsidR="00212FBE">
        <w:t>who need</w:t>
      </w:r>
      <w:r w:rsidRPr="00A67D52">
        <w:t xml:space="preserve"> supervised rehabilitation</w:t>
      </w:r>
      <w:r w:rsidR="00212FBE">
        <w:t xml:space="preserve"> and </w:t>
      </w:r>
      <w:r w:rsidRPr="00A67D52">
        <w:t>home adaptations to support proactive planning (especially people identified as being frail)</w:t>
      </w:r>
      <w:r w:rsidR="00E970BC">
        <w:t xml:space="preserve"> as part of an assessment</w:t>
      </w:r>
      <w:r w:rsidR="00901082">
        <w:t>.</w:t>
      </w:r>
    </w:p>
    <w:p w14:paraId="62A82445" w14:textId="344CCC14" w:rsidR="00F97696" w:rsidRDefault="00A67D52" w:rsidP="000460F1">
      <w:pPr>
        <w:pStyle w:val="Bulletleft1"/>
        <w:spacing w:line="276" w:lineRule="auto"/>
      </w:pPr>
      <w:r>
        <w:t xml:space="preserve">Holistic, multidisciplinary approach to </w:t>
      </w:r>
      <w:r w:rsidR="00212FBE">
        <w:t xml:space="preserve">preoperative </w:t>
      </w:r>
      <w:r>
        <w:t>rehabilitation,</w:t>
      </w:r>
      <w:r w:rsidR="00B31600">
        <w:t xml:space="preserve"> encompassing education</w:t>
      </w:r>
      <w:r w:rsidR="002749C0">
        <w:t xml:space="preserve"> and</w:t>
      </w:r>
      <w:r>
        <w:t xml:space="preserve"> </w:t>
      </w:r>
      <w:r w:rsidR="00212FBE">
        <w:t>preparation for surgery.</w:t>
      </w:r>
    </w:p>
    <w:p w14:paraId="31F65F78" w14:textId="429DAC6E" w:rsidR="002749C0" w:rsidRDefault="00B31600" w:rsidP="000460F1">
      <w:pPr>
        <w:pStyle w:val="Bulletleft1"/>
        <w:spacing w:line="276" w:lineRule="auto"/>
      </w:pPr>
      <w:r>
        <w:t>Optimising physical fitness to improve recovery and maximise postoperative function</w:t>
      </w:r>
      <w:proofErr w:type="gramStart"/>
      <w:r>
        <w:t xml:space="preserve">. </w:t>
      </w:r>
      <w:r w:rsidR="00F556F8">
        <w:t xml:space="preserve"> </w:t>
      </w:r>
      <w:proofErr w:type="gramEnd"/>
      <w:r>
        <w:t>Exercises and attention to muscle condition were highlighted as specific areas</w:t>
      </w:r>
      <w:r w:rsidR="00347E42">
        <w:t xml:space="preserve"> important to aiding recovery</w:t>
      </w:r>
      <w:r>
        <w:t xml:space="preserve">. </w:t>
      </w:r>
    </w:p>
    <w:p w14:paraId="4FE8606A" w14:textId="592660A2" w:rsidR="002749C0" w:rsidRPr="002749C0" w:rsidRDefault="00F556F8" w:rsidP="000460F1">
      <w:pPr>
        <w:pStyle w:val="Bulletleft1"/>
        <w:spacing w:line="276" w:lineRule="auto"/>
      </w:pPr>
      <w:r>
        <w:t xml:space="preserve">The timing of </w:t>
      </w:r>
      <w:r w:rsidR="002749C0" w:rsidRPr="009F03CE">
        <w:t xml:space="preserve">access </w:t>
      </w:r>
      <w:r w:rsidR="002749C0">
        <w:t xml:space="preserve">to rehabilitation </w:t>
      </w:r>
      <w:r w:rsidR="002749C0" w:rsidRPr="009F03CE">
        <w:t xml:space="preserve">was highlighted as </w:t>
      </w:r>
      <w:r>
        <w:t xml:space="preserve">an </w:t>
      </w:r>
      <w:r w:rsidR="002749C0" w:rsidRPr="009F03CE">
        <w:t>important</w:t>
      </w:r>
      <w:r>
        <w:t xml:space="preserve"> consideration,</w:t>
      </w:r>
      <w:r w:rsidR="002749C0" w:rsidRPr="009F03CE">
        <w:t xml:space="preserve"> particularly in the context of long waiting lists.</w:t>
      </w:r>
    </w:p>
    <w:p w14:paraId="35F29A3C" w14:textId="3CA0C4E4" w:rsidR="00A67D52" w:rsidRPr="002749C0" w:rsidRDefault="002749C0" w:rsidP="000460F1">
      <w:pPr>
        <w:pStyle w:val="Bulletleft1"/>
        <w:spacing w:line="276" w:lineRule="auto"/>
      </w:pPr>
      <w:r>
        <w:t>M</w:t>
      </w:r>
      <w:r w:rsidR="00A67D52">
        <w:t>usculoskeletal FCPs</w:t>
      </w:r>
      <w:r w:rsidR="00F20AA0">
        <w:t xml:space="preserve"> (physiotherapists with enhanced skills)</w:t>
      </w:r>
      <w:r w:rsidR="00A67D52">
        <w:t xml:space="preserve"> could </w:t>
      </w:r>
      <w:r w:rsidR="00212FBE">
        <w:t>provide rehabilitation</w:t>
      </w:r>
      <w:r w:rsidR="00860FFD">
        <w:t xml:space="preserve"> preoperatively.</w:t>
      </w:r>
    </w:p>
    <w:p w14:paraId="284996FE" w14:textId="7FACDD42" w:rsidR="002749C0" w:rsidRDefault="002749C0" w:rsidP="000460F1">
      <w:pPr>
        <w:pStyle w:val="Bulletleft1"/>
        <w:spacing w:line="276" w:lineRule="auto"/>
      </w:pPr>
      <w:r w:rsidRPr="002749C0">
        <w:t>Variation in the format and content of assessment and rehabilitation (an example being hip precautions</w:t>
      </w:r>
      <w:r>
        <w:t xml:space="preserve"> – the provision of </w:t>
      </w:r>
      <w:r w:rsidRPr="002749C0">
        <w:t xml:space="preserve">advice and equipment to reduce the risk of dislocation after </w:t>
      </w:r>
      <w:r>
        <w:t>THR</w:t>
      </w:r>
      <w:r w:rsidRPr="002749C0">
        <w:t>), and the healthcare professionals involved</w:t>
      </w:r>
      <w:proofErr w:type="gramStart"/>
      <w:r w:rsidRPr="002749C0">
        <w:t xml:space="preserve">.  </w:t>
      </w:r>
      <w:proofErr w:type="gramEnd"/>
    </w:p>
    <w:p w14:paraId="2B1BD89A" w14:textId="7CBA2CBC" w:rsidR="005C7C4A" w:rsidRDefault="005C7C4A" w:rsidP="004E712A">
      <w:pPr>
        <w:pStyle w:val="Heading4"/>
      </w:pPr>
      <w:r>
        <w:t xml:space="preserve">Selected recommendations </w:t>
      </w:r>
    </w:p>
    <w:p w14:paraId="75FEA66D" w14:textId="27D0625E" w:rsidR="00D91F8E" w:rsidRPr="00D9316B" w:rsidRDefault="00751008" w:rsidP="004E712A">
      <w:pPr>
        <w:pStyle w:val="NICEnormal"/>
        <w:rPr>
          <w:b/>
          <w:bCs/>
          <w:iCs/>
        </w:rPr>
      </w:pPr>
      <w:hyperlink r:id="rId30" w:history="1">
        <w:r w:rsidR="00275425">
          <w:rPr>
            <w:rStyle w:val="Hyperlink"/>
          </w:rPr>
          <w:t>NICE’s guideline on joint replacement (primary) NG157</w:t>
        </w:r>
      </w:hyperlink>
      <w:r w:rsidR="00C956EF">
        <w:rPr>
          <w:rStyle w:val="Hyperlink"/>
        </w:rPr>
        <w:t>:</w:t>
      </w:r>
    </w:p>
    <w:p w14:paraId="036C0A2D" w14:textId="069EF41A" w:rsidR="00D91F8E" w:rsidRPr="00D91F8E" w:rsidRDefault="00D91F8E" w:rsidP="005C6FE1">
      <w:pPr>
        <w:pStyle w:val="NICEnormal"/>
        <w:spacing w:line="276" w:lineRule="auto"/>
        <w:rPr>
          <w:b/>
          <w:bCs/>
          <w:iCs/>
        </w:rPr>
      </w:pPr>
      <w:r>
        <w:t xml:space="preserve">1.2.1 </w:t>
      </w:r>
      <w:r w:rsidRPr="00D91F8E">
        <w:t>Give people having hip or knee replacement advice on preoperative rehabilitation. Include advice on:</w:t>
      </w:r>
    </w:p>
    <w:p w14:paraId="3F7CFD33" w14:textId="1B072C97" w:rsidR="00D91F8E" w:rsidRPr="00D91F8E" w:rsidRDefault="00D91F8E" w:rsidP="005C6FE1">
      <w:pPr>
        <w:pStyle w:val="Bulletleft1"/>
        <w:spacing w:line="276" w:lineRule="auto"/>
        <w:rPr>
          <w:b/>
          <w:bCs/>
          <w:iCs/>
        </w:rPr>
      </w:pPr>
      <w:r w:rsidRPr="00D91F8E">
        <w:t>exercises to do before and after surgery that will aid recovery</w:t>
      </w:r>
    </w:p>
    <w:p w14:paraId="60D5BFAE" w14:textId="730404EC" w:rsidR="00D91F8E" w:rsidRPr="00D91F8E" w:rsidRDefault="00D91F8E" w:rsidP="005C6FE1">
      <w:pPr>
        <w:pStyle w:val="Bulletleft1"/>
        <w:spacing w:line="276" w:lineRule="auto"/>
        <w:rPr>
          <w:b/>
          <w:bCs/>
          <w:iCs/>
        </w:rPr>
      </w:pPr>
      <w:r w:rsidRPr="00D91F8E">
        <w:t xml:space="preserve">lifestyle, including weight management, diet and smoking cessation (see </w:t>
      </w:r>
      <w:hyperlink r:id="rId31" w:history="1">
        <w:r w:rsidRPr="00EA7E80">
          <w:rPr>
            <w:rStyle w:val="Hyperlink"/>
          </w:rPr>
          <w:t>NICE's guidance on lifestyle and wellbeing</w:t>
        </w:r>
      </w:hyperlink>
      <w:r w:rsidRPr="00D91F8E">
        <w:t>)</w:t>
      </w:r>
    </w:p>
    <w:p w14:paraId="4543ACDE" w14:textId="03275380" w:rsidR="00D91F8E" w:rsidRDefault="00D91F8E" w:rsidP="005C6FE1">
      <w:pPr>
        <w:pStyle w:val="Bulletleft1"/>
        <w:spacing w:line="276" w:lineRule="auto"/>
        <w:rPr>
          <w:b/>
          <w:bCs/>
          <w:iCs/>
        </w:rPr>
      </w:pPr>
      <w:r w:rsidRPr="00D91F8E">
        <w:t>maximising functional independence and quality of life before and after surgery.</w:t>
      </w:r>
    </w:p>
    <w:p w14:paraId="5F587884" w14:textId="6266C9BF" w:rsidR="00EA7E80" w:rsidRDefault="00751008" w:rsidP="00EA7E80">
      <w:pPr>
        <w:pStyle w:val="Paragraph"/>
      </w:pPr>
      <w:hyperlink r:id="rId32" w:history="1">
        <w:r w:rsidR="00275425">
          <w:rPr>
            <w:rStyle w:val="Hyperlink"/>
          </w:rPr>
          <w:t>Royal College of Occupational Therapists’ (RCOT) guideline on occupational therapy for people undergoing total hip replacement (NICE-accredited, 2017)</w:t>
        </w:r>
      </w:hyperlink>
      <w:r w:rsidR="00C956EF">
        <w:rPr>
          <w:rStyle w:val="Hyperlink"/>
        </w:rPr>
        <w:t>:</w:t>
      </w:r>
    </w:p>
    <w:p w14:paraId="48C6E1CC" w14:textId="3EB61793" w:rsidR="009F03CE" w:rsidRDefault="009F03CE" w:rsidP="00EA7E80">
      <w:pPr>
        <w:pStyle w:val="Paragraph"/>
      </w:pPr>
      <w:r w:rsidRPr="009F03CE">
        <w:t>1 It is recommended that the occupational therapy assessment is comprehensive and considers factors which may affect individual needs, goals, recovery and rehabilitation, including co-morbidities, trauma history, personal circumstances, obesity and pre-operative function.</w:t>
      </w:r>
      <w:r w:rsidR="006F5A94">
        <w:t xml:space="preserve"> </w:t>
      </w:r>
    </w:p>
    <w:p w14:paraId="59AB70BC" w14:textId="6AB34947" w:rsidR="009F03CE" w:rsidRDefault="009F03CE" w:rsidP="00EA7E80">
      <w:pPr>
        <w:pStyle w:val="Paragraphnonumbers"/>
      </w:pPr>
      <w:r w:rsidRPr="009F03CE">
        <w:lastRenderedPageBreak/>
        <w:t xml:space="preserve">5 It is recommended that cognitive status is </w:t>
      </w:r>
      <w:proofErr w:type="gramStart"/>
      <w:r w:rsidRPr="009F03CE">
        <w:t>taken into account</w:t>
      </w:r>
      <w:proofErr w:type="gramEnd"/>
      <w:r w:rsidRPr="009F03CE">
        <w:t xml:space="preserve"> during pre-operative and post-operative intervention due to its potential for impact on recovery</w:t>
      </w:r>
      <w:r w:rsidR="00BA2E84">
        <w:t>.</w:t>
      </w:r>
      <w:r w:rsidR="006F5A94">
        <w:t xml:space="preserve"> </w:t>
      </w:r>
    </w:p>
    <w:p w14:paraId="1AFCDB4B" w14:textId="07F7776D" w:rsidR="00FB0500" w:rsidRDefault="00FB0500" w:rsidP="00BA2E84">
      <w:pPr>
        <w:pStyle w:val="Paragraphnonumbers"/>
      </w:pPr>
      <w:r w:rsidRPr="00FB0500">
        <w:t>6 It is recommended that service users are fully involved in decisions about the equipment required to enable them to carry out daily living activities and to comply with any hip precautions in their home environment post-surgery.</w:t>
      </w:r>
    </w:p>
    <w:p w14:paraId="72B397D5" w14:textId="77777777" w:rsidR="0081067C" w:rsidRDefault="0081067C" w:rsidP="00EA7E80">
      <w:pPr>
        <w:pStyle w:val="Paragraphnonumbers"/>
      </w:pPr>
      <w:r w:rsidRPr="0081067C">
        <w:t>11 It is recommended that pre-operative assessment and education is carried out in the most appropriate environment for the service user. For the majority of service users a clinic environment is appropriate, but where needs are complex, a home assessment should be an available option.</w:t>
      </w:r>
    </w:p>
    <w:p w14:paraId="6B440F01" w14:textId="0021DAA2" w:rsidR="00EA7E80" w:rsidRDefault="00EA7E80" w:rsidP="00EA7E80">
      <w:pPr>
        <w:pStyle w:val="Paragraphnonumbers"/>
      </w:pPr>
      <w:r>
        <w:t>14 It is suggested that occupational therapists should contribute to standardised pre-operative education interventions, providing information, advice and demonstrations where relevant (e.g. of joint protection principles, equipment).</w:t>
      </w:r>
    </w:p>
    <w:p w14:paraId="2DCD2CA1" w14:textId="0450F455" w:rsidR="00BF7ECF" w:rsidRDefault="00BF7ECF" w:rsidP="00BF7ECF">
      <w:pPr>
        <w:pStyle w:val="Paragraphnonumbers"/>
      </w:pPr>
      <w:r>
        <w:t>22 It is recommended that occupational therapists advise service users, where protocol includes precautions, on appropriate position behaviours for those daily activities applicable to the individual’s needs, ranging from getting in/out of a car to answering the telephone.</w:t>
      </w:r>
    </w:p>
    <w:p w14:paraId="57F7C6E8" w14:textId="0C176AD8" w:rsidR="00EF2E17" w:rsidRDefault="00EF2E17" w:rsidP="00F63FDF">
      <w:pPr>
        <w:pStyle w:val="Paragraphnonumbers"/>
      </w:pPr>
      <w:r>
        <w:t>23 It is suggested that given the increase in evidence of improved service user satisfaction and earlier functional independence, without adverse effects on dislocation rates when hip precautions are relaxed or discontinued, occupational therapists engage in local discussion/review of hip precaution protocols with their surgical and multidisciplinary teams.</w:t>
      </w:r>
    </w:p>
    <w:p w14:paraId="6F177D7F" w14:textId="11D5F3D4" w:rsidR="00F63FDF" w:rsidRDefault="00EA7E80" w:rsidP="00F63FDF">
      <w:pPr>
        <w:pStyle w:val="Paragraphnonumbers"/>
      </w:pPr>
      <w:r>
        <w:t>24 It is recommended that occupational therapists optimise length of stay, with due reference to care pathways and enhanced recovery programme guidance.</w:t>
      </w:r>
      <w:bookmarkStart w:id="148" w:name="_Hlk81446914"/>
      <w:bookmarkStart w:id="149" w:name="_Hlk80366706"/>
    </w:p>
    <w:p w14:paraId="6823D794" w14:textId="172D7084" w:rsidR="00245103" w:rsidRPr="00E637E4" w:rsidRDefault="00245103" w:rsidP="005702D0">
      <w:pPr>
        <w:pStyle w:val="Heading4"/>
      </w:pPr>
      <w:r w:rsidRPr="00E637E4">
        <w:t>Current UK practice</w:t>
      </w:r>
    </w:p>
    <w:bookmarkStart w:id="150" w:name="_Hlk81566294"/>
    <w:p w14:paraId="42123DBB" w14:textId="2B82A651" w:rsidR="00245103" w:rsidRPr="00E637E4" w:rsidRDefault="00DB6106" w:rsidP="00245103">
      <w:pPr>
        <w:spacing w:after="240" w:line="276" w:lineRule="auto"/>
        <w:rPr>
          <w:rFonts w:ascii="Arial" w:hAnsi="Arial"/>
        </w:rPr>
      </w:pPr>
      <w:r>
        <w:fldChar w:fldCharType="begin"/>
      </w:r>
      <w:r w:rsidR="00FD2EE3">
        <w:instrText>HYPERLINK "https://www.gettingitrightfirsttime.co.uk/girft-reports/"</w:instrText>
      </w:r>
      <w:r>
        <w:fldChar w:fldCharType="separate"/>
      </w:r>
      <w:r w:rsidR="00FD2EE3">
        <w:rPr>
          <w:rStyle w:val="Hyperlink"/>
          <w:rFonts w:ascii="Arial" w:hAnsi="Arial"/>
        </w:rPr>
        <w:t xml:space="preserve">GIRFT </w:t>
      </w:r>
      <w:r w:rsidR="00E95BFC">
        <w:rPr>
          <w:rStyle w:val="Hyperlink"/>
          <w:rFonts w:ascii="Arial" w:hAnsi="Arial"/>
        </w:rPr>
        <w:t>2020</w:t>
      </w:r>
      <w:r>
        <w:rPr>
          <w:rStyle w:val="Hyperlink"/>
          <w:rFonts w:ascii="Arial" w:hAnsi="Arial"/>
        </w:rPr>
        <w:fldChar w:fldCharType="end"/>
      </w:r>
      <w:r w:rsidR="00245103">
        <w:rPr>
          <w:rFonts w:ascii="Arial" w:hAnsi="Arial"/>
        </w:rPr>
        <w:t>:</w:t>
      </w:r>
      <w:r w:rsidR="00245103" w:rsidRPr="00E637E4">
        <w:rPr>
          <w:rFonts w:ascii="Arial" w:hAnsi="Arial"/>
        </w:rPr>
        <w:t xml:space="preserve">  </w:t>
      </w:r>
    </w:p>
    <w:p w14:paraId="2DC5AB60" w14:textId="1B777683" w:rsidR="00E95BFC" w:rsidRDefault="003E24B7" w:rsidP="003E24B7">
      <w:pPr>
        <w:pStyle w:val="Bulletleft1"/>
        <w:numPr>
          <w:ilvl w:val="0"/>
          <w:numId w:val="0"/>
        </w:numPr>
        <w:spacing w:line="276" w:lineRule="auto"/>
      </w:pPr>
      <w:r>
        <w:t>41</w:t>
      </w:r>
      <w:r w:rsidR="00245103" w:rsidRPr="00020E68">
        <w:t xml:space="preserve">% </w:t>
      </w:r>
      <w:r w:rsidR="009F03CE" w:rsidRPr="00020E68">
        <w:t>of trusts</w:t>
      </w:r>
      <w:r w:rsidR="009973AE" w:rsidRPr="00020E68">
        <w:t xml:space="preserve"> reviewed</w:t>
      </w:r>
      <w:r w:rsidR="009F03CE" w:rsidRPr="00020E68">
        <w:t xml:space="preserve"> </w:t>
      </w:r>
      <w:r w:rsidR="00245103" w:rsidRPr="00020E68">
        <w:t xml:space="preserve">reported that all </w:t>
      </w:r>
      <w:r w:rsidR="00E95BFC">
        <w:t>TKR</w:t>
      </w:r>
      <w:r w:rsidR="00245103" w:rsidRPr="00020E68">
        <w:t xml:space="preserve"> patients had preoperative care that included education, a postoperative protocol, identifying patients at risk of poor functional outcome and organisation of rehabilitation equipment at home</w:t>
      </w:r>
      <w:proofErr w:type="gramStart"/>
      <w:r w:rsidR="00245103" w:rsidRPr="00020E68">
        <w:t xml:space="preserve">.  </w:t>
      </w:r>
      <w:bookmarkStart w:id="151" w:name="_Hlk81562790"/>
      <w:bookmarkEnd w:id="148"/>
      <w:bookmarkEnd w:id="150"/>
      <w:proofErr w:type="gramEnd"/>
      <w:r>
        <w:t xml:space="preserve"> </w:t>
      </w:r>
    </w:p>
    <w:p w14:paraId="232DA409" w14:textId="77777777" w:rsidR="00B1409A" w:rsidRDefault="00B1409A" w:rsidP="00B1409A">
      <w:pPr>
        <w:pStyle w:val="Bulletleft1"/>
        <w:numPr>
          <w:ilvl w:val="0"/>
          <w:numId w:val="0"/>
        </w:numPr>
        <w:spacing w:line="276" w:lineRule="auto"/>
      </w:pPr>
      <w:bookmarkStart w:id="152" w:name="_Hlk82717408"/>
    </w:p>
    <w:p w14:paraId="566896DA" w14:textId="473DB8DB" w:rsidR="00B1409A" w:rsidRDefault="0012215D" w:rsidP="00DA2E47">
      <w:pPr>
        <w:spacing w:line="276" w:lineRule="auto"/>
        <w:rPr>
          <w:rStyle w:val="NICEnormalChar"/>
        </w:rPr>
      </w:pPr>
      <w:r w:rsidRPr="00DA2E47">
        <w:rPr>
          <w:rFonts w:ascii="Arial" w:hAnsi="Arial"/>
          <w:lang w:eastAsia="en-GB"/>
        </w:rPr>
        <w:t xml:space="preserve">Analysis of variation between the content of Enhanced Recovery Programmes (ERPs) at 22 UK NHS hospitals performing THR and 23 performing TKR, together with an audit of compliance (15 patients aged 18 and over having an operation on a single joint) using data provided by 16 (THR) and 18 (TKR) was conducted October 2014 to April 2015 and reported </w:t>
      </w:r>
      <w:r w:rsidRPr="00DA2E47">
        <w:rPr>
          <w:rFonts w:ascii="Arial" w:hAnsi="Arial"/>
        </w:rPr>
        <w:t xml:space="preserve">by </w:t>
      </w:r>
      <w:hyperlink r:id="rId33" w:history="1">
        <w:r w:rsidRPr="00DA2E47">
          <w:rPr>
            <w:rFonts w:ascii="Arial" w:hAnsi="Arial"/>
            <w:color w:val="0000FF" w:themeColor="hyperlink"/>
            <w:u w:val="single"/>
            <w:lang w:eastAsia="en-GB"/>
          </w:rPr>
          <w:t>Nagra et al (2017)</w:t>
        </w:r>
      </w:hyperlink>
      <w:r w:rsidR="00DA2E47">
        <w:rPr>
          <w:rFonts w:ascii="Arial" w:hAnsi="Arial"/>
          <w:lang w:eastAsia="en-GB"/>
        </w:rPr>
        <w:t>.</w:t>
      </w:r>
      <w:r w:rsidR="00DA2E47" w:rsidRPr="00DA2E47">
        <w:rPr>
          <w:rFonts w:ascii="Arial" w:hAnsi="Arial"/>
        </w:rPr>
        <w:t xml:space="preserve">  </w:t>
      </w:r>
      <w:r w:rsidR="00B1409A" w:rsidRPr="00DA2E47">
        <w:rPr>
          <w:rStyle w:val="NICEnormalChar"/>
        </w:rPr>
        <w:t>Note: The aim of enhanced recovery programmes (ERP) or enhanced recovery after surgery (ERAS) is for patients to return to their baseline function as quickly as possible and to reduce the incidence of postoperative complications.</w:t>
      </w:r>
    </w:p>
    <w:p w14:paraId="3A8E0FA5" w14:textId="77777777" w:rsidR="00DA2E47" w:rsidRPr="00DA2E47" w:rsidRDefault="00DA2E47" w:rsidP="00DA2E47">
      <w:pPr>
        <w:spacing w:line="276" w:lineRule="auto"/>
        <w:rPr>
          <w:rFonts w:ascii="Arial" w:hAnsi="Arial"/>
        </w:rPr>
      </w:pPr>
    </w:p>
    <w:p w14:paraId="05701159" w14:textId="77777777" w:rsidR="00B1409A" w:rsidRDefault="00B1409A" w:rsidP="00B1409A">
      <w:pPr>
        <w:pStyle w:val="Bulletleft1last"/>
        <w:numPr>
          <w:ilvl w:val="0"/>
          <w:numId w:val="0"/>
        </w:numPr>
        <w:spacing w:line="276" w:lineRule="auto"/>
        <w:rPr>
          <w:lang w:val="en-GB"/>
        </w:rPr>
      </w:pPr>
      <w:r w:rsidRPr="00091A44">
        <w:lastRenderedPageBreak/>
        <w:t xml:space="preserve">The study looked at different elements of </w:t>
      </w:r>
      <w:r>
        <w:rPr>
          <w:lang w:val="en-GB"/>
        </w:rPr>
        <w:t xml:space="preserve">the ERPs.  Key findings include: </w:t>
      </w:r>
    </w:p>
    <w:p w14:paraId="20932311" w14:textId="3756493E" w:rsidR="00B1409A" w:rsidRDefault="00B1409A" w:rsidP="00B1409A">
      <w:pPr>
        <w:spacing w:line="276" w:lineRule="auto"/>
      </w:pPr>
    </w:p>
    <w:bookmarkEnd w:id="151"/>
    <w:bookmarkEnd w:id="152"/>
    <w:p w14:paraId="4AFC6A9B" w14:textId="74028CDA" w:rsidR="00091A44" w:rsidRDefault="00091A44" w:rsidP="000460F1">
      <w:pPr>
        <w:pStyle w:val="Bulletleft1last"/>
        <w:numPr>
          <w:ilvl w:val="0"/>
          <w:numId w:val="0"/>
        </w:numPr>
        <w:spacing w:after="0" w:line="276" w:lineRule="auto"/>
        <w:rPr>
          <w:lang w:val="en-GB"/>
        </w:rPr>
      </w:pPr>
      <w:r>
        <w:rPr>
          <w:lang w:val="en-GB"/>
        </w:rPr>
        <w:t>THR ERPs:</w:t>
      </w:r>
    </w:p>
    <w:p w14:paraId="5CB9D524" w14:textId="4922C883" w:rsidR="005B3E6F" w:rsidRDefault="005B3E6F" w:rsidP="00E95BFC">
      <w:pPr>
        <w:pStyle w:val="Bulletleft1last"/>
        <w:numPr>
          <w:ilvl w:val="0"/>
          <w:numId w:val="17"/>
        </w:numPr>
        <w:spacing w:line="276" w:lineRule="auto"/>
        <w:rPr>
          <w:lang w:val="en-GB"/>
        </w:rPr>
      </w:pPr>
      <w:r>
        <w:rPr>
          <w:lang w:val="en-GB"/>
        </w:rPr>
        <w:t>90% of centres offered patient education; where it was offered there was 81% adherence</w:t>
      </w:r>
      <w:r w:rsidR="001614BA">
        <w:rPr>
          <w:lang w:val="en-GB"/>
        </w:rPr>
        <w:t xml:space="preserve"> to the ERP</w:t>
      </w:r>
      <w:proofErr w:type="gramStart"/>
      <w:r>
        <w:rPr>
          <w:lang w:val="en-GB"/>
        </w:rPr>
        <w:t>.</w:t>
      </w:r>
      <w:r w:rsidR="00954164">
        <w:rPr>
          <w:lang w:val="en-GB"/>
        </w:rPr>
        <w:t xml:space="preserve">  </w:t>
      </w:r>
      <w:proofErr w:type="gramEnd"/>
      <w:r w:rsidR="00954164">
        <w:rPr>
          <w:lang w:val="en-GB"/>
        </w:rPr>
        <w:t>Further:</w:t>
      </w:r>
    </w:p>
    <w:p w14:paraId="70D3E223" w14:textId="5D448B52" w:rsidR="00091A44" w:rsidRDefault="001614BA" w:rsidP="00E95BFC">
      <w:pPr>
        <w:pStyle w:val="Bulletleft1"/>
        <w:numPr>
          <w:ilvl w:val="1"/>
          <w:numId w:val="4"/>
        </w:numPr>
        <w:spacing w:line="276" w:lineRule="auto"/>
      </w:pPr>
      <w:r>
        <w:t>It was</w:t>
      </w:r>
      <w:r w:rsidR="00091A44" w:rsidRPr="00091A44">
        <w:t xml:space="preserve"> delivered in person </w:t>
      </w:r>
      <w:r w:rsidR="00E95BFC">
        <w:t>at</w:t>
      </w:r>
      <w:r w:rsidR="00091A44" w:rsidRPr="00091A44">
        <w:t xml:space="preserve"> all centres</w:t>
      </w:r>
      <w:r>
        <w:t>.</w:t>
      </w:r>
    </w:p>
    <w:p w14:paraId="332A5C62" w14:textId="0BB21889" w:rsidR="00091A44" w:rsidRDefault="001614BA" w:rsidP="00E95BFC">
      <w:pPr>
        <w:pStyle w:val="Bulletleft1"/>
        <w:numPr>
          <w:ilvl w:val="1"/>
          <w:numId w:val="4"/>
        </w:numPr>
        <w:spacing w:line="276" w:lineRule="auto"/>
      </w:pPr>
      <w:r>
        <w:t xml:space="preserve">Patient education was </w:t>
      </w:r>
      <w:r w:rsidR="00091A44" w:rsidRPr="00091A44">
        <w:t xml:space="preserve">supported by written material in </w:t>
      </w:r>
      <w:r w:rsidR="00091A44">
        <w:t>2</w:t>
      </w:r>
      <w:r>
        <w:t xml:space="preserve"> centres</w:t>
      </w:r>
      <w:r w:rsidR="00091A44" w:rsidRPr="00091A44">
        <w:t>.</w:t>
      </w:r>
    </w:p>
    <w:p w14:paraId="597404DE" w14:textId="77777777" w:rsidR="001C3ED9" w:rsidRDefault="001C3ED9" w:rsidP="001C3ED9">
      <w:pPr>
        <w:pStyle w:val="Bulletleft1"/>
        <w:numPr>
          <w:ilvl w:val="0"/>
          <w:numId w:val="0"/>
        </w:numPr>
        <w:spacing w:line="276" w:lineRule="auto"/>
      </w:pPr>
    </w:p>
    <w:p w14:paraId="194AB1B8" w14:textId="77777777" w:rsidR="003E24B7" w:rsidRDefault="003E24B7" w:rsidP="000460F1">
      <w:pPr>
        <w:pStyle w:val="Bulletleft1last"/>
        <w:numPr>
          <w:ilvl w:val="0"/>
          <w:numId w:val="0"/>
        </w:numPr>
        <w:spacing w:after="0" w:line="276" w:lineRule="auto"/>
        <w:rPr>
          <w:lang w:val="en-GB"/>
        </w:rPr>
      </w:pPr>
      <w:r w:rsidRPr="00091A44">
        <w:rPr>
          <w:lang w:val="en-GB"/>
        </w:rPr>
        <w:t>TK</w:t>
      </w:r>
      <w:r>
        <w:rPr>
          <w:lang w:val="en-GB"/>
        </w:rPr>
        <w:t xml:space="preserve">R </w:t>
      </w:r>
      <w:r w:rsidRPr="00091A44">
        <w:rPr>
          <w:lang w:val="en-GB"/>
        </w:rPr>
        <w:t>ERPs</w:t>
      </w:r>
      <w:r>
        <w:rPr>
          <w:lang w:val="en-GB"/>
        </w:rPr>
        <w:t>:</w:t>
      </w:r>
    </w:p>
    <w:p w14:paraId="619093EB" w14:textId="55089D05" w:rsidR="003E24B7" w:rsidRDefault="003E24B7" w:rsidP="00E95BFC">
      <w:pPr>
        <w:pStyle w:val="Bulletleft1last"/>
        <w:numPr>
          <w:ilvl w:val="0"/>
          <w:numId w:val="16"/>
        </w:numPr>
        <w:spacing w:line="276" w:lineRule="auto"/>
        <w:rPr>
          <w:lang w:val="en-GB"/>
        </w:rPr>
      </w:pPr>
      <w:r>
        <w:rPr>
          <w:lang w:val="en-GB"/>
        </w:rPr>
        <w:t>76% of centres offered patient education; where it was offered there was adherence of 90% to the ERP</w:t>
      </w:r>
      <w:r w:rsidR="00954164">
        <w:rPr>
          <w:lang w:val="en-GB"/>
        </w:rPr>
        <w:t>. Further:</w:t>
      </w:r>
    </w:p>
    <w:p w14:paraId="0287816E" w14:textId="29A1B1B1" w:rsidR="003E24B7" w:rsidRDefault="003E24B7" w:rsidP="00E95BFC">
      <w:pPr>
        <w:pStyle w:val="Bulletleft1"/>
        <w:numPr>
          <w:ilvl w:val="1"/>
          <w:numId w:val="4"/>
        </w:numPr>
        <w:spacing w:line="276" w:lineRule="auto"/>
      </w:pPr>
      <w:r>
        <w:t>T</w:t>
      </w:r>
      <w:r w:rsidRPr="00091A44">
        <w:t xml:space="preserve">here was wide variation </w:t>
      </w:r>
      <w:r>
        <w:t>in the</w:t>
      </w:r>
      <w:r w:rsidRPr="00091A44">
        <w:t xml:space="preserve"> delivery, ranging from simple written advice</w:t>
      </w:r>
      <w:r>
        <w:t xml:space="preserve"> </w:t>
      </w:r>
      <w:r w:rsidRPr="00091A44">
        <w:t>(booklets) to ‘joint schools’ (run by multidisciplinary teams</w:t>
      </w:r>
      <w:r>
        <w:t xml:space="preserve"> </w:t>
      </w:r>
      <w:r w:rsidRPr="00091A44">
        <w:t>consisting of physiotherapists, occupational therapists, pain</w:t>
      </w:r>
      <w:r>
        <w:t xml:space="preserve"> </w:t>
      </w:r>
      <w:r w:rsidRPr="00091A44">
        <w:t>specialist nurses and anaesthetists</w:t>
      </w:r>
      <w:r>
        <w:t>)</w:t>
      </w:r>
      <w:r w:rsidRPr="00091A44">
        <w:t xml:space="preserve"> </w:t>
      </w:r>
    </w:p>
    <w:p w14:paraId="237D1162" w14:textId="77777777" w:rsidR="003E24B7" w:rsidRDefault="003E24B7" w:rsidP="00E95BFC">
      <w:pPr>
        <w:pStyle w:val="Bulletleft1"/>
        <w:numPr>
          <w:ilvl w:val="1"/>
          <w:numId w:val="4"/>
        </w:numPr>
        <w:spacing w:line="276" w:lineRule="auto"/>
      </w:pPr>
      <w:r>
        <w:t>J</w:t>
      </w:r>
      <w:r w:rsidRPr="00091A44">
        <w:t xml:space="preserve">oint schools </w:t>
      </w:r>
      <w:r>
        <w:t xml:space="preserve">were </w:t>
      </w:r>
      <w:r w:rsidRPr="00091A44">
        <w:t xml:space="preserve">offered in </w:t>
      </w:r>
      <w:r>
        <w:t>2</w:t>
      </w:r>
      <w:r w:rsidRPr="00091A44">
        <w:t xml:space="preserve"> centres</w:t>
      </w:r>
      <w:r>
        <w:t>.</w:t>
      </w:r>
    </w:p>
    <w:p w14:paraId="1010ADD4" w14:textId="559A5089" w:rsidR="003E24B7" w:rsidRPr="00091A44" w:rsidRDefault="003E24B7" w:rsidP="00E95BFC">
      <w:pPr>
        <w:pStyle w:val="Bulletleft1"/>
        <w:numPr>
          <w:ilvl w:val="1"/>
          <w:numId w:val="4"/>
        </w:numPr>
        <w:spacing w:line="276" w:lineRule="auto"/>
      </w:pPr>
      <w:r>
        <w:t>P</w:t>
      </w:r>
      <w:r w:rsidRPr="00091A44">
        <w:t xml:space="preserve">atient education was delivered by a surgeon </w:t>
      </w:r>
      <w:r w:rsidR="00954164">
        <w:t>o</w:t>
      </w:r>
      <w:r w:rsidRPr="00091A44">
        <w:t xml:space="preserve">n 38% of </w:t>
      </w:r>
      <w:r>
        <w:t>occasions</w:t>
      </w:r>
      <w:r w:rsidRPr="00091A44">
        <w:t>.</w:t>
      </w:r>
    </w:p>
    <w:p w14:paraId="12237CF6" w14:textId="77777777" w:rsidR="001C3ED9" w:rsidRDefault="001C3ED9" w:rsidP="00F8187C">
      <w:pPr>
        <w:pStyle w:val="Bulletleft1"/>
        <w:numPr>
          <w:ilvl w:val="0"/>
          <w:numId w:val="0"/>
        </w:numPr>
        <w:spacing w:line="276" w:lineRule="auto"/>
      </w:pPr>
    </w:p>
    <w:p w14:paraId="4A63F27F" w14:textId="0122D733" w:rsidR="00F8187C" w:rsidRPr="00091A44" w:rsidRDefault="00F8187C" w:rsidP="00F8187C">
      <w:pPr>
        <w:pStyle w:val="Bulletleft1"/>
        <w:numPr>
          <w:ilvl w:val="0"/>
          <w:numId w:val="0"/>
        </w:numPr>
        <w:spacing w:line="276" w:lineRule="auto"/>
      </w:pPr>
      <w:r>
        <w:t>Limitations of the study identified were that the high degree of variation among ERP elements, despite a sample size of 510, did not permit regression analysis, and that length of stay was used as a surrogate measure of enhanced recovery</w:t>
      </w:r>
      <w:r w:rsidR="00E95BFC">
        <w:t>. R</w:t>
      </w:r>
      <w:r>
        <w:t>eadmission</w:t>
      </w:r>
      <w:r w:rsidR="00045207">
        <w:t>s,</w:t>
      </w:r>
      <w:r>
        <w:t xml:space="preserve"> and long-term </w:t>
      </w:r>
      <w:r w:rsidR="00954164">
        <w:t xml:space="preserve">morbidity or </w:t>
      </w:r>
      <w:r>
        <w:t xml:space="preserve">mortality were not considered. </w:t>
      </w:r>
    </w:p>
    <w:bookmarkEnd w:id="149"/>
    <w:p w14:paraId="6158A330" w14:textId="14F0E919" w:rsidR="00BE2FD4" w:rsidRDefault="006A36DE" w:rsidP="009F03CE">
      <w:pPr>
        <w:spacing w:before="240" w:after="240" w:line="276" w:lineRule="auto"/>
        <w:rPr>
          <w:rFonts w:ascii="Arial" w:hAnsi="Arial"/>
        </w:rPr>
      </w:pPr>
      <w:r w:rsidRPr="006A36DE">
        <w:rPr>
          <w:rFonts w:ascii="Arial" w:hAnsi="Arial"/>
        </w:rPr>
        <w:t>170 UK-based physiotherapists and occupational therapists (174 Trusts) who treat patients before and/or after THR responded to a survey, the findings of which were published in 2016 (</w:t>
      </w:r>
      <w:hyperlink r:id="rId34" w:history="1">
        <w:r w:rsidRPr="006A36DE">
          <w:rPr>
            <w:rStyle w:val="Hyperlink"/>
            <w:rFonts w:ascii="Arial" w:hAnsi="Arial"/>
          </w:rPr>
          <w:t>Smith and Sackley</w:t>
        </w:r>
      </w:hyperlink>
      <w:r w:rsidRPr="006A36DE">
        <w:rPr>
          <w:rFonts w:ascii="Arial" w:hAnsi="Arial"/>
        </w:rPr>
        <w:t xml:space="preserve">).  </w:t>
      </w:r>
      <w:r>
        <w:rPr>
          <w:rFonts w:ascii="Arial" w:hAnsi="Arial"/>
        </w:rPr>
        <w:t xml:space="preserve">Findings concerned </w:t>
      </w:r>
      <w:r w:rsidR="00810454">
        <w:rPr>
          <w:rFonts w:ascii="Arial" w:hAnsi="Arial"/>
        </w:rPr>
        <w:t>attitudes towards the provision of equipment (for example, raised toilet seats) and advice (for example, to avoid certain movements or activities such as driving) to help reduce the risk of dislocation</w:t>
      </w:r>
      <w:proofErr w:type="gramStart"/>
      <w:r w:rsidR="00BE2FD4">
        <w:rPr>
          <w:rFonts w:ascii="Arial" w:hAnsi="Arial"/>
        </w:rPr>
        <w:t xml:space="preserve">.  </w:t>
      </w:r>
      <w:proofErr w:type="gramEnd"/>
      <w:r w:rsidR="00BE2FD4">
        <w:rPr>
          <w:rFonts w:ascii="Arial" w:hAnsi="Arial"/>
        </w:rPr>
        <w:t>Th</w:t>
      </w:r>
      <w:r w:rsidR="00F8187C">
        <w:rPr>
          <w:rFonts w:ascii="Arial" w:hAnsi="Arial"/>
        </w:rPr>
        <w:t>e</w:t>
      </w:r>
      <w:r w:rsidR="00BE2FD4">
        <w:rPr>
          <w:rFonts w:ascii="Arial" w:hAnsi="Arial"/>
        </w:rPr>
        <w:t xml:space="preserve"> study reported that:</w:t>
      </w:r>
    </w:p>
    <w:p w14:paraId="4BB5E931" w14:textId="13651609" w:rsidR="00810454" w:rsidRDefault="00810454" w:rsidP="000460F1">
      <w:pPr>
        <w:pStyle w:val="Bulletleft1"/>
        <w:spacing w:line="276" w:lineRule="auto"/>
      </w:pPr>
      <w:r>
        <w:t>97% of respondents routinely provided advice on hip precautions.</w:t>
      </w:r>
    </w:p>
    <w:p w14:paraId="280B0F8B" w14:textId="123A0CB9" w:rsidR="00810454" w:rsidRDefault="00810454" w:rsidP="000460F1">
      <w:pPr>
        <w:pStyle w:val="Bulletleft1"/>
        <w:spacing w:line="276" w:lineRule="auto"/>
      </w:pPr>
      <w:r>
        <w:t xml:space="preserve">87% of trusts routinely provided equipment. </w:t>
      </w:r>
    </w:p>
    <w:p w14:paraId="59EF67D9" w14:textId="18B5087E" w:rsidR="00BE2FD4" w:rsidRPr="00BE2FD4" w:rsidRDefault="00BE2FD4" w:rsidP="000460F1">
      <w:pPr>
        <w:pStyle w:val="Bulletleft1"/>
        <w:spacing w:line="276" w:lineRule="auto"/>
      </w:pPr>
      <w:r w:rsidRPr="00BE2FD4">
        <w:t>61</w:t>
      </w:r>
      <w:r w:rsidR="00E637E4" w:rsidRPr="00BE2FD4">
        <w:t xml:space="preserve">% </w:t>
      </w:r>
      <w:r w:rsidR="001614BA" w:rsidRPr="00BE2FD4">
        <w:t xml:space="preserve">reported that they </w:t>
      </w:r>
      <w:r w:rsidR="00E637E4" w:rsidRPr="00BE2FD4">
        <w:t xml:space="preserve">advised </w:t>
      </w:r>
      <w:r w:rsidR="001614BA" w:rsidRPr="00BE2FD4">
        <w:t xml:space="preserve">people </w:t>
      </w:r>
      <w:r w:rsidR="00E637E4" w:rsidRPr="00BE2FD4">
        <w:t xml:space="preserve">about hip precautions </w:t>
      </w:r>
      <w:r w:rsidRPr="00BE2FD4">
        <w:t>preoperatively</w:t>
      </w:r>
      <w:r w:rsidR="00EB3E49">
        <w:t xml:space="preserve">, </w:t>
      </w:r>
      <w:r w:rsidR="00E95BFC">
        <w:t xml:space="preserve">and </w:t>
      </w:r>
      <w:r w:rsidR="00EB3E49">
        <w:t>52% in a group setting</w:t>
      </w:r>
    </w:p>
    <w:p w14:paraId="2BADD28F" w14:textId="2A30EFC4" w:rsidR="00F8187C" w:rsidRDefault="00BE2FD4" w:rsidP="000460F1">
      <w:pPr>
        <w:pStyle w:val="Bulletleft1"/>
        <w:spacing w:line="276" w:lineRule="auto"/>
      </w:pPr>
      <w:r w:rsidRPr="00BE2FD4">
        <w:t>2% reported they did not routinely provide equipment to people with cognitive impairment, but 6% stated that they did.</w:t>
      </w:r>
      <w:r w:rsidR="00E637E4" w:rsidRPr="00BE2FD4">
        <w:t xml:space="preserve"> </w:t>
      </w:r>
    </w:p>
    <w:p w14:paraId="34AEB4D1" w14:textId="4C7F3773" w:rsidR="003B49F8" w:rsidRPr="004612EA" w:rsidRDefault="003B49F8" w:rsidP="00B65D9F">
      <w:pPr>
        <w:pStyle w:val="Heading3"/>
      </w:pPr>
      <w:r w:rsidRPr="004612EA">
        <w:t>Resource impact</w:t>
      </w:r>
    </w:p>
    <w:p w14:paraId="67108E94" w14:textId="77777777" w:rsidR="0015610B" w:rsidRDefault="0015610B" w:rsidP="00305039">
      <w:pPr>
        <w:pStyle w:val="NICEnormal"/>
        <w:rPr>
          <w:b/>
          <w:bCs/>
        </w:rPr>
      </w:pPr>
      <w:bookmarkStart w:id="153" w:name="_Hlk82182840"/>
      <w:bookmarkStart w:id="154" w:name="_Hlk61966644"/>
      <w:r w:rsidRPr="0015610B">
        <w:t>We do not expect this quality statement to have a significant impact on resources.</w:t>
      </w:r>
      <w:bookmarkEnd w:id="153"/>
    </w:p>
    <w:p w14:paraId="4260144A" w14:textId="4D2EE5A1" w:rsidR="00305039" w:rsidRPr="00305039" w:rsidRDefault="0067426A" w:rsidP="00DB2C50">
      <w:pPr>
        <w:pStyle w:val="Heading3"/>
      </w:pPr>
      <w:r w:rsidRPr="0067426A">
        <w:lastRenderedPageBreak/>
        <w:t>Issues for consideration</w:t>
      </w:r>
    </w:p>
    <w:bookmarkEnd w:id="154"/>
    <w:p w14:paraId="7FA4F58B" w14:textId="77777777" w:rsidR="00414915" w:rsidRPr="00B413F2" w:rsidRDefault="00414915" w:rsidP="00414915">
      <w:pPr>
        <w:pStyle w:val="Paragraph"/>
        <w:rPr>
          <w:b/>
          <w:bCs/>
        </w:rPr>
      </w:pPr>
      <w:r w:rsidRPr="00A6218A">
        <w:rPr>
          <w:b/>
          <w:bCs/>
        </w:rPr>
        <w:t>For discussion:</w:t>
      </w:r>
    </w:p>
    <w:p w14:paraId="2DB5A7EE" w14:textId="21DA0C18" w:rsidR="00276CD7" w:rsidRDefault="00EF2E17" w:rsidP="00C2154E">
      <w:pPr>
        <w:pStyle w:val="Bulletleft1"/>
        <w:spacing w:line="276" w:lineRule="auto"/>
      </w:pPr>
      <w:r>
        <w:t>N</w:t>
      </w:r>
      <w:r w:rsidR="004D2D9F">
        <w:t xml:space="preserve">o recommendations on self-management </w:t>
      </w:r>
      <w:r>
        <w:t>while awaiting surgery</w:t>
      </w:r>
      <w:r w:rsidR="00144E0A">
        <w:t>; s</w:t>
      </w:r>
      <w:r w:rsidR="004D2D9F">
        <w:t>elf-management</w:t>
      </w:r>
      <w:r w:rsidR="00E66391">
        <w:t xml:space="preserve"> is</w:t>
      </w:r>
      <w:r w:rsidR="00D87ED9">
        <w:t xml:space="preserve"> </w:t>
      </w:r>
      <w:r w:rsidR="004D2D9F">
        <w:t>covered by other quality standards</w:t>
      </w:r>
      <w:r w:rsidR="00E66391">
        <w:t>.</w:t>
      </w:r>
    </w:p>
    <w:p w14:paraId="4570162C" w14:textId="241845E6" w:rsidR="00F556F8" w:rsidRDefault="008C3A6C" w:rsidP="00C2154E">
      <w:pPr>
        <w:pStyle w:val="Bulletleft1"/>
        <w:spacing w:line="276" w:lineRule="auto"/>
      </w:pPr>
      <w:r>
        <w:t xml:space="preserve">No recommendations on preoperative </w:t>
      </w:r>
      <w:r w:rsidR="00275425">
        <w:t xml:space="preserve">care </w:t>
      </w:r>
      <w:r>
        <w:t>for shoulder replacement.</w:t>
      </w:r>
    </w:p>
    <w:p w14:paraId="543CAEEC" w14:textId="68AB8EB4" w:rsidR="00C2154E" w:rsidRPr="00C2154E" w:rsidRDefault="00C2154E" w:rsidP="00C2154E">
      <w:pPr>
        <w:pStyle w:val="Bulletleft1"/>
        <w:spacing w:line="276" w:lineRule="auto"/>
      </w:pPr>
      <w:r w:rsidRPr="00C2154E">
        <w:t>RCOT recommendation for</w:t>
      </w:r>
      <w:r w:rsidR="00077628">
        <w:t xml:space="preserve"> O</w:t>
      </w:r>
      <w:r w:rsidR="00275425">
        <w:t>T involvement in assessment only covers THR.</w:t>
      </w:r>
    </w:p>
    <w:p w14:paraId="1D5346FE" w14:textId="1FCCCEE3" w:rsidR="00C2154E" w:rsidRPr="00C2154E" w:rsidRDefault="00275425" w:rsidP="00C2154E">
      <w:pPr>
        <w:pStyle w:val="Bulletleft1"/>
        <w:spacing w:line="276" w:lineRule="auto"/>
      </w:pPr>
      <w:r>
        <w:t>Only a r</w:t>
      </w:r>
      <w:r w:rsidR="00C2154E" w:rsidRPr="00C2154E">
        <w:t>esearch recommendation</w:t>
      </w:r>
      <w:r w:rsidR="003A11CE">
        <w:t xml:space="preserve"> </w:t>
      </w:r>
      <w:r w:rsidR="00C2154E" w:rsidRPr="00C2154E">
        <w:t>in NG157 on delivering a</w:t>
      </w:r>
      <w:r w:rsidR="00AA2E9D">
        <w:t>n earlier,</w:t>
      </w:r>
      <w:r w:rsidR="00C2154E" w:rsidRPr="00C2154E">
        <w:t xml:space="preserve"> fuller, individualised rehabilitation programme. </w:t>
      </w:r>
    </w:p>
    <w:p w14:paraId="73F4F98B" w14:textId="77777777" w:rsidR="0077228F" w:rsidRDefault="00E66391" w:rsidP="005702D0">
      <w:pPr>
        <w:pStyle w:val="Bulletleft1"/>
        <w:spacing w:line="276" w:lineRule="auto"/>
      </w:pPr>
      <w:r w:rsidRPr="00E66391">
        <w:t>What is the key action that will lead to improvement</w:t>
      </w:r>
      <w:r w:rsidR="00045207">
        <w:t>?</w:t>
      </w:r>
    </w:p>
    <w:p w14:paraId="5910D517" w14:textId="4488C3B1" w:rsidR="0077228F" w:rsidRDefault="0077228F" w:rsidP="005702D0">
      <w:pPr>
        <w:pStyle w:val="Bulletleft1last"/>
        <w:spacing w:line="276" w:lineRule="auto"/>
      </w:pPr>
      <w:r>
        <w:t>Can we develop a specific, measurable statement?</w:t>
      </w:r>
    </w:p>
    <w:p w14:paraId="24CED8A1" w14:textId="77777777" w:rsidR="00414915" w:rsidRPr="00A6218A" w:rsidRDefault="00414915" w:rsidP="00477526">
      <w:pPr>
        <w:pStyle w:val="Paragraph"/>
        <w:rPr>
          <w:b/>
          <w:bCs/>
        </w:rPr>
      </w:pPr>
      <w:r w:rsidRPr="00A6218A">
        <w:rPr>
          <w:b/>
          <w:bCs/>
        </w:rPr>
        <w:t>For decision:</w:t>
      </w:r>
    </w:p>
    <w:p w14:paraId="2E59593A" w14:textId="2FFE57E1" w:rsidR="0015610B" w:rsidRDefault="00414915" w:rsidP="00477526">
      <w:pPr>
        <w:pStyle w:val="Bulletleft1"/>
        <w:spacing w:line="276" w:lineRule="auto"/>
      </w:pPr>
      <w:r w:rsidRPr="00624810">
        <w:t>Should this area be prioritised for inclusion in the quality standard?</w:t>
      </w:r>
    </w:p>
    <w:p w14:paraId="7BE23453" w14:textId="3EA427ED" w:rsidR="00091A44" w:rsidRPr="0015610B" w:rsidRDefault="0015610B" w:rsidP="00477526">
      <w:pPr>
        <w:spacing w:line="276" w:lineRule="auto"/>
        <w:rPr>
          <w:rFonts w:ascii="Arial" w:hAnsi="Arial"/>
        </w:rPr>
      </w:pPr>
      <w:r>
        <w:br w:type="page"/>
      </w:r>
    </w:p>
    <w:p w14:paraId="65FEC374" w14:textId="0797026B" w:rsidR="004510E0" w:rsidRPr="00433117" w:rsidRDefault="005D38BC" w:rsidP="00910C02">
      <w:pPr>
        <w:pStyle w:val="Numberedheading2"/>
      </w:pPr>
      <w:bookmarkStart w:id="155" w:name="_Toc87374576"/>
      <w:r>
        <w:lastRenderedPageBreak/>
        <w:t xml:space="preserve">Shared decision making and </w:t>
      </w:r>
      <w:r w:rsidR="00A93E48">
        <w:t>information</w:t>
      </w:r>
      <w:bookmarkEnd w:id="155"/>
      <w:r w:rsidR="00A93E48">
        <w:t xml:space="preserve"> </w:t>
      </w:r>
    </w:p>
    <w:p w14:paraId="799D2350" w14:textId="58A236B7" w:rsidR="004510E0" w:rsidRDefault="005D38BC" w:rsidP="00D87ED9">
      <w:pPr>
        <w:pStyle w:val="Heading3"/>
      </w:pPr>
      <w:r>
        <w:t xml:space="preserve">Shared decision making </w:t>
      </w:r>
    </w:p>
    <w:p w14:paraId="1C609CAA" w14:textId="78A02A37" w:rsidR="00CE4759" w:rsidRDefault="005D38BC" w:rsidP="009920D7">
      <w:pPr>
        <w:pStyle w:val="Paragraph"/>
      </w:pPr>
      <w:r w:rsidRPr="005D38BC">
        <w:t xml:space="preserve">Stakeholders felt that </w:t>
      </w:r>
      <w:r w:rsidR="00A749D5">
        <w:t>discussing</w:t>
      </w:r>
      <w:r w:rsidR="00C65C4E">
        <w:t xml:space="preserve"> the risks, benefits and outcomes of surgery </w:t>
      </w:r>
      <w:r w:rsidR="00A749D5">
        <w:t>were</w:t>
      </w:r>
      <w:r w:rsidR="00C65C4E">
        <w:t xml:space="preserve"> important component</w:t>
      </w:r>
      <w:r w:rsidR="00A749D5">
        <w:t>s</w:t>
      </w:r>
      <w:r w:rsidR="00C65C4E">
        <w:t xml:space="preserve"> </w:t>
      </w:r>
      <w:r w:rsidR="00A749D5">
        <w:t xml:space="preserve">of </w:t>
      </w:r>
      <w:r w:rsidR="00C65C4E">
        <w:t xml:space="preserve">supporting patients </w:t>
      </w:r>
      <w:r w:rsidR="00A749D5">
        <w:t>to make</w:t>
      </w:r>
      <w:r w:rsidR="00C65C4E">
        <w:t xml:space="preserve"> an informed decision </w:t>
      </w:r>
      <w:r w:rsidR="00A749D5">
        <w:t xml:space="preserve">to have joint </w:t>
      </w:r>
      <w:r w:rsidR="00B42FA1">
        <w:t xml:space="preserve">replacement </w:t>
      </w:r>
      <w:r w:rsidR="00A749D5">
        <w:t>surgery</w:t>
      </w:r>
      <w:proofErr w:type="gramStart"/>
      <w:r w:rsidR="00A749D5">
        <w:t xml:space="preserve">.  </w:t>
      </w:r>
      <w:proofErr w:type="gramEnd"/>
      <w:r w:rsidR="00A749D5">
        <w:t>M</w:t>
      </w:r>
      <w:r w:rsidR="00C65C4E">
        <w:t>anaging expectations of surgery</w:t>
      </w:r>
      <w:r w:rsidR="00645DCB">
        <w:t xml:space="preserve"> and recovery</w:t>
      </w:r>
      <w:r w:rsidR="00A749D5">
        <w:t xml:space="preserve"> was also highlighted as important</w:t>
      </w:r>
      <w:r w:rsidR="00C65C4E">
        <w:t xml:space="preserve">. </w:t>
      </w:r>
      <w:r w:rsidR="00645DCB">
        <w:t xml:space="preserve">Stakeholders </w:t>
      </w:r>
      <w:r w:rsidR="00024CDB">
        <w:t>commented</w:t>
      </w:r>
      <w:r w:rsidR="00645DCB">
        <w:t xml:space="preserve"> that using a decision</w:t>
      </w:r>
      <w:r w:rsidR="00154D5B">
        <w:t xml:space="preserve"> </w:t>
      </w:r>
      <w:r w:rsidR="00645DCB">
        <w:t>aid was an important part of the process.</w:t>
      </w:r>
    </w:p>
    <w:p w14:paraId="5D86E416" w14:textId="6D401FFC" w:rsidR="00976FFA" w:rsidRDefault="00976FFA" w:rsidP="00976FFA">
      <w:pPr>
        <w:pStyle w:val="Paragraph"/>
      </w:pPr>
      <w:r>
        <w:t>Stakeholders felt that goal setting is important in supporting preoperative and postoperative rehabilitation. They suggested that allied health professionals would be able to support this aspect of care particularly effectively</w:t>
      </w:r>
      <w:proofErr w:type="gramStart"/>
      <w:r>
        <w:t xml:space="preserve">.  </w:t>
      </w:r>
      <w:proofErr w:type="gramEnd"/>
    </w:p>
    <w:p w14:paraId="4166EF1D" w14:textId="77777777" w:rsidR="004510E0" w:rsidRPr="00F45FBA" w:rsidRDefault="004510E0" w:rsidP="00A673EB">
      <w:pPr>
        <w:pStyle w:val="Heading4"/>
      </w:pPr>
      <w:r>
        <w:t>S</w:t>
      </w:r>
      <w:r w:rsidRPr="00CD3D03">
        <w:t xml:space="preserve">elected recommendations </w:t>
      </w:r>
    </w:p>
    <w:p w14:paraId="24EFFEB5" w14:textId="34899CDD" w:rsidR="00A673EB" w:rsidRDefault="00751008" w:rsidP="00A673EB">
      <w:pPr>
        <w:pStyle w:val="Paragraph"/>
      </w:pPr>
      <w:hyperlink r:id="rId35" w:history="1">
        <w:r w:rsidR="00A673EB" w:rsidRPr="00D91F8E">
          <w:rPr>
            <w:rStyle w:val="Hyperlink"/>
          </w:rPr>
          <w:t xml:space="preserve">NICE’s guideline on </w:t>
        </w:r>
        <w:r w:rsidR="00645DCB" w:rsidRPr="00D91F8E">
          <w:rPr>
            <w:rStyle w:val="Hyperlink"/>
          </w:rPr>
          <w:t xml:space="preserve">joint replacement (primary) </w:t>
        </w:r>
        <w:r w:rsidR="00A673EB" w:rsidRPr="00D91F8E">
          <w:rPr>
            <w:rStyle w:val="Hyperlink"/>
          </w:rPr>
          <w:t>(NG</w:t>
        </w:r>
        <w:r w:rsidR="00645DCB" w:rsidRPr="00D91F8E">
          <w:rPr>
            <w:rStyle w:val="Hyperlink"/>
          </w:rPr>
          <w:t>157</w:t>
        </w:r>
        <w:r w:rsidR="00A673EB" w:rsidRPr="00D91F8E">
          <w:rPr>
            <w:rStyle w:val="Hyperlink"/>
          </w:rPr>
          <w:t>)</w:t>
        </w:r>
        <w:r w:rsidR="00645DCB" w:rsidRPr="00D91F8E">
          <w:rPr>
            <w:rStyle w:val="Hyperlink"/>
          </w:rPr>
          <w:t xml:space="preserve"> - excerpt</w:t>
        </w:r>
      </w:hyperlink>
      <w:r w:rsidR="00AE13B7" w:rsidRPr="00645DCB">
        <w:t>:</w:t>
      </w:r>
    </w:p>
    <w:p w14:paraId="184E6D78" w14:textId="38B06A46" w:rsidR="00645DCB" w:rsidRDefault="00A4550B" w:rsidP="00E16505">
      <w:pPr>
        <w:pStyle w:val="Paragraph"/>
      </w:pPr>
      <w:r>
        <w:t>1.1.2</w:t>
      </w:r>
      <w:r w:rsidR="00AE13B7" w:rsidRPr="00645DCB">
        <w:t xml:space="preserve"> </w:t>
      </w:r>
      <w:r w:rsidR="00645DCB">
        <w:t>Support shared decision making by discussing treatment options with people offered primary elective hip, knee or shoulder replacement and their families or carers (as appropriate). Include in the discussions:</w:t>
      </w:r>
    </w:p>
    <w:p w14:paraId="18A505F0" w14:textId="77777777" w:rsidR="00633C51" w:rsidRDefault="00645DCB" w:rsidP="00E16505">
      <w:pPr>
        <w:pStyle w:val="Bulletleft1"/>
        <w:spacing w:line="276" w:lineRule="auto"/>
      </w:pPr>
      <w:r>
        <w:t>the potential benefits and risks of the available procedures and types of implant</w:t>
      </w:r>
      <w:r w:rsidR="00E16505">
        <w:t xml:space="preserve"> </w:t>
      </w:r>
      <w:r>
        <w:t>for joint replacement, including the possible need for more surgery in the future</w:t>
      </w:r>
      <w:r w:rsidR="008C5DCA">
        <w:t>.</w:t>
      </w:r>
    </w:p>
    <w:p w14:paraId="6611B21D" w14:textId="77777777" w:rsidR="00633C51" w:rsidRDefault="00633C51" w:rsidP="00275425">
      <w:pPr>
        <w:pStyle w:val="Bulletleft1"/>
        <w:numPr>
          <w:ilvl w:val="0"/>
          <w:numId w:val="0"/>
        </w:numPr>
        <w:spacing w:line="276" w:lineRule="auto"/>
        <w:rPr>
          <w:lang w:eastAsia="en-GB"/>
        </w:rPr>
      </w:pPr>
    </w:p>
    <w:p w14:paraId="07B9FE8D" w14:textId="77777777" w:rsidR="00976FFA" w:rsidRDefault="00751008" w:rsidP="00976FFA">
      <w:pPr>
        <w:pStyle w:val="NICEnormal"/>
        <w:spacing w:line="276" w:lineRule="auto"/>
      </w:pPr>
      <w:hyperlink r:id="rId36" w:history="1">
        <w:r w:rsidR="00976FFA">
          <w:rPr>
            <w:rStyle w:val="Hyperlink"/>
          </w:rPr>
          <w:t>RCOTs’ guideline on occupational therapy for people undergoing total hip replacement (NICE-accredited, 2017):</w:t>
        </w:r>
      </w:hyperlink>
    </w:p>
    <w:p w14:paraId="056722B8" w14:textId="6ACD564E" w:rsidR="00976FFA" w:rsidRDefault="00976FFA" w:rsidP="00976FFA">
      <w:pPr>
        <w:pStyle w:val="NICEnormal"/>
        <w:spacing w:line="276" w:lineRule="auto"/>
      </w:pPr>
      <w:r>
        <w:t>2 It is recommended that goal setting is individualised, enhances realistic expectations of functional independence, and commences at pre-operative assessment.</w:t>
      </w:r>
    </w:p>
    <w:p w14:paraId="6274EA31" w14:textId="422085D2" w:rsidR="00CF0343" w:rsidRDefault="00CF0343" w:rsidP="00976FFA">
      <w:pPr>
        <w:pStyle w:val="NICEnormal"/>
        <w:spacing w:line="276" w:lineRule="auto"/>
      </w:pPr>
      <w:r w:rsidRPr="00CF0343">
        <w:t>18 It is recommended that occupational therapists encourage early discussion and goal setting for community reintegration.</w:t>
      </w:r>
    </w:p>
    <w:p w14:paraId="60ABA8DC" w14:textId="77777777" w:rsidR="00976FFA" w:rsidRPr="00071612" w:rsidRDefault="00976FFA" w:rsidP="005702D0">
      <w:pPr>
        <w:pStyle w:val="Heading4"/>
      </w:pPr>
      <w:r w:rsidRPr="00E637E4">
        <w:t>Current UK practice</w:t>
      </w:r>
    </w:p>
    <w:p w14:paraId="4196C805" w14:textId="77777777" w:rsidR="005702D0" w:rsidRPr="00E637E4" w:rsidRDefault="00751008" w:rsidP="005702D0">
      <w:pPr>
        <w:pStyle w:val="NICEnormal"/>
        <w:spacing w:line="276" w:lineRule="auto"/>
      </w:pPr>
      <w:hyperlink r:id="rId37" w:history="1">
        <w:r w:rsidR="005702D0">
          <w:rPr>
            <w:rStyle w:val="Hyperlink"/>
          </w:rPr>
          <w:t>GIRFT 2020:</w:t>
        </w:r>
      </w:hyperlink>
      <w:r w:rsidR="005702D0" w:rsidRPr="00E637E4">
        <w:t xml:space="preserve">  </w:t>
      </w:r>
    </w:p>
    <w:p w14:paraId="50843165" w14:textId="77777777" w:rsidR="005702D0" w:rsidRPr="00976FFA" w:rsidRDefault="005702D0" w:rsidP="005702D0">
      <w:pPr>
        <w:pStyle w:val="NICEnormal"/>
        <w:spacing w:line="276" w:lineRule="auto"/>
      </w:pPr>
      <w:r w:rsidRPr="001614BA">
        <w:t xml:space="preserve">Around 38% </w:t>
      </w:r>
      <w:r>
        <w:t xml:space="preserve">of trusts reviewed </w:t>
      </w:r>
      <w:r w:rsidRPr="001614BA">
        <w:t xml:space="preserve">reported that all </w:t>
      </w:r>
      <w:r>
        <w:t xml:space="preserve">TKR </w:t>
      </w:r>
      <w:r w:rsidRPr="001614BA">
        <w:t xml:space="preserve">patients had a multi-disciplinary assessment preoperatively to determine achievable goals of rehabilitation. </w:t>
      </w:r>
    </w:p>
    <w:p w14:paraId="1B1D83DD" w14:textId="3333CD64" w:rsidR="00C65C4E" w:rsidRDefault="00C65C4E" w:rsidP="00713607">
      <w:pPr>
        <w:pStyle w:val="Heading3"/>
      </w:pPr>
      <w:r>
        <w:t xml:space="preserve">Information </w:t>
      </w:r>
    </w:p>
    <w:p w14:paraId="66D5A0EB" w14:textId="15EFC223" w:rsidR="00C65C4E" w:rsidRDefault="00C65C4E" w:rsidP="00EF4F07">
      <w:pPr>
        <w:pStyle w:val="Paragraph"/>
      </w:pPr>
      <w:r w:rsidRPr="005D38BC">
        <w:t xml:space="preserve">Stakeholders </w:t>
      </w:r>
      <w:r w:rsidR="00024CDB">
        <w:t>proposed</w:t>
      </w:r>
      <w:r w:rsidR="001714C9">
        <w:t xml:space="preserve"> </w:t>
      </w:r>
      <w:r w:rsidR="00024CDB">
        <w:t>provision of</w:t>
      </w:r>
      <w:r w:rsidR="00E92B6F">
        <w:t xml:space="preserve"> </w:t>
      </w:r>
      <w:r w:rsidR="001714C9">
        <w:t xml:space="preserve">consistent, </w:t>
      </w:r>
      <w:r>
        <w:t xml:space="preserve">standardised information that directly addressed patients’ </w:t>
      </w:r>
      <w:r w:rsidR="002749C0">
        <w:t xml:space="preserve">expectations and </w:t>
      </w:r>
      <w:r>
        <w:t>concerns about surgery, recovery and rehabilitation</w:t>
      </w:r>
      <w:r w:rsidR="00DC759F">
        <w:t xml:space="preserve"> </w:t>
      </w:r>
      <w:r w:rsidR="00024CDB">
        <w:t>a</w:t>
      </w:r>
      <w:r w:rsidR="001714C9">
        <w:t xml:space="preserve">s </w:t>
      </w:r>
      <w:r w:rsidR="00DC759F">
        <w:t>a quality improvement area</w:t>
      </w:r>
      <w:proofErr w:type="gramStart"/>
      <w:r>
        <w:t xml:space="preserve">.  </w:t>
      </w:r>
      <w:proofErr w:type="gramEnd"/>
    </w:p>
    <w:p w14:paraId="2F2C7A94" w14:textId="0AECBDC3" w:rsidR="001C3ED9" w:rsidRDefault="001C3ED9" w:rsidP="00EF4F07">
      <w:pPr>
        <w:pStyle w:val="Paragraph"/>
      </w:pPr>
      <w:r>
        <w:lastRenderedPageBreak/>
        <w:t>Stakeholders also suggested:</w:t>
      </w:r>
    </w:p>
    <w:p w14:paraId="4165B141" w14:textId="6C4D49F7" w:rsidR="008C5FD3" w:rsidRDefault="005D659D" w:rsidP="00EF4F07">
      <w:pPr>
        <w:pStyle w:val="Bulletleft1"/>
        <w:spacing w:line="276" w:lineRule="auto"/>
      </w:pPr>
      <w:r>
        <w:t>Regular communication about the likely date of surgery, and timely access to a point of contact for queries.</w:t>
      </w:r>
    </w:p>
    <w:p w14:paraId="4708B5E9" w14:textId="4F0BC740" w:rsidR="008C5FD3" w:rsidRDefault="001714C9" w:rsidP="00EF4F07">
      <w:pPr>
        <w:pStyle w:val="Bulletleft1"/>
        <w:spacing w:line="276" w:lineRule="auto"/>
      </w:pPr>
      <w:r w:rsidRPr="00F63FDF">
        <w:rPr>
          <w:rStyle w:val="Bulletleft1lastChar"/>
        </w:rPr>
        <w:t>Informing patients</w:t>
      </w:r>
      <w:r w:rsidR="008C5FD3" w:rsidRPr="00F63FDF">
        <w:rPr>
          <w:rStyle w:val="Bulletleft1lastChar"/>
        </w:rPr>
        <w:t xml:space="preserve"> of independent providers if </w:t>
      </w:r>
      <w:r w:rsidRPr="00F63FDF">
        <w:rPr>
          <w:rStyle w:val="Bulletleft1lastChar"/>
        </w:rPr>
        <w:t xml:space="preserve">their </w:t>
      </w:r>
      <w:r w:rsidR="008C5FD3" w:rsidRPr="00F63FDF">
        <w:rPr>
          <w:rStyle w:val="Bulletleft1lastChar"/>
        </w:rPr>
        <w:t>surgery is delayed</w:t>
      </w:r>
      <w:r w:rsidR="00E92B6F">
        <w:t>.</w:t>
      </w:r>
    </w:p>
    <w:p w14:paraId="1C4429A6" w14:textId="77777777" w:rsidR="00C65C4E" w:rsidRPr="00F45FBA" w:rsidRDefault="00C65C4E" w:rsidP="00C65C4E">
      <w:pPr>
        <w:pStyle w:val="Heading4"/>
      </w:pPr>
      <w:r>
        <w:t>S</w:t>
      </w:r>
      <w:r w:rsidRPr="00CD3D03">
        <w:t xml:space="preserve">elected recommendations </w:t>
      </w:r>
    </w:p>
    <w:p w14:paraId="7DFE7A6D" w14:textId="3CFEAB33" w:rsidR="00C65C4E" w:rsidRPr="00645DCB" w:rsidRDefault="00751008" w:rsidP="00C65C4E">
      <w:pPr>
        <w:pStyle w:val="Paragraph"/>
      </w:pPr>
      <w:hyperlink r:id="rId38" w:history="1">
        <w:r w:rsidR="006F5A94">
          <w:rPr>
            <w:rStyle w:val="Hyperlink"/>
          </w:rPr>
          <w:t>NICE’s guideline on joint replacement (primary) NG157</w:t>
        </w:r>
      </w:hyperlink>
      <w:r w:rsidR="00C956EF">
        <w:rPr>
          <w:rStyle w:val="Hyperlink"/>
        </w:rPr>
        <w:t>:</w:t>
      </w:r>
      <w:r w:rsidR="00645DCB">
        <w:t xml:space="preserve"> </w:t>
      </w:r>
    </w:p>
    <w:p w14:paraId="432F359C" w14:textId="56E10F7E" w:rsidR="00645DCB" w:rsidRDefault="00645DCB" w:rsidP="00645DCB">
      <w:pPr>
        <w:pStyle w:val="Paragraph"/>
      </w:pPr>
      <w:r>
        <w:t>1.1.4</w:t>
      </w:r>
      <w:r w:rsidR="00C65C4E" w:rsidRPr="00645DCB">
        <w:t xml:space="preserve"> </w:t>
      </w:r>
      <w:r>
        <w:t>Give information on primary elective hip, knee or shoulder replacement that includes:</w:t>
      </w:r>
    </w:p>
    <w:p w14:paraId="7B98D375" w14:textId="131C49E4" w:rsidR="00645DCB" w:rsidRDefault="00645DCB" w:rsidP="00F63FDF">
      <w:pPr>
        <w:pStyle w:val="Bulletleft1"/>
        <w:spacing w:line="276" w:lineRule="auto"/>
      </w:pPr>
      <w:r>
        <w:t>what to expect before, during and after surgery, including length of hospital stay, recovery and rehabilitation</w:t>
      </w:r>
    </w:p>
    <w:p w14:paraId="4AC95231" w14:textId="3F4B5FA2" w:rsidR="00645DCB" w:rsidRDefault="00645DCB" w:rsidP="00F63FDF">
      <w:pPr>
        <w:pStyle w:val="Bulletleft1"/>
        <w:spacing w:line="276" w:lineRule="auto"/>
      </w:pPr>
      <w:r>
        <w:t xml:space="preserve">who to contact if they have questions or concerns before or after </w:t>
      </w:r>
      <w:proofErr w:type="gramStart"/>
      <w:r>
        <w:t>surgery</w:t>
      </w:r>
      <w:proofErr w:type="gramEnd"/>
    </w:p>
    <w:p w14:paraId="7773BEB9" w14:textId="7ADDC33E" w:rsidR="00645DCB" w:rsidRDefault="00645DCB" w:rsidP="00F63FDF">
      <w:pPr>
        <w:pStyle w:val="Bulletleft1"/>
        <w:spacing w:line="276" w:lineRule="auto"/>
      </w:pPr>
      <w:r>
        <w:t xml:space="preserve">preparing for surgery, including steps they can take to optimise their recovery (see the section on </w:t>
      </w:r>
      <w:hyperlink r:id="rId39" w:anchor="preoperative-rehabilitation" w:history="1">
        <w:r w:rsidRPr="00EC67D0">
          <w:rPr>
            <w:rStyle w:val="Hyperlink"/>
          </w:rPr>
          <w:t>preoperative rehabilitation</w:t>
        </w:r>
      </w:hyperlink>
      <w:r>
        <w:t>)</w:t>
      </w:r>
    </w:p>
    <w:p w14:paraId="01BAE562" w14:textId="320DD67A" w:rsidR="00645DCB" w:rsidRDefault="00645DCB" w:rsidP="00F63FDF">
      <w:pPr>
        <w:pStyle w:val="Bulletleft1"/>
        <w:spacing w:line="276" w:lineRule="auto"/>
      </w:pPr>
      <w:r>
        <w:t>pain after surgery and how it can be managed</w:t>
      </w:r>
    </w:p>
    <w:p w14:paraId="0F332F63" w14:textId="3DCB8A4C" w:rsidR="00645DCB" w:rsidRDefault="00645DCB" w:rsidP="00F63FDF">
      <w:pPr>
        <w:pStyle w:val="Bulletleft1"/>
        <w:spacing w:line="276" w:lineRule="auto"/>
      </w:pPr>
      <w:r>
        <w:t>returning to work</w:t>
      </w:r>
    </w:p>
    <w:p w14:paraId="21122380" w14:textId="70A1C52E" w:rsidR="00C65C4E" w:rsidRDefault="00645DCB" w:rsidP="00F63FDF">
      <w:pPr>
        <w:pStyle w:val="Bulletleft1last"/>
        <w:spacing w:line="276" w:lineRule="auto"/>
      </w:pPr>
      <w:r>
        <w:t>returning to usual activities, for example playing sports, driving and sexual activity.</w:t>
      </w:r>
    </w:p>
    <w:p w14:paraId="02888EB6" w14:textId="40976A18" w:rsidR="00275425" w:rsidRDefault="00751008" w:rsidP="00275425">
      <w:pPr>
        <w:pStyle w:val="Paragraph"/>
      </w:pPr>
      <w:hyperlink r:id="rId40" w:history="1">
        <w:r w:rsidR="00A85F28">
          <w:rPr>
            <w:rStyle w:val="Hyperlink"/>
          </w:rPr>
          <w:t>NICE’s guideline on shared decision making NG197</w:t>
        </w:r>
      </w:hyperlink>
      <w:r w:rsidR="00DC29B0">
        <w:rPr>
          <w:rStyle w:val="Hyperlink"/>
        </w:rPr>
        <w:t xml:space="preserve"> (extract)</w:t>
      </w:r>
      <w:r w:rsidR="00C956EF">
        <w:t>:</w:t>
      </w:r>
    </w:p>
    <w:p w14:paraId="4BD78149" w14:textId="77777777" w:rsidR="00275425" w:rsidRPr="006764B6" w:rsidRDefault="00275425" w:rsidP="00275425">
      <w:pPr>
        <w:pStyle w:val="Paragraph"/>
      </w:pPr>
      <w:r>
        <w:t xml:space="preserve">1.2.4 </w:t>
      </w:r>
      <w:r w:rsidRPr="006764B6">
        <w:t>When providing information and resources:</w:t>
      </w:r>
    </w:p>
    <w:p w14:paraId="25879B98" w14:textId="79CC5C40" w:rsidR="00275425" w:rsidRPr="006764B6" w:rsidRDefault="00275425" w:rsidP="000460F1">
      <w:pPr>
        <w:pStyle w:val="Bulletleft1"/>
        <w:spacing w:line="276" w:lineRule="auto"/>
      </w:pPr>
      <w:r w:rsidRPr="006764B6">
        <w:t>only use reliable, high-quality sources such as NICE-accredited information, links to the </w:t>
      </w:r>
      <w:hyperlink r:id="rId41" w:tgtFrame="_top" w:history="1">
        <w:r w:rsidRPr="006764B6">
          <w:rPr>
            <w:rStyle w:val="Hyperlink"/>
          </w:rPr>
          <w:t>NHS website</w:t>
        </w:r>
      </w:hyperlink>
      <w:r w:rsidRPr="006764B6">
        <w:t>, information from appropriate patient organisations, or relevant </w:t>
      </w:r>
      <w:hyperlink r:id="rId42" w:tgtFrame="_top" w:history="1">
        <w:r w:rsidRPr="006764B6">
          <w:rPr>
            <w:rStyle w:val="Hyperlink"/>
          </w:rPr>
          <w:t>NICE guidelines</w:t>
        </w:r>
      </w:hyperlink>
      <w:r w:rsidRPr="006764B6">
        <w:t> </w:t>
      </w:r>
      <w:r w:rsidR="00DC29B0">
        <w:t>…</w:t>
      </w:r>
    </w:p>
    <w:p w14:paraId="5E68CC64" w14:textId="335329E9" w:rsidR="00275425" w:rsidRPr="006764B6" w:rsidRDefault="00275425" w:rsidP="000460F1">
      <w:pPr>
        <w:pStyle w:val="Bulletleft1"/>
        <w:spacing w:line="276" w:lineRule="auto"/>
      </w:pPr>
      <w:proofErr w:type="gramStart"/>
      <w:r w:rsidRPr="006764B6">
        <w:t>take into account</w:t>
      </w:r>
      <w:proofErr w:type="gramEnd"/>
      <w:r w:rsidRPr="006764B6">
        <w:t xml:space="preserve"> accessibility and the requirement to meet the </w:t>
      </w:r>
      <w:hyperlink r:id="rId43" w:tgtFrame="_top" w:history="1">
        <w:r w:rsidRPr="00275425">
          <w:rPr>
            <w:rStyle w:val="Hyperlink"/>
          </w:rPr>
          <w:t>NHS Accessible Information Standard.</w:t>
        </w:r>
      </w:hyperlink>
    </w:p>
    <w:p w14:paraId="1D5C7004" w14:textId="0A1230B2" w:rsidR="00D9316B" w:rsidRDefault="00751008" w:rsidP="00D9316B">
      <w:pPr>
        <w:pStyle w:val="Paragraph"/>
      </w:pPr>
      <w:hyperlink r:id="rId44" w:history="1">
        <w:r w:rsidR="002D1955">
          <w:rPr>
            <w:rStyle w:val="Hyperlink"/>
          </w:rPr>
          <w:t>RCOTs’ guideline on occupational therapy for people undergoing total hip replacement (NICE-accredited, 2017):</w:t>
        </w:r>
      </w:hyperlink>
    </w:p>
    <w:p w14:paraId="74350CDC" w14:textId="52B8E4E9" w:rsidR="00976FFA" w:rsidRPr="00813821" w:rsidRDefault="00976FFA" w:rsidP="00976FFA">
      <w:pPr>
        <w:pStyle w:val="Paragraph"/>
      </w:pPr>
      <w:r>
        <w:t>3 It is recommended that occupational therapists ensure that they provide clear communication and advice that is consistent with that of other members of the multidisciplinary team.</w:t>
      </w:r>
    </w:p>
    <w:p w14:paraId="09165A45" w14:textId="025C4AEA" w:rsidR="00D9316B" w:rsidRDefault="00D9316B" w:rsidP="00D9316B">
      <w:pPr>
        <w:pStyle w:val="Paragraph"/>
      </w:pPr>
      <w:r>
        <w:t>7 It is recommended that service users are given advice on effective pain management strategies, to decrease pre-operative pain experience and sleep disturbance, and enhance post-operative physical function.</w:t>
      </w:r>
    </w:p>
    <w:p w14:paraId="4ECFA2D8" w14:textId="77777777" w:rsidR="00090322" w:rsidRPr="00090322" w:rsidRDefault="00090322" w:rsidP="00090322">
      <w:pPr>
        <w:pStyle w:val="NICEnormal"/>
        <w:spacing w:line="276" w:lineRule="auto"/>
        <w:rPr>
          <w:b/>
          <w:bCs/>
          <w:iCs/>
        </w:rPr>
      </w:pPr>
      <w:r w:rsidRPr="00090322">
        <w:rPr>
          <w:b/>
          <w:bCs/>
          <w:iCs/>
        </w:rPr>
        <w:t>Current UK practice</w:t>
      </w:r>
    </w:p>
    <w:p w14:paraId="03D8F3F1" w14:textId="2747137C" w:rsidR="005D659D" w:rsidRDefault="00751008" w:rsidP="00560C23">
      <w:pPr>
        <w:pStyle w:val="NICEnormal"/>
        <w:spacing w:line="276" w:lineRule="auto"/>
      </w:pPr>
      <w:hyperlink r:id="rId45" w:history="1">
        <w:r w:rsidR="00560C23" w:rsidRPr="00560C23">
          <w:rPr>
            <w:rStyle w:val="Hyperlink"/>
          </w:rPr>
          <w:t>Versus Arthritis’s response to the Health Foundation’s COVID-19 Impact Enquiry (2020)</w:t>
        </w:r>
      </w:hyperlink>
      <w:r w:rsidR="00560C23" w:rsidRPr="00560C23">
        <w:t xml:space="preserve"> cited the findings of their Joint Replacement COVID-19 Impact Survey </w:t>
      </w:r>
      <w:r w:rsidR="00560C23" w:rsidRPr="00560C23">
        <w:lastRenderedPageBreak/>
        <w:t>(October and November 2020)</w:t>
      </w:r>
      <w:proofErr w:type="gramStart"/>
      <w:r w:rsidR="00560C23" w:rsidRPr="00560C23">
        <w:t xml:space="preserve">.  </w:t>
      </w:r>
      <w:proofErr w:type="gramEnd"/>
      <w:r w:rsidR="00560C23" w:rsidRPr="00560C23">
        <w:t>Of 688 people in England waiting for joint replacement surgery who responded</w:t>
      </w:r>
      <w:r w:rsidR="00560C23">
        <w:t xml:space="preserve">, </w:t>
      </w:r>
      <w:r w:rsidR="005D659D" w:rsidRPr="005D659D">
        <w:t xml:space="preserve">72% </w:t>
      </w:r>
      <w:r w:rsidR="005D659D">
        <w:t xml:space="preserve">reported </w:t>
      </w:r>
      <w:r w:rsidR="005D659D" w:rsidRPr="005D659D">
        <w:t>that they had not been informed of their likely surgery date</w:t>
      </w:r>
      <w:r w:rsidR="003D4585">
        <w:t xml:space="preserve"> </w:t>
      </w:r>
      <w:r w:rsidR="00B213B4">
        <w:t>or an estimated waiting time for receiving treatment</w:t>
      </w:r>
      <w:proofErr w:type="gramStart"/>
      <w:r w:rsidR="005D659D" w:rsidRPr="005D659D">
        <w:t xml:space="preserve">.  </w:t>
      </w:r>
      <w:proofErr w:type="gramEnd"/>
      <w:r w:rsidR="005D659D" w:rsidRPr="005D659D">
        <w:t xml:space="preserve"> </w:t>
      </w:r>
    </w:p>
    <w:p w14:paraId="6AD6201F" w14:textId="0FC55FFE" w:rsidR="00491211" w:rsidRDefault="00491211" w:rsidP="005702D0">
      <w:pPr>
        <w:pStyle w:val="Heading3"/>
      </w:pPr>
      <w:r w:rsidRPr="004612EA">
        <w:t>Resource impact</w:t>
      </w:r>
    </w:p>
    <w:p w14:paraId="220048D0" w14:textId="4EE9F9F4" w:rsidR="008C3A6C" w:rsidRPr="008C3A6C" w:rsidRDefault="008C3A6C" w:rsidP="008C3A6C">
      <w:pPr>
        <w:rPr>
          <w:rFonts w:ascii="Arial" w:hAnsi="Arial" w:cs="Arial"/>
        </w:rPr>
      </w:pPr>
      <w:r w:rsidRPr="008C3A6C">
        <w:rPr>
          <w:rFonts w:ascii="Arial" w:hAnsi="Arial" w:cs="Arial"/>
        </w:rPr>
        <w:t>We do not expect this quality statement to have a significant impact on resources.</w:t>
      </w:r>
    </w:p>
    <w:p w14:paraId="6637DE63" w14:textId="2854F69F" w:rsidR="008C3A6C" w:rsidRDefault="00624810" w:rsidP="00976FFA">
      <w:pPr>
        <w:pStyle w:val="Heading3"/>
      </w:pPr>
      <w:r w:rsidRPr="0067426A">
        <w:t>Issues for consideration</w:t>
      </w:r>
    </w:p>
    <w:p w14:paraId="6CD884DA" w14:textId="4EFDF000" w:rsidR="000B2256" w:rsidRPr="00B56CE1" w:rsidRDefault="00A673EB" w:rsidP="00B56CE1">
      <w:pPr>
        <w:pStyle w:val="Paragraph"/>
        <w:rPr>
          <w:b/>
          <w:bCs/>
        </w:rPr>
      </w:pPr>
      <w:r w:rsidRPr="00A6218A">
        <w:rPr>
          <w:b/>
          <w:bCs/>
        </w:rPr>
        <w:t>For discussion:</w:t>
      </w:r>
    </w:p>
    <w:p w14:paraId="522DD62B" w14:textId="49A63440" w:rsidR="00127D40" w:rsidRDefault="00127D40" w:rsidP="005C6FE1">
      <w:pPr>
        <w:pStyle w:val="Bulletleft1"/>
        <w:spacing w:line="276" w:lineRule="auto"/>
      </w:pPr>
      <w:r>
        <w:t xml:space="preserve">Potential overlap </w:t>
      </w:r>
      <w:r w:rsidR="00275425">
        <w:t>with the patient experience quality standard (QS15)</w:t>
      </w:r>
      <w:proofErr w:type="gramStart"/>
      <w:r w:rsidR="00275425">
        <w:t xml:space="preserve">. </w:t>
      </w:r>
      <w:r>
        <w:t xml:space="preserve"> </w:t>
      </w:r>
      <w:proofErr w:type="gramEnd"/>
    </w:p>
    <w:p w14:paraId="66D7824E" w14:textId="16356327" w:rsidR="00860FFD" w:rsidRDefault="005C6FE1" w:rsidP="005C6FE1">
      <w:pPr>
        <w:pStyle w:val="Bulletleft1"/>
        <w:spacing w:line="276" w:lineRule="auto"/>
      </w:pPr>
      <w:r>
        <w:t>There is only a research recommendation in NG157 on decision aids.</w:t>
      </w:r>
    </w:p>
    <w:p w14:paraId="09F0338D" w14:textId="77777777" w:rsidR="005C6FE1" w:rsidRDefault="005C6FE1" w:rsidP="005C6FE1">
      <w:pPr>
        <w:pStyle w:val="Bulletleft1"/>
        <w:spacing w:line="276" w:lineRule="auto"/>
      </w:pPr>
      <w:r w:rsidRPr="00CC11B1">
        <w:t>What is the priority for improvement?</w:t>
      </w:r>
    </w:p>
    <w:p w14:paraId="7596CF72" w14:textId="3550FA90" w:rsidR="006F2B87" w:rsidRPr="00942624" w:rsidRDefault="006F2B87" w:rsidP="005C6FE1">
      <w:pPr>
        <w:pStyle w:val="Bulletleft1"/>
        <w:spacing w:line="276" w:lineRule="auto"/>
      </w:pPr>
      <w:r w:rsidRPr="006F2B87">
        <w:t>There is limited current practice</w:t>
      </w:r>
      <w:r w:rsidR="00306EE5">
        <w:t>, and</w:t>
      </w:r>
      <w:r w:rsidR="00364FBA">
        <w:t xml:space="preserve"> </w:t>
      </w:r>
      <w:r w:rsidR="00560C23">
        <w:t>measurability</w:t>
      </w:r>
      <w:r w:rsidR="00364FBA">
        <w:t xml:space="preserve"> </w:t>
      </w:r>
      <w:r w:rsidR="00144E0A">
        <w:t xml:space="preserve">may be </w:t>
      </w:r>
      <w:r w:rsidR="00364FBA">
        <w:t>an issue</w:t>
      </w:r>
      <w:proofErr w:type="gramStart"/>
      <w:r w:rsidR="00306EE5">
        <w:t>.</w:t>
      </w:r>
      <w:r w:rsidRPr="006F2B87">
        <w:t xml:space="preserve">  </w:t>
      </w:r>
      <w:proofErr w:type="gramEnd"/>
    </w:p>
    <w:p w14:paraId="62C6003E" w14:textId="77777777" w:rsidR="00A673EB" w:rsidRPr="00A6218A" w:rsidRDefault="00A673EB" w:rsidP="00A673EB">
      <w:pPr>
        <w:pStyle w:val="Paragraph"/>
        <w:rPr>
          <w:b/>
          <w:bCs/>
        </w:rPr>
      </w:pPr>
      <w:r w:rsidRPr="00A6218A">
        <w:rPr>
          <w:b/>
          <w:bCs/>
        </w:rPr>
        <w:t>For decision:</w:t>
      </w:r>
    </w:p>
    <w:p w14:paraId="64815C67" w14:textId="206B52C5" w:rsidR="00942624" w:rsidRDefault="00A673EB" w:rsidP="00130B79">
      <w:pPr>
        <w:pStyle w:val="Bulletleft1"/>
      </w:pPr>
      <w:r w:rsidRPr="00624810">
        <w:t>Should this area be prioritised for inclusion in the quality standard?</w:t>
      </w:r>
    </w:p>
    <w:p w14:paraId="7F349CAB" w14:textId="1E043383" w:rsidR="00130B79" w:rsidRPr="00130B79" w:rsidRDefault="00942624" w:rsidP="00942624">
      <w:pPr>
        <w:rPr>
          <w:rFonts w:ascii="Arial" w:hAnsi="Arial"/>
        </w:rPr>
      </w:pPr>
      <w:r>
        <w:br w:type="page"/>
      </w:r>
    </w:p>
    <w:p w14:paraId="5AE3F6CA" w14:textId="4A38A230" w:rsidR="00B93BFC" w:rsidRPr="00B93BFC" w:rsidRDefault="00645095" w:rsidP="00B93BFC">
      <w:pPr>
        <w:pStyle w:val="Numberedheading2"/>
      </w:pPr>
      <w:bookmarkStart w:id="156" w:name="_Toc87374577"/>
      <w:r>
        <w:lastRenderedPageBreak/>
        <w:t>A</w:t>
      </w:r>
      <w:r w:rsidR="00B93BFC">
        <w:t>naesthesia</w:t>
      </w:r>
      <w:r w:rsidR="00B7286E">
        <w:t>,</w:t>
      </w:r>
      <w:r w:rsidR="00B570D9">
        <w:t xml:space="preserve"> tranexamic acid</w:t>
      </w:r>
      <w:r w:rsidR="00B7286E">
        <w:t xml:space="preserve"> and VTE prophylaxis</w:t>
      </w:r>
      <w:bookmarkEnd w:id="156"/>
    </w:p>
    <w:p w14:paraId="54BEC58C" w14:textId="0414B22B" w:rsidR="00B93BFC" w:rsidRPr="003A57C1" w:rsidRDefault="00B93BFC" w:rsidP="00B93BFC">
      <w:pPr>
        <w:pStyle w:val="Heading3"/>
      </w:pPr>
      <w:r>
        <w:t>Choice of anaesthesia</w:t>
      </w:r>
    </w:p>
    <w:p w14:paraId="35AD7908" w14:textId="31436A55" w:rsidR="00B93BFC" w:rsidRPr="00B93BFC" w:rsidRDefault="00B93BFC" w:rsidP="00B93BFC">
      <w:pPr>
        <w:pStyle w:val="Paragraphnonumbers"/>
      </w:pPr>
      <w:r w:rsidRPr="00B93BFC">
        <w:t>Stakeholders suggested that</w:t>
      </w:r>
      <w:r w:rsidR="006505D6">
        <w:t xml:space="preserve"> offering patients a choice of anaesthesia</w:t>
      </w:r>
      <w:r w:rsidR="00B17B63">
        <w:t xml:space="preserve"> for THR or knee replacement</w:t>
      </w:r>
      <w:r w:rsidR="006505D6">
        <w:t xml:space="preserve"> is important because optimising anaesthesia helps to support early recovery and improve patient experience</w:t>
      </w:r>
      <w:proofErr w:type="gramStart"/>
      <w:r w:rsidR="006505D6">
        <w:t xml:space="preserve">.  </w:t>
      </w:r>
      <w:proofErr w:type="gramEnd"/>
      <w:r w:rsidR="006505D6">
        <w:t>Reducing nausea and pain were also highlighted</w:t>
      </w:r>
      <w:r w:rsidR="00BD2D3C">
        <w:t xml:space="preserve"> as important considerations</w:t>
      </w:r>
      <w:proofErr w:type="gramStart"/>
      <w:r w:rsidR="006505D6">
        <w:t xml:space="preserve">. </w:t>
      </w:r>
      <w:r>
        <w:t xml:space="preserve"> </w:t>
      </w:r>
      <w:proofErr w:type="gramEnd"/>
      <w:r>
        <w:t xml:space="preserve"> </w:t>
      </w:r>
    </w:p>
    <w:p w14:paraId="5B08F455" w14:textId="77777777" w:rsidR="00B93BFC" w:rsidRPr="007B1C0E" w:rsidRDefault="00B93BFC" w:rsidP="00B93BFC">
      <w:pPr>
        <w:pStyle w:val="Heading4"/>
      </w:pPr>
      <w:r>
        <w:t>S</w:t>
      </w:r>
      <w:r w:rsidRPr="00CD3D03">
        <w:t xml:space="preserve">elected recommendations </w:t>
      </w:r>
    </w:p>
    <w:p w14:paraId="6375E468" w14:textId="717F0B84" w:rsidR="00B93BFC" w:rsidRPr="00B93BFC" w:rsidRDefault="00751008" w:rsidP="00B93BFC">
      <w:pPr>
        <w:pStyle w:val="Paragraph"/>
      </w:pPr>
      <w:hyperlink r:id="rId46" w:history="1">
        <w:r w:rsidR="00B93BFC">
          <w:rPr>
            <w:rStyle w:val="Hyperlink"/>
          </w:rPr>
          <w:t>NICE’s guideline on joint replacement (primary) NG157</w:t>
        </w:r>
      </w:hyperlink>
      <w:r w:rsidR="00E61E4A">
        <w:rPr>
          <w:rStyle w:val="Hyperlink"/>
        </w:rPr>
        <w:t xml:space="preserve"> </w:t>
      </w:r>
      <w:r w:rsidR="00090322">
        <w:rPr>
          <w:rStyle w:val="Hyperlink"/>
        </w:rPr>
        <w:t xml:space="preserve">- </w:t>
      </w:r>
      <w:r w:rsidR="00E61E4A">
        <w:rPr>
          <w:rStyle w:val="Hyperlink"/>
        </w:rPr>
        <w:t>excerpts:</w:t>
      </w:r>
    </w:p>
    <w:p w14:paraId="350CAD0B" w14:textId="77777777" w:rsidR="00B93BFC" w:rsidRDefault="00B93BFC" w:rsidP="00B93BFC">
      <w:pPr>
        <w:pStyle w:val="Paragraph"/>
      </w:pPr>
      <w:r>
        <w:t>1.3.1 Offer people having primary elective hip replacement a choice of:</w:t>
      </w:r>
    </w:p>
    <w:p w14:paraId="7694019F" w14:textId="0E013808" w:rsidR="00B93BFC" w:rsidRDefault="00B93BFC" w:rsidP="006505D6">
      <w:pPr>
        <w:pStyle w:val="Bulletleft1"/>
      </w:pPr>
      <w:r>
        <w:t xml:space="preserve">regional anaesthesia in combination with local infiltration analgesia (LIA) </w:t>
      </w:r>
      <w:r w:rsidRPr="007C534D">
        <w:rPr>
          <w:b/>
          <w:bCs/>
        </w:rPr>
        <w:t>or</w:t>
      </w:r>
    </w:p>
    <w:p w14:paraId="3CC86809" w14:textId="6509F6C0" w:rsidR="00B93BFC" w:rsidRDefault="00B93BFC" w:rsidP="00F63FDF">
      <w:pPr>
        <w:pStyle w:val="Bulletleft1last"/>
      </w:pPr>
      <w:r>
        <w:t>general anaesthesia in combination with LIA.</w:t>
      </w:r>
    </w:p>
    <w:p w14:paraId="077D10C2" w14:textId="40B66F31" w:rsidR="006505D6" w:rsidRDefault="006505D6" w:rsidP="006505D6">
      <w:pPr>
        <w:pStyle w:val="Paragraph"/>
      </w:pPr>
      <w:r>
        <w:t xml:space="preserve">1.3.2 Offer people having primary elective </w:t>
      </w:r>
      <w:r w:rsidR="00B80662">
        <w:t>knee</w:t>
      </w:r>
      <w:r>
        <w:t xml:space="preserve"> replacement a choice of:</w:t>
      </w:r>
    </w:p>
    <w:p w14:paraId="18F313AC" w14:textId="77777777" w:rsidR="006505D6" w:rsidRDefault="006505D6" w:rsidP="006505D6">
      <w:pPr>
        <w:pStyle w:val="Bulletleft1"/>
      </w:pPr>
      <w:r w:rsidRPr="006505D6">
        <w:t xml:space="preserve">regional anaesthesia in combination with LIA </w:t>
      </w:r>
      <w:r w:rsidRPr="007C534D">
        <w:rPr>
          <w:b/>
          <w:bCs/>
        </w:rPr>
        <w:t>or</w:t>
      </w:r>
    </w:p>
    <w:p w14:paraId="4A4C0FDF" w14:textId="01D30F00" w:rsidR="006505D6" w:rsidRPr="00B93BFC" w:rsidRDefault="006505D6" w:rsidP="00F63FDF">
      <w:pPr>
        <w:pStyle w:val="Bulletleft1last"/>
      </w:pPr>
      <w:r w:rsidRPr="006505D6">
        <w:t>general anaesthesia in combination with LIA.</w:t>
      </w:r>
    </w:p>
    <w:p w14:paraId="55ED5185" w14:textId="77777777" w:rsidR="00B93BFC" w:rsidRPr="00B0030E" w:rsidRDefault="00B93BFC" w:rsidP="00B93BFC">
      <w:pPr>
        <w:pStyle w:val="Heading4"/>
      </w:pPr>
      <w:r w:rsidRPr="00B0030E">
        <w:t>Current UK practice</w:t>
      </w:r>
    </w:p>
    <w:p w14:paraId="5B8863E4" w14:textId="77777777" w:rsidR="00B1409A" w:rsidRDefault="00B1409A" w:rsidP="00B1409A">
      <w:pPr>
        <w:pStyle w:val="Bulletleft1"/>
        <w:numPr>
          <w:ilvl w:val="0"/>
          <w:numId w:val="0"/>
        </w:numPr>
        <w:spacing w:line="276" w:lineRule="auto"/>
      </w:pPr>
      <w:bookmarkStart w:id="157" w:name="_Hlk82717503"/>
      <w:bookmarkStart w:id="158" w:name="_Hlk81479726"/>
    </w:p>
    <w:p w14:paraId="1A7D952F" w14:textId="01B68FDF" w:rsidR="00B1409A" w:rsidRDefault="0012215D" w:rsidP="00B1409A">
      <w:pPr>
        <w:pStyle w:val="Bulletleft1"/>
        <w:numPr>
          <w:ilvl w:val="0"/>
          <w:numId w:val="0"/>
        </w:numPr>
        <w:spacing w:line="276" w:lineRule="auto"/>
        <w:rPr>
          <w:rStyle w:val="NICEnormalChar"/>
          <w:lang w:eastAsia="en-GB"/>
        </w:rPr>
      </w:pPr>
      <w:r w:rsidRPr="00DA2E47">
        <w:rPr>
          <w:lang w:eastAsia="en-GB"/>
        </w:rPr>
        <w:t xml:space="preserve">Analysis of variation between the content of Enhanced Recovery Programmes (ERPs) at 22 UK NHS hospitals performing THR and 23 performing TKR, together with an audit of compliance (15 patients aged 18 and over having an operation on a single joint) using data provided by 16 (THR) and 18 (TKR) was conducted October 2014 to April 2015 and reported </w:t>
      </w:r>
      <w:r w:rsidRPr="00DA2E47">
        <w:t xml:space="preserve">by </w:t>
      </w:r>
      <w:hyperlink r:id="rId47" w:history="1">
        <w:r w:rsidRPr="00DA2E47">
          <w:rPr>
            <w:color w:val="0000FF" w:themeColor="hyperlink"/>
            <w:u w:val="single"/>
            <w:lang w:eastAsia="en-GB"/>
          </w:rPr>
          <w:t>Nagra et al (2017)</w:t>
        </w:r>
      </w:hyperlink>
      <w:r>
        <w:rPr>
          <w:color w:val="0000FF" w:themeColor="hyperlink"/>
          <w:u w:val="single"/>
          <w:lang w:eastAsia="en-GB"/>
        </w:rPr>
        <w:t>:</w:t>
      </w:r>
      <w:r>
        <w:rPr>
          <w:color w:val="0000FF" w:themeColor="hyperlink"/>
          <w:u w:val="single"/>
          <w:lang w:eastAsia="en-GB"/>
        </w:rPr>
        <w:br/>
      </w:r>
    </w:p>
    <w:bookmarkEnd w:id="157"/>
    <w:p w14:paraId="437FE003" w14:textId="25E09660" w:rsidR="00BF3636" w:rsidRPr="00BF3636" w:rsidRDefault="00BF3636" w:rsidP="00090322">
      <w:pPr>
        <w:pStyle w:val="Bulletleft1"/>
        <w:spacing w:line="276" w:lineRule="auto"/>
        <w:rPr>
          <w:b/>
          <w:bCs/>
          <w:lang w:eastAsia="en-GB"/>
        </w:rPr>
      </w:pPr>
      <w:r w:rsidRPr="00942624">
        <w:rPr>
          <w:rStyle w:val="NICEnormalChar"/>
        </w:rPr>
        <w:t>THR</w:t>
      </w:r>
      <w:r w:rsidR="00B42D73" w:rsidRPr="00942624">
        <w:rPr>
          <w:rStyle w:val="NICEnormalChar"/>
        </w:rPr>
        <w:t xml:space="preserve"> (of the centres which provided anaesthetic advice):</w:t>
      </w:r>
    </w:p>
    <w:p w14:paraId="76A77C30" w14:textId="610611F2" w:rsidR="00BF3636" w:rsidRDefault="00BF3636" w:rsidP="00090322">
      <w:pPr>
        <w:pStyle w:val="Bulletleft1"/>
        <w:numPr>
          <w:ilvl w:val="1"/>
          <w:numId w:val="4"/>
        </w:numPr>
        <w:spacing w:line="276" w:lineRule="auto"/>
        <w:rPr>
          <w:b/>
          <w:bCs/>
          <w:lang w:eastAsia="en-GB"/>
        </w:rPr>
      </w:pPr>
      <w:r>
        <w:rPr>
          <w:lang w:eastAsia="en-GB"/>
        </w:rPr>
        <w:t>73% offered local wound anaesthetic, and 89% adhered to this.</w:t>
      </w:r>
      <w:r>
        <w:rPr>
          <w:b/>
          <w:bCs/>
          <w:lang w:eastAsia="en-GB"/>
        </w:rPr>
        <w:t xml:space="preserve"> </w:t>
      </w:r>
    </w:p>
    <w:p w14:paraId="09D1C65C" w14:textId="4281B6A4" w:rsidR="00B42D73" w:rsidRDefault="00E93BC1" w:rsidP="00090322">
      <w:pPr>
        <w:pStyle w:val="Bulletleft1"/>
        <w:numPr>
          <w:ilvl w:val="1"/>
          <w:numId w:val="4"/>
        </w:numPr>
        <w:spacing w:line="276" w:lineRule="auto"/>
        <w:rPr>
          <w:lang w:eastAsia="en-GB"/>
        </w:rPr>
      </w:pPr>
      <w:r>
        <w:rPr>
          <w:lang w:eastAsia="en-GB"/>
        </w:rPr>
        <w:t>A</w:t>
      </w:r>
      <w:r w:rsidR="00BF3636" w:rsidRPr="00BF3636">
        <w:rPr>
          <w:lang w:eastAsia="en-GB"/>
        </w:rPr>
        <w:t>naesthetic type was specified in 14 ERPs. Spinal</w:t>
      </w:r>
      <w:r w:rsidR="00BF3636">
        <w:rPr>
          <w:lang w:eastAsia="en-GB"/>
        </w:rPr>
        <w:t xml:space="preserve"> </w:t>
      </w:r>
      <w:r w:rsidR="00BF3636" w:rsidRPr="00BF3636">
        <w:rPr>
          <w:lang w:eastAsia="en-GB"/>
        </w:rPr>
        <w:t>or epidural anaesthesia (with or without sedation) was recommended in 12 ERPs</w:t>
      </w:r>
      <w:r w:rsidR="00B42D73">
        <w:rPr>
          <w:lang w:eastAsia="en-GB"/>
        </w:rPr>
        <w:t>.</w:t>
      </w:r>
    </w:p>
    <w:p w14:paraId="03E003D4" w14:textId="229BE65E" w:rsidR="00E93BC1" w:rsidRPr="00BF3636" w:rsidRDefault="00D82346" w:rsidP="00090322">
      <w:pPr>
        <w:pStyle w:val="Bulletleft1"/>
        <w:numPr>
          <w:ilvl w:val="1"/>
          <w:numId w:val="4"/>
        </w:numPr>
        <w:spacing w:line="276" w:lineRule="auto"/>
        <w:rPr>
          <w:lang w:eastAsia="en-GB"/>
        </w:rPr>
      </w:pPr>
      <w:r>
        <w:rPr>
          <w:lang w:eastAsia="en-GB"/>
        </w:rPr>
        <w:t>G</w:t>
      </w:r>
      <w:r w:rsidR="00BF3636" w:rsidRPr="00BF3636">
        <w:rPr>
          <w:lang w:eastAsia="en-GB"/>
        </w:rPr>
        <w:t xml:space="preserve">eneral anaesthesia </w:t>
      </w:r>
      <w:r w:rsidR="00B42D73">
        <w:rPr>
          <w:lang w:eastAsia="en-GB"/>
        </w:rPr>
        <w:t xml:space="preserve">was recommended </w:t>
      </w:r>
      <w:r w:rsidR="00BF3636" w:rsidRPr="00BF3636">
        <w:rPr>
          <w:lang w:eastAsia="en-GB"/>
        </w:rPr>
        <w:t>in 2 ERPs.</w:t>
      </w:r>
    </w:p>
    <w:p w14:paraId="7B722292" w14:textId="4695BE2E" w:rsidR="00BF3636" w:rsidRPr="00BF3636" w:rsidRDefault="00BF3636" w:rsidP="00090322">
      <w:pPr>
        <w:pStyle w:val="Bulletleft1"/>
        <w:spacing w:line="276" w:lineRule="auto"/>
        <w:rPr>
          <w:b/>
          <w:bCs/>
          <w:lang w:eastAsia="en-GB"/>
        </w:rPr>
      </w:pPr>
      <w:r>
        <w:rPr>
          <w:lang w:eastAsia="en-GB"/>
        </w:rPr>
        <w:t>TKR</w:t>
      </w:r>
      <w:r w:rsidR="00B42D73">
        <w:rPr>
          <w:lang w:eastAsia="en-GB"/>
        </w:rPr>
        <w:t xml:space="preserve"> </w:t>
      </w:r>
      <w:r w:rsidR="00B42D73" w:rsidRPr="00B42D73">
        <w:rPr>
          <w:lang w:eastAsia="en-GB"/>
        </w:rPr>
        <w:t xml:space="preserve">(of </w:t>
      </w:r>
      <w:r w:rsidR="00B42D73">
        <w:rPr>
          <w:lang w:eastAsia="en-GB"/>
        </w:rPr>
        <w:t xml:space="preserve">the </w:t>
      </w:r>
      <w:r w:rsidR="00B42D73" w:rsidRPr="00B42D73">
        <w:rPr>
          <w:lang w:eastAsia="en-GB"/>
        </w:rPr>
        <w:t xml:space="preserve">centres </w:t>
      </w:r>
      <w:r w:rsidR="00B42D73">
        <w:rPr>
          <w:lang w:eastAsia="en-GB"/>
        </w:rPr>
        <w:t xml:space="preserve">which </w:t>
      </w:r>
      <w:r w:rsidR="00B42D73" w:rsidRPr="00B42D73">
        <w:rPr>
          <w:lang w:eastAsia="en-GB"/>
        </w:rPr>
        <w:t>provid</w:t>
      </w:r>
      <w:r w:rsidR="00B42D73">
        <w:rPr>
          <w:lang w:eastAsia="en-GB"/>
        </w:rPr>
        <w:t>ed</w:t>
      </w:r>
      <w:r w:rsidR="00B42D73" w:rsidRPr="00B42D73">
        <w:rPr>
          <w:lang w:eastAsia="en-GB"/>
        </w:rPr>
        <w:t xml:space="preserve"> anaesthetic advice):</w:t>
      </w:r>
    </w:p>
    <w:p w14:paraId="7EBE9EE1" w14:textId="08D8EE11" w:rsidR="00BF3636" w:rsidRPr="00BF3636" w:rsidRDefault="00BF3636" w:rsidP="00090322">
      <w:pPr>
        <w:pStyle w:val="Bulletleft1"/>
        <w:numPr>
          <w:ilvl w:val="1"/>
          <w:numId w:val="4"/>
        </w:numPr>
        <w:spacing w:line="276" w:lineRule="auto"/>
        <w:rPr>
          <w:b/>
          <w:bCs/>
          <w:lang w:eastAsia="en-GB"/>
        </w:rPr>
      </w:pPr>
      <w:r>
        <w:rPr>
          <w:lang w:eastAsia="en-GB"/>
        </w:rPr>
        <w:t>50% offered local wound anaesthetic, and 78% adhered to this.</w:t>
      </w:r>
    </w:p>
    <w:p w14:paraId="654BE9BF" w14:textId="1B15851A" w:rsidR="00B42D73" w:rsidRDefault="00BF3636" w:rsidP="00090322">
      <w:pPr>
        <w:pStyle w:val="Bulletleft1"/>
        <w:numPr>
          <w:ilvl w:val="1"/>
          <w:numId w:val="4"/>
        </w:numPr>
        <w:spacing w:line="276" w:lineRule="auto"/>
        <w:rPr>
          <w:lang w:eastAsia="en-GB"/>
        </w:rPr>
      </w:pPr>
      <w:r w:rsidRPr="00BF3636">
        <w:rPr>
          <w:lang w:eastAsia="en-GB"/>
        </w:rPr>
        <w:t>9 recommended spinal anaesthetic, with</w:t>
      </w:r>
      <w:r>
        <w:rPr>
          <w:lang w:eastAsia="en-GB"/>
        </w:rPr>
        <w:t xml:space="preserve"> </w:t>
      </w:r>
      <w:r w:rsidRPr="00BF3636">
        <w:rPr>
          <w:lang w:eastAsia="en-GB"/>
        </w:rPr>
        <w:t>some specifying anaesthetic agent</w:t>
      </w:r>
      <w:r w:rsidR="00D82346">
        <w:rPr>
          <w:lang w:eastAsia="en-GB"/>
        </w:rPr>
        <w:t>s</w:t>
      </w:r>
      <w:r w:rsidR="00B42D73">
        <w:rPr>
          <w:lang w:eastAsia="en-GB"/>
        </w:rPr>
        <w:t>.</w:t>
      </w:r>
    </w:p>
    <w:p w14:paraId="0531B68E" w14:textId="146E44A3" w:rsidR="00BF3636" w:rsidRDefault="00BF3636" w:rsidP="00090322">
      <w:pPr>
        <w:pStyle w:val="Bulletleft1"/>
        <w:numPr>
          <w:ilvl w:val="1"/>
          <w:numId w:val="4"/>
        </w:numPr>
        <w:spacing w:line="276" w:lineRule="auto"/>
        <w:rPr>
          <w:lang w:eastAsia="en-GB"/>
        </w:rPr>
      </w:pPr>
      <w:r w:rsidRPr="00BF3636">
        <w:rPr>
          <w:lang w:eastAsia="en-GB"/>
        </w:rPr>
        <w:t xml:space="preserve">Alternatives included combinations of general and spinal anaesthetics, and use of short acting anaesthetics, with </w:t>
      </w:r>
      <w:r w:rsidR="00E93BC1">
        <w:rPr>
          <w:lang w:eastAsia="en-GB"/>
        </w:rPr>
        <w:t>2</w:t>
      </w:r>
      <w:r w:rsidRPr="00BF3636">
        <w:rPr>
          <w:lang w:eastAsia="en-GB"/>
        </w:rPr>
        <w:t xml:space="preserve"> suggesting intravenous</w:t>
      </w:r>
      <w:r>
        <w:rPr>
          <w:lang w:eastAsia="en-GB"/>
        </w:rPr>
        <w:t xml:space="preserve"> </w:t>
      </w:r>
      <w:r w:rsidRPr="00BF3636">
        <w:rPr>
          <w:lang w:eastAsia="en-GB"/>
        </w:rPr>
        <w:t>propofol.</w:t>
      </w:r>
    </w:p>
    <w:p w14:paraId="04EF3D52" w14:textId="06E36A03" w:rsidR="00E93BC1" w:rsidRDefault="00E93BC1" w:rsidP="00090322">
      <w:pPr>
        <w:pStyle w:val="Bulletleft1"/>
        <w:numPr>
          <w:ilvl w:val="0"/>
          <w:numId w:val="0"/>
        </w:numPr>
        <w:spacing w:line="276" w:lineRule="auto"/>
        <w:ind w:left="284"/>
        <w:rPr>
          <w:lang w:eastAsia="en-GB"/>
        </w:rPr>
      </w:pPr>
    </w:p>
    <w:p w14:paraId="7479E7AC" w14:textId="59466789" w:rsidR="00E93BC1" w:rsidRPr="00BF3636" w:rsidRDefault="00E93BC1" w:rsidP="00090322">
      <w:pPr>
        <w:pStyle w:val="Bulletleft1"/>
        <w:numPr>
          <w:ilvl w:val="0"/>
          <w:numId w:val="0"/>
        </w:numPr>
        <w:spacing w:line="276" w:lineRule="auto"/>
        <w:rPr>
          <w:lang w:eastAsia="en-GB"/>
        </w:rPr>
      </w:pPr>
      <w:r>
        <w:rPr>
          <w:lang w:eastAsia="en-GB"/>
        </w:rPr>
        <w:lastRenderedPageBreak/>
        <w:t>Th</w:t>
      </w:r>
      <w:r w:rsidR="00976FFA">
        <w:rPr>
          <w:lang w:eastAsia="en-GB"/>
        </w:rPr>
        <w:t>is</w:t>
      </w:r>
      <w:r>
        <w:rPr>
          <w:lang w:eastAsia="en-GB"/>
        </w:rPr>
        <w:t xml:space="preserve"> </w:t>
      </w:r>
      <w:r w:rsidR="00976FFA">
        <w:rPr>
          <w:lang w:eastAsia="en-GB"/>
        </w:rPr>
        <w:t xml:space="preserve">audit also </w:t>
      </w:r>
      <w:r>
        <w:rPr>
          <w:lang w:eastAsia="en-GB"/>
        </w:rPr>
        <w:t>highlighted</w:t>
      </w:r>
      <w:r w:rsidR="00D82346">
        <w:rPr>
          <w:lang w:eastAsia="en-GB"/>
        </w:rPr>
        <w:t xml:space="preserve"> (but less detailed analysis is provided)</w:t>
      </w:r>
      <w:r>
        <w:rPr>
          <w:lang w:eastAsia="en-GB"/>
        </w:rPr>
        <w:t>, that</w:t>
      </w:r>
      <w:r w:rsidR="00B42D73">
        <w:rPr>
          <w:lang w:eastAsia="en-GB"/>
        </w:rPr>
        <w:t xml:space="preserve"> in terms of intraoperative analgesia</w:t>
      </w:r>
      <w:r w:rsidR="00E61E4A">
        <w:rPr>
          <w:lang w:eastAsia="en-GB"/>
        </w:rPr>
        <w:t>, l</w:t>
      </w:r>
      <w:r>
        <w:rPr>
          <w:lang w:eastAsia="en-GB"/>
        </w:rPr>
        <w:t>ocal anaesthetics were administered periarticularly during surgery. 10 centres recommended local anaesthetics</w:t>
      </w:r>
      <w:proofErr w:type="gramStart"/>
      <w:r>
        <w:rPr>
          <w:lang w:eastAsia="en-GB"/>
        </w:rPr>
        <w:t xml:space="preserve">.  </w:t>
      </w:r>
      <w:proofErr w:type="gramEnd"/>
    </w:p>
    <w:bookmarkEnd w:id="158"/>
    <w:p w14:paraId="5D4EE05B" w14:textId="4D694F0C" w:rsidR="00B570D9" w:rsidRDefault="00B570D9" w:rsidP="00B570D9">
      <w:pPr>
        <w:pStyle w:val="Heading3"/>
      </w:pPr>
      <w:r w:rsidRPr="00C544DB">
        <w:t>Tranexamic acid</w:t>
      </w:r>
    </w:p>
    <w:p w14:paraId="04108C5D" w14:textId="2E27997C" w:rsidR="00B570D9" w:rsidRPr="00B570D9" w:rsidRDefault="00B570D9" w:rsidP="005D07A0">
      <w:pPr>
        <w:pStyle w:val="NICEnormal"/>
        <w:spacing w:line="276" w:lineRule="auto"/>
      </w:pPr>
      <w:r>
        <w:t xml:space="preserve">Stakeholders suggested that adding topical tranexamic acid (TXA) to intravenous or oral TXA for hip and knee joint replacements </w:t>
      </w:r>
      <w:r w:rsidR="009D08E4">
        <w:t xml:space="preserve">is important, commending that it </w:t>
      </w:r>
      <w:r>
        <w:t>reduces blood loss and the need for blood transfusion after surgery. It was suggested</w:t>
      </w:r>
      <w:r w:rsidR="00D82346">
        <w:t xml:space="preserve"> however</w:t>
      </w:r>
      <w:r>
        <w:t xml:space="preserve"> that variation in practice may remain due to uncertainty as to the timing, method of delivery and dosing.</w:t>
      </w:r>
    </w:p>
    <w:p w14:paraId="09E580EA" w14:textId="77777777" w:rsidR="00B570D9" w:rsidRPr="00C544DB" w:rsidRDefault="00B570D9" w:rsidP="00B570D9">
      <w:pPr>
        <w:pStyle w:val="Heading4"/>
      </w:pPr>
      <w:r w:rsidRPr="00C544DB">
        <w:t>Selected recommendations</w:t>
      </w:r>
    </w:p>
    <w:p w14:paraId="448F3C2B" w14:textId="3EEECBF6" w:rsidR="00B570D9" w:rsidRPr="00C544DB" w:rsidRDefault="00751008" w:rsidP="00B570D9">
      <w:pPr>
        <w:spacing w:before="240" w:after="240" w:line="276" w:lineRule="auto"/>
        <w:rPr>
          <w:rFonts w:ascii="Arial" w:hAnsi="Arial"/>
        </w:rPr>
      </w:pPr>
      <w:hyperlink r:id="rId48" w:history="1">
        <w:r w:rsidR="00B570D9" w:rsidRPr="00C544DB">
          <w:rPr>
            <w:rStyle w:val="Hyperlink"/>
            <w:rFonts w:ascii="Arial" w:hAnsi="Arial"/>
          </w:rPr>
          <w:t>NICE’s guideline on joint replacement (primary) (NG157)</w:t>
        </w:r>
        <w:r w:rsidR="007C534D">
          <w:rPr>
            <w:rStyle w:val="Hyperlink"/>
            <w:rFonts w:ascii="Arial" w:hAnsi="Arial"/>
          </w:rPr>
          <w:t xml:space="preserve"> (excerpt)</w:t>
        </w:r>
        <w:r w:rsidR="00B570D9" w:rsidRPr="00C544DB">
          <w:rPr>
            <w:rStyle w:val="Hyperlink"/>
            <w:rFonts w:ascii="Arial" w:hAnsi="Arial"/>
          </w:rPr>
          <w:t>:</w:t>
        </w:r>
      </w:hyperlink>
    </w:p>
    <w:p w14:paraId="4BB1F8E2" w14:textId="5D7DE7B9" w:rsidR="00B570D9" w:rsidRPr="00B570D9" w:rsidRDefault="00B570D9" w:rsidP="00B570D9">
      <w:pPr>
        <w:spacing w:before="240" w:after="240" w:line="276" w:lineRule="auto"/>
        <w:rPr>
          <w:rFonts w:ascii="Arial" w:hAnsi="Arial"/>
        </w:rPr>
      </w:pPr>
      <w:r>
        <w:rPr>
          <w:rFonts w:ascii="Arial" w:hAnsi="Arial"/>
        </w:rPr>
        <w:t>1.4.1</w:t>
      </w:r>
      <w:r w:rsidR="007C534D">
        <w:rPr>
          <w:rFonts w:ascii="Arial" w:hAnsi="Arial"/>
        </w:rPr>
        <w:t xml:space="preserve"> </w:t>
      </w:r>
      <w:r w:rsidRPr="00B570D9">
        <w:rPr>
          <w:rFonts w:ascii="Arial" w:hAnsi="Arial"/>
        </w:rPr>
        <w:t>For primary elective hip or knee replacement:</w:t>
      </w:r>
    </w:p>
    <w:p w14:paraId="48128099" w14:textId="6A4B31A1" w:rsidR="00B570D9" w:rsidRPr="00B570D9" w:rsidRDefault="00B570D9" w:rsidP="00F63FDF">
      <w:pPr>
        <w:pStyle w:val="ListParagraph"/>
        <w:numPr>
          <w:ilvl w:val="0"/>
          <w:numId w:val="11"/>
        </w:numPr>
        <w:spacing w:before="240" w:after="240" w:line="276" w:lineRule="auto"/>
        <w:rPr>
          <w:rFonts w:ascii="Arial" w:hAnsi="Arial"/>
        </w:rPr>
      </w:pPr>
      <w:r w:rsidRPr="00B570D9">
        <w:rPr>
          <w:rFonts w:ascii="Arial" w:hAnsi="Arial"/>
        </w:rPr>
        <w:t>Give intravenous tranexamic acid.</w:t>
      </w:r>
    </w:p>
    <w:p w14:paraId="06030808" w14:textId="61BBEB37" w:rsidR="00B570D9" w:rsidRPr="00B570D9" w:rsidRDefault="00B570D9" w:rsidP="00F63FDF">
      <w:pPr>
        <w:pStyle w:val="ListParagraph"/>
        <w:numPr>
          <w:ilvl w:val="0"/>
          <w:numId w:val="11"/>
        </w:numPr>
        <w:spacing w:before="240" w:after="240" w:line="276" w:lineRule="auto"/>
        <w:rPr>
          <w:rFonts w:ascii="Arial" w:hAnsi="Arial"/>
        </w:rPr>
      </w:pPr>
      <w:r w:rsidRPr="00B570D9">
        <w:rPr>
          <w:rFonts w:ascii="Arial" w:hAnsi="Arial"/>
        </w:rPr>
        <w:t>If there is no renal impairment, also apply 1 g to 2 g of topical (intra-articular) tranexamic acid diluted in saline after the final wash-out and before wound closure. Ensure that the total combined dose of tranexamic acid does not exceed 3 g.</w:t>
      </w:r>
    </w:p>
    <w:p w14:paraId="6B3C66CA" w14:textId="013B953F" w:rsidR="00B570D9" w:rsidRPr="00B570D9" w:rsidRDefault="00B570D9" w:rsidP="00F63FDF">
      <w:pPr>
        <w:pStyle w:val="Bulletleft1last"/>
        <w:spacing w:line="276" w:lineRule="auto"/>
      </w:pPr>
      <w:r w:rsidRPr="00B570D9">
        <w:t>If there is renal impairment, give a reduced dose of intravenous tranexamic acid on its own.</w:t>
      </w:r>
    </w:p>
    <w:p w14:paraId="4B9BB9F9" w14:textId="6CE93B86" w:rsidR="00B570D9" w:rsidRDefault="00B570D9" w:rsidP="00B570D9">
      <w:pPr>
        <w:pStyle w:val="Heading4"/>
      </w:pPr>
      <w:r w:rsidRPr="00B570D9">
        <w:t>Current UK practice</w:t>
      </w:r>
    </w:p>
    <w:p w14:paraId="3E943ECC" w14:textId="79C4B0BD" w:rsidR="00942624" w:rsidRDefault="00942624" w:rsidP="00942624">
      <w:pPr>
        <w:pStyle w:val="NICEnormal"/>
        <w:spacing w:line="276" w:lineRule="auto"/>
        <w:rPr>
          <w:lang w:eastAsia="en-GB"/>
        </w:rPr>
      </w:pPr>
      <w:r>
        <w:rPr>
          <w:lang w:eastAsia="en-GB"/>
        </w:rPr>
        <w:t>As</w:t>
      </w:r>
      <w:r w:rsidRPr="00942624">
        <w:rPr>
          <w:lang w:eastAsia="en-GB"/>
        </w:rPr>
        <w:t xml:space="preserve"> reported by </w:t>
      </w:r>
      <w:hyperlink r:id="rId49" w:history="1">
        <w:r>
          <w:rPr>
            <w:rStyle w:val="Hyperlink"/>
            <w:lang w:eastAsia="en-GB"/>
          </w:rPr>
          <w:t>Nagra et al (2017):</w:t>
        </w:r>
      </w:hyperlink>
    </w:p>
    <w:p w14:paraId="63899BC6" w14:textId="69FD8996" w:rsidR="006D07EE" w:rsidRPr="000460F1" w:rsidRDefault="006D07EE" w:rsidP="000460F1">
      <w:pPr>
        <w:pStyle w:val="Bulletleft1"/>
        <w:spacing w:line="276" w:lineRule="auto"/>
      </w:pPr>
      <w:r w:rsidRPr="000460F1">
        <w:t xml:space="preserve">77% of centres </w:t>
      </w:r>
      <w:r w:rsidR="00D82346" w:rsidRPr="000460F1">
        <w:t>offering</w:t>
      </w:r>
      <w:r w:rsidRPr="000460F1">
        <w:t xml:space="preserve"> THR (82% adhered to the ERP where tranexamic acid was offered, at doses </w:t>
      </w:r>
      <w:r w:rsidR="00D82346" w:rsidRPr="000460F1">
        <w:t xml:space="preserve">varying </w:t>
      </w:r>
      <w:r w:rsidRPr="000460F1">
        <w:t>from 1g/kg to 2g/kg) in 17 centres.</w:t>
      </w:r>
    </w:p>
    <w:p w14:paraId="4A9D62B0" w14:textId="49F4504E" w:rsidR="00E44557" w:rsidRPr="000460F1" w:rsidRDefault="005B3E6F" w:rsidP="000460F1">
      <w:pPr>
        <w:pStyle w:val="Bulletleft1"/>
        <w:spacing w:line="276" w:lineRule="auto"/>
      </w:pPr>
      <w:r w:rsidRPr="000460F1">
        <w:t xml:space="preserve">67% of centres </w:t>
      </w:r>
      <w:r w:rsidR="00D82346" w:rsidRPr="000460F1">
        <w:t>offering</w:t>
      </w:r>
      <w:r w:rsidRPr="000460F1">
        <w:t xml:space="preserve"> TKR (73% adhered to the ERP where tranexamic acid was offered), at doses varying from 15mg/kg to 1g/kg for most of 13 centres</w:t>
      </w:r>
      <w:r w:rsidR="009075B6" w:rsidRPr="000460F1">
        <w:t>.</w:t>
      </w:r>
    </w:p>
    <w:p w14:paraId="6F473B3F" w14:textId="77777777" w:rsidR="00D44D03" w:rsidRPr="00D44D03" w:rsidRDefault="00D44D03" w:rsidP="00D44D03">
      <w:pPr>
        <w:pStyle w:val="Heading3"/>
      </w:pPr>
      <w:r w:rsidRPr="00D44D03">
        <w:t>VTE (DVT) prophylaxis</w:t>
      </w:r>
    </w:p>
    <w:p w14:paraId="1AB8DD9E" w14:textId="1B390F78" w:rsidR="00D44D03" w:rsidRPr="00E93013" w:rsidRDefault="00D44D03" w:rsidP="00D6110B">
      <w:pPr>
        <w:pStyle w:val="NICEnormal"/>
        <w:spacing w:line="276" w:lineRule="auto"/>
      </w:pPr>
      <w:r w:rsidRPr="00E93013">
        <w:t xml:space="preserve">Stakeholders suggested </w:t>
      </w:r>
      <w:r w:rsidR="00D82346">
        <w:t>using</w:t>
      </w:r>
      <w:r w:rsidRPr="00E93013">
        <w:t xml:space="preserve"> neuromuscular electrical simulation (NEMS) devices during and after surgery, suggesting that they are more effective than using either an intermittent compression device (ICD) alone, or an ICD with low molecular weight heparin (LMWH)</w:t>
      </w:r>
      <w:proofErr w:type="gramStart"/>
      <w:r w:rsidRPr="00E93013">
        <w:t xml:space="preserve">.  </w:t>
      </w:r>
      <w:proofErr w:type="gramEnd"/>
      <w:r w:rsidRPr="00E93013">
        <w:t>They also commented that using an ICD in combination with LMWH may increase the risk of bleeding.</w:t>
      </w:r>
      <w:r w:rsidR="0057439F">
        <w:t xml:space="preserve"> It was suggested that </w:t>
      </w:r>
      <w:r w:rsidRPr="00E93013">
        <w:t xml:space="preserve">NEMS </w:t>
      </w:r>
      <w:r w:rsidR="0057439F">
        <w:t xml:space="preserve">would also </w:t>
      </w:r>
      <w:r w:rsidRPr="00E93013">
        <w:t>stimulat</w:t>
      </w:r>
      <w:r w:rsidR="0057439F">
        <w:t>e</w:t>
      </w:r>
      <w:r w:rsidRPr="00E93013">
        <w:t xml:space="preserve"> muscle activity during treatment</w:t>
      </w:r>
      <w:r w:rsidR="0057439F">
        <w:t>, which provided a further benefit</w:t>
      </w:r>
      <w:proofErr w:type="gramStart"/>
      <w:r w:rsidR="0048319D">
        <w:t>.</w:t>
      </w:r>
      <w:r w:rsidRPr="00E93013">
        <w:t xml:space="preserve">  </w:t>
      </w:r>
      <w:proofErr w:type="gramEnd"/>
    </w:p>
    <w:p w14:paraId="411AC872" w14:textId="77777777" w:rsidR="00D44D03" w:rsidRPr="00E93013" w:rsidRDefault="00D44D03" w:rsidP="00E93013">
      <w:pPr>
        <w:pStyle w:val="Heading4"/>
      </w:pPr>
      <w:r w:rsidRPr="00E93013">
        <w:t xml:space="preserve">Selected recommendations </w:t>
      </w:r>
    </w:p>
    <w:p w14:paraId="3B889348" w14:textId="77777777" w:rsidR="00D44D03" w:rsidRDefault="00D44D03" w:rsidP="00E93013">
      <w:pPr>
        <w:pStyle w:val="NICEnormal"/>
      </w:pPr>
      <w:r>
        <w:t xml:space="preserve">No recommendations identified. </w:t>
      </w:r>
    </w:p>
    <w:p w14:paraId="01871125" w14:textId="77777777" w:rsidR="00D44D03" w:rsidRPr="00D44D03" w:rsidRDefault="00D44D03" w:rsidP="00D44D03">
      <w:pPr>
        <w:pStyle w:val="Heading4"/>
      </w:pPr>
      <w:r w:rsidRPr="00D44D03">
        <w:lastRenderedPageBreak/>
        <w:t>Current UK practice</w:t>
      </w:r>
    </w:p>
    <w:p w14:paraId="35A95FB4" w14:textId="058516E6" w:rsidR="00D44D03" w:rsidRDefault="00751008" w:rsidP="006D07EE">
      <w:pPr>
        <w:pStyle w:val="Bulletleft1"/>
        <w:numPr>
          <w:ilvl w:val="0"/>
          <w:numId w:val="0"/>
        </w:numPr>
        <w:spacing w:line="276" w:lineRule="auto"/>
      </w:pPr>
      <w:hyperlink r:id="rId50" w:history="1">
        <w:r w:rsidR="00D44D03" w:rsidRPr="00886A58">
          <w:rPr>
            <w:rStyle w:val="Hyperlink"/>
          </w:rPr>
          <w:t>NJR online reports</w:t>
        </w:r>
      </w:hyperlink>
      <w:r w:rsidR="00D44D03">
        <w:t xml:space="preserve"> provide annual data on thromboprophylaxis regimes prescribed at the time of the operation</w:t>
      </w:r>
      <w:proofErr w:type="gramStart"/>
      <w:r w:rsidR="00D44D03">
        <w:t xml:space="preserve">.  </w:t>
      </w:r>
      <w:proofErr w:type="gramEnd"/>
      <w:r w:rsidR="00D44D03">
        <w:t xml:space="preserve">Data for </w:t>
      </w:r>
      <w:r w:rsidR="008E1757">
        <w:t>2018 to 2020</w:t>
      </w:r>
      <w:r w:rsidR="00D44D03">
        <w:t xml:space="preserve"> does not mention NEMS devices</w:t>
      </w:r>
      <w:proofErr w:type="gramStart"/>
      <w:r w:rsidR="00D44D03">
        <w:t xml:space="preserve">.  </w:t>
      </w:r>
      <w:proofErr w:type="gramEnd"/>
      <w:r w:rsidR="00D44D03">
        <w:t xml:space="preserve"> ‘Other mechanical’ is specified for a small proportion of operations </w:t>
      </w:r>
      <w:r w:rsidR="00F51BB0">
        <w:t xml:space="preserve">performed </w:t>
      </w:r>
      <w:r w:rsidR="00112B2A">
        <w:t xml:space="preserve">in </w:t>
      </w:r>
      <w:r w:rsidR="00F51BB0">
        <w:t xml:space="preserve">2019 </w:t>
      </w:r>
      <w:r w:rsidR="00112B2A">
        <w:t>for</w:t>
      </w:r>
      <w:r w:rsidR="002B7FC7">
        <w:t xml:space="preserve"> primary</w:t>
      </w:r>
      <w:r w:rsidR="00112B2A">
        <w:t xml:space="preserve"> THR, TKR or shoulder replacements </w:t>
      </w:r>
      <w:r w:rsidR="006D07EE">
        <w:t>(7%</w:t>
      </w:r>
      <w:r w:rsidR="004834D7">
        <w:t xml:space="preserve">, </w:t>
      </w:r>
      <w:r w:rsidR="006D07EE">
        <w:t xml:space="preserve">5% </w:t>
      </w:r>
      <w:r w:rsidR="008E1757">
        <w:t xml:space="preserve">and </w:t>
      </w:r>
      <w:r w:rsidR="00972C81">
        <w:t>3</w:t>
      </w:r>
      <w:r w:rsidR="008E1757">
        <w:t xml:space="preserve">% </w:t>
      </w:r>
      <w:r w:rsidR="006D07EE">
        <w:t>respectively).</w:t>
      </w:r>
      <w:r w:rsidR="00D44D03">
        <w:t xml:space="preserve"> </w:t>
      </w:r>
      <w:r w:rsidR="002B7FC7" w:rsidRPr="002B7FC7">
        <w:t>I</w:t>
      </w:r>
      <w:r w:rsidR="002B7FC7">
        <w:t>n</w:t>
      </w:r>
      <w:r w:rsidR="002B7FC7" w:rsidRPr="002B7FC7">
        <w:t xml:space="preserve"> 2020, 1% of </w:t>
      </w:r>
      <w:r w:rsidR="002B7FC7">
        <w:t xml:space="preserve">operations </w:t>
      </w:r>
      <w:r w:rsidR="002B7FC7" w:rsidRPr="002B7FC7">
        <w:t>were recorded as using ‘other mechani</w:t>
      </w:r>
      <w:r w:rsidR="002B7FC7">
        <w:t>cal’ as a means of thromboprophylaxis</w:t>
      </w:r>
      <w:r w:rsidR="004834D7">
        <w:t xml:space="preserve"> for each joint</w:t>
      </w:r>
      <w:r w:rsidR="002B7FC7">
        <w:t xml:space="preserve">. </w:t>
      </w:r>
      <w:r w:rsidR="006D07EE">
        <w:t>A</w:t>
      </w:r>
      <w:r w:rsidR="00D44D03">
        <w:t xml:space="preserve"> form of thromboprophylaxis which is ‘neither mechanical nor chemical’ </w:t>
      </w:r>
      <w:r w:rsidR="006D07EE">
        <w:t xml:space="preserve">is reported for no more than 1% </w:t>
      </w:r>
      <w:r w:rsidR="00353C45">
        <w:t xml:space="preserve">of primary procedures </w:t>
      </w:r>
      <w:r w:rsidR="00D44D03">
        <w:t>201</w:t>
      </w:r>
      <w:r w:rsidR="008E1757">
        <w:t>8</w:t>
      </w:r>
      <w:r w:rsidR="00D44D03">
        <w:t xml:space="preserve"> to 20</w:t>
      </w:r>
      <w:r w:rsidR="008E1757">
        <w:t>20</w:t>
      </w:r>
      <w:r w:rsidR="00353C45">
        <w:t>, for any of these joints</w:t>
      </w:r>
      <w:r w:rsidR="00D44D03">
        <w:t>.</w:t>
      </w:r>
      <w:r w:rsidR="002B7FC7">
        <w:t xml:space="preserve"> </w:t>
      </w:r>
    </w:p>
    <w:p w14:paraId="1DDFA085" w14:textId="15899574" w:rsidR="00D158DA" w:rsidRDefault="00D158DA" w:rsidP="00585F03">
      <w:pPr>
        <w:pStyle w:val="Heading3"/>
      </w:pPr>
      <w:r w:rsidRPr="00976FFA">
        <w:t>Resource impact</w:t>
      </w:r>
    </w:p>
    <w:p w14:paraId="559CB819" w14:textId="77777777" w:rsidR="00976FFA" w:rsidRPr="00D158DA" w:rsidRDefault="00976FFA" w:rsidP="00976FFA">
      <w:pPr>
        <w:pStyle w:val="NICEnormal"/>
      </w:pPr>
      <w:r w:rsidRPr="0015610B">
        <w:t>We do not expect this quality statement to have a significant impact on resources.</w:t>
      </w:r>
    </w:p>
    <w:p w14:paraId="7368ADBA" w14:textId="271DDCFE" w:rsidR="00305039" w:rsidRDefault="00B93BFC" w:rsidP="00366B42">
      <w:pPr>
        <w:pStyle w:val="Heading3"/>
      </w:pPr>
      <w:r w:rsidRPr="0067426A">
        <w:t>Issues for consideration</w:t>
      </w:r>
    </w:p>
    <w:p w14:paraId="1BB566ED" w14:textId="77777777" w:rsidR="00B93BFC" w:rsidRPr="00B413F2" w:rsidRDefault="00B93BFC" w:rsidP="00B93BFC">
      <w:pPr>
        <w:pStyle w:val="Paragraph"/>
        <w:rPr>
          <w:b/>
          <w:bCs/>
        </w:rPr>
      </w:pPr>
      <w:r w:rsidRPr="00A6218A">
        <w:rPr>
          <w:b/>
          <w:bCs/>
        </w:rPr>
        <w:t>For discussion:</w:t>
      </w:r>
    </w:p>
    <w:p w14:paraId="16807E02" w14:textId="1DF4D381" w:rsidR="00B30C5D" w:rsidRPr="00B30C5D" w:rsidRDefault="008C3A6C" w:rsidP="00112B2A">
      <w:pPr>
        <w:pStyle w:val="Bulletleft1"/>
        <w:spacing w:line="276" w:lineRule="auto"/>
      </w:pPr>
      <w:r>
        <w:t>There are no recommendations for</w:t>
      </w:r>
      <w:r w:rsidR="00A225D2">
        <w:t xml:space="preserve"> using NEMS for</w:t>
      </w:r>
      <w:r>
        <w:t xml:space="preserve"> VTE prophylaxis.</w:t>
      </w:r>
    </w:p>
    <w:p w14:paraId="7D5F7C63" w14:textId="463A53C9" w:rsidR="0048319D" w:rsidRDefault="008C3A6C" w:rsidP="008B2EA7">
      <w:pPr>
        <w:pStyle w:val="Bulletleft1"/>
        <w:spacing w:line="276" w:lineRule="auto"/>
      </w:pPr>
      <w:r>
        <w:t>Suggestions supported by recommendations are only relevant to hip and knee replacements.</w:t>
      </w:r>
    </w:p>
    <w:p w14:paraId="0816089D" w14:textId="618E0B25" w:rsidR="0043539A" w:rsidRPr="0043539A" w:rsidRDefault="0048319D" w:rsidP="008B2EA7">
      <w:pPr>
        <w:pStyle w:val="Bulletleft1"/>
        <w:spacing w:line="276" w:lineRule="auto"/>
      </w:pPr>
      <w:r>
        <w:t xml:space="preserve">What </w:t>
      </w:r>
      <w:r w:rsidR="0043539A" w:rsidRPr="0043539A">
        <w:t>is the key action that will lead to improvement?</w:t>
      </w:r>
    </w:p>
    <w:p w14:paraId="3F53F2C1" w14:textId="6B45D765" w:rsidR="00585F03" w:rsidRDefault="00B93BFC" w:rsidP="00112B2A">
      <w:pPr>
        <w:pStyle w:val="Bulletleft1"/>
        <w:spacing w:line="276" w:lineRule="auto"/>
      </w:pPr>
      <w:r w:rsidRPr="00D6110B">
        <w:t>Can we develop a specific, measurable statement?</w:t>
      </w:r>
    </w:p>
    <w:p w14:paraId="134EBB9F" w14:textId="77777777" w:rsidR="00B93BFC" w:rsidRPr="00A6218A" w:rsidRDefault="00B93BFC" w:rsidP="00B93BFC">
      <w:pPr>
        <w:pStyle w:val="Paragraph"/>
        <w:rPr>
          <w:b/>
          <w:bCs/>
        </w:rPr>
      </w:pPr>
      <w:r w:rsidRPr="00A6218A">
        <w:rPr>
          <w:b/>
          <w:bCs/>
        </w:rPr>
        <w:t>For decision:</w:t>
      </w:r>
    </w:p>
    <w:p w14:paraId="4E808D04" w14:textId="75335943" w:rsidR="00942624" w:rsidRDefault="00B93BFC" w:rsidP="00B93BFC">
      <w:pPr>
        <w:pStyle w:val="Bulletleft1"/>
      </w:pPr>
      <w:r w:rsidRPr="00624810">
        <w:t>Should this area be prioritised for inclusion in the quality standard?</w:t>
      </w:r>
    </w:p>
    <w:p w14:paraId="55A9FBF2" w14:textId="33B4613A" w:rsidR="00B93BFC" w:rsidRPr="00942624" w:rsidRDefault="00942624" w:rsidP="00942624">
      <w:pPr>
        <w:rPr>
          <w:rFonts w:ascii="Arial" w:hAnsi="Arial"/>
        </w:rPr>
      </w:pPr>
      <w:r>
        <w:br w:type="page"/>
      </w:r>
    </w:p>
    <w:p w14:paraId="562F7469" w14:textId="77777777" w:rsidR="00253C8D" w:rsidRDefault="00FB14B6" w:rsidP="00480217">
      <w:pPr>
        <w:pStyle w:val="Numberedheading2"/>
      </w:pPr>
      <w:bookmarkStart w:id="159" w:name="_Toc87374578"/>
      <w:r>
        <w:lastRenderedPageBreak/>
        <w:t>Surgery</w:t>
      </w:r>
      <w:bookmarkEnd w:id="159"/>
    </w:p>
    <w:p w14:paraId="1B614F20" w14:textId="6B33195C" w:rsidR="00FB14B6" w:rsidRPr="00FB14B6" w:rsidRDefault="00AB4225" w:rsidP="00253C8D">
      <w:pPr>
        <w:pStyle w:val="Heading3"/>
      </w:pPr>
      <w:r>
        <w:t>I</w:t>
      </w:r>
      <w:r w:rsidR="00BD6A77">
        <w:t>mplant (prosthesis) errors</w:t>
      </w:r>
    </w:p>
    <w:p w14:paraId="0FFDF4FD" w14:textId="4F7E1DDD" w:rsidR="00BD6A77" w:rsidRPr="00FB14B6" w:rsidRDefault="00FB14B6" w:rsidP="00F51BB0">
      <w:pPr>
        <w:pStyle w:val="NICEnormal"/>
        <w:spacing w:line="276" w:lineRule="auto"/>
      </w:pPr>
      <w:r w:rsidRPr="00FB14B6">
        <w:rPr>
          <w:lang w:eastAsia="en-GB"/>
        </w:rPr>
        <w:t>Stakeholders</w:t>
      </w:r>
      <w:r>
        <w:rPr>
          <w:lang w:eastAsia="en-GB"/>
        </w:rPr>
        <w:t xml:space="preserve"> </w:t>
      </w:r>
      <w:r w:rsidR="00BD6A77">
        <w:rPr>
          <w:lang w:eastAsia="en-GB"/>
        </w:rPr>
        <w:t>suggested that</w:t>
      </w:r>
      <w:r>
        <w:rPr>
          <w:lang w:eastAsia="en-GB"/>
        </w:rPr>
        <w:t xml:space="preserve"> preventing the wrong implant (prosthesis) being inserted</w:t>
      </w:r>
      <w:r w:rsidR="00BD6A77">
        <w:rPr>
          <w:lang w:eastAsia="en-GB"/>
        </w:rPr>
        <w:t xml:space="preserve"> during surgery </w:t>
      </w:r>
      <w:r w:rsidR="00FD150F">
        <w:rPr>
          <w:lang w:eastAsia="en-GB"/>
        </w:rPr>
        <w:t>is</w:t>
      </w:r>
      <w:r w:rsidR="00BD6A77">
        <w:rPr>
          <w:lang w:eastAsia="en-GB"/>
        </w:rPr>
        <w:t xml:space="preserve"> a quality improvement area</w:t>
      </w:r>
      <w:r>
        <w:rPr>
          <w:lang w:eastAsia="en-GB"/>
        </w:rPr>
        <w:t xml:space="preserve">. </w:t>
      </w:r>
      <w:r w:rsidR="00BB1226">
        <w:t>They</w:t>
      </w:r>
      <w:r w:rsidR="00186CA8" w:rsidRPr="00D3721B">
        <w:t xml:space="preserve"> highlighted that </w:t>
      </w:r>
      <w:r w:rsidR="00186CA8">
        <w:t>2 pause moments</w:t>
      </w:r>
      <w:r w:rsidR="00186CA8" w:rsidRPr="00D3721B">
        <w:t xml:space="preserve"> should be used</w:t>
      </w:r>
      <w:r w:rsidR="00F51BB0">
        <w:t xml:space="preserve"> to prevent this</w:t>
      </w:r>
      <w:proofErr w:type="gramStart"/>
      <w:r w:rsidR="00BD6A77">
        <w:t xml:space="preserve">.  </w:t>
      </w:r>
      <w:proofErr w:type="gramEnd"/>
      <w:r w:rsidR="00BD6A77">
        <w:t xml:space="preserve">They highlighted that inserting </w:t>
      </w:r>
      <w:r w:rsidR="00186CA8" w:rsidRPr="00D3721B">
        <w:t xml:space="preserve">incorrect implants </w:t>
      </w:r>
      <w:r w:rsidR="00FD150F">
        <w:t>is</w:t>
      </w:r>
      <w:r w:rsidR="00186CA8" w:rsidRPr="00D3721B">
        <w:t xml:space="preserve"> a ‘</w:t>
      </w:r>
      <w:r w:rsidR="00530651">
        <w:t>N</w:t>
      </w:r>
      <w:r w:rsidR="00186CA8" w:rsidRPr="00D3721B">
        <w:t xml:space="preserve">ever </w:t>
      </w:r>
      <w:r w:rsidR="00530651">
        <w:t>E</w:t>
      </w:r>
      <w:r w:rsidR="00186CA8" w:rsidRPr="00D3721B">
        <w:t>vent’.</w:t>
      </w:r>
      <w:r w:rsidR="00186CA8">
        <w:t xml:space="preserve"> </w:t>
      </w:r>
    </w:p>
    <w:p w14:paraId="520E14F6" w14:textId="77777777" w:rsidR="00FB14B6" w:rsidRPr="00FB14B6" w:rsidRDefault="00FB14B6" w:rsidP="005E507A">
      <w:pPr>
        <w:pStyle w:val="Heading4"/>
      </w:pPr>
      <w:bookmarkStart w:id="160" w:name="_Hlk81487765"/>
      <w:r w:rsidRPr="00FB14B6">
        <w:t xml:space="preserve">Selected recommendations </w:t>
      </w:r>
    </w:p>
    <w:bookmarkEnd w:id="160"/>
    <w:p w14:paraId="1A7EF92C" w14:textId="7CE28C82" w:rsidR="00FB14B6" w:rsidRPr="00FB14B6" w:rsidRDefault="00EA46E2" w:rsidP="00070FFC">
      <w:pPr>
        <w:spacing w:line="276" w:lineRule="auto"/>
        <w:rPr>
          <w:rFonts w:ascii="Arial" w:hAnsi="Arial"/>
        </w:rPr>
      </w:pPr>
      <w:r>
        <w:fldChar w:fldCharType="begin"/>
      </w:r>
      <w:r>
        <w:instrText xml:space="preserve"> HYPERLINK "https://www.nice.org.uk/guidance/ng157/" </w:instrText>
      </w:r>
      <w:r>
        <w:fldChar w:fldCharType="separate"/>
      </w:r>
      <w:r w:rsidR="00FB14B6" w:rsidRPr="00FB14B6">
        <w:rPr>
          <w:rStyle w:val="Hyperlink"/>
          <w:rFonts w:ascii="Arial" w:hAnsi="Arial"/>
        </w:rPr>
        <w:t xml:space="preserve">NICE’s guideline on </w:t>
      </w:r>
      <w:r w:rsidR="00DE16BB" w:rsidRPr="00DE16BB">
        <w:rPr>
          <w:rStyle w:val="Hyperlink"/>
          <w:rFonts w:ascii="Arial" w:hAnsi="Arial"/>
        </w:rPr>
        <w:t>joint replacement</w:t>
      </w:r>
      <w:r w:rsidR="00FB14B6" w:rsidRPr="00FB14B6">
        <w:rPr>
          <w:rStyle w:val="Hyperlink"/>
          <w:rFonts w:ascii="Arial" w:hAnsi="Arial"/>
        </w:rPr>
        <w:t xml:space="preserve"> </w:t>
      </w:r>
      <w:r w:rsidR="00DE16BB" w:rsidRPr="00DE16BB">
        <w:rPr>
          <w:rStyle w:val="Hyperlink"/>
          <w:rFonts w:ascii="Arial" w:hAnsi="Arial"/>
        </w:rPr>
        <w:t xml:space="preserve">(primary) </w:t>
      </w:r>
      <w:r w:rsidR="00FB14B6" w:rsidRPr="00FB14B6">
        <w:rPr>
          <w:rStyle w:val="Hyperlink"/>
          <w:rFonts w:ascii="Arial" w:hAnsi="Arial"/>
        </w:rPr>
        <w:t>(NG</w:t>
      </w:r>
      <w:r w:rsidR="00DE16BB" w:rsidRPr="00DE16BB">
        <w:rPr>
          <w:rStyle w:val="Hyperlink"/>
          <w:rFonts w:ascii="Arial" w:hAnsi="Arial"/>
        </w:rPr>
        <w:t>157</w:t>
      </w:r>
      <w:r w:rsidR="00FB14B6" w:rsidRPr="00FB14B6">
        <w:rPr>
          <w:rStyle w:val="Hyperlink"/>
          <w:rFonts w:ascii="Arial" w:hAnsi="Arial"/>
        </w:rPr>
        <w:t>):</w:t>
      </w:r>
      <w:r>
        <w:rPr>
          <w:rStyle w:val="Hyperlink"/>
          <w:rFonts w:ascii="Arial" w:hAnsi="Arial"/>
        </w:rPr>
        <w:fldChar w:fldCharType="end"/>
      </w:r>
    </w:p>
    <w:p w14:paraId="1429C09D" w14:textId="2F673213" w:rsidR="00FB14B6" w:rsidRDefault="00DE16BB" w:rsidP="00FB14B6">
      <w:pPr>
        <w:spacing w:before="240" w:after="240" w:line="276" w:lineRule="auto"/>
        <w:rPr>
          <w:rFonts w:ascii="Arial" w:hAnsi="Arial"/>
        </w:rPr>
      </w:pPr>
      <w:r w:rsidRPr="00DE16BB">
        <w:rPr>
          <w:rFonts w:ascii="Arial" w:hAnsi="Arial"/>
        </w:rPr>
        <w:t>1.6.1 Use 2 intraoperative 'stop moments', 1 before implantation and 1 before wound closure, to check all implant details and ensure compatibility of each component.</w:t>
      </w:r>
    </w:p>
    <w:p w14:paraId="051828CC" w14:textId="77777777" w:rsidR="00BD6A77" w:rsidRDefault="00BD6A77" w:rsidP="005E507A">
      <w:pPr>
        <w:pStyle w:val="Heading4"/>
      </w:pPr>
      <w:r w:rsidRPr="00FB14B6">
        <w:t>Current UK practice</w:t>
      </w:r>
    </w:p>
    <w:p w14:paraId="31767295" w14:textId="4D4B8F64" w:rsidR="00D43438" w:rsidRDefault="00751008" w:rsidP="001B7CB4">
      <w:pPr>
        <w:pStyle w:val="NICEnormal"/>
        <w:spacing w:line="276" w:lineRule="auto"/>
        <w:rPr>
          <w:lang w:eastAsia="en-GB"/>
        </w:rPr>
      </w:pPr>
      <w:hyperlink r:id="rId51" w:history="1">
        <w:r w:rsidR="00D43438" w:rsidRPr="00D43438">
          <w:rPr>
            <w:rStyle w:val="Hyperlink"/>
            <w:lang w:eastAsia="en-GB"/>
          </w:rPr>
          <w:t>Between 1 April 2019 and 31 March 2020</w:t>
        </w:r>
      </w:hyperlink>
      <w:r w:rsidR="00D43438">
        <w:rPr>
          <w:lang w:eastAsia="en-GB"/>
        </w:rPr>
        <w:t xml:space="preserve"> </w:t>
      </w:r>
      <w:r w:rsidR="00D43438" w:rsidRPr="00D43438">
        <w:rPr>
          <w:lang w:eastAsia="en-GB"/>
        </w:rPr>
        <w:t>there were 4</w:t>
      </w:r>
      <w:r w:rsidR="00D43438">
        <w:rPr>
          <w:lang w:eastAsia="en-GB"/>
        </w:rPr>
        <w:t>72</w:t>
      </w:r>
      <w:r w:rsidR="00D43438" w:rsidRPr="00D43438">
        <w:rPr>
          <w:lang w:eastAsia="en-GB"/>
        </w:rPr>
        <w:t xml:space="preserve"> Never Events</w:t>
      </w:r>
      <w:r w:rsidR="00976FFA">
        <w:rPr>
          <w:lang w:eastAsia="en-GB"/>
        </w:rPr>
        <w:t>. Of the Never Events recorded overall, 10 related to hip surgery, 13 to knee surgery and 1 to shoulder surgery.</w:t>
      </w:r>
    </w:p>
    <w:p w14:paraId="15DF6E01" w14:textId="0C949493" w:rsidR="00AD2DCA" w:rsidRDefault="00751008" w:rsidP="001B7CB4">
      <w:pPr>
        <w:pStyle w:val="NICEnormal"/>
        <w:spacing w:line="276" w:lineRule="auto"/>
        <w:rPr>
          <w:lang w:eastAsia="en-GB"/>
        </w:rPr>
      </w:pPr>
      <w:hyperlink r:id="rId52" w:history="1">
        <w:r w:rsidR="00BB1226">
          <w:rPr>
            <w:rStyle w:val="Hyperlink"/>
            <w:color w:val="auto"/>
            <w:u w:val="none"/>
            <w:lang w:eastAsia="en-GB"/>
          </w:rPr>
          <w:t>A</w:t>
        </w:r>
        <w:r w:rsidR="00636141" w:rsidRPr="00AD2DCA">
          <w:rPr>
            <w:rStyle w:val="Hyperlink"/>
            <w:color w:val="auto"/>
            <w:u w:val="none"/>
            <w:lang w:eastAsia="en-GB"/>
          </w:rPr>
          <w:t xml:space="preserve">n </w:t>
        </w:r>
        <w:r w:rsidR="00636141" w:rsidRPr="00063E76">
          <w:rPr>
            <w:rStyle w:val="Hyperlink"/>
          </w:rPr>
          <w:t>independent report by the Healthcare Safety Investigation Branch published in 2018</w:t>
        </w:r>
      </w:hyperlink>
      <w:r w:rsidR="00AD2DCA">
        <w:rPr>
          <w:lang w:eastAsia="en-GB"/>
        </w:rPr>
        <w:t xml:space="preserve"> </w:t>
      </w:r>
      <w:r w:rsidR="00636141" w:rsidRPr="00AD2DCA">
        <w:rPr>
          <w:lang w:eastAsia="en-GB"/>
        </w:rPr>
        <w:t xml:space="preserve">carried out a national investigation into </w:t>
      </w:r>
      <w:r w:rsidR="008D3995" w:rsidRPr="00AD2DCA">
        <w:rPr>
          <w:lang w:eastAsia="en-GB"/>
        </w:rPr>
        <w:t>prosthesis errors in hip surgery</w:t>
      </w:r>
      <w:proofErr w:type="gramStart"/>
      <w:r w:rsidR="00BB1226">
        <w:rPr>
          <w:lang w:eastAsia="en-GB"/>
        </w:rPr>
        <w:t xml:space="preserve">.  </w:t>
      </w:r>
      <w:proofErr w:type="gramEnd"/>
      <w:r w:rsidR="00BB1226">
        <w:rPr>
          <w:lang w:eastAsia="en-GB"/>
        </w:rPr>
        <w:t>The report</w:t>
      </w:r>
      <w:r w:rsidR="00F51BB0">
        <w:rPr>
          <w:lang w:eastAsia="en-GB"/>
        </w:rPr>
        <w:t xml:space="preserve"> also</w:t>
      </w:r>
      <w:r w:rsidR="00BB1226">
        <w:rPr>
          <w:lang w:eastAsia="en-GB"/>
        </w:rPr>
        <w:t xml:space="preserve"> highlighted that:</w:t>
      </w:r>
    </w:p>
    <w:p w14:paraId="29F9F3A7" w14:textId="5523FBF4" w:rsidR="002703B8" w:rsidRDefault="00AD2DCA" w:rsidP="001B7CB4">
      <w:pPr>
        <w:pStyle w:val="Bulletleft1"/>
        <w:spacing w:line="276" w:lineRule="auto"/>
        <w:rPr>
          <w:lang w:eastAsia="en-GB"/>
        </w:rPr>
      </w:pPr>
      <w:r w:rsidRPr="00AD2DCA">
        <w:rPr>
          <w:lang w:eastAsia="en-GB"/>
        </w:rPr>
        <w:t>the number of Never Events involving hip and knee prostheses averaged 21 per year between 1 April 2012 and 31 March 2017</w:t>
      </w:r>
      <w:proofErr w:type="gramStart"/>
      <w:r w:rsidR="000D23C9">
        <w:rPr>
          <w:lang w:eastAsia="en-GB"/>
        </w:rPr>
        <w:t xml:space="preserve">.  </w:t>
      </w:r>
      <w:proofErr w:type="gramEnd"/>
      <w:r w:rsidR="002703B8">
        <w:rPr>
          <w:lang w:eastAsia="en-GB"/>
        </w:rPr>
        <w:br/>
      </w:r>
    </w:p>
    <w:p w14:paraId="0B0FED01" w14:textId="2E9BCC50" w:rsidR="00AD2DCA" w:rsidRDefault="00AD2DCA" w:rsidP="001B7CB4">
      <w:pPr>
        <w:pStyle w:val="NICEnormal"/>
        <w:spacing w:line="276" w:lineRule="auto"/>
        <w:rPr>
          <w:lang w:eastAsia="en-GB"/>
        </w:rPr>
      </w:pPr>
      <w:r w:rsidRPr="00AD2DCA">
        <w:rPr>
          <w:lang w:eastAsia="en-GB"/>
        </w:rPr>
        <w:t xml:space="preserve">NJR data </w:t>
      </w:r>
      <w:r w:rsidR="00BC74D6">
        <w:rPr>
          <w:lang w:eastAsia="en-GB"/>
        </w:rPr>
        <w:t xml:space="preserve">(records) </w:t>
      </w:r>
      <w:r w:rsidRPr="00AD2DCA">
        <w:rPr>
          <w:lang w:eastAsia="en-GB"/>
        </w:rPr>
        <w:t xml:space="preserve">from 2003 to 2017 </w:t>
      </w:r>
      <w:r w:rsidR="00001AD6">
        <w:rPr>
          <w:lang w:eastAsia="en-GB"/>
        </w:rPr>
        <w:t>was reviewed</w:t>
      </w:r>
      <w:proofErr w:type="gramStart"/>
      <w:r w:rsidR="00001AD6">
        <w:rPr>
          <w:lang w:eastAsia="en-GB"/>
        </w:rPr>
        <w:t xml:space="preserve">.  </w:t>
      </w:r>
      <w:proofErr w:type="gramEnd"/>
      <w:r w:rsidR="00001AD6">
        <w:rPr>
          <w:lang w:eastAsia="en-GB"/>
        </w:rPr>
        <w:t xml:space="preserve">The review identified that </w:t>
      </w:r>
      <w:r w:rsidRPr="00AD2DCA">
        <w:rPr>
          <w:lang w:eastAsia="en-GB"/>
        </w:rPr>
        <w:t xml:space="preserve">prosthesis errors occurred in 3.5 per 10,000 cases </w:t>
      </w:r>
      <w:r w:rsidR="007E678D" w:rsidRPr="007E678D">
        <w:rPr>
          <w:lang w:eastAsia="en-GB"/>
        </w:rPr>
        <w:t xml:space="preserve">(0.035%) </w:t>
      </w:r>
      <w:r w:rsidRPr="00AD2DCA">
        <w:rPr>
          <w:lang w:eastAsia="en-GB"/>
        </w:rPr>
        <w:t xml:space="preserve">of hip replacements and 3.8 per 10,000 </w:t>
      </w:r>
      <w:r w:rsidR="007E678D">
        <w:rPr>
          <w:lang w:eastAsia="en-GB"/>
        </w:rPr>
        <w:t xml:space="preserve">cases </w:t>
      </w:r>
      <w:r w:rsidR="007E678D" w:rsidRPr="007E678D">
        <w:rPr>
          <w:lang w:eastAsia="en-GB"/>
        </w:rPr>
        <w:t xml:space="preserve">(0.038%) </w:t>
      </w:r>
      <w:r w:rsidRPr="00AD2DCA">
        <w:rPr>
          <w:lang w:eastAsia="en-GB"/>
        </w:rPr>
        <w:t>of knee replacements</w:t>
      </w:r>
      <w:proofErr w:type="gramStart"/>
      <w:r w:rsidRPr="00AD2DCA">
        <w:rPr>
          <w:lang w:eastAsia="en-GB"/>
        </w:rPr>
        <w:t xml:space="preserve">.  </w:t>
      </w:r>
      <w:proofErr w:type="gramEnd"/>
      <w:r w:rsidRPr="00AD2DCA">
        <w:rPr>
          <w:lang w:eastAsia="en-GB"/>
        </w:rPr>
        <w:t xml:space="preserve"> </w:t>
      </w:r>
    </w:p>
    <w:p w14:paraId="77ABB4C8" w14:textId="704BB6E6" w:rsidR="00BD6A77" w:rsidRDefault="007C0877" w:rsidP="005E507A">
      <w:pPr>
        <w:pStyle w:val="Heading3"/>
      </w:pPr>
      <w:r>
        <w:t>B</w:t>
      </w:r>
      <w:r w:rsidR="00BD6A77">
        <w:t xml:space="preserve">one </w:t>
      </w:r>
      <w:r w:rsidR="002943DE">
        <w:t>C</w:t>
      </w:r>
      <w:r w:rsidR="00BD6A77">
        <w:t xml:space="preserve">ement </w:t>
      </w:r>
      <w:r w:rsidR="002943DE">
        <w:t>I</w:t>
      </w:r>
      <w:r w:rsidR="00BD6A77">
        <w:t xml:space="preserve">mplantation </w:t>
      </w:r>
      <w:r w:rsidR="002943DE">
        <w:t>S</w:t>
      </w:r>
      <w:r w:rsidR="00BD6A77">
        <w:t>yndrome</w:t>
      </w:r>
    </w:p>
    <w:p w14:paraId="1DDC73EF" w14:textId="1720522D" w:rsidR="00907F21" w:rsidRDefault="00976FFA" w:rsidP="009D7A48">
      <w:pPr>
        <w:pStyle w:val="NICEnormal"/>
        <w:spacing w:line="276" w:lineRule="auto"/>
      </w:pPr>
      <w:r>
        <w:t>Stakeholders</w:t>
      </w:r>
      <w:r w:rsidR="002703B8">
        <w:t xml:space="preserve"> </w:t>
      </w:r>
      <w:r w:rsidR="00BD6A77">
        <w:t xml:space="preserve">suggested </w:t>
      </w:r>
      <w:r w:rsidR="00001AD6">
        <w:t xml:space="preserve">that </w:t>
      </w:r>
      <w:r w:rsidR="00BD6A77" w:rsidRPr="00BD6A77">
        <w:t>prevent</w:t>
      </w:r>
      <w:r w:rsidR="00492034">
        <w:t>ing</w:t>
      </w:r>
      <w:r w:rsidR="00BD6A77" w:rsidRPr="00BD6A77">
        <w:t xml:space="preserve"> </w:t>
      </w:r>
      <w:r w:rsidR="00001AD6">
        <w:t>B</w:t>
      </w:r>
      <w:r w:rsidR="00BD6A77" w:rsidRPr="00BD6A77">
        <w:t xml:space="preserve">one </w:t>
      </w:r>
      <w:r w:rsidR="00001AD6">
        <w:t>C</w:t>
      </w:r>
      <w:r w:rsidR="00BD6A77" w:rsidRPr="00BD6A77">
        <w:t xml:space="preserve">ement </w:t>
      </w:r>
      <w:r w:rsidR="00001AD6">
        <w:t>I</w:t>
      </w:r>
      <w:r w:rsidR="00BD6A77" w:rsidRPr="00BD6A77">
        <w:t xml:space="preserve">mplant </w:t>
      </w:r>
      <w:r w:rsidR="00001AD6">
        <w:t>S</w:t>
      </w:r>
      <w:r w:rsidR="00BD6A77" w:rsidRPr="00BD6A77">
        <w:t>yndrome (BCIS)</w:t>
      </w:r>
      <w:r w:rsidR="000507C5">
        <w:t>, a condition causing death or serious harm during</w:t>
      </w:r>
      <w:r w:rsidR="00E81B38">
        <w:t xml:space="preserve"> joint </w:t>
      </w:r>
      <w:r w:rsidR="000507C5">
        <w:t>replacement,</w:t>
      </w:r>
      <w:r w:rsidR="00492034">
        <w:t xml:space="preserve"> is an important area</w:t>
      </w:r>
      <w:proofErr w:type="gramStart"/>
      <w:r w:rsidR="00BD6A77" w:rsidRPr="00BD6A77">
        <w:t xml:space="preserve">.  </w:t>
      </w:r>
      <w:proofErr w:type="gramEnd"/>
      <w:r w:rsidR="00001AD6">
        <w:t xml:space="preserve">It was suggested that </w:t>
      </w:r>
      <w:r w:rsidR="00E46C12">
        <w:t>the risk should be discussed when obtaining patient consent for surgery and anaesthesia</w:t>
      </w:r>
      <w:proofErr w:type="gramStart"/>
      <w:r w:rsidR="00E46C12">
        <w:t xml:space="preserve">.  </w:t>
      </w:r>
      <w:proofErr w:type="gramEnd"/>
      <w:r w:rsidR="00E46C12">
        <w:t xml:space="preserve">They also suggested </w:t>
      </w:r>
      <w:r w:rsidR="00001AD6">
        <w:t xml:space="preserve">implementing the ‘Coventry Curfew’ </w:t>
      </w:r>
      <w:r w:rsidR="000507C5">
        <w:t>can help prevent and, should it occur, manage this medical emergency</w:t>
      </w:r>
      <w:proofErr w:type="gramStart"/>
      <w:r w:rsidR="000507C5">
        <w:t xml:space="preserve">.  </w:t>
      </w:r>
      <w:proofErr w:type="gramEnd"/>
      <w:r w:rsidR="000507C5">
        <w:t xml:space="preserve">The following summary is derived from </w:t>
      </w:r>
      <w:hyperlink r:id="rId53" w:history="1">
        <w:r w:rsidR="000507C5" w:rsidRPr="00C42CCB">
          <w:rPr>
            <w:rStyle w:val="Hyperlink"/>
          </w:rPr>
          <w:t>Anaesthesia News October 2014</w:t>
        </w:r>
      </w:hyperlink>
      <w:r w:rsidR="000507C5">
        <w:t>):</w:t>
      </w:r>
    </w:p>
    <w:p w14:paraId="1195BAA4" w14:textId="6F2B26DB" w:rsidR="00907F21" w:rsidRPr="00907F21" w:rsidRDefault="00907F21" w:rsidP="000507C5">
      <w:pPr>
        <w:pStyle w:val="Bulletleft1"/>
        <w:spacing w:line="276" w:lineRule="auto"/>
        <w:rPr>
          <w:b/>
          <w:bCs/>
        </w:rPr>
      </w:pPr>
      <w:r>
        <w:t xml:space="preserve">Identifying </w:t>
      </w:r>
      <w:r w:rsidR="000507C5">
        <w:t>patients</w:t>
      </w:r>
      <w:r>
        <w:t xml:space="preserve"> needing increased monitoring at the Team Brief.</w:t>
      </w:r>
    </w:p>
    <w:p w14:paraId="65AF8FE3" w14:textId="665D6DC4" w:rsidR="00907F21" w:rsidRPr="00C42CCB" w:rsidRDefault="00907F21" w:rsidP="000507C5">
      <w:pPr>
        <w:pStyle w:val="Bulletleft1"/>
        <w:spacing w:line="276" w:lineRule="auto"/>
        <w:rPr>
          <w:b/>
          <w:bCs/>
        </w:rPr>
      </w:pPr>
      <w:r>
        <w:t>Assign</w:t>
      </w:r>
      <w:r w:rsidR="000507C5">
        <w:t>ing</w:t>
      </w:r>
      <w:r>
        <w:t xml:space="preserve"> roles to theatre team members</w:t>
      </w:r>
      <w:r w:rsidR="000507C5">
        <w:t xml:space="preserve"> </w:t>
      </w:r>
      <w:r w:rsidR="000507C5" w:rsidRPr="000507C5">
        <w:t xml:space="preserve">at the end of </w:t>
      </w:r>
      <w:r w:rsidR="000507C5">
        <w:t>‘</w:t>
      </w:r>
      <w:r w:rsidR="000507C5" w:rsidRPr="000507C5">
        <w:t>time out</w:t>
      </w:r>
      <w:r w:rsidR="000507C5">
        <w:t>’</w:t>
      </w:r>
      <w:r>
        <w:t>.</w:t>
      </w:r>
    </w:p>
    <w:p w14:paraId="2B112A5E" w14:textId="175D4357" w:rsidR="00C42CCB" w:rsidRPr="00907F21" w:rsidRDefault="00C42CCB" w:rsidP="000507C5">
      <w:pPr>
        <w:pStyle w:val="Bulletleft1"/>
        <w:spacing w:line="276" w:lineRule="auto"/>
        <w:rPr>
          <w:b/>
          <w:bCs/>
        </w:rPr>
      </w:pPr>
      <w:r>
        <w:t>‘Cement Curfew’:</w:t>
      </w:r>
    </w:p>
    <w:p w14:paraId="05FDD0D6" w14:textId="56473B80" w:rsidR="00BD6A77" w:rsidRPr="000507C5" w:rsidRDefault="00C42CCB" w:rsidP="000507C5">
      <w:pPr>
        <w:pStyle w:val="Bulletleft1"/>
        <w:numPr>
          <w:ilvl w:val="1"/>
          <w:numId w:val="4"/>
        </w:numPr>
        <w:spacing w:line="276" w:lineRule="auto"/>
      </w:pPr>
      <w:r>
        <w:lastRenderedPageBreak/>
        <w:t xml:space="preserve">Monitoring </w:t>
      </w:r>
      <w:r w:rsidR="000507C5">
        <w:t>(</w:t>
      </w:r>
      <w:r>
        <w:t>led by the lead anaesthetist</w:t>
      </w:r>
      <w:r w:rsidR="000507C5">
        <w:t>)</w:t>
      </w:r>
      <w:r>
        <w:t xml:space="preserve"> to ensure good cardiac output before the cement is inserted </w:t>
      </w:r>
      <w:r w:rsidR="000507C5">
        <w:t>and increased measurement of blood pressure to at least every 2.5 minutes if not using invasive monitoring.</w:t>
      </w:r>
    </w:p>
    <w:p w14:paraId="20FF8712" w14:textId="2FC693A0" w:rsidR="00C42CCB" w:rsidRPr="00C42CCB" w:rsidRDefault="00C42CCB" w:rsidP="000507C5">
      <w:pPr>
        <w:pStyle w:val="Bulletleft1"/>
        <w:numPr>
          <w:ilvl w:val="1"/>
          <w:numId w:val="4"/>
        </w:numPr>
        <w:spacing w:line="276" w:lineRule="auto"/>
        <w:rPr>
          <w:b/>
          <w:bCs/>
        </w:rPr>
      </w:pPr>
      <w:r>
        <w:t>Cement is inserted</w:t>
      </w:r>
      <w:r w:rsidR="000507C5">
        <w:t xml:space="preserve"> using a ‘third generation’ technique, usually</w:t>
      </w:r>
      <w:r>
        <w:t xml:space="preserve"> without pressurisation. </w:t>
      </w:r>
    </w:p>
    <w:p w14:paraId="680EFFB1" w14:textId="5C06D37F" w:rsidR="00C42CCB" w:rsidRPr="00C42CCB" w:rsidRDefault="00C42CCB" w:rsidP="000507C5">
      <w:pPr>
        <w:pStyle w:val="Bulletleft1"/>
        <w:numPr>
          <w:ilvl w:val="1"/>
          <w:numId w:val="4"/>
        </w:numPr>
        <w:spacing w:line="276" w:lineRule="auto"/>
        <w:rPr>
          <w:b/>
          <w:bCs/>
        </w:rPr>
      </w:pPr>
      <w:r>
        <w:t>Lead surgeon informs the team when the prosthesis is being inserted and when the hip is relocated.</w:t>
      </w:r>
    </w:p>
    <w:p w14:paraId="0CECA11B" w14:textId="19352779" w:rsidR="00C42CCB" w:rsidRPr="00C42CCB" w:rsidRDefault="00C42CCB" w:rsidP="000507C5">
      <w:pPr>
        <w:pStyle w:val="Bulletleft1"/>
        <w:numPr>
          <w:ilvl w:val="1"/>
          <w:numId w:val="4"/>
        </w:numPr>
        <w:spacing w:line="276" w:lineRule="auto"/>
        <w:rPr>
          <w:b/>
          <w:bCs/>
        </w:rPr>
      </w:pPr>
      <w:r>
        <w:t>The anaesthetist declares the end of the curfew.</w:t>
      </w:r>
    </w:p>
    <w:p w14:paraId="78B39190" w14:textId="7B43B3DA" w:rsidR="00C42CCB" w:rsidRPr="00C42CCB" w:rsidRDefault="00C42CCB" w:rsidP="000507C5">
      <w:pPr>
        <w:pStyle w:val="Bulletleft1"/>
        <w:spacing w:line="276" w:lineRule="auto"/>
        <w:rPr>
          <w:b/>
          <w:bCs/>
        </w:rPr>
      </w:pPr>
      <w:r>
        <w:t xml:space="preserve">If there is evidence of BCIS, the </w:t>
      </w:r>
      <w:r w:rsidR="000507C5">
        <w:t>anaesthetist</w:t>
      </w:r>
      <w:r>
        <w:t xml:space="preserve"> informs the team, checks for cardiovascular collapse and the team perform their assigned roles</w:t>
      </w:r>
      <w:r w:rsidR="000507C5">
        <w:t xml:space="preserve"> if collapse has occurred</w:t>
      </w:r>
      <w:r>
        <w:t>.</w:t>
      </w:r>
    </w:p>
    <w:p w14:paraId="2737FA5E" w14:textId="6F57B8D7" w:rsidR="00C42CCB" w:rsidRPr="00BD6A77" w:rsidRDefault="00C42CCB" w:rsidP="00F63FDF">
      <w:pPr>
        <w:pStyle w:val="Bulletleft1last"/>
        <w:spacing w:line="276" w:lineRule="auto"/>
        <w:rPr>
          <w:b/>
          <w:bCs/>
        </w:rPr>
      </w:pPr>
      <w:r>
        <w:t>Once over</w:t>
      </w:r>
      <w:r w:rsidR="000507C5">
        <w:t>,</w:t>
      </w:r>
      <w:r>
        <w:t xml:space="preserve"> the patient is returned to the lateral position (if possible) and the hip is closed. </w:t>
      </w:r>
    </w:p>
    <w:p w14:paraId="2073AAF8" w14:textId="77777777" w:rsidR="00A84E87" w:rsidRPr="00FB14B6" w:rsidRDefault="00A84E87" w:rsidP="005E507A">
      <w:pPr>
        <w:pStyle w:val="Heading4"/>
      </w:pPr>
      <w:r w:rsidRPr="00FB14B6">
        <w:t xml:space="preserve">Selected recommendations </w:t>
      </w:r>
    </w:p>
    <w:p w14:paraId="455CF9BD" w14:textId="2B899817" w:rsidR="00DE16BB" w:rsidRDefault="00751008" w:rsidP="00070FFC">
      <w:pPr>
        <w:spacing w:line="276" w:lineRule="auto"/>
        <w:rPr>
          <w:rFonts w:ascii="Arial" w:hAnsi="Arial"/>
        </w:rPr>
      </w:pPr>
      <w:hyperlink r:id="rId54" w:history="1">
        <w:r w:rsidR="00DE16BB" w:rsidRPr="00DE16BB">
          <w:rPr>
            <w:rStyle w:val="Hyperlink"/>
            <w:rFonts w:ascii="Arial" w:hAnsi="Arial"/>
          </w:rPr>
          <w:t>NICE’s guideline on perioperative care in adults (NG180):</w:t>
        </w:r>
      </w:hyperlink>
    </w:p>
    <w:p w14:paraId="5553FC05" w14:textId="0C44B0AF" w:rsidR="00DE16BB" w:rsidRDefault="00DE16BB" w:rsidP="00FB14B6">
      <w:pPr>
        <w:spacing w:before="240" w:after="240" w:line="276" w:lineRule="auto"/>
        <w:rPr>
          <w:rFonts w:ascii="Arial" w:hAnsi="Arial"/>
        </w:rPr>
      </w:pPr>
      <w:r>
        <w:rPr>
          <w:rFonts w:ascii="Arial" w:hAnsi="Arial"/>
        </w:rPr>
        <w:t xml:space="preserve">1.3.1 </w:t>
      </w:r>
      <w:r w:rsidRPr="00DE16BB">
        <w:rPr>
          <w:rFonts w:ascii="Arial" w:hAnsi="Arial"/>
        </w:rPr>
        <w:t>Use a validated risk stratification tool to supplement clinical assessment when planning surgery, including dental surgery. Discuss the person's risks and surgical options with them to allow for informed shared decision making</w:t>
      </w:r>
      <w:r>
        <w:rPr>
          <w:rFonts w:ascii="Arial" w:hAnsi="Arial"/>
        </w:rPr>
        <w:t>.</w:t>
      </w:r>
    </w:p>
    <w:p w14:paraId="70CF7DC4" w14:textId="11D0F759" w:rsidR="00DE16BB" w:rsidRDefault="00DE16BB" w:rsidP="00FB14B6">
      <w:pPr>
        <w:spacing w:before="240" w:after="240" w:line="276" w:lineRule="auto"/>
        <w:rPr>
          <w:rFonts w:ascii="Arial" w:hAnsi="Arial"/>
        </w:rPr>
      </w:pPr>
      <w:r>
        <w:rPr>
          <w:rFonts w:ascii="Arial" w:hAnsi="Arial"/>
        </w:rPr>
        <w:t>1.4.9</w:t>
      </w:r>
      <w:r w:rsidRPr="00DE16BB">
        <w:rPr>
          <w:rFonts w:ascii="Lato" w:hAnsi="Lato"/>
          <w:color w:val="0E0E0E"/>
          <w:shd w:val="clear" w:color="auto" w:fill="FAFAFB"/>
        </w:rPr>
        <w:t xml:space="preserve"> </w:t>
      </w:r>
      <w:r w:rsidRPr="00DE16BB">
        <w:rPr>
          <w:rFonts w:ascii="Arial" w:hAnsi="Arial"/>
        </w:rPr>
        <w:t>Consider adding steps to the WHO surgical safety checklist to eliminate preventable events reported locally or nationally, such as those in NHS Improvement's national patient safety alerts and surgical 'never events'. Follow the </w:t>
      </w:r>
      <w:hyperlink r:id="rId55" w:tgtFrame="_top" w:history="1">
        <w:r w:rsidR="00316C16">
          <w:rPr>
            <w:rStyle w:val="Hyperlink"/>
            <w:rFonts w:ascii="Arial" w:hAnsi="Arial"/>
          </w:rPr>
          <w:t>WHO surgical safety checklist implementation manual</w:t>
        </w:r>
      </w:hyperlink>
      <w:r w:rsidRPr="00DE16BB">
        <w:rPr>
          <w:rFonts w:ascii="Arial" w:hAnsi="Arial"/>
        </w:rPr>
        <w:t> when adding steps to the checklist.</w:t>
      </w:r>
    </w:p>
    <w:p w14:paraId="349C7C04" w14:textId="12F2BC47" w:rsidR="00ED0E64" w:rsidRDefault="00751008" w:rsidP="00FB14B6">
      <w:pPr>
        <w:spacing w:before="240" w:after="240" w:line="276" w:lineRule="auto"/>
        <w:rPr>
          <w:rFonts w:ascii="Arial" w:hAnsi="Arial"/>
        </w:rPr>
      </w:pPr>
      <w:hyperlink r:id="rId56" w:history="1">
        <w:r w:rsidR="00482E05" w:rsidRPr="00482E05">
          <w:rPr>
            <w:rStyle w:val="Hyperlink"/>
            <w:rFonts w:ascii="Arial" w:hAnsi="Arial"/>
          </w:rPr>
          <w:t>Royal College of Anaesthetists</w:t>
        </w:r>
        <w:r w:rsidR="00482E05">
          <w:rPr>
            <w:rStyle w:val="Hyperlink"/>
            <w:rFonts w:ascii="Arial" w:hAnsi="Arial"/>
          </w:rPr>
          <w:t>’</w:t>
        </w:r>
        <w:r w:rsidR="00482E05" w:rsidRPr="00482E05">
          <w:rPr>
            <w:rStyle w:val="Hyperlink"/>
            <w:rFonts w:ascii="Arial" w:hAnsi="Arial"/>
          </w:rPr>
          <w:t xml:space="preserve"> (NICE-accredited, 2021) Guidelines for the provision of anaesthesia services for trauma and orthopaedic surgery</w:t>
        </w:r>
      </w:hyperlink>
      <w:r w:rsidR="002703B8">
        <w:rPr>
          <w:rStyle w:val="Hyperlink"/>
          <w:rFonts w:ascii="Arial" w:hAnsi="Arial"/>
        </w:rPr>
        <w:t>:</w:t>
      </w:r>
    </w:p>
    <w:p w14:paraId="2E9EA0EB" w14:textId="77777777" w:rsidR="00482E05" w:rsidRPr="00482E05" w:rsidRDefault="00482E05" w:rsidP="00482E05">
      <w:pPr>
        <w:spacing w:before="240" w:after="240" w:line="276" w:lineRule="auto"/>
        <w:rPr>
          <w:rFonts w:ascii="Arial" w:hAnsi="Arial"/>
        </w:rPr>
      </w:pPr>
      <w:r>
        <w:rPr>
          <w:rFonts w:ascii="Arial" w:hAnsi="Arial"/>
        </w:rPr>
        <w:t xml:space="preserve">Chapter 6, Hip fracture 5.2.5 </w:t>
      </w:r>
    </w:p>
    <w:p w14:paraId="30A3857F" w14:textId="245BBE38" w:rsidR="00482E05" w:rsidRPr="00482E05" w:rsidRDefault="00482E05" w:rsidP="00FA4114">
      <w:pPr>
        <w:spacing w:before="240" w:after="240" w:line="276" w:lineRule="auto"/>
        <w:rPr>
          <w:rFonts w:ascii="Arial" w:hAnsi="Arial"/>
        </w:rPr>
      </w:pPr>
      <w:r w:rsidRPr="00482E05">
        <w:rPr>
          <w:rFonts w:ascii="Arial" w:hAnsi="Arial"/>
        </w:rPr>
        <w:t>Agreed local guidelines should be in place and implemented on the following:</w:t>
      </w:r>
    </w:p>
    <w:p w14:paraId="0C45142F" w14:textId="7621E297" w:rsidR="00482E05" w:rsidRPr="00482E05" w:rsidRDefault="00482E05" w:rsidP="00FA4114">
      <w:pPr>
        <w:pStyle w:val="Bulletleft1"/>
        <w:spacing w:line="276" w:lineRule="auto"/>
      </w:pPr>
      <w:r w:rsidRPr="00482E05">
        <w:t>compliance with best practice anaesthetic management protocols for hip fracture as recommended by the Association of Anaesthetist</w:t>
      </w:r>
      <w:r>
        <w:t>s</w:t>
      </w:r>
    </w:p>
    <w:p w14:paraId="512407A5" w14:textId="77777777" w:rsidR="00482E05" w:rsidRPr="00482E05" w:rsidRDefault="00482E05" w:rsidP="00FA4114">
      <w:pPr>
        <w:pStyle w:val="Bulletleft1"/>
        <w:spacing w:line="276" w:lineRule="auto"/>
      </w:pPr>
      <w:r w:rsidRPr="00482E05">
        <w:t>tailored World Health Organization (WHO) safety checklists to identify the potential for adverse events associated with the requirement for use of bone cement should be used during team briefing and at time out</w:t>
      </w:r>
    </w:p>
    <w:p w14:paraId="6624D1A7" w14:textId="2DC30CF0" w:rsidR="00A84E87" w:rsidRPr="00A84E87" w:rsidRDefault="00482E05" w:rsidP="00FA4114">
      <w:pPr>
        <w:pStyle w:val="Bulletleft1"/>
        <w:spacing w:line="276" w:lineRule="auto"/>
      </w:pPr>
      <w:r w:rsidRPr="00482E05">
        <w:t>preoperative assessment fitness criteria for hip fracture surgery and review of ‘do not attempt cardiopulmonary resuscitation’ (DNACPR) status.</w:t>
      </w:r>
    </w:p>
    <w:p w14:paraId="7A8D8D80" w14:textId="77777777" w:rsidR="001C191F" w:rsidRDefault="001C191F">
      <w:pPr>
        <w:rPr>
          <w:rFonts w:ascii="Arial" w:hAnsi="Arial"/>
          <w:b/>
          <w:bCs/>
          <w:iCs/>
          <w:szCs w:val="28"/>
        </w:rPr>
      </w:pPr>
      <w:r>
        <w:br w:type="page"/>
      </w:r>
    </w:p>
    <w:p w14:paraId="329A5CD7" w14:textId="5938FEA3" w:rsidR="00A84E87" w:rsidRPr="00C544DB" w:rsidRDefault="00A84E87" w:rsidP="00A84E87">
      <w:pPr>
        <w:pStyle w:val="Heading4"/>
      </w:pPr>
      <w:r w:rsidRPr="00C544DB">
        <w:lastRenderedPageBreak/>
        <w:t>Current UK practice</w:t>
      </w:r>
    </w:p>
    <w:p w14:paraId="6B11C4AB" w14:textId="34E7E11C" w:rsidR="0025101F" w:rsidRDefault="00B721DC" w:rsidP="001852B4">
      <w:pPr>
        <w:pStyle w:val="NICEnormal"/>
        <w:spacing w:line="276" w:lineRule="auto"/>
      </w:pPr>
      <w:r w:rsidRPr="0025101F">
        <w:t xml:space="preserve">Please see Appendix </w:t>
      </w:r>
      <w:r w:rsidR="00751008">
        <w:t>1</w:t>
      </w:r>
      <w:r w:rsidRPr="0025101F">
        <w:t xml:space="preserve"> commen</w:t>
      </w:r>
      <w:r w:rsidR="00202BA2" w:rsidRPr="0025101F">
        <w:t>t 24</w:t>
      </w:r>
      <w:proofErr w:type="gramStart"/>
      <w:r w:rsidR="00202BA2" w:rsidRPr="0025101F">
        <w:t xml:space="preserve">.  </w:t>
      </w:r>
      <w:proofErr w:type="gramEnd"/>
    </w:p>
    <w:p w14:paraId="731BA6BA" w14:textId="26767C62" w:rsidR="00FB14B6" w:rsidRPr="00FB14B6" w:rsidRDefault="00934476" w:rsidP="00C544DB">
      <w:pPr>
        <w:pStyle w:val="Heading3"/>
        <w:rPr>
          <w:lang w:val="en-US"/>
        </w:rPr>
      </w:pPr>
      <w:r>
        <w:rPr>
          <w:lang w:val="en-US"/>
        </w:rPr>
        <w:t>C</w:t>
      </w:r>
      <w:r w:rsidR="00ED0E64" w:rsidRPr="00ED0E64">
        <w:rPr>
          <w:lang w:val="en-US"/>
        </w:rPr>
        <w:t xml:space="preserve">hoice between </w:t>
      </w:r>
      <w:r w:rsidR="00620654">
        <w:rPr>
          <w:lang w:val="en-US"/>
        </w:rPr>
        <w:t>PKR</w:t>
      </w:r>
      <w:r w:rsidR="00ED0E64" w:rsidRPr="00ED0E64">
        <w:rPr>
          <w:lang w:val="en-US"/>
        </w:rPr>
        <w:t xml:space="preserve"> and TKR</w:t>
      </w:r>
    </w:p>
    <w:p w14:paraId="20B8ED65" w14:textId="64B18841" w:rsidR="00ED0E64" w:rsidRDefault="00ED0E64" w:rsidP="00FB14B6">
      <w:pPr>
        <w:spacing w:after="240" w:line="276" w:lineRule="auto"/>
        <w:rPr>
          <w:rFonts w:ascii="Arial" w:hAnsi="Arial"/>
          <w:lang w:val="en-US" w:eastAsia="en-GB"/>
        </w:rPr>
      </w:pPr>
      <w:r>
        <w:rPr>
          <w:rFonts w:ascii="Arial" w:hAnsi="Arial"/>
          <w:lang w:val="en-US" w:eastAsia="en-GB"/>
        </w:rPr>
        <w:t xml:space="preserve">Offering a choice </w:t>
      </w:r>
      <w:r w:rsidR="00380D85">
        <w:rPr>
          <w:rFonts w:ascii="Arial" w:hAnsi="Arial"/>
          <w:lang w:val="en-US" w:eastAsia="en-GB"/>
        </w:rPr>
        <w:t>between</w:t>
      </w:r>
      <w:r>
        <w:rPr>
          <w:rFonts w:ascii="Arial" w:hAnsi="Arial"/>
          <w:lang w:val="en-US" w:eastAsia="en-GB"/>
        </w:rPr>
        <w:t xml:space="preserve"> these procedures to adults with </w:t>
      </w:r>
      <w:r w:rsidR="00342FA2">
        <w:rPr>
          <w:rFonts w:ascii="Arial" w:hAnsi="Arial"/>
          <w:lang w:val="en-US" w:eastAsia="en-GB"/>
        </w:rPr>
        <w:t xml:space="preserve">isolated </w:t>
      </w:r>
      <w:r w:rsidR="00342FA2" w:rsidRPr="00342FA2">
        <w:rPr>
          <w:rFonts w:ascii="Arial" w:hAnsi="Arial"/>
          <w:lang w:val="en-US" w:eastAsia="en-GB"/>
        </w:rPr>
        <w:t xml:space="preserve">medial compartmental osteoarthritis </w:t>
      </w:r>
      <w:r w:rsidRPr="00ED0E64">
        <w:rPr>
          <w:rFonts w:ascii="Arial" w:hAnsi="Arial"/>
          <w:lang w:val="en-US" w:eastAsia="en-GB"/>
        </w:rPr>
        <w:t>was highlighted as important</w:t>
      </w:r>
      <w:proofErr w:type="gramStart"/>
      <w:r>
        <w:rPr>
          <w:rFonts w:ascii="Arial" w:hAnsi="Arial"/>
          <w:lang w:val="en-US" w:eastAsia="en-GB"/>
        </w:rPr>
        <w:t xml:space="preserve">.  </w:t>
      </w:r>
      <w:proofErr w:type="gramEnd"/>
      <w:r>
        <w:rPr>
          <w:rFonts w:ascii="Arial" w:hAnsi="Arial"/>
          <w:lang w:val="en-US" w:eastAsia="en-GB"/>
        </w:rPr>
        <w:t>Stakeholders commented</w:t>
      </w:r>
      <w:r w:rsidR="007D163C">
        <w:rPr>
          <w:rFonts w:ascii="Arial" w:hAnsi="Arial"/>
          <w:lang w:val="en-US" w:eastAsia="en-GB"/>
        </w:rPr>
        <w:t xml:space="preserve"> that</w:t>
      </w:r>
      <w:r>
        <w:rPr>
          <w:rFonts w:ascii="Arial" w:hAnsi="Arial"/>
          <w:lang w:val="en-US" w:eastAsia="en-GB"/>
        </w:rPr>
        <w:t xml:space="preserve"> a </w:t>
      </w:r>
      <w:r w:rsidR="00620654">
        <w:rPr>
          <w:rFonts w:ascii="Arial" w:hAnsi="Arial"/>
          <w:lang w:val="en-US" w:eastAsia="en-GB"/>
        </w:rPr>
        <w:t>PKR</w:t>
      </w:r>
      <w:r w:rsidR="00BC74D6">
        <w:rPr>
          <w:rFonts w:ascii="Arial" w:hAnsi="Arial"/>
          <w:lang w:val="en-US" w:eastAsia="en-GB"/>
        </w:rPr>
        <w:t xml:space="preserve"> </w:t>
      </w:r>
      <w:r>
        <w:rPr>
          <w:rFonts w:ascii="Arial" w:hAnsi="Arial"/>
          <w:lang w:val="en-US" w:eastAsia="en-GB"/>
        </w:rPr>
        <w:t xml:space="preserve">is associated with </w:t>
      </w:r>
      <w:r w:rsidR="00BC74D6">
        <w:rPr>
          <w:rFonts w:ascii="Arial" w:hAnsi="Arial"/>
          <w:lang w:val="en-US" w:eastAsia="en-GB"/>
        </w:rPr>
        <w:t>improved</w:t>
      </w:r>
      <w:r>
        <w:rPr>
          <w:rFonts w:ascii="Arial" w:hAnsi="Arial"/>
          <w:lang w:val="en-US" w:eastAsia="en-GB"/>
        </w:rPr>
        <w:t xml:space="preserve"> outcomes</w:t>
      </w:r>
      <w:proofErr w:type="gramStart"/>
      <w:r>
        <w:rPr>
          <w:rFonts w:ascii="Arial" w:hAnsi="Arial"/>
          <w:lang w:val="en-US" w:eastAsia="en-GB"/>
        </w:rPr>
        <w:t xml:space="preserve">.  </w:t>
      </w:r>
      <w:proofErr w:type="gramEnd"/>
      <w:r w:rsidR="004013DB">
        <w:rPr>
          <w:rFonts w:ascii="Arial" w:hAnsi="Arial"/>
          <w:lang w:val="en-US" w:eastAsia="en-GB"/>
        </w:rPr>
        <w:t xml:space="preserve">Onward referral </w:t>
      </w:r>
      <w:r w:rsidR="00063ADA">
        <w:rPr>
          <w:rFonts w:ascii="Arial" w:hAnsi="Arial"/>
          <w:lang w:val="en-US" w:eastAsia="en-GB"/>
        </w:rPr>
        <w:t xml:space="preserve">to </w:t>
      </w:r>
      <w:r w:rsidR="00063ADA" w:rsidRPr="00063ADA">
        <w:rPr>
          <w:rFonts w:ascii="Arial" w:hAnsi="Arial"/>
          <w:lang w:val="en-US" w:eastAsia="en-GB"/>
        </w:rPr>
        <w:t xml:space="preserve">another surgeon </w:t>
      </w:r>
      <w:r w:rsidR="004013DB">
        <w:rPr>
          <w:rFonts w:ascii="Arial" w:hAnsi="Arial"/>
          <w:lang w:val="en-US" w:eastAsia="en-GB"/>
        </w:rPr>
        <w:t xml:space="preserve">within a trust, or between </w:t>
      </w:r>
      <w:r w:rsidR="00F852FB">
        <w:rPr>
          <w:rFonts w:ascii="Arial" w:hAnsi="Arial"/>
          <w:lang w:val="en-US" w:eastAsia="en-GB"/>
        </w:rPr>
        <w:t>T</w:t>
      </w:r>
      <w:r w:rsidR="004013DB">
        <w:rPr>
          <w:rFonts w:ascii="Arial" w:hAnsi="Arial"/>
          <w:lang w:val="en-US" w:eastAsia="en-GB"/>
        </w:rPr>
        <w:t xml:space="preserve">rust networks, </w:t>
      </w:r>
      <w:r w:rsidR="00063ADA" w:rsidRPr="00063ADA">
        <w:rPr>
          <w:rFonts w:ascii="Arial" w:hAnsi="Arial"/>
          <w:lang w:val="en-US" w:eastAsia="en-GB"/>
        </w:rPr>
        <w:t>if it is decided that</w:t>
      </w:r>
      <w:r w:rsidR="00942624">
        <w:rPr>
          <w:rFonts w:ascii="Arial" w:hAnsi="Arial"/>
          <w:lang w:val="en-US" w:eastAsia="en-GB"/>
        </w:rPr>
        <w:t xml:space="preserve"> </w:t>
      </w:r>
      <w:r w:rsidR="00620654">
        <w:rPr>
          <w:rFonts w:ascii="Arial" w:hAnsi="Arial"/>
          <w:lang w:val="en-US" w:eastAsia="en-GB"/>
        </w:rPr>
        <w:t>PKR</w:t>
      </w:r>
      <w:r w:rsidR="00063ADA" w:rsidRPr="00063ADA">
        <w:rPr>
          <w:rFonts w:ascii="Arial" w:hAnsi="Arial"/>
          <w:lang w:val="en-US" w:eastAsia="en-GB"/>
        </w:rPr>
        <w:t xml:space="preserve"> is the preferred approach</w:t>
      </w:r>
      <w:r w:rsidR="00063ADA">
        <w:rPr>
          <w:rFonts w:ascii="Arial" w:hAnsi="Arial"/>
          <w:lang w:val="en-US" w:eastAsia="en-GB"/>
        </w:rPr>
        <w:t xml:space="preserve"> and</w:t>
      </w:r>
      <w:r w:rsidR="00063ADA" w:rsidRPr="00063ADA">
        <w:rPr>
          <w:rFonts w:ascii="Arial" w:hAnsi="Arial"/>
          <w:lang w:val="en-US" w:eastAsia="en-GB"/>
        </w:rPr>
        <w:t xml:space="preserve"> </w:t>
      </w:r>
      <w:r>
        <w:rPr>
          <w:rFonts w:ascii="Arial" w:hAnsi="Arial"/>
          <w:lang w:val="en-US" w:eastAsia="en-GB"/>
        </w:rPr>
        <w:t xml:space="preserve">improving the communication pathway between surgical teams </w:t>
      </w:r>
      <w:r w:rsidR="00EA46E2">
        <w:rPr>
          <w:rFonts w:ascii="Arial" w:hAnsi="Arial"/>
          <w:lang w:val="en-US" w:eastAsia="en-GB"/>
        </w:rPr>
        <w:t xml:space="preserve">were </w:t>
      </w:r>
      <w:r w:rsidR="007D163C">
        <w:rPr>
          <w:rFonts w:ascii="Arial" w:hAnsi="Arial"/>
          <w:lang w:val="en-US" w:eastAsia="en-GB"/>
        </w:rPr>
        <w:t xml:space="preserve">felt to be </w:t>
      </w:r>
      <w:r>
        <w:rPr>
          <w:rFonts w:ascii="Arial" w:hAnsi="Arial"/>
          <w:lang w:val="en-US" w:eastAsia="en-GB"/>
        </w:rPr>
        <w:t>important</w:t>
      </w:r>
      <w:r w:rsidR="007D163C">
        <w:rPr>
          <w:rFonts w:ascii="Arial" w:hAnsi="Arial"/>
          <w:lang w:val="en-US" w:eastAsia="en-GB"/>
        </w:rPr>
        <w:t xml:space="preserve"> supporting mechanisms</w:t>
      </w:r>
      <w:r w:rsidR="004013DB">
        <w:rPr>
          <w:rFonts w:ascii="Arial" w:hAnsi="Arial"/>
          <w:lang w:val="en-US" w:eastAsia="en-GB"/>
        </w:rPr>
        <w:t>.</w:t>
      </w:r>
    </w:p>
    <w:p w14:paraId="2C2D7007" w14:textId="77777777" w:rsidR="00FB14B6" w:rsidRPr="00C544DB" w:rsidRDefault="00FB14B6" w:rsidP="00C544DB">
      <w:pPr>
        <w:pStyle w:val="Heading4"/>
      </w:pPr>
      <w:r w:rsidRPr="00C544DB">
        <w:t>Selected recommendations</w:t>
      </w:r>
    </w:p>
    <w:p w14:paraId="10DF5C29" w14:textId="77777777" w:rsidR="00ED0E64" w:rsidRPr="00FB14B6" w:rsidRDefault="00751008" w:rsidP="00ED0E64">
      <w:pPr>
        <w:spacing w:before="240" w:after="240" w:line="276" w:lineRule="auto"/>
        <w:rPr>
          <w:rFonts w:ascii="Arial" w:hAnsi="Arial"/>
        </w:rPr>
      </w:pPr>
      <w:hyperlink r:id="rId57" w:history="1">
        <w:r w:rsidR="00ED0E64" w:rsidRPr="00FB14B6">
          <w:rPr>
            <w:rStyle w:val="Hyperlink"/>
            <w:rFonts w:ascii="Arial" w:hAnsi="Arial"/>
          </w:rPr>
          <w:t xml:space="preserve">NICE’s guideline on </w:t>
        </w:r>
        <w:r w:rsidR="00ED0E64" w:rsidRPr="00DE16BB">
          <w:rPr>
            <w:rStyle w:val="Hyperlink"/>
            <w:rFonts w:ascii="Arial" w:hAnsi="Arial"/>
          </w:rPr>
          <w:t>joint replacement</w:t>
        </w:r>
        <w:r w:rsidR="00ED0E64" w:rsidRPr="00FB14B6">
          <w:rPr>
            <w:rStyle w:val="Hyperlink"/>
            <w:rFonts w:ascii="Arial" w:hAnsi="Arial"/>
          </w:rPr>
          <w:t xml:space="preserve"> </w:t>
        </w:r>
        <w:r w:rsidR="00ED0E64" w:rsidRPr="00DE16BB">
          <w:rPr>
            <w:rStyle w:val="Hyperlink"/>
            <w:rFonts w:ascii="Arial" w:hAnsi="Arial"/>
          </w:rPr>
          <w:t xml:space="preserve">(primary) </w:t>
        </w:r>
        <w:r w:rsidR="00ED0E64" w:rsidRPr="00FB14B6">
          <w:rPr>
            <w:rStyle w:val="Hyperlink"/>
            <w:rFonts w:ascii="Arial" w:hAnsi="Arial"/>
          </w:rPr>
          <w:t>(NG</w:t>
        </w:r>
        <w:r w:rsidR="00ED0E64" w:rsidRPr="00DE16BB">
          <w:rPr>
            <w:rStyle w:val="Hyperlink"/>
            <w:rFonts w:ascii="Arial" w:hAnsi="Arial"/>
          </w:rPr>
          <w:t>157</w:t>
        </w:r>
        <w:r w:rsidR="00ED0E64" w:rsidRPr="00FB14B6">
          <w:rPr>
            <w:rStyle w:val="Hyperlink"/>
            <w:rFonts w:ascii="Arial" w:hAnsi="Arial"/>
          </w:rPr>
          <w:t>):</w:t>
        </w:r>
      </w:hyperlink>
    </w:p>
    <w:p w14:paraId="63DF47AA" w14:textId="1676FED7" w:rsidR="00ED0E64" w:rsidRDefault="00ED0E64" w:rsidP="00ED0E64">
      <w:pPr>
        <w:spacing w:before="240" w:after="240" w:line="276" w:lineRule="auto"/>
        <w:rPr>
          <w:rFonts w:ascii="Arial" w:hAnsi="Arial"/>
        </w:rPr>
      </w:pPr>
      <w:r w:rsidRPr="00DE16BB">
        <w:rPr>
          <w:rFonts w:ascii="Arial" w:hAnsi="Arial"/>
        </w:rPr>
        <w:t>1.</w:t>
      </w:r>
      <w:r>
        <w:rPr>
          <w:rFonts w:ascii="Arial" w:hAnsi="Arial"/>
        </w:rPr>
        <w:t>7</w:t>
      </w:r>
      <w:r w:rsidRPr="00DE16BB">
        <w:rPr>
          <w:rFonts w:ascii="Arial" w:hAnsi="Arial"/>
        </w:rPr>
        <w:t xml:space="preserve">.1 </w:t>
      </w:r>
      <w:r w:rsidRPr="00ED0E64">
        <w:rPr>
          <w:rFonts w:ascii="Arial" w:hAnsi="Arial"/>
        </w:rPr>
        <w:t>Offer a choice of partial or total knee replacement to people with isolated medial compartmental osteoarthritis. Discuss the potential benefits and risks of each option with the person.</w:t>
      </w:r>
    </w:p>
    <w:p w14:paraId="70055B03" w14:textId="77777777" w:rsidR="00FB14B6" w:rsidRPr="00C544DB" w:rsidRDefault="00FB14B6" w:rsidP="00C544DB">
      <w:pPr>
        <w:pStyle w:val="Heading4"/>
      </w:pPr>
      <w:r w:rsidRPr="00C544DB">
        <w:t>Current UK practice</w:t>
      </w:r>
    </w:p>
    <w:p w14:paraId="4C654387" w14:textId="2357D84E" w:rsidR="007D163C" w:rsidRDefault="00751008" w:rsidP="006D7964">
      <w:pPr>
        <w:pStyle w:val="NICEnormal"/>
        <w:spacing w:line="276" w:lineRule="auto"/>
        <w:rPr>
          <w:rFonts w:cs="Arial"/>
        </w:rPr>
      </w:pPr>
      <w:hyperlink r:id="rId58" w:history="1">
        <w:r w:rsidR="00942624">
          <w:rPr>
            <w:rStyle w:val="Hyperlink"/>
            <w:rFonts w:cs="Arial"/>
          </w:rPr>
          <w:t>A 2019 study published in the BMJ</w:t>
        </w:r>
      </w:hyperlink>
      <w:r w:rsidR="00B94079">
        <w:rPr>
          <w:rFonts w:cs="Arial"/>
        </w:rPr>
        <w:t xml:space="preserve"> </w:t>
      </w:r>
      <w:r w:rsidR="007C19C5">
        <w:rPr>
          <w:rFonts w:cs="Arial"/>
        </w:rPr>
        <w:t xml:space="preserve">(Wilson et al) </w:t>
      </w:r>
      <w:r w:rsidR="00B94079">
        <w:rPr>
          <w:rFonts w:cs="Arial"/>
        </w:rPr>
        <w:t xml:space="preserve">suggested that between 25% and 47% of people in the UK </w:t>
      </w:r>
      <w:r w:rsidR="00976FFA">
        <w:rPr>
          <w:rFonts w:cs="Arial"/>
        </w:rPr>
        <w:t xml:space="preserve">eligible for primary joint replacement </w:t>
      </w:r>
      <w:r w:rsidR="00942624">
        <w:rPr>
          <w:rFonts w:cs="Arial"/>
        </w:rPr>
        <w:t xml:space="preserve">(knee) </w:t>
      </w:r>
      <w:r w:rsidR="004013DB">
        <w:rPr>
          <w:rFonts w:cs="Arial"/>
        </w:rPr>
        <w:t xml:space="preserve">were estimated to have </w:t>
      </w:r>
      <w:r w:rsidR="00B94079" w:rsidRPr="00B94079">
        <w:rPr>
          <w:rFonts w:cs="Arial"/>
        </w:rPr>
        <w:t xml:space="preserve">isolated unicompartmental osteoarthritis and would be eligible to receive either </w:t>
      </w:r>
      <w:r w:rsidR="00C5686E">
        <w:rPr>
          <w:rFonts w:cs="Arial"/>
        </w:rPr>
        <w:t>a TKR</w:t>
      </w:r>
      <w:r w:rsidR="00AB4B72">
        <w:rPr>
          <w:rFonts w:cs="Arial"/>
        </w:rPr>
        <w:t xml:space="preserve"> or </w:t>
      </w:r>
      <w:r w:rsidR="00C5686E">
        <w:rPr>
          <w:rFonts w:cs="Arial"/>
        </w:rPr>
        <w:t xml:space="preserve">a </w:t>
      </w:r>
      <w:r w:rsidR="00620654">
        <w:rPr>
          <w:rFonts w:cs="Arial"/>
        </w:rPr>
        <w:t>PKR</w:t>
      </w:r>
      <w:proofErr w:type="gramStart"/>
      <w:r w:rsidR="00AB4B72">
        <w:rPr>
          <w:rFonts w:cs="Arial"/>
        </w:rPr>
        <w:t xml:space="preserve">. </w:t>
      </w:r>
      <w:r w:rsidR="006D7964">
        <w:rPr>
          <w:rFonts w:cs="Arial"/>
        </w:rPr>
        <w:t xml:space="preserve"> </w:t>
      </w:r>
      <w:proofErr w:type="gramEnd"/>
    </w:p>
    <w:p w14:paraId="42BF4243" w14:textId="5B37595A" w:rsidR="00FD2DE3" w:rsidRDefault="00751008" w:rsidP="006D7964">
      <w:pPr>
        <w:pStyle w:val="NICEnormal"/>
        <w:spacing w:line="276" w:lineRule="auto"/>
        <w:rPr>
          <w:rFonts w:cs="Arial"/>
        </w:rPr>
      </w:pPr>
      <w:hyperlink r:id="rId59" w:history="1">
        <w:r w:rsidR="006D7964" w:rsidRPr="00C5686E">
          <w:rPr>
            <w:rStyle w:val="Hyperlink"/>
            <w:rFonts w:cs="Arial"/>
          </w:rPr>
          <w:t xml:space="preserve">A 2018 study using data from the NJR (England </w:t>
        </w:r>
        <w:r w:rsidR="0005134D">
          <w:rPr>
            <w:rStyle w:val="Hyperlink"/>
            <w:rFonts w:cs="Arial"/>
          </w:rPr>
          <w:t xml:space="preserve">and </w:t>
        </w:r>
        <w:r w:rsidR="006D7964" w:rsidRPr="00C5686E">
          <w:rPr>
            <w:rStyle w:val="Hyperlink"/>
            <w:rFonts w:cs="Arial"/>
          </w:rPr>
          <w:t>Wales) published in the BMJ</w:t>
        </w:r>
      </w:hyperlink>
      <w:r w:rsidR="006D7964">
        <w:rPr>
          <w:rFonts w:cs="Arial"/>
        </w:rPr>
        <w:t xml:space="preserve"> </w:t>
      </w:r>
      <w:r w:rsidR="00942624" w:rsidRPr="00942624">
        <w:rPr>
          <w:rFonts w:cs="Arial"/>
        </w:rPr>
        <w:t xml:space="preserve">(Burn et al) </w:t>
      </w:r>
      <w:r w:rsidR="006D7964">
        <w:rPr>
          <w:rFonts w:cs="Arial"/>
        </w:rPr>
        <w:t xml:space="preserve">suggested that up to 50% of people with end-stage symptomatic osteoarthritis of the knee could be eligible for this procedure. The study suggested that </w:t>
      </w:r>
      <w:r w:rsidR="00C5686E">
        <w:rPr>
          <w:rFonts w:cs="Arial"/>
        </w:rPr>
        <w:t>reducing variation in practice among low- or no-volume</w:t>
      </w:r>
      <w:r w:rsidR="0005134D">
        <w:rPr>
          <w:rFonts w:cs="Arial"/>
        </w:rPr>
        <w:t xml:space="preserve"> </w:t>
      </w:r>
      <w:r w:rsidR="00620654">
        <w:rPr>
          <w:rFonts w:cs="Arial"/>
        </w:rPr>
        <w:t>PKR</w:t>
      </w:r>
      <w:r w:rsidR="00C5686E">
        <w:rPr>
          <w:rFonts w:cs="Arial"/>
        </w:rPr>
        <w:t xml:space="preserve"> surgeons would increase the proportion of </w:t>
      </w:r>
      <w:r w:rsidR="00620654">
        <w:rPr>
          <w:rFonts w:cs="Arial"/>
        </w:rPr>
        <w:t>PKR</w:t>
      </w:r>
      <w:r w:rsidR="00C5686E">
        <w:rPr>
          <w:rFonts w:cs="Arial"/>
        </w:rPr>
        <w:t>s offered overall</w:t>
      </w:r>
      <w:r w:rsidR="00FD2DE3">
        <w:rPr>
          <w:rFonts w:cs="Arial"/>
        </w:rPr>
        <w:t>.</w:t>
      </w:r>
    </w:p>
    <w:p w14:paraId="64837753" w14:textId="43276A7B" w:rsidR="006D7964" w:rsidRDefault="00B43C06" w:rsidP="006D7964">
      <w:pPr>
        <w:pStyle w:val="NICEnormal"/>
        <w:spacing w:line="276" w:lineRule="auto"/>
        <w:rPr>
          <w:rFonts w:cs="Arial"/>
        </w:rPr>
      </w:pPr>
      <w:r>
        <w:rPr>
          <w:rFonts w:cs="Arial"/>
        </w:rPr>
        <w:t>A key l</w:t>
      </w:r>
      <w:r w:rsidR="00534124">
        <w:rPr>
          <w:rFonts w:cs="Arial"/>
        </w:rPr>
        <w:t xml:space="preserve">imitation of the study </w:t>
      </w:r>
      <w:r>
        <w:rPr>
          <w:rFonts w:cs="Arial"/>
        </w:rPr>
        <w:t xml:space="preserve">is that it </w:t>
      </w:r>
      <w:r w:rsidR="00FE2CEC">
        <w:rPr>
          <w:rFonts w:cs="Arial"/>
        </w:rPr>
        <w:t>was not possible to include preoperative radiographs, which would have enabled better assessment of patients eligible for either procedure.</w:t>
      </w:r>
      <w:r w:rsidR="00534124">
        <w:rPr>
          <w:rFonts w:cs="Arial"/>
        </w:rPr>
        <w:t xml:space="preserve"> </w:t>
      </w:r>
    </w:p>
    <w:p w14:paraId="66C94CF1" w14:textId="6809D9F8" w:rsidR="00B56CE1" w:rsidRDefault="00751008" w:rsidP="00764D54">
      <w:pPr>
        <w:pStyle w:val="NICEnormal"/>
        <w:spacing w:line="276" w:lineRule="auto"/>
        <w:rPr>
          <w:rFonts w:cs="Arial"/>
        </w:rPr>
      </w:pPr>
      <w:hyperlink r:id="rId60" w:history="1">
        <w:r w:rsidR="00101E29">
          <w:rPr>
            <w:rStyle w:val="Hyperlink"/>
            <w:rFonts w:cs="Arial"/>
          </w:rPr>
          <w:t>NJR Reports</w:t>
        </w:r>
      </w:hyperlink>
      <w:r w:rsidR="000F5213">
        <w:rPr>
          <w:rFonts w:cs="Arial"/>
        </w:rPr>
        <w:t xml:space="preserve"> </w:t>
      </w:r>
      <w:r w:rsidR="006D7964">
        <w:rPr>
          <w:rFonts w:cs="Arial"/>
        </w:rPr>
        <w:t xml:space="preserve">from the last 3 years </w:t>
      </w:r>
      <w:r w:rsidR="000F5213">
        <w:rPr>
          <w:rFonts w:cs="Arial"/>
        </w:rPr>
        <w:t xml:space="preserve">show that the proportion of </w:t>
      </w:r>
      <w:r w:rsidR="00620654">
        <w:rPr>
          <w:rFonts w:cs="Arial"/>
        </w:rPr>
        <w:t>PKR</w:t>
      </w:r>
      <w:r w:rsidR="00AB7EB3">
        <w:rPr>
          <w:rFonts w:cs="Arial"/>
        </w:rPr>
        <w:t>s</w:t>
      </w:r>
      <w:r w:rsidR="00063ADA">
        <w:rPr>
          <w:rFonts w:cs="Arial"/>
        </w:rPr>
        <w:t xml:space="preserve"> (</w:t>
      </w:r>
      <w:r w:rsidR="00063ADA" w:rsidRPr="00063ADA">
        <w:rPr>
          <w:rFonts w:cs="Arial"/>
        </w:rPr>
        <w:t>unicompartmental or unicondylar</w:t>
      </w:r>
      <w:r w:rsidR="00063ADA">
        <w:rPr>
          <w:rFonts w:cs="Arial"/>
        </w:rPr>
        <w:t>)</w:t>
      </w:r>
      <w:r w:rsidR="00063ADA" w:rsidRPr="00063ADA">
        <w:rPr>
          <w:rFonts w:cs="Arial"/>
        </w:rPr>
        <w:t xml:space="preserve"> </w:t>
      </w:r>
      <w:r w:rsidR="00764D54">
        <w:rPr>
          <w:rFonts w:cs="Arial"/>
        </w:rPr>
        <w:t>has</w:t>
      </w:r>
      <w:r w:rsidR="00B43C06">
        <w:rPr>
          <w:rFonts w:cs="Arial"/>
        </w:rPr>
        <w:t xml:space="preserve"> increas</w:t>
      </w:r>
      <w:r w:rsidR="00764D54">
        <w:rPr>
          <w:rFonts w:cs="Arial"/>
        </w:rPr>
        <w:t xml:space="preserve">ed </w:t>
      </w:r>
      <w:r w:rsidR="00E00478">
        <w:rPr>
          <w:rFonts w:cs="Arial"/>
        </w:rPr>
        <w:t xml:space="preserve">by 1% </w:t>
      </w:r>
      <w:r w:rsidR="00101E29">
        <w:rPr>
          <w:rFonts w:cs="Arial"/>
        </w:rPr>
        <w:t>each year</w:t>
      </w:r>
      <w:r w:rsidR="00764D54">
        <w:rPr>
          <w:rFonts w:cs="Arial"/>
        </w:rPr>
        <w:t xml:space="preserve"> between 2018 and 2020 in NHS hospitals</w:t>
      </w:r>
      <w:bookmarkStart w:id="161" w:name="_Hlk82153025"/>
      <w:r w:rsidR="00342FA2">
        <w:rPr>
          <w:rFonts w:cs="Arial"/>
        </w:rPr>
        <w:t>:</w:t>
      </w:r>
      <w:r w:rsidR="00764D54">
        <w:rPr>
          <w:rFonts w:cs="Arial"/>
        </w:rPr>
        <w:t xml:space="preserve">  </w:t>
      </w:r>
    </w:p>
    <w:p w14:paraId="5C3B27F0" w14:textId="1C6ACB4A" w:rsidR="00764D54" w:rsidRDefault="00B56CE1" w:rsidP="00764D54">
      <w:pPr>
        <w:pStyle w:val="NICEnormal"/>
        <w:spacing w:line="276" w:lineRule="auto"/>
        <w:rPr>
          <w:rFonts w:cs="Arial"/>
        </w:rPr>
      </w:pPr>
      <w:r>
        <w:rPr>
          <w:rFonts w:cs="Arial"/>
        </w:rPr>
        <w:t xml:space="preserve">2020:  </w:t>
      </w:r>
      <w:r w:rsidR="00764D54">
        <w:rPr>
          <w:rFonts w:cs="Arial"/>
        </w:rPr>
        <w:t>1</w:t>
      </w:r>
      <w:r w:rsidR="00E00478">
        <w:rPr>
          <w:rFonts w:cs="Arial"/>
        </w:rPr>
        <w:t>1</w:t>
      </w:r>
      <w:r w:rsidR="00764D54">
        <w:rPr>
          <w:rFonts w:cs="Arial"/>
        </w:rPr>
        <w:t xml:space="preserve">% (of </w:t>
      </w:r>
      <w:r w:rsidR="00E00478">
        <w:rPr>
          <w:rFonts w:cs="Arial"/>
        </w:rPr>
        <w:t>25,956</w:t>
      </w:r>
      <w:r w:rsidR="00764D54">
        <w:rPr>
          <w:rFonts w:cs="Arial"/>
        </w:rPr>
        <w:t xml:space="preserve"> </w:t>
      </w:r>
      <w:r w:rsidR="00077628">
        <w:rPr>
          <w:rFonts w:cs="Arial"/>
        </w:rPr>
        <w:t>primary knee procedures)</w:t>
      </w:r>
      <w:r w:rsidR="00764D54">
        <w:rPr>
          <w:rFonts w:cs="Arial"/>
        </w:rPr>
        <w:br/>
        <w:t>2019:  1</w:t>
      </w:r>
      <w:r w:rsidR="00E00478">
        <w:rPr>
          <w:rFonts w:cs="Arial"/>
        </w:rPr>
        <w:t>0</w:t>
      </w:r>
      <w:r w:rsidR="00764D54">
        <w:rPr>
          <w:rFonts w:cs="Arial"/>
        </w:rPr>
        <w:t xml:space="preserve">% (of </w:t>
      </w:r>
      <w:r w:rsidR="00E00478">
        <w:rPr>
          <w:rFonts w:cs="Arial"/>
        </w:rPr>
        <w:t>62,407</w:t>
      </w:r>
      <w:r w:rsidR="00764D54">
        <w:rPr>
          <w:rFonts w:cs="Arial"/>
        </w:rPr>
        <w:t>)</w:t>
      </w:r>
      <w:r w:rsidR="00764D54">
        <w:rPr>
          <w:rFonts w:cs="Arial"/>
        </w:rPr>
        <w:br/>
        <w:t xml:space="preserve">2018:  </w:t>
      </w:r>
      <w:r w:rsidR="00E00478">
        <w:rPr>
          <w:rFonts w:cs="Arial"/>
        </w:rPr>
        <w:t xml:space="preserve"> 9</w:t>
      </w:r>
      <w:r w:rsidR="00764D54">
        <w:rPr>
          <w:rFonts w:cs="Arial"/>
        </w:rPr>
        <w:t xml:space="preserve">% (of </w:t>
      </w:r>
      <w:r w:rsidR="00E00478">
        <w:rPr>
          <w:rFonts w:cs="Arial"/>
        </w:rPr>
        <w:t>59,712</w:t>
      </w:r>
      <w:r w:rsidR="00764D54">
        <w:rPr>
          <w:rFonts w:cs="Arial"/>
        </w:rPr>
        <w:t>)</w:t>
      </w:r>
    </w:p>
    <w:p w14:paraId="6FB1C5D9" w14:textId="6B3654C6" w:rsidR="00764D54" w:rsidRDefault="00E00478" w:rsidP="00764D54">
      <w:pPr>
        <w:pStyle w:val="NICEnormal"/>
        <w:spacing w:line="276" w:lineRule="auto"/>
        <w:rPr>
          <w:rFonts w:cs="Arial"/>
        </w:rPr>
      </w:pPr>
      <w:r>
        <w:rPr>
          <w:rFonts w:cs="Arial"/>
        </w:rPr>
        <w:t xml:space="preserve">There was a more marked increase, year-on-year 2018 to 2020, in the proportion carried out in independent sector treatment centres (10%, 13% and 16%) during the same period, which </w:t>
      </w:r>
      <w:r w:rsidR="00F52295">
        <w:rPr>
          <w:rFonts w:cs="Arial"/>
        </w:rPr>
        <w:t>may</w:t>
      </w:r>
      <w:r>
        <w:rPr>
          <w:rFonts w:cs="Arial"/>
        </w:rPr>
        <w:t xml:space="preserve"> include those for NHS-funded patients. </w:t>
      </w:r>
      <w:r w:rsidR="00400016">
        <w:rPr>
          <w:rFonts w:cs="Arial"/>
        </w:rPr>
        <w:t xml:space="preserve">The proportion </w:t>
      </w:r>
      <w:r w:rsidR="00400016">
        <w:rPr>
          <w:rFonts w:cs="Arial"/>
        </w:rPr>
        <w:lastRenderedPageBreak/>
        <w:t>carried out in independent hospitals increased by 1% in 2020 from 2018 and 2019, to 15%</w:t>
      </w:r>
      <w:r w:rsidR="00F52295">
        <w:rPr>
          <w:rFonts w:cs="Arial"/>
        </w:rPr>
        <w:t xml:space="preserve">, which may </w:t>
      </w:r>
      <w:r w:rsidR="00400016">
        <w:rPr>
          <w:rFonts w:cs="Arial"/>
        </w:rPr>
        <w:t xml:space="preserve">include operations for NHS-funded patients. </w:t>
      </w:r>
    </w:p>
    <w:p w14:paraId="380ADF30" w14:textId="268A8BBC" w:rsidR="007E750E" w:rsidRDefault="00534124" w:rsidP="00426462">
      <w:pPr>
        <w:pStyle w:val="NICEnormal"/>
        <w:spacing w:line="276" w:lineRule="auto"/>
        <w:rPr>
          <w:rFonts w:cs="Arial"/>
        </w:rPr>
      </w:pPr>
      <w:r>
        <w:rPr>
          <w:rFonts w:cs="Arial"/>
        </w:rPr>
        <w:br/>
      </w:r>
      <w:bookmarkEnd w:id="161"/>
      <w:r w:rsidR="00AD39F0">
        <w:rPr>
          <w:rFonts w:cs="Arial"/>
        </w:rPr>
        <w:fldChar w:fldCharType="begin"/>
      </w:r>
      <w:r w:rsidR="00AD39F0">
        <w:rPr>
          <w:rFonts w:cs="Arial"/>
        </w:rPr>
        <w:instrText xml:space="preserve"> HYPERLINK "https://www.gettingitrightfirsttime.co.uk/girft-reports/" </w:instrText>
      </w:r>
      <w:r w:rsidR="00AD39F0">
        <w:rPr>
          <w:rFonts w:cs="Arial"/>
        </w:rPr>
        <w:fldChar w:fldCharType="separate"/>
      </w:r>
      <w:r w:rsidR="00AD39F0" w:rsidRPr="00AD39F0">
        <w:rPr>
          <w:rStyle w:val="Hyperlink"/>
          <w:rFonts w:cs="Arial"/>
        </w:rPr>
        <w:t>GIRFT 2020</w:t>
      </w:r>
      <w:r w:rsidR="00AD39F0">
        <w:rPr>
          <w:rFonts w:cs="Arial"/>
        </w:rPr>
        <w:fldChar w:fldCharType="end"/>
      </w:r>
      <w:r w:rsidR="00AD39F0">
        <w:rPr>
          <w:rFonts w:cs="Arial"/>
        </w:rPr>
        <w:t xml:space="preserve"> highlighted that the </w:t>
      </w:r>
      <w:hyperlink r:id="rId61" w:history="1">
        <w:r w:rsidR="00AD39F0" w:rsidRPr="00F374FC">
          <w:rPr>
            <w:rStyle w:val="Hyperlink"/>
            <w:rFonts w:cs="Arial"/>
          </w:rPr>
          <w:t>2015 report</w:t>
        </w:r>
        <w:r w:rsidR="00F374FC" w:rsidRPr="00F374FC">
          <w:rPr>
            <w:rStyle w:val="Hyperlink"/>
            <w:rFonts w:cs="Arial"/>
          </w:rPr>
          <w:t xml:space="preserve"> (BOA</w:t>
        </w:r>
      </w:hyperlink>
      <w:r w:rsidR="00F374FC">
        <w:rPr>
          <w:rFonts w:cs="Arial"/>
        </w:rPr>
        <w:t>)</w:t>
      </w:r>
      <w:r w:rsidR="00AD39F0">
        <w:rPr>
          <w:rFonts w:cs="Arial"/>
        </w:rPr>
        <w:t xml:space="preserve"> </w:t>
      </w:r>
      <w:r w:rsidR="00FE2CEC">
        <w:rPr>
          <w:rFonts w:cs="Arial"/>
        </w:rPr>
        <w:t xml:space="preserve">recommended that surgeons should carry out 20 </w:t>
      </w:r>
      <w:r w:rsidR="00620654">
        <w:rPr>
          <w:rFonts w:cs="Arial"/>
        </w:rPr>
        <w:t>PKR</w:t>
      </w:r>
      <w:r w:rsidR="00AD39F0">
        <w:rPr>
          <w:rFonts w:cs="Arial"/>
        </w:rPr>
        <w:t xml:space="preserve"> </w:t>
      </w:r>
      <w:r w:rsidR="00D95DAD">
        <w:rPr>
          <w:rFonts w:cs="Arial"/>
        </w:rPr>
        <w:t>(</w:t>
      </w:r>
      <w:r w:rsidR="00D95DAD" w:rsidRPr="00D95DAD">
        <w:rPr>
          <w:rFonts w:cs="Arial"/>
        </w:rPr>
        <w:t>unicondylar</w:t>
      </w:r>
      <w:r w:rsidR="00D95DAD">
        <w:rPr>
          <w:rFonts w:cs="Arial"/>
        </w:rPr>
        <w:t xml:space="preserve">) </w:t>
      </w:r>
      <w:r w:rsidR="00FE2CEC">
        <w:rPr>
          <w:rFonts w:cs="Arial"/>
        </w:rPr>
        <w:t>procedures per year</w:t>
      </w:r>
      <w:proofErr w:type="gramStart"/>
      <w:r w:rsidR="00B5284A">
        <w:rPr>
          <w:rFonts w:cs="Arial"/>
        </w:rPr>
        <w:t xml:space="preserve">.  </w:t>
      </w:r>
      <w:proofErr w:type="gramEnd"/>
      <w:r w:rsidR="00B5284A">
        <w:rPr>
          <w:rFonts w:cs="Arial"/>
        </w:rPr>
        <w:t>By the time of the follow-up 2020 report being published</w:t>
      </w:r>
      <w:r w:rsidR="00AD39F0">
        <w:rPr>
          <w:rFonts w:cs="Arial"/>
        </w:rPr>
        <w:t xml:space="preserve">, </w:t>
      </w:r>
      <w:r w:rsidR="00B5284A">
        <w:rPr>
          <w:rFonts w:cs="Arial"/>
        </w:rPr>
        <w:t>this</w:t>
      </w:r>
      <w:r w:rsidR="00AD39F0">
        <w:rPr>
          <w:rFonts w:cs="Arial"/>
        </w:rPr>
        <w:t xml:space="preserve"> ha</w:t>
      </w:r>
      <w:r w:rsidR="00B5284A">
        <w:rPr>
          <w:rFonts w:cs="Arial"/>
        </w:rPr>
        <w:t>d</w:t>
      </w:r>
      <w:r w:rsidR="00AD39F0">
        <w:rPr>
          <w:rFonts w:cs="Arial"/>
        </w:rPr>
        <w:t xml:space="preserve"> been</w:t>
      </w:r>
      <w:r w:rsidR="00B5284A">
        <w:rPr>
          <w:rFonts w:cs="Arial"/>
        </w:rPr>
        <w:t xml:space="preserve"> reduced</w:t>
      </w:r>
      <w:r w:rsidR="00AD39F0">
        <w:rPr>
          <w:rFonts w:cs="Arial"/>
        </w:rPr>
        <w:t xml:space="preserve"> to 10</w:t>
      </w:r>
      <w:proofErr w:type="gramStart"/>
      <w:r w:rsidR="00FE2CEC">
        <w:rPr>
          <w:rFonts w:cs="Arial"/>
        </w:rPr>
        <w:t>.</w:t>
      </w:r>
      <w:r w:rsidR="007E750E">
        <w:rPr>
          <w:rFonts w:cs="Arial"/>
        </w:rPr>
        <w:t xml:space="preserve">  </w:t>
      </w:r>
      <w:proofErr w:type="gramEnd"/>
    </w:p>
    <w:p w14:paraId="04847C49" w14:textId="7FF597D4" w:rsidR="007E750E" w:rsidRDefault="00751008" w:rsidP="007C0877">
      <w:pPr>
        <w:pStyle w:val="Bulletleft1"/>
        <w:spacing w:line="276" w:lineRule="auto"/>
      </w:pPr>
      <w:hyperlink r:id="rId62" w:history="1">
        <w:r w:rsidR="004013DB">
          <w:rPr>
            <w:rStyle w:val="Hyperlink"/>
          </w:rPr>
          <w:t>GIR</w:t>
        </w:r>
        <w:r w:rsidR="00976FFA">
          <w:rPr>
            <w:rStyle w:val="Hyperlink"/>
          </w:rPr>
          <w:t>F</w:t>
        </w:r>
        <w:r w:rsidR="004013DB">
          <w:rPr>
            <w:rStyle w:val="Hyperlink"/>
          </w:rPr>
          <w:t>T 2020</w:t>
        </w:r>
      </w:hyperlink>
      <w:r w:rsidR="00FB5BA1">
        <w:t xml:space="preserve"> </w:t>
      </w:r>
      <w:r w:rsidR="007E750E">
        <w:t>highlights that NJR data for 2018 show</w:t>
      </w:r>
      <w:r w:rsidR="00B43C06">
        <w:t>ed</w:t>
      </w:r>
      <w:r w:rsidR="007E750E">
        <w:t xml:space="preserve"> that 62</w:t>
      </w:r>
      <w:r w:rsidR="00851A2A">
        <w:t>.3</w:t>
      </w:r>
      <w:r w:rsidR="007E750E">
        <w:t>% of surgeons carr</w:t>
      </w:r>
      <w:r w:rsidR="00B43C06">
        <w:t>ied</w:t>
      </w:r>
      <w:r w:rsidR="007E750E">
        <w:t xml:space="preserve"> out 10 or fewer </w:t>
      </w:r>
      <w:r w:rsidR="00620654">
        <w:t>PKR</w:t>
      </w:r>
      <w:r w:rsidR="00AB7EB3">
        <w:t>s</w:t>
      </w:r>
      <w:r w:rsidR="004013DB">
        <w:t xml:space="preserve">; </w:t>
      </w:r>
      <w:r w:rsidR="00851A2A">
        <w:t xml:space="preserve">in 2012, </w:t>
      </w:r>
      <w:r w:rsidR="00FA5396">
        <w:t>76.4% did.</w:t>
      </w:r>
    </w:p>
    <w:p w14:paraId="080617F9" w14:textId="0590C1E9" w:rsidR="000F5213" w:rsidRPr="00B94079" w:rsidRDefault="00751008" w:rsidP="00B56CE1">
      <w:pPr>
        <w:pStyle w:val="Bulletleft1"/>
        <w:spacing w:line="276" w:lineRule="auto"/>
      </w:pPr>
      <w:hyperlink r:id="rId63" w:history="1">
        <w:r w:rsidR="00F52295">
          <w:rPr>
            <w:rStyle w:val="Hyperlink"/>
          </w:rPr>
          <w:t>NJR 2021</w:t>
        </w:r>
      </w:hyperlink>
      <w:r w:rsidR="004013DB">
        <w:t xml:space="preserve"> highlights</w:t>
      </w:r>
      <w:r w:rsidR="007E750E">
        <w:t xml:space="preserve"> that the</w:t>
      </w:r>
      <w:r w:rsidR="00077628">
        <w:t xml:space="preserve"> median number of such cases performed over the past </w:t>
      </w:r>
      <w:r w:rsidR="00400016">
        <w:t>3</w:t>
      </w:r>
      <w:r w:rsidR="00077628">
        <w:t xml:space="preserve"> years is 19 (per surgeon) or 49 per unit</w:t>
      </w:r>
      <w:r w:rsidR="00400016">
        <w:t xml:space="preserve">, although it must be noted that 2020 data is affected by the </w:t>
      </w:r>
      <w:r w:rsidR="00351C1C">
        <w:t>impact of COVID-19</w:t>
      </w:r>
      <w:proofErr w:type="gramStart"/>
      <w:r w:rsidR="00351C1C">
        <w:t xml:space="preserve">.  </w:t>
      </w:r>
      <w:proofErr w:type="gramEnd"/>
      <w:r w:rsidR="00351C1C">
        <w:t>It is highlighted that over recent years prior to 2020, virtually no procedures were carried out by surgeons performing fewer than 7 total knee replacements (TKRs) per year.</w:t>
      </w:r>
    </w:p>
    <w:p w14:paraId="2227552B" w14:textId="6412F84B" w:rsidR="00BD5B75" w:rsidRDefault="00BD5B75" w:rsidP="00BD5B75">
      <w:pPr>
        <w:pStyle w:val="Heading3"/>
      </w:pPr>
      <w:r>
        <w:t>Patella resurfacing</w:t>
      </w:r>
      <w:r w:rsidR="00EF4F07">
        <w:t xml:space="preserve"> (TKR)</w:t>
      </w:r>
    </w:p>
    <w:p w14:paraId="51097958" w14:textId="5ACBBEE4" w:rsidR="00BD5B75" w:rsidRPr="00BD5B75" w:rsidRDefault="00BD5B75" w:rsidP="00FE4DB7">
      <w:pPr>
        <w:pStyle w:val="NICEnormal"/>
        <w:spacing w:line="276" w:lineRule="auto"/>
      </w:pPr>
      <w:r>
        <w:t xml:space="preserve">Stakeholders suggested </w:t>
      </w:r>
      <w:r w:rsidR="00F82C10">
        <w:t xml:space="preserve">that increasing the practice of patella resurfacing is a quality improvement area, commenting that adopting the technique could reduce the need for revision procedures. </w:t>
      </w:r>
    </w:p>
    <w:p w14:paraId="4F18BFA7" w14:textId="2C2BAA0C" w:rsidR="00BD5B75" w:rsidRPr="00BD5B75" w:rsidRDefault="00BD5B75" w:rsidP="00BD5B75">
      <w:pPr>
        <w:keepNext/>
        <w:spacing w:before="240" w:after="60" w:line="360" w:lineRule="auto"/>
        <w:outlineLvl w:val="3"/>
        <w:rPr>
          <w:rFonts w:ascii="Arial" w:hAnsi="Arial"/>
          <w:b/>
          <w:bCs/>
          <w:iCs/>
          <w:szCs w:val="28"/>
        </w:rPr>
      </w:pPr>
      <w:r w:rsidRPr="00BD5B75">
        <w:rPr>
          <w:rFonts w:ascii="Arial" w:hAnsi="Arial"/>
          <w:b/>
          <w:bCs/>
          <w:iCs/>
          <w:szCs w:val="28"/>
        </w:rPr>
        <w:t xml:space="preserve">Selected recommendations </w:t>
      </w:r>
    </w:p>
    <w:p w14:paraId="037D5C3D" w14:textId="56A8237C" w:rsidR="00BD5B75" w:rsidRPr="00BD5B75" w:rsidRDefault="00751008" w:rsidP="00BD5B75">
      <w:pPr>
        <w:spacing w:before="240" w:after="240" w:line="276" w:lineRule="auto"/>
        <w:rPr>
          <w:rFonts w:ascii="Arial" w:hAnsi="Arial"/>
        </w:rPr>
      </w:pPr>
      <w:hyperlink r:id="rId64" w:history="1">
        <w:r w:rsidR="00D95DAD">
          <w:rPr>
            <w:rFonts w:ascii="Arial" w:hAnsi="Arial"/>
            <w:color w:val="0000FF" w:themeColor="hyperlink"/>
            <w:u w:val="single"/>
          </w:rPr>
          <w:t>NICE’s guideline on joint replacement (primary) (NG157):</w:t>
        </w:r>
      </w:hyperlink>
    </w:p>
    <w:p w14:paraId="40E28021" w14:textId="77777777" w:rsidR="00BD5B75" w:rsidRPr="00BD5B75" w:rsidRDefault="00BD5B75" w:rsidP="00BD5B75">
      <w:pPr>
        <w:spacing w:after="240" w:line="276" w:lineRule="auto"/>
        <w:rPr>
          <w:rFonts w:ascii="Arial" w:hAnsi="Arial"/>
          <w:bCs/>
          <w:iCs/>
        </w:rPr>
      </w:pPr>
      <w:r w:rsidRPr="00BD5B75">
        <w:rPr>
          <w:rFonts w:ascii="Arial" w:hAnsi="Arial"/>
          <w:bCs/>
          <w:iCs/>
        </w:rPr>
        <w:t>1.7.2 Offer resurfacing of the patella to people having primary elective total knee replacement.</w:t>
      </w:r>
    </w:p>
    <w:p w14:paraId="3720655F" w14:textId="77777777" w:rsidR="00BD5B75" w:rsidRPr="00BD5B75" w:rsidRDefault="00BD5B75" w:rsidP="00BD5B75">
      <w:pPr>
        <w:keepNext/>
        <w:spacing w:before="240" w:after="60" w:line="360" w:lineRule="auto"/>
        <w:outlineLvl w:val="3"/>
        <w:rPr>
          <w:rFonts w:ascii="Arial" w:hAnsi="Arial"/>
          <w:b/>
          <w:bCs/>
          <w:iCs/>
          <w:szCs w:val="28"/>
        </w:rPr>
      </w:pPr>
      <w:r w:rsidRPr="00BD5B75">
        <w:rPr>
          <w:rFonts w:ascii="Arial" w:hAnsi="Arial"/>
          <w:b/>
          <w:bCs/>
          <w:iCs/>
          <w:szCs w:val="28"/>
        </w:rPr>
        <w:t>Current UK practice</w:t>
      </w:r>
    </w:p>
    <w:p w14:paraId="5A9B6848" w14:textId="6168AAF1" w:rsidR="00BD5B75" w:rsidRPr="00BD5B75" w:rsidRDefault="00751008" w:rsidP="00BD5B75">
      <w:pPr>
        <w:spacing w:line="276" w:lineRule="auto"/>
        <w:rPr>
          <w:rFonts w:ascii="Arial" w:hAnsi="Arial" w:cs="Arial"/>
        </w:rPr>
      </w:pPr>
      <w:hyperlink r:id="rId65" w:history="1">
        <w:r w:rsidR="00BD5B75" w:rsidRPr="00BD5B75">
          <w:rPr>
            <w:rFonts w:ascii="Arial" w:hAnsi="Arial" w:cs="Arial"/>
            <w:color w:val="0000FF" w:themeColor="hyperlink"/>
            <w:u w:val="single"/>
          </w:rPr>
          <w:t>A national survey of members of the British Association for Surgery of the Knee (BASK)</w:t>
        </w:r>
      </w:hyperlink>
      <w:r w:rsidR="00BD5B75" w:rsidRPr="00BD5B75">
        <w:rPr>
          <w:rFonts w:ascii="Arial" w:hAnsi="Arial" w:cs="Arial"/>
        </w:rPr>
        <w:t xml:space="preserve"> </w:t>
      </w:r>
      <w:r w:rsidR="004013DB">
        <w:rPr>
          <w:rFonts w:ascii="Arial" w:hAnsi="Arial" w:cs="Arial"/>
        </w:rPr>
        <w:t>(</w:t>
      </w:r>
      <w:r w:rsidR="004013DB" w:rsidRPr="004013DB">
        <w:rPr>
          <w:rFonts w:ascii="Arial" w:hAnsi="Arial" w:cs="Arial"/>
        </w:rPr>
        <w:t>Matharu</w:t>
      </w:r>
      <w:r w:rsidR="004013DB">
        <w:rPr>
          <w:rFonts w:ascii="Arial" w:hAnsi="Arial" w:cs="Arial"/>
        </w:rPr>
        <w:t xml:space="preserve"> et al, 2021) was </w:t>
      </w:r>
      <w:r w:rsidR="00BD5B75" w:rsidRPr="00BD5B75">
        <w:rPr>
          <w:rFonts w:ascii="Arial" w:hAnsi="Arial" w:cs="Arial"/>
        </w:rPr>
        <w:t>completed by 309 practising knee surgeons (around 90% of whom were consultants) working across 288 UK hospitals on patellar resurfacing practices for TKRs</w:t>
      </w:r>
      <w:proofErr w:type="gramStart"/>
      <w:r w:rsidR="00862AEA">
        <w:rPr>
          <w:rFonts w:ascii="Arial" w:hAnsi="Arial" w:cs="Arial"/>
        </w:rPr>
        <w:t xml:space="preserve">.  </w:t>
      </w:r>
      <w:proofErr w:type="gramEnd"/>
      <w:r w:rsidR="00862AEA">
        <w:rPr>
          <w:rFonts w:ascii="Arial" w:hAnsi="Arial" w:cs="Arial"/>
        </w:rPr>
        <w:t xml:space="preserve">The survey was carried out between </w:t>
      </w:r>
      <w:r w:rsidR="004013DB" w:rsidRPr="004013DB">
        <w:rPr>
          <w:rFonts w:ascii="Arial" w:hAnsi="Arial" w:cs="Arial"/>
        </w:rPr>
        <w:t>August and October 2020</w:t>
      </w:r>
      <w:r w:rsidR="00BD5B75" w:rsidRPr="00BD5B75">
        <w:rPr>
          <w:rFonts w:ascii="Arial" w:hAnsi="Arial" w:cs="Arial"/>
        </w:rPr>
        <w:t xml:space="preserve">. The article highlighted </w:t>
      </w:r>
      <w:r w:rsidR="00862AEA">
        <w:rPr>
          <w:rFonts w:ascii="Arial" w:hAnsi="Arial" w:cs="Arial"/>
        </w:rPr>
        <w:t>the</w:t>
      </w:r>
      <w:r w:rsidR="00BD5B75" w:rsidRPr="00BD5B75">
        <w:rPr>
          <w:rFonts w:ascii="Arial" w:hAnsi="Arial" w:cs="Arial"/>
        </w:rPr>
        <w:t xml:space="preserve"> recommendation on routine resurfacing of the patella in </w:t>
      </w:r>
      <w:hyperlink r:id="rId66" w:history="1">
        <w:r w:rsidR="00862AEA" w:rsidRPr="00862AEA">
          <w:rPr>
            <w:rStyle w:val="Hyperlink"/>
            <w:rFonts w:ascii="Arial" w:hAnsi="Arial" w:cs="Arial"/>
          </w:rPr>
          <w:t xml:space="preserve">NICE </w:t>
        </w:r>
        <w:r w:rsidR="00BD5B75" w:rsidRPr="00862AEA">
          <w:rPr>
            <w:rStyle w:val="Hyperlink"/>
            <w:rFonts w:ascii="Arial" w:hAnsi="Arial" w:cs="Arial"/>
          </w:rPr>
          <w:t>NG157</w:t>
        </w:r>
      </w:hyperlink>
      <w:r w:rsidR="00BD5B75" w:rsidRPr="00BD5B75">
        <w:rPr>
          <w:rFonts w:ascii="Arial" w:hAnsi="Arial" w:cs="Arial"/>
        </w:rPr>
        <w:t xml:space="preserve">. Findings </w:t>
      </w:r>
      <w:r w:rsidR="00FA5396">
        <w:rPr>
          <w:rFonts w:ascii="Arial" w:hAnsi="Arial" w:cs="Arial"/>
        </w:rPr>
        <w:t>included:</w:t>
      </w:r>
    </w:p>
    <w:p w14:paraId="16FC8AB9" w14:textId="77777777" w:rsidR="00BD5B75" w:rsidRPr="00BD5B75" w:rsidRDefault="00BD5B75" w:rsidP="00BD5B75">
      <w:pPr>
        <w:spacing w:line="276" w:lineRule="auto"/>
        <w:rPr>
          <w:rFonts w:ascii="Arial" w:hAnsi="Arial" w:cs="Arial"/>
        </w:rPr>
      </w:pPr>
    </w:p>
    <w:p w14:paraId="71628949" w14:textId="77777777" w:rsidR="00BD5B75" w:rsidRPr="00BD5B75" w:rsidRDefault="00BD5B75" w:rsidP="000868F8">
      <w:pPr>
        <w:numPr>
          <w:ilvl w:val="0"/>
          <w:numId w:val="15"/>
        </w:numPr>
        <w:spacing w:line="276" w:lineRule="auto"/>
        <w:rPr>
          <w:rFonts w:ascii="Arial" w:eastAsia="Calibri" w:hAnsi="Arial" w:cs="Arial"/>
          <w:lang w:eastAsia="en-GB"/>
        </w:rPr>
      </w:pPr>
      <w:r w:rsidRPr="00BD5B75">
        <w:rPr>
          <w:rFonts w:ascii="Arial" w:eastAsia="Calibri" w:hAnsi="Arial" w:cs="Arial"/>
          <w:lang w:eastAsia="en-GB"/>
        </w:rPr>
        <w:t>24% of surgeons never performed patellar resurfacing.</w:t>
      </w:r>
    </w:p>
    <w:p w14:paraId="6C39AA8E" w14:textId="77777777" w:rsidR="00BD5B75" w:rsidRPr="00BD5B75" w:rsidRDefault="00BD5B75" w:rsidP="000868F8">
      <w:pPr>
        <w:numPr>
          <w:ilvl w:val="0"/>
          <w:numId w:val="15"/>
        </w:numPr>
        <w:spacing w:line="276" w:lineRule="auto"/>
        <w:rPr>
          <w:rFonts w:ascii="Arial" w:eastAsia="Calibri" w:hAnsi="Arial" w:cs="Arial"/>
          <w:lang w:eastAsia="en-GB"/>
        </w:rPr>
      </w:pPr>
      <w:r w:rsidRPr="00BD5B75">
        <w:rPr>
          <w:rFonts w:ascii="Arial" w:eastAsia="Calibri" w:hAnsi="Arial" w:cs="Arial"/>
          <w:lang w:eastAsia="en-GB"/>
        </w:rPr>
        <w:t xml:space="preserve">37% always did. </w:t>
      </w:r>
    </w:p>
    <w:p w14:paraId="7B50FF4C" w14:textId="1EB9A9C0" w:rsidR="00BD5B75" w:rsidRPr="00BD5B75" w:rsidRDefault="00BD5B75" w:rsidP="000868F8">
      <w:pPr>
        <w:numPr>
          <w:ilvl w:val="0"/>
          <w:numId w:val="15"/>
        </w:numPr>
        <w:rPr>
          <w:rFonts w:ascii="Arial" w:eastAsia="Calibri" w:hAnsi="Arial" w:cs="Arial"/>
          <w:lang w:eastAsia="en-GB"/>
        </w:rPr>
      </w:pPr>
      <w:r w:rsidRPr="00BD5B75">
        <w:rPr>
          <w:rFonts w:ascii="Arial" w:eastAsia="Calibri" w:hAnsi="Arial" w:cs="Arial"/>
          <w:lang w:eastAsia="en-GB"/>
        </w:rPr>
        <w:t xml:space="preserve">39% did so selectively, of </w:t>
      </w:r>
      <w:r w:rsidR="00862AEA">
        <w:rPr>
          <w:rFonts w:ascii="Arial" w:eastAsia="Calibri" w:hAnsi="Arial" w:cs="Arial"/>
          <w:lang w:eastAsia="en-GB"/>
        </w:rPr>
        <w:t>whom</w:t>
      </w:r>
      <w:r w:rsidRPr="00BD5B75">
        <w:rPr>
          <w:rFonts w:ascii="Arial" w:eastAsia="Calibri" w:hAnsi="Arial" w:cs="Arial"/>
          <w:lang w:eastAsia="en-GB"/>
        </w:rPr>
        <w:t xml:space="preserve"> 71% performed patella resurfacing in less than 50% of TKRs.</w:t>
      </w:r>
    </w:p>
    <w:p w14:paraId="507F92C6" w14:textId="0B8F7EDA" w:rsidR="00A820F7" w:rsidRDefault="00A820F7" w:rsidP="000868F8">
      <w:pPr>
        <w:numPr>
          <w:ilvl w:val="0"/>
          <w:numId w:val="15"/>
        </w:numPr>
        <w:spacing w:line="276" w:lineRule="auto"/>
        <w:rPr>
          <w:rFonts w:ascii="Arial" w:eastAsia="Calibri" w:hAnsi="Arial" w:cs="Arial"/>
          <w:lang w:eastAsia="en-GB"/>
        </w:rPr>
      </w:pPr>
      <w:r w:rsidRPr="00BD5B75">
        <w:rPr>
          <w:rFonts w:ascii="Arial" w:eastAsia="Calibri" w:hAnsi="Arial" w:cs="Arial"/>
          <w:lang w:eastAsia="en-GB"/>
        </w:rPr>
        <w:t>The risk of needing future revision to resurface a previously unresurfaced patella was rated as important by 43%.</w:t>
      </w:r>
    </w:p>
    <w:p w14:paraId="1B022D24" w14:textId="6C75CA7C" w:rsidR="00EF209B" w:rsidRPr="00BD5B75" w:rsidRDefault="00EF209B" w:rsidP="000868F8">
      <w:pPr>
        <w:numPr>
          <w:ilvl w:val="0"/>
          <w:numId w:val="15"/>
        </w:numPr>
        <w:spacing w:line="276" w:lineRule="auto"/>
        <w:rPr>
          <w:rFonts w:ascii="Arial" w:eastAsia="Calibri" w:hAnsi="Arial" w:cs="Arial"/>
          <w:lang w:eastAsia="en-GB"/>
        </w:rPr>
      </w:pPr>
      <w:r>
        <w:rPr>
          <w:rFonts w:ascii="Arial" w:eastAsia="Calibri" w:hAnsi="Arial" w:cs="Arial"/>
          <w:lang w:eastAsia="en-GB"/>
        </w:rPr>
        <w:t>T</w:t>
      </w:r>
      <w:r w:rsidRPr="00EF209B">
        <w:rPr>
          <w:rFonts w:ascii="Arial" w:eastAsia="Calibri" w:hAnsi="Arial" w:cs="Arial"/>
          <w:lang w:eastAsia="en-GB"/>
        </w:rPr>
        <w:t>he risk of needing future revision due to patellar component loosening or failure was only rated as important by 11%.</w:t>
      </w:r>
    </w:p>
    <w:p w14:paraId="6D5EEE3C" w14:textId="29D83EFE" w:rsidR="00BD5B75" w:rsidRPr="00BD5B75" w:rsidRDefault="00BD5B75" w:rsidP="000868F8">
      <w:pPr>
        <w:numPr>
          <w:ilvl w:val="0"/>
          <w:numId w:val="15"/>
        </w:numPr>
        <w:spacing w:line="276" w:lineRule="auto"/>
        <w:rPr>
          <w:rFonts w:ascii="Arial" w:eastAsia="Calibri" w:hAnsi="Arial" w:cs="Arial"/>
          <w:lang w:eastAsia="en-GB"/>
        </w:rPr>
      </w:pPr>
      <w:r w:rsidRPr="00BD5B75">
        <w:rPr>
          <w:rFonts w:ascii="Arial" w:eastAsia="Calibri" w:hAnsi="Arial" w:cs="Arial"/>
          <w:lang w:eastAsia="en-GB"/>
        </w:rPr>
        <w:lastRenderedPageBreak/>
        <w:t>61% cited the condition of patella articular cartilage at surgery as the most common factor in deciding to perform resurfacing.</w:t>
      </w:r>
    </w:p>
    <w:p w14:paraId="0DE3DBB8" w14:textId="77777777" w:rsidR="00BD5B75" w:rsidRPr="00BD5B75" w:rsidRDefault="00BD5B75" w:rsidP="00BD5B75">
      <w:pPr>
        <w:spacing w:line="276" w:lineRule="auto"/>
        <w:rPr>
          <w:rFonts w:ascii="Arial" w:hAnsi="Arial" w:cs="Arial"/>
        </w:rPr>
      </w:pPr>
    </w:p>
    <w:p w14:paraId="166A8D5F" w14:textId="096E6714" w:rsidR="00FA5396" w:rsidRDefault="00BD5B75" w:rsidP="00BD5B75">
      <w:pPr>
        <w:spacing w:line="276" w:lineRule="auto"/>
        <w:rPr>
          <w:rFonts w:ascii="Arial" w:hAnsi="Arial" w:cs="Arial"/>
        </w:rPr>
      </w:pPr>
      <w:r w:rsidRPr="00BD5B75">
        <w:rPr>
          <w:rFonts w:ascii="Arial" w:hAnsi="Arial" w:cs="Arial"/>
        </w:rPr>
        <w:t>Th</w:t>
      </w:r>
      <w:r w:rsidR="00AB7EB3">
        <w:rPr>
          <w:rFonts w:ascii="Arial" w:hAnsi="Arial" w:cs="Arial"/>
        </w:rPr>
        <w:t>is</w:t>
      </w:r>
      <w:r w:rsidRPr="00BD5B75">
        <w:rPr>
          <w:rFonts w:ascii="Arial" w:hAnsi="Arial" w:cs="Arial"/>
        </w:rPr>
        <w:t xml:space="preserve"> article also highlighted that the rate of patellar resurfacing is steadily increasing, citing data from the NJR, which shows that in 2011, 36% of primary TKRs had a patella resurfacing; in 2019</w:t>
      </w:r>
      <w:r w:rsidR="003065DB">
        <w:rPr>
          <w:rFonts w:ascii="Arial" w:hAnsi="Arial" w:cs="Arial"/>
        </w:rPr>
        <w:t>,</w:t>
      </w:r>
      <w:r w:rsidRPr="00BD5B75">
        <w:rPr>
          <w:rFonts w:ascii="Arial" w:hAnsi="Arial" w:cs="Arial"/>
        </w:rPr>
        <w:t xml:space="preserve"> </w:t>
      </w:r>
      <w:r w:rsidR="00B43C06">
        <w:rPr>
          <w:rFonts w:ascii="Arial" w:hAnsi="Arial" w:cs="Arial"/>
        </w:rPr>
        <w:t>this</w:t>
      </w:r>
      <w:r w:rsidRPr="00BD5B75">
        <w:rPr>
          <w:rFonts w:ascii="Arial" w:hAnsi="Arial" w:cs="Arial"/>
        </w:rPr>
        <w:t xml:space="preserve"> had increased to</w:t>
      </w:r>
      <w:r w:rsidR="003065DB">
        <w:rPr>
          <w:rFonts w:ascii="Arial" w:hAnsi="Arial" w:cs="Arial"/>
        </w:rPr>
        <w:t xml:space="preserve"> </w:t>
      </w:r>
      <w:r w:rsidRPr="00BD5B75">
        <w:rPr>
          <w:rFonts w:ascii="Arial" w:hAnsi="Arial" w:cs="Arial"/>
        </w:rPr>
        <w:t>4</w:t>
      </w:r>
      <w:r w:rsidR="001745A5">
        <w:rPr>
          <w:rFonts w:ascii="Arial" w:hAnsi="Arial" w:cs="Arial"/>
        </w:rPr>
        <w:t>3</w:t>
      </w:r>
      <w:r w:rsidRPr="00BD5B75">
        <w:rPr>
          <w:rFonts w:ascii="Arial" w:hAnsi="Arial" w:cs="Arial"/>
        </w:rPr>
        <w:t>%</w:t>
      </w:r>
      <w:r w:rsidR="00C836C2">
        <w:rPr>
          <w:rFonts w:ascii="Arial" w:hAnsi="Arial" w:cs="Arial"/>
        </w:rPr>
        <w:t xml:space="preserve"> of TKRs</w:t>
      </w:r>
      <w:r w:rsidR="003065DB">
        <w:rPr>
          <w:rFonts w:ascii="Arial" w:hAnsi="Arial" w:cs="Arial"/>
        </w:rPr>
        <w:t>.</w:t>
      </w:r>
      <w:r w:rsidR="00351C1C">
        <w:rPr>
          <w:rFonts w:ascii="Arial" w:hAnsi="Arial" w:cs="Arial"/>
        </w:rPr>
        <w:t xml:space="preserve"> </w:t>
      </w:r>
      <w:hyperlink r:id="rId67" w:history="1">
        <w:r w:rsidR="00351C1C" w:rsidRPr="00A10E73">
          <w:rPr>
            <w:rStyle w:val="Hyperlink"/>
            <w:rFonts w:ascii="Arial" w:hAnsi="Arial" w:cs="Arial"/>
          </w:rPr>
          <w:t>NJR Reports</w:t>
        </w:r>
      </w:hyperlink>
      <w:r w:rsidR="00351C1C">
        <w:rPr>
          <w:rFonts w:ascii="Arial" w:hAnsi="Arial" w:cs="Arial"/>
        </w:rPr>
        <w:t xml:space="preserve"> show that in 2020, 4</w:t>
      </w:r>
      <w:r w:rsidR="001745A5">
        <w:rPr>
          <w:rFonts w:ascii="Arial" w:hAnsi="Arial" w:cs="Arial"/>
        </w:rPr>
        <w:t>9</w:t>
      </w:r>
      <w:r w:rsidR="00351C1C">
        <w:rPr>
          <w:rFonts w:ascii="Arial" w:hAnsi="Arial" w:cs="Arial"/>
        </w:rPr>
        <w:t xml:space="preserve">% of </w:t>
      </w:r>
      <w:r w:rsidR="001745A5">
        <w:rPr>
          <w:rFonts w:ascii="Arial" w:hAnsi="Arial" w:cs="Arial"/>
        </w:rPr>
        <w:t xml:space="preserve">primary </w:t>
      </w:r>
      <w:r w:rsidR="00351C1C">
        <w:rPr>
          <w:rFonts w:ascii="Arial" w:hAnsi="Arial" w:cs="Arial"/>
        </w:rPr>
        <w:t>TKRs had patella resurfacing.</w:t>
      </w:r>
    </w:p>
    <w:p w14:paraId="44077B31" w14:textId="77777777" w:rsidR="00A10E73" w:rsidRDefault="00A10E73" w:rsidP="004F6FD6">
      <w:pPr>
        <w:spacing w:line="276" w:lineRule="auto"/>
      </w:pPr>
    </w:p>
    <w:p w14:paraId="73128835" w14:textId="3AD0B36D" w:rsidR="00EA46E2" w:rsidRPr="004F6FD6" w:rsidRDefault="00751008" w:rsidP="004F6FD6">
      <w:pPr>
        <w:spacing w:line="276" w:lineRule="auto"/>
        <w:rPr>
          <w:rFonts w:ascii="Arial" w:hAnsi="Arial" w:cs="Arial"/>
        </w:rPr>
      </w:pPr>
      <w:hyperlink r:id="rId68" w:history="1">
        <w:r w:rsidR="00FB5BA1">
          <w:rPr>
            <w:rStyle w:val="Hyperlink"/>
            <w:rFonts w:ascii="Arial" w:hAnsi="Arial" w:cs="Arial"/>
          </w:rPr>
          <w:t>GIRFT 2020</w:t>
        </w:r>
      </w:hyperlink>
      <w:r w:rsidR="00B3471F">
        <w:rPr>
          <w:rFonts w:ascii="Arial" w:hAnsi="Arial" w:cs="Arial"/>
        </w:rPr>
        <w:t xml:space="preserve"> highlights that the </w:t>
      </w:r>
      <w:r w:rsidR="002918E6">
        <w:rPr>
          <w:rFonts w:ascii="Arial" w:hAnsi="Arial" w:cs="Arial"/>
        </w:rPr>
        <w:t>proportion of</w:t>
      </w:r>
      <w:r w:rsidR="00B43C06">
        <w:rPr>
          <w:rFonts w:ascii="Arial" w:hAnsi="Arial" w:cs="Arial"/>
        </w:rPr>
        <w:t xml:space="preserve"> </w:t>
      </w:r>
      <w:r w:rsidR="002918E6">
        <w:rPr>
          <w:rFonts w:ascii="Arial" w:hAnsi="Arial" w:cs="Arial"/>
        </w:rPr>
        <w:t xml:space="preserve">elective knee revision surgeries carried out (of all knee replacement surgeries) has </w:t>
      </w:r>
      <w:r w:rsidR="00B3471F">
        <w:rPr>
          <w:rFonts w:ascii="Arial" w:hAnsi="Arial" w:cs="Arial"/>
        </w:rPr>
        <w:t xml:space="preserve">fallen from around 7% in 2013/14 to </w:t>
      </w:r>
      <w:r w:rsidR="00EF209B">
        <w:rPr>
          <w:rFonts w:ascii="Arial" w:hAnsi="Arial" w:cs="Arial"/>
        </w:rPr>
        <w:t xml:space="preserve">a little </w:t>
      </w:r>
      <w:r w:rsidR="002918E6">
        <w:rPr>
          <w:rFonts w:ascii="Arial" w:hAnsi="Arial" w:cs="Arial"/>
        </w:rPr>
        <w:t>more than</w:t>
      </w:r>
      <w:r w:rsidR="00B3471F">
        <w:rPr>
          <w:rFonts w:ascii="Arial" w:hAnsi="Arial" w:cs="Arial"/>
        </w:rPr>
        <w:t xml:space="preserve"> 6% in 2018/19</w:t>
      </w:r>
      <w:proofErr w:type="gramStart"/>
      <w:r w:rsidR="00862AEA">
        <w:rPr>
          <w:rFonts w:ascii="Arial" w:hAnsi="Arial" w:cs="Arial"/>
        </w:rPr>
        <w:t xml:space="preserve">.  </w:t>
      </w:r>
      <w:proofErr w:type="gramEnd"/>
      <w:r w:rsidR="00862AEA">
        <w:rPr>
          <w:rFonts w:ascii="Arial" w:hAnsi="Arial" w:cs="Arial"/>
        </w:rPr>
        <w:t>The</w:t>
      </w:r>
      <w:r w:rsidR="00B3471F">
        <w:rPr>
          <w:rFonts w:ascii="Arial" w:hAnsi="Arial" w:cs="Arial"/>
        </w:rPr>
        <w:t xml:space="preserve"> decline has been less pronounced than </w:t>
      </w:r>
      <w:r w:rsidR="00B43C06">
        <w:rPr>
          <w:rFonts w:ascii="Arial" w:hAnsi="Arial" w:cs="Arial"/>
        </w:rPr>
        <w:t xml:space="preserve">the reduction </w:t>
      </w:r>
      <w:r w:rsidR="00D60DB4">
        <w:rPr>
          <w:rFonts w:ascii="Arial" w:hAnsi="Arial" w:cs="Arial"/>
        </w:rPr>
        <w:t xml:space="preserve">in </w:t>
      </w:r>
      <w:r w:rsidR="002918E6">
        <w:rPr>
          <w:rFonts w:ascii="Arial" w:hAnsi="Arial" w:cs="Arial"/>
        </w:rPr>
        <w:t>the proportion of elective hip revision surgeries</w:t>
      </w:r>
      <w:r w:rsidR="00B43C06">
        <w:rPr>
          <w:rFonts w:ascii="Arial" w:hAnsi="Arial" w:cs="Arial"/>
        </w:rPr>
        <w:t xml:space="preserve"> for THR</w:t>
      </w:r>
      <w:r w:rsidR="000B6666">
        <w:rPr>
          <w:rFonts w:ascii="Arial" w:hAnsi="Arial" w:cs="Arial"/>
        </w:rPr>
        <w:t xml:space="preserve"> </w:t>
      </w:r>
      <w:r w:rsidR="00B43C06">
        <w:rPr>
          <w:rFonts w:ascii="Arial" w:hAnsi="Arial" w:cs="Arial"/>
        </w:rPr>
        <w:t>(</w:t>
      </w:r>
      <w:r w:rsidR="000B6666">
        <w:rPr>
          <w:rFonts w:ascii="Arial" w:hAnsi="Arial" w:cs="Arial"/>
        </w:rPr>
        <w:t xml:space="preserve">11% to </w:t>
      </w:r>
      <w:r w:rsidR="00EF209B">
        <w:rPr>
          <w:rFonts w:ascii="Arial" w:hAnsi="Arial" w:cs="Arial"/>
        </w:rPr>
        <w:t xml:space="preserve">a little </w:t>
      </w:r>
      <w:r w:rsidR="002918E6">
        <w:rPr>
          <w:rFonts w:ascii="Arial" w:hAnsi="Arial" w:cs="Arial"/>
        </w:rPr>
        <w:t>more than</w:t>
      </w:r>
      <w:r w:rsidR="000B6666">
        <w:rPr>
          <w:rFonts w:ascii="Arial" w:hAnsi="Arial" w:cs="Arial"/>
        </w:rPr>
        <w:t xml:space="preserve"> 8% during the same</w:t>
      </w:r>
      <w:r w:rsidR="00B43C06">
        <w:rPr>
          <w:rFonts w:ascii="Arial" w:hAnsi="Arial" w:cs="Arial"/>
        </w:rPr>
        <w:t xml:space="preserve"> timeframe)</w:t>
      </w:r>
      <w:proofErr w:type="gramStart"/>
      <w:r w:rsidR="000B6666">
        <w:rPr>
          <w:rFonts w:ascii="Arial" w:hAnsi="Arial" w:cs="Arial"/>
        </w:rPr>
        <w:t>.</w:t>
      </w:r>
      <w:r w:rsidR="00B3471F">
        <w:rPr>
          <w:rFonts w:ascii="Arial" w:hAnsi="Arial" w:cs="Arial"/>
        </w:rPr>
        <w:t xml:space="preserve">  </w:t>
      </w:r>
      <w:proofErr w:type="gramEnd"/>
    </w:p>
    <w:p w14:paraId="7D075E93" w14:textId="6473E5AF" w:rsidR="00FB14B6" w:rsidRPr="00FB14B6" w:rsidRDefault="00FB14B6" w:rsidP="00FB14B6">
      <w:pPr>
        <w:keepNext/>
        <w:spacing w:before="240" w:after="60" w:line="360" w:lineRule="auto"/>
        <w:outlineLvl w:val="2"/>
        <w:rPr>
          <w:rFonts w:ascii="Arial" w:hAnsi="Arial" w:cs="Arial"/>
          <w:b/>
          <w:bCs/>
          <w:sz w:val="26"/>
        </w:rPr>
      </w:pPr>
      <w:r w:rsidRPr="00FB14B6">
        <w:rPr>
          <w:rFonts w:ascii="Arial" w:hAnsi="Arial" w:cs="Arial"/>
          <w:b/>
          <w:bCs/>
          <w:sz w:val="26"/>
        </w:rPr>
        <w:t>Resource impact</w:t>
      </w:r>
    </w:p>
    <w:p w14:paraId="4D5090EE" w14:textId="32980F48" w:rsidR="00EA16A9" w:rsidRDefault="00EA16A9" w:rsidP="00305039">
      <w:pPr>
        <w:pStyle w:val="NICEnormal"/>
        <w:spacing w:line="276" w:lineRule="auto"/>
      </w:pPr>
      <w:r>
        <w:t>The resource impact report supporting NG157 estimates that currently around 72% of people eligible for a partial knee replacement have a total knee replacement with or without patella resurfacing. It is expected when the guideline is fully implemented around 70% of people eligible for partial knee replacements will have one. As a result of this change it is expected that savings of around £4.2 million will be made by the NHS in England.</w:t>
      </w:r>
    </w:p>
    <w:p w14:paraId="0E8F15CD" w14:textId="72B937FA" w:rsidR="00B32215" w:rsidRDefault="00B32215" w:rsidP="00B32215">
      <w:pPr>
        <w:pStyle w:val="Paragraph"/>
      </w:pPr>
      <w:r>
        <w:t>The resource impact report that supports NG157 estimates that following full implementation of the recommendations on total knee replacements with patella resurfacing (recommendation 1.7.2) there will be an increase in costs of around £500,000 per year. This should lead to reduced revision rate which will offset this additional cost.</w:t>
      </w:r>
    </w:p>
    <w:p w14:paraId="31C19F53" w14:textId="237CD096" w:rsidR="001F16E9" w:rsidRPr="001F16E9" w:rsidRDefault="00FB14B6" w:rsidP="001F16E9">
      <w:pPr>
        <w:keepNext/>
        <w:spacing w:before="240" w:after="60" w:line="360" w:lineRule="auto"/>
        <w:outlineLvl w:val="2"/>
        <w:rPr>
          <w:rFonts w:ascii="Arial" w:hAnsi="Arial" w:cs="Arial"/>
          <w:b/>
          <w:bCs/>
          <w:sz w:val="26"/>
        </w:rPr>
      </w:pPr>
      <w:r w:rsidRPr="00FB14B6">
        <w:rPr>
          <w:rFonts w:ascii="Arial" w:hAnsi="Arial" w:cs="Arial"/>
          <w:b/>
          <w:bCs/>
          <w:sz w:val="26"/>
        </w:rPr>
        <w:t>Issues for consideration</w:t>
      </w:r>
    </w:p>
    <w:p w14:paraId="34564725" w14:textId="77777777" w:rsidR="00FB14B6" w:rsidRPr="00FB14B6" w:rsidRDefault="00FB14B6" w:rsidP="00FB14B6">
      <w:pPr>
        <w:spacing w:before="240" w:after="240" w:line="276" w:lineRule="auto"/>
        <w:rPr>
          <w:rFonts w:ascii="Arial" w:hAnsi="Arial"/>
          <w:b/>
          <w:bCs/>
        </w:rPr>
      </w:pPr>
      <w:r w:rsidRPr="00FB14B6">
        <w:rPr>
          <w:rFonts w:ascii="Arial" w:hAnsi="Arial"/>
          <w:b/>
          <w:bCs/>
        </w:rPr>
        <w:t>For discussion:</w:t>
      </w:r>
    </w:p>
    <w:p w14:paraId="3850A975" w14:textId="09BFD1DF" w:rsidR="00353C45" w:rsidRDefault="00633C51" w:rsidP="0043539A">
      <w:pPr>
        <w:pStyle w:val="Bulletleft1"/>
        <w:spacing w:line="276" w:lineRule="auto"/>
      </w:pPr>
      <w:r>
        <w:t>What is the improvement area: implant errors, BCIS, choice between TKR or PKR, or patella resurfacing?</w:t>
      </w:r>
    </w:p>
    <w:p w14:paraId="23BECC3A" w14:textId="04EBE3ED" w:rsidR="007E6961" w:rsidRPr="00353C45" w:rsidRDefault="00633C51" w:rsidP="0043539A">
      <w:pPr>
        <w:pStyle w:val="Bulletleft1"/>
        <w:spacing w:line="276" w:lineRule="auto"/>
      </w:pPr>
      <w:r>
        <w:t>Consider recommendation and recommendation on hip fracture only</w:t>
      </w:r>
      <w:r w:rsidR="00127D40">
        <w:t xml:space="preserve"> to support a statement on BCIS.</w:t>
      </w:r>
      <w:r>
        <w:t xml:space="preserve"> </w:t>
      </w:r>
    </w:p>
    <w:p w14:paraId="54B7B427" w14:textId="62AE253B" w:rsidR="007E6961" w:rsidRPr="00305039" w:rsidRDefault="007E6961" w:rsidP="0043539A">
      <w:pPr>
        <w:pStyle w:val="Bulletleft1"/>
        <w:spacing w:line="276" w:lineRule="auto"/>
      </w:pPr>
      <w:r>
        <w:t xml:space="preserve">Resource impact </w:t>
      </w:r>
      <w:r w:rsidR="002918E6">
        <w:t>of</w:t>
      </w:r>
      <w:r>
        <w:t xml:space="preserve"> knee surgery suggestions.</w:t>
      </w:r>
    </w:p>
    <w:p w14:paraId="2EAEFBDE" w14:textId="3E5573A8" w:rsidR="00353C45" w:rsidRDefault="00FB14B6" w:rsidP="00F46C34">
      <w:pPr>
        <w:pStyle w:val="Bulletleft1"/>
        <w:spacing w:line="276" w:lineRule="auto"/>
      </w:pPr>
      <w:r w:rsidRPr="00305039">
        <w:t>What is the key action that will lead to improvement?</w:t>
      </w:r>
    </w:p>
    <w:p w14:paraId="4ABC7BAD" w14:textId="63AC70EF" w:rsidR="00FB14B6" w:rsidRPr="00FB14B6" w:rsidRDefault="00FB14B6" w:rsidP="00FB14B6">
      <w:pPr>
        <w:spacing w:before="240" w:after="240" w:line="276" w:lineRule="auto"/>
        <w:rPr>
          <w:rFonts w:ascii="Arial" w:hAnsi="Arial"/>
          <w:b/>
          <w:bCs/>
        </w:rPr>
      </w:pPr>
      <w:r w:rsidRPr="00FB14B6">
        <w:rPr>
          <w:rFonts w:ascii="Arial" w:hAnsi="Arial"/>
          <w:b/>
          <w:bCs/>
        </w:rPr>
        <w:t>For decision:</w:t>
      </w:r>
    </w:p>
    <w:p w14:paraId="3BE18413" w14:textId="435AA1E0" w:rsidR="00F46C34" w:rsidRDefault="00FB14B6" w:rsidP="00FB14B6">
      <w:pPr>
        <w:tabs>
          <w:tab w:val="num" w:pos="284"/>
        </w:tabs>
        <w:spacing w:line="360" w:lineRule="auto"/>
        <w:ind w:left="284" w:hanging="284"/>
        <w:rPr>
          <w:rFonts w:ascii="Arial" w:hAnsi="Arial"/>
        </w:rPr>
      </w:pPr>
      <w:r w:rsidRPr="00FB14B6">
        <w:rPr>
          <w:rFonts w:ascii="Arial" w:hAnsi="Arial"/>
        </w:rPr>
        <w:t>Should this area be prioritised for inclusion in the quality standard?</w:t>
      </w:r>
    </w:p>
    <w:p w14:paraId="0700DC28" w14:textId="77777777" w:rsidR="00F46C34" w:rsidRDefault="00F46C34">
      <w:pPr>
        <w:rPr>
          <w:rFonts w:ascii="Arial" w:hAnsi="Arial"/>
        </w:rPr>
      </w:pPr>
      <w:r>
        <w:rPr>
          <w:rFonts w:ascii="Arial" w:hAnsi="Arial"/>
        </w:rPr>
        <w:br w:type="page"/>
      </w:r>
    </w:p>
    <w:p w14:paraId="3B2932F1" w14:textId="7948A509" w:rsidR="006970E6" w:rsidRPr="006970E6" w:rsidRDefault="00FB14B6" w:rsidP="006970E6">
      <w:pPr>
        <w:pStyle w:val="Numberedheading2"/>
      </w:pPr>
      <w:bookmarkStart w:id="162" w:name="_Hlk81920110"/>
      <w:bookmarkStart w:id="163" w:name="_Toc87374579"/>
      <w:r>
        <w:lastRenderedPageBreak/>
        <w:t xml:space="preserve">Postoperative rehabilitation </w:t>
      </w:r>
      <w:r w:rsidR="00216C63">
        <w:t>and long</w:t>
      </w:r>
      <w:r w:rsidR="00A93E48">
        <w:t>-</w:t>
      </w:r>
      <w:r w:rsidR="00216C63">
        <w:t>term care</w:t>
      </w:r>
      <w:bookmarkStart w:id="164" w:name="_Hlk80799643"/>
      <w:bookmarkEnd w:id="162"/>
      <w:bookmarkEnd w:id="163"/>
    </w:p>
    <w:p w14:paraId="52EAAAFD" w14:textId="3FFD607B" w:rsidR="006970E6" w:rsidRDefault="00EA33F9" w:rsidP="001D634D">
      <w:pPr>
        <w:keepNext/>
        <w:spacing w:before="240" w:after="60" w:line="360" w:lineRule="auto"/>
        <w:outlineLvl w:val="2"/>
        <w:rPr>
          <w:rFonts w:ascii="Arial" w:hAnsi="Arial" w:cs="Arial"/>
          <w:b/>
          <w:bCs/>
          <w:sz w:val="26"/>
        </w:rPr>
      </w:pPr>
      <w:r>
        <w:rPr>
          <w:rFonts w:ascii="Arial" w:hAnsi="Arial" w:cs="Arial"/>
          <w:b/>
          <w:bCs/>
          <w:sz w:val="26"/>
        </w:rPr>
        <w:t>Inpatient rehabilitation</w:t>
      </w:r>
    </w:p>
    <w:p w14:paraId="154D0E1F" w14:textId="3E52C710" w:rsidR="00EA5DEA" w:rsidRDefault="00EA5DEA" w:rsidP="006970E6">
      <w:pPr>
        <w:spacing w:after="240" w:line="276" w:lineRule="auto"/>
        <w:rPr>
          <w:rFonts w:ascii="Arial" w:hAnsi="Arial"/>
        </w:rPr>
      </w:pPr>
      <w:r>
        <w:rPr>
          <w:rFonts w:ascii="Arial" w:hAnsi="Arial"/>
        </w:rPr>
        <w:t xml:space="preserve">Stakeholders felt that inpatient rehabilitation is an important area </w:t>
      </w:r>
      <w:r w:rsidR="00B43C06">
        <w:rPr>
          <w:rFonts w:ascii="Arial" w:hAnsi="Arial"/>
        </w:rPr>
        <w:t>because</w:t>
      </w:r>
      <w:r>
        <w:rPr>
          <w:rFonts w:ascii="Arial" w:hAnsi="Arial"/>
        </w:rPr>
        <w:t xml:space="preserve"> it helps to optimise</w:t>
      </w:r>
      <w:r w:rsidR="00D94464">
        <w:rPr>
          <w:rFonts w:ascii="Arial" w:hAnsi="Arial"/>
        </w:rPr>
        <w:t xml:space="preserve"> the benefits of surgery</w:t>
      </w:r>
      <w:r>
        <w:rPr>
          <w:rFonts w:ascii="Arial" w:hAnsi="Arial"/>
        </w:rPr>
        <w:t xml:space="preserve"> and support early recovery</w:t>
      </w:r>
      <w:proofErr w:type="gramStart"/>
      <w:r w:rsidR="00B43C06">
        <w:rPr>
          <w:rFonts w:ascii="Arial" w:hAnsi="Arial"/>
        </w:rPr>
        <w:t xml:space="preserve">.  </w:t>
      </w:r>
      <w:proofErr w:type="gramEnd"/>
      <w:r w:rsidR="00B43C06">
        <w:rPr>
          <w:rFonts w:ascii="Arial" w:hAnsi="Arial"/>
        </w:rPr>
        <w:t>They highlighted:</w:t>
      </w:r>
    </w:p>
    <w:p w14:paraId="5FC5062E" w14:textId="75127AC7" w:rsidR="00C539B4" w:rsidRDefault="00C539B4" w:rsidP="000868F8">
      <w:pPr>
        <w:pStyle w:val="ListParagraph"/>
        <w:numPr>
          <w:ilvl w:val="0"/>
          <w:numId w:val="29"/>
        </w:numPr>
        <w:rPr>
          <w:rFonts w:ascii="Arial" w:hAnsi="Arial"/>
        </w:rPr>
      </w:pPr>
      <w:r>
        <w:rPr>
          <w:rFonts w:ascii="Arial" w:hAnsi="Arial"/>
        </w:rPr>
        <w:t>Multidisciplinary input</w:t>
      </w:r>
      <w:r w:rsidR="003845FA">
        <w:rPr>
          <w:rFonts w:ascii="Arial" w:hAnsi="Arial"/>
        </w:rPr>
        <w:t xml:space="preserve"> and holistic approach</w:t>
      </w:r>
      <w:r>
        <w:rPr>
          <w:rFonts w:ascii="Arial" w:hAnsi="Arial"/>
        </w:rPr>
        <w:t>.</w:t>
      </w:r>
    </w:p>
    <w:p w14:paraId="1D08561A" w14:textId="0D325A76" w:rsidR="00EA5DEA" w:rsidRPr="00552859" w:rsidRDefault="00E0729A" w:rsidP="000868F8">
      <w:pPr>
        <w:pStyle w:val="ListParagraph"/>
        <w:numPr>
          <w:ilvl w:val="0"/>
          <w:numId w:val="29"/>
        </w:numPr>
        <w:rPr>
          <w:rFonts w:ascii="Arial" w:hAnsi="Arial"/>
        </w:rPr>
      </w:pPr>
      <w:r>
        <w:rPr>
          <w:rFonts w:ascii="Arial" w:hAnsi="Arial"/>
        </w:rPr>
        <w:t>E</w:t>
      </w:r>
      <w:r w:rsidR="00EA33F9" w:rsidRPr="00552859">
        <w:rPr>
          <w:rFonts w:ascii="Arial" w:hAnsi="Arial"/>
        </w:rPr>
        <w:t>arly advice and guidance</w:t>
      </w:r>
      <w:r>
        <w:rPr>
          <w:rFonts w:ascii="Arial" w:hAnsi="Arial"/>
        </w:rPr>
        <w:t xml:space="preserve"> </w:t>
      </w:r>
      <w:r w:rsidRPr="00552859">
        <w:rPr>
          <w:rFonts w:ascii="Arial" w:hAnsi="Arial"/>
        </w:rPr>
        <w:t>(within 24 hours of surgery)</w:t>
      </w:r>
      <w:r>
        <w:rPr>
          <w:rFonts w:ascii="Arial" w:hAnsi="Arial"/>
        </w:rPr>
        <w:t xml:space="preserve"> </w:t>
      </w:r>
      <w:r w:rsidR="00EA33F9" w:rsidRPr="00552859">
        <w:rPr>
          <w:rFonts w:ascii="Arial" w:hAnsi="Arial"/>
        </w:rPr>
        <w:t>to support earlier discharge</w:t>
      </w:r>
      <w:r w:rsidR="00EA5DEA" w:rsidRPr="00552859">
        <w:rPr>
          <w:rFonts w:ascii="Arial" w:hAnsi="Arial"/>
        </w:rPr>
        <w:t>.</w:t>
      </w:r>
      <w:r w:rsidR="00EA33F9" w:rsidRPr="00552859">
        <w:rPr>
          <w:rFonts w:ascii="Arial" w:hAnsi="Arial"/>
        </w:rPr>
        <w:t xml:space="preserve"> </w:t>
      </w:r>
    </w:p>
    <w:p w14:paraId="03C2DC92" w14:textId="62552C3E" w:rsidR="00EA5DEA" w:rsidRPr="00EA5DEA" w:rsidRDefault="00EA5DEA" w:rsidP="000868F8">
      <w:pPr>
        <w:pStyle w:val="ListParagraph"/>
        <w:numPr>
          <w:ilvl w:val="0"/>
          <w:numId w:val="29"/>
        </w:numPr>
        <w:spacing w:after="240" w:line="276" w:lineRule="auto"/>
        <w:rPr>
          <w:rFonts w:ascii="Arial" w:hAnsi="Arial"/>
        </w:rPr>
      </w:pPr>
      <w:r>
        <w:rPr>
          <w:rFonts w:ascii="Arial" w:hAnsi="Arial"/>
        </w:rPr>
        <w:t xml:space="preserve">Early </w:t>
      </w:r>
      <w:r w:rsidR="006970E6" w:rsidRPr="00EA5DEA">
        <w:rPr>
          <w:rFonts w:ascii="Arial" w:hAnsi="Arial"/>
        </w:rPr>
        <w:t>mobilisation</w:t>
      </w:r>
      <w:r w:rsidR="001F16E9">
        <w:rPr>
          <w:rFonts w:ascii="Arial" w:hAnsi="Arial"/>
        </w:rPr>
        <w:t xml:space="preserve"> (</w:t>
      </w:r>
      <w:r w:rsidR="00EA33F9" w:rsidRPr="00EA5DEA">
        <w:rPr>
          <w:rFonts w:ascii="Arial" w:hAnsi="Arial"/>
        </w:rPr>
        <w:t>within 24 hours of surgery</w:t>
      </w:r>
      <w:r>
        <w:rPr>
          <w:rFonts w:ascii="Arial" w:hAnsi="Arial"/>
        </w:rPr>
        <w:t>) to optimise outcomes and</w:t>
      </w:r>
      <w:r w:rsidR="00EA33F9" w:rsidRPr="00EA5DEA">
        <w:rPr>
          <w:rFonts w:ascii="Arial" w:hAnsi="Arial"/>
        </w:rPr>
        <w:t xml:space="preserve"> reduce the risk of</w:t>
      </w:r>
      <w:r w:rsidR="006970E6" w:rsidRPr="00EA5DEA">
        <w:rPr>
          <w:rFonts w:ascii="Arial" w:hAnsi="Arial"/>
        </w:rPr>
        <w:t xml:space="preserve"> complications associated with immobility</w:t>
      </w:r>
      <w:proofErr w:type="gramStart"/>
      <w:r w:rsidR="006970E6" w:rsidRPr="00EA5DEA">
        <w:rPr>
          <w:rFonts w:ascii="Arial" w:hAnsi="Arial"/>
        </w:rPr>
        <w:t xml:space="preserve">.  </w:t>
      </w:r>
      <w:proofErr w:type="gramEnd"/>
    </w:p>
    <w:p w14:paraId="4AB39523" w14:textId="6326B362" w:rsidR="00EA33F9" w:rsidRDefault="006970E6" w:rsidP="006970E6">
      <w:pPr>
        <w:spacing w:after="240" w:line="276" w:lineRule="auto"/>
        <w:rPr>
          <w:rFonts w:ascii="Arial" w:hAnsi="Arial"/>
        </w:rPr>
      </w:pPr>
      <w:r w:rsidRPr="006970E6">
        <w:rPr>
          <w:rFonts w:ascii="Arial" w:hAnsi="Arial"/>
        </w:rPr>
        <w:t xml:space="preserve">Variation in access to </w:t>
      </w:r>
      <w:r w:rsidR="00D158DA">
        <w:rPr>
          <w:rFonts w:ascii="Arial" w:hAnsi="Arial"/>
        </w:rPr>
        <w:t>rehabilitation</w:t>
      </w:r>
      <w:r w:rsidRPr="006970E6">
        <w:rPr>
          <w:rFonts w:ascii="Arial" w:hAnsi="Arial"/>
        </w:rPr>
        <w:t xml:space="preserve"> due to lack of physiotherapy resources over the weekend for people having their operation on a Friday and</w:t>
      </w:r>
      <w:r w:rsidR="000E0ECE">
        <w:rPr>
          <w:rFonts w:ascii="Arial" w:hAnsi="Arial"/>
        </w:rPr>
        <w:t xml:space="preserve"> being diverted from </w:t>
      </w:r>
      <w:r w:rsidR="00D94464">
        <w:rPr>
          <w:rFonts w:ascii="Arial" w:hAnsi="Arial"/>
        </w:rPr>
        <w:t xml:space="preserve">elective patients </w:t>
      </w:r>
      <w:r w:rsidR="000E0ECE">
        <w:rPr>
          <w:rFonts w:ascii="Arial" w:hAnsi="Arial"/>
        </w:rPr>
        <w:t xml:space="preserve">were </w:t>
      </w:r>
      <w:r w:rsidRPr="006970E6">
        <w:rPr>
          <w:rFonts w:ascii="Arial" w:hAnsi="Arial"/>
        </w:rPr>
        <w:t>highlighted as barriers to implementation.</w:t>
      </w:r>
    </w:p>
    <w:p w14:paraId="57CD1FC1" w14:textId="5325AA0C" w:rsidR="00D8195A" w:rsidRPr="006970E6" w:rsidRDefault="00D8195A" w:rsidP="006970E6">
      <w:pPr>
        <w:spacing w:after="240" w:line="276" w:lineRule="auto"/>
        <w:rPr>
          <w:rFonts w:ascii="Arial" w:hAnsi="Arial"/>
        </w:rPr>
      </w:pPr>
      <w:r>
        <w:rPr>
          <w:rFonts w:ascii="Arial" w:hAnsi="Arial"/>
        </w:rPr>
        <w:t>Stakeholders also suggested that identifying people with frailty, functional impairment or cognitive impairment who need supervised inpatient rehabilitation prior to discharge is important</w:t>
      </w:r>
      <w:proofErr w:type="gramStart"/>
      <w:r w:rsidR="00603BF2">
        <w:rPr>
          <w:rFonts w:ascii="Arial" w:hAnsi="Arial"/>
        </w:rPr>
        <w:t>.</w:t>
      </w:r>
      <w:r w:rsidR="00F85A48">
        <w:rPr>
          <w:rFonts w:ascii="Arial" w:hAnsi="Arial"/>
        </w:rPr>
        <w:t xml:space="preserve">  </w:t>
      </w:r>
      <w:proofErr w:type="gramEnd"/>
      <w:r w:rsidR="00F85A48">
        <w:rPr>
          <w:rFonts w:ascii="Arial" w:hAnsi="Arial"/>
        </w:rPr>
        <w:t xml:space="preserve">Goal setting was highlighted as an aspect of this process. </w:t>
      </w:r>
    </w:p>
    <w:p w14:paraId="28C1DDF4" w14:textId="77777777" w:rsidR="006970E6" w:rsidRPr="006970E6" w:rsidRDefault="006970E6" w:rsidP="006970E6">
      <w:pPr>
        <w:keepNext/>
        <w:spacing w:before="240" w:after="60" w:line="360" w:lineRule="auto"/>
        <w:outlineLvl w:val="3"/>
        <w:rPr>
          <w:rFonts w:ascii="Arial" w:hAnsi="Arial"/>
          <w:b/>
          <w:bCs/>
          <w:iCs/>
          <w:szCs w:val="28"/>
        </w:rPr>
      </w:pPr>
      <w:bookmarkStart w:id="165" w:name="_Hlk82018481"/>
      <w:r w:rsidRPr="006970E6">
        <w:rPr>
          <w:rFonts w:ascii="Arial" w:hAnsi="Arial"/>
          <w:b/>
          <w:bCs/>
          <w:iCs/>
          <w:szCs w:val="28"/>
        </w:rPr>
        <w:t>Selected recommendations</w:t>
      </w:r>
    </w:p>
    <w:bookmarkEnd w:id="165"/>
    <w:p w14:paraId="306CA3D2" w14:textId="77777777" w:rsidR="006970E6" w:rsidRPr="006970E6" w:rsidRDefault="006970E6" w:rsidP="006970E6">
      <w:pPr>
        <w:spacing w:before="240" w:after="240" w:line="276" w:lineRule="auto"/>
        <w:rPr>
          <w:rFonts w:ascii="Arial" w:hAnsi="Arial"/>
        </w:rPr>
      </w:pPr>
      <w:r w:rsidRPr="006970E6">
        <w:fldChar w:fldCharType="begin"/>
      </w:r>
      <w:r w:rsidRPr="006970E6">
        <w:instrText xml:space="preserve"> HYPERLINK "https://www.nice.org.uk/guidance/ng157/" </w:instrText>
      </w:r>
      <w:r w:rsidRPr="006970E6">
        <w:fldChar w:fldCharType="separate"/>
      </w:r>
      <w:r w:rsidRPr="006970E6">
        <w:rPr>
          <w:rFonts w:ascii="Arial" w:hAnsi="Arial"/>
          <w:color w:val="0000FF" w:themeColor="hyperlink"/>
          <w:u w:val="single"/>
        </w:rPr>
        <w:t>NICE’s guideline on joint replacement (primary) NG157</w:t>
      </w:r>
      <w:r w:rsidRPr="006970E6">
        <w:rPr>
          <w:rFonts w:ascii="Arial" w:hAnsi="Arial"/>
          <w:color w:val="0000FF" w:themeColor="hyperlink"/>
          <w:u w:val="single"/>
        </w:rPr>
        <w:fldChar w:fldCharType="end"/>
      </w:r>
      <w:r w:rsidRPr="006970E6">
        <w:rPr>
          <w:rFonts w:ascii="Arial" w:hAnsi="Arial"/>
        </w:rPr>
        <w:t xml:space="preserve">: </w:t>
      </w:r>
    </w:p>
    <w:p w14:paraId="52D58262" w14:textId="74BA2C3D" w:rsidR="006970E6" w:rsidRPr="006970E6" w:rsidRDefault="006970E6" w:rsidP="006970E6">
      <w:pPr>
        <w:spacing w:before="240" w:after="240" w:line="276" w:lineRule="auto"/>
        <w:rPr>
          <w:rFonts w:ascii="Arial" w:hAnsi="Arial"/>
        </w:rPr>
      </w:pPr>
      <w:r w:rsidRPr="006970E6">
        <w:rPr>
          <w:rFonts w:ascii="Arial" w:hAnsi="Arial"/>
        </w:rPr>
        <w:t>1.10.1 A physiotherapist or occupational therapist should offer rehabilitation, on the day of surgery if possible and no more than 24 hours after surgery, to people who have had a primary elective hip, knee or shoulder replacement. Rehabilitation should include:</w:t>
      </w:r>
    </w:p>
    <w:p w14:paraId="67019F09" w14:textId="77777777" w:rsidR="006970E6" w:rsidRDefault="006970E6" w:rsidP="000868F8">
      <w:pPr>
        <w:numPr>
          <w:ilvl w:val="0"/>
          <w:numId w:val="22"/>
        </w:numPr>
        <w:spacing w:line="276" w:lineRule="auto"/>
        <w:rPr>
          <w:rFonts w:ascii="Arial" w:eastAsia="Calibri" w:hAnsi="Arial"/>
          <w:lang w:eastAsia="en-GB"/>
        </w:rPr>
      </w:pPr>
      <w:r w:rsidRPr="006970E6">
        <w:rPr>
          <w:rFonts w:ascii="Arial" w:eastAsia="Calibri" w:hAnsi="Arial"/>
          <w:lang w:eastAsia="en-GB"/>
        </w:rPr>
        <w:t xml:space="preserve">advice on managing activities of daily living </w:t>
      </w:r>
      <w:r w:rsidRPr="006970E6">
        <w:rPr>
          <w:rFonts w:ascii="Arial" w:eastAsia="Calibri" w:hAnsi="Arial"/>
          <w:b/>
          <w:bCs/>
          <w:lang w:eastAsia="en-GB"/>
        </w:rPr>
        <w:t>and</w:t>
      </w:r>
    </w:p>
    <w:p w14:paraId="6D8C7C88" w14:textId="04E52D25" w:rsidR="006970E6" w:rsidRPr="006970E6" w:rsidRDefault="006970E6" w:rsidP="000868F8">
      <w:pPr>
        <w:numPr>
          <w:ilvl w:val="0"/>
          <w:numId w:val="22"/>
        </w:numPr>
        <w:spacing w:line="276" w:lineRule="auto"/>
        <w:rPr>
          <w:rFonts w:ascii="Arial" w:eastAsia="Calibri" w:hAnsi="Arial"/>
          <w:lang w:eastAsia="en-GB"/>
        </w:rPr>
      </w:pPr>
      <w:r w:rsidRPr="006970E6">
        <w:rPr>
          <w:rFonts w:ascii="Arial" w:eastAsia="Calibri" w:hAnsi="Arial"/>
          <w:lang w:eastAsia="en-GB"/>
        </w:rPr>
        <w:t xml:space="preserve">home exercise programmes </w:t>
      </w:r>
      <w:r w:rsidRPr="006970E6">
        <w:rPr>
          <w:rFonts w:ascii="Arial" w:eastAsia="Calibri" w:hAnsi="Arial"/>
          <w:b/>
          <w:bCs/>
          <w:lang w:eastAsia="en-GB"/>
        </w:rPr>
        <w:t>and</w:t>
      </w:r>
    </w:p>
    <w:p w14:paraId="63F7D44C" w14:textId="6A2A165F" w:rsidR="006970E6" w:rsidRPr="006970E6" w:rsidRDefault="003E5928" w:rsidP="000868F8">
      <w:pPr>
        <w:numPr>
          <w:ilvl w:val="0"/>
          <w:numId w:val="22"/>
        </w:numPr>
        <w:tabs>
          <w:tab w:val="num" w:pos="284"/>
        </w:tabs>
        <w:spacing w:line="276" w:lineRule="auto"/>
        <w:rPr>
          <w:rFonts w:ascii="Arial" w:eastAsia="Calibri" w:hAnsi="Arial"/>
          <w:lang w:eastAsia="en-GB"/>
        </w:rPr>
      </w:pPr>
      <w:r>
        <w:rPr>
          <w:rFonts w:ascii="Arial" w:eastAsia="Calibri" w:hAnsi="Arial"/>
          <w:lang w:eastAsia="en-GB"/>
        </w:rPr>
        <w:t xml:space="preserve"> </w:t>
      </w:r>
      <w:r w:rsidR="006970E6" w:rsidRPr="006970E6">
        <w:rPr>
          <w:rFonts w:ascii="Arial" w:eastAsia="Calibri" w:hAnsi="Arial"/>
          <w:lang w:eastAsia="en-GB"/>
        </w:rPr>
        <w:t>mobilisation for people who have had knee or hip replacement </w:t>
      </w:r>
      <w:r w:rsidR="006970E6" w:rsidRPr="006970E6">
        <w:rPr>
          <w:rFonts w:ascii="Arial" w:eastAsia="Calibri" w:hAnsi="Arial"/>
          <w:b/>
          <w:bCs/>
          <w:lang w:eastAsia="en-GB"/>
        </w:rPr>
        <w:t>or</w:t>
      </w:r>
    </w:p>
    <w:p w14:paraId="4DD2819C" w14:textId="6BA920A3" w:rsidR="00EA5DEA" w:rsidRDefault="003E5928" w:rsidP="00E0729A">
      <w:pPr>
        <w:pStyle w:val="Bulletleft1"/>
      </w:pPr>
      <w:r>
        <w:t xml:space="preserve"> </w:t>
      </w:r>
      <w:r w:rsidR="006970E6" w:rsidRPr="006970E6">
        <w:t>ambulation for people who have had shoulder replacement.</w:t>
      </w:r>
    </w:p>
    <w:p w14:paraId="1A7E2C92" w14:textId="77777777" w:rsidR="00C539B4" w:rsidRDefault="00C539B4" w:rsidP="00C539B4">
      <w:pPr>
        <w:pStyle w:val="Bulletleft1"/>
        <w:numPr>
          <w:ilvl w:val="0"/>
          <w:numId w:val="0"/>
        </w:numPr>
        <w:spacing w:line="276" w:lineRule="auto"/>
      </w:pPr>
    </w:p>
    <w:p w14:paraId="64A0427F" w14:textId="63AEAFF2" w:rsidR="004B57D0" w:rsidRPr="00C539B4" w:rsidRDefault="00751008" w:rsidP="00C539B4">
      <w:pPr>
        <w:pStyle w:val="Bulletleft1"/>
        <w:numPr>
          <w:ilvl w:val="0"/>
          <w:numId w:val="0"/>
        </w:numPr>
        <w:spacing w:line="276" w:lineRule="auto"/>
        <w:rPr>
          <w:color w:val="0000FF" w:themeColor="hyperlink"/>
          <w:u w:val="single"/>
        </w:rPr>
      </w:pPr>
      <w:hyperlink r:id="rId69" w:history="1">
        <w:r w:rsidR="004B57D0" w:rsidRPr="004B57D0">
          <w:rPr>
            <w:rStyle w:val="Hyperlink"/>
          </w:rPr>
          <w:t>Royal College of Occupational Therapists’ (RCOT) guideline on occupational therapy for people undergoing total hip replacement (NICE-accredited, 2017):</w:t>
        </w:r>
      </w:hyperlink>
      <w:r w:rsidR="00694FCD">
        <w:rPr>
          <w:rStyle w:val="Hyperlink"/>
        </w:rPr>
        <w:br/>
      </w:r>
    </w:p>
    <w:p w14:paraId="5253F51B" w14:textId="0683EECF" w:rsidR="007B1472" w:rsidRPr="007B1472" w:rsidRDefault="007B1472" w:rsidP="00841B24">
      <w:pPr>
        <w:pStyle w:val="NICEnormal"/>
        <w:spacing w:line="276" w:lineRule="auto"/>
        <w:rPr>
          <w:b/>
          <w:bCs/>
          <w:iCs/>
        </w:rPr>
      </w:pPr>
      <w:r w:rsidRPr="007B1472">
        <w:t>1 It is recommended that the occupational therapy assessment is comprehensive and considers factors which may affect individual needs, goals, recovery and</w:t>
      </w:r>
      <w:r w:rsidR="001A719F">
        <w:t xml:space="preserve"> </w:t>
      </w:r>
      <w:r w:rsidRPr="007B1472">
        <w:t>rehabilitation, including co-morbidities, trauma history, personal circumstances, obesity and pre-operative function.</w:t>
      </w:r>
    </w:p>
    <w:p w14:paraId="3EAF68A6" w14:textId="77777777" w:rsidR="00603BF2" w:rsidRDefault="00603BF2" w:rsidP="00603BF2">
      <w:pPr>
        <w:pStyle w:val="Paragraphnonumbers"/>
      </w:pPr>
      <w:r w:rsidRPr="00B429A8">
        <w:t>2 It is recommended that goal setting is individualised, enhances realistic expectations of functional independence, and commences at pre-operative assessment.</w:t>
      </w:r>
    </w:p>
    <w:p w14:paraId="5E3592EA" w14:textId="77777777" w:rsidR="007B1472" w:rsidRPr="007B1472" w:rsidRDefault="007B1472" w:rsidP="00841B24">
      <w:pPr>
        <w:pStyle w:val="NICEnormal"/>
        <w:spacing w:line="276" w:lineRule="auto"/>
        <w:rPr>
          <w:b/>
          <w:bCs/>
          <w:iCs/>
        </w:rPr>
      </w:pPr>
      <w:r w:rsidRPr="007B1472">
        <w:lastRenderedPageBreak/>
        <w:t xml:space="preserve">5 It is recommended that cognitive status is </w:t>
      </w:r>
      <w:proofErr w:type="gramStart"/>
      <w:r w:rsidRPr="007B1472">
        <w:t>taken into account</w:t>
      </w:r>
      <w:proofErr w:type="gramEnd"/>
      <w:r w:rsidRPr="007B1472">
        <w:t xml:space="preserve"> during pre-operative and post-operative intervention due to its potential for impact on recovery. </w:t>
      </w:r>
    </w:p>
    <w:p w14:paraId="7740EA62" w14:textId="778C7573" w:rsidR="007B1472" w:rsidRDefault="007B1472" w:rsidP="00841B24">
      <w:pPr>
        <w:pStyle w:val="NICEnormal"/>
        <w:spacing w:line="276" w:lineRule="auto"/>
        <w:rPr>
          <w:b/>
          <w:bCs/>
          <w:iCs/>
        </w:rPr>
      </w:pPr>
      <w:r>
        <w:t>24 I</w:t>
      </w:r>
      <w:r w:rsidRPr="007B1472">
        <w:t>t is recommended that occupational therapists optimise length of stay, with due reference to care pathways and enhanced recovery programme guidance.</w:t>
      </w:r>
    </w:p>
    <w:p w14:paraId="205C184D" w14:textId="0A47958D" w:rsidR="007B1472" w:rsidRDefault="007B1472" w:rsidP="00841B24">
      <w:pPr>
        <w:pStyle w:val="NICEnormal"/>
        <w:spacing w:line="276" w:lineRule="auto"/>
        <w:rPr>
          <w:b/>
          <w:bCs/>
          <w:iCs/>
        </w:rPr>
      </w:pPr>
      <w:r w:rsidRPr="007B1472">
        <w:t>25 It is recommended that the occupational therapist is involved in early multidisciplinary post-operative intervention for service users following hip replacement, providing either inpatient or home-based rehabilitation</w:t>
      </w:r>
    </w:p>
    <w:p w14:paraId="44FEE02A" w14:textId="7B705AE6" w:rsidR="00EA5DEA" w:rsidRPr="00154CF9" w:rsidRDefault="00EA5DEA" w:rsidP="007B1472">
      <w:pPr>
        <w:pStyle w:val="Heading4"/>
      </w:pPr>
      <w:r w:rsidRPr="004E6C66">
        <w:t>Current UK practice</w:t>
      </w:r>
    </w:p>
    <w:bookmarkStart w:id="166" w:name="_Hlk82337775"/>
    <w:bookmarkStart w:id="167" w:name="_Hlk82341931"/>
    <w:p w14:paraId="6B833C54" w14:textId="3A7C0C1D" w:rsidR="008056D3" w:rsidRPr="004E6C66" w:rsidRDefault="00620996" w:rsidP="008056D3">
      <w:pPr>
        <w:spacing w:before="240" w:after="240" w:line="276" w:lineRule="auto"/>
        <w:rPr>
          <w:rFonts w:ascii="Arial" w:hAnsi="Arial"/>
          <w:iCs/>
          <w:szCs w:val="28"/>
        </w:rPr>
      </w:pPr>
      <w:r>
        <w:fldChar w:fldCharType="begin"/>
      </w:r>
      <w:r w:rsidR="00861666">
        <w:instrText>HYPERLINK "https://www.gettingitrightfirsttime.co.uk/orthopaedics-follow-up/"</w:instrText>
      </w:r>
      <w:r>
        <w:fldChar w:fldCharType="separate"/>
      </w:r>
      <w:r w:rsidR="008056D3" w:rsidRPr="004E6C66">
        <w:rPr>
          <w:rFonts w:ascii="Arial" w:hAnsi="Arial"/>
          <w:iCs/>
          <w:color w:val="0000FF" w:themeColor="hyperlink"/>
          <w:szCs w:val="28"/>
          <w:u w:val="single"/>
        </w:rPr>
        <w:t xml:space="preserve">GIRFT (2020) </w:t>
      </w:r>
      <w:r>
        <w:rPr>
          <w:rFonts w:ascii="Arial" w:hAnsi="Arial"/>
          <w:iCs/>
          <w:color w:val="0000FF" w:themeColor="hyperlink"/>
          <w:szCs w:val="28"/>
          <w:u w:val="single"/>
        </w:rPr>
        <w:fldChar w:fldCharType="end"/>
      </w:r>
      <w:bookmarkEnd w:id="166"/>
      <w:r w:rsidR="008056D3" w:rsidRPr="004E6C66">
        <w:rPr>
          <w:rFonts w:ascii="Arial" w:hAnsi="Arial"/>
          <w:iCs/>
          <w:szCs w:val="28"/>
        </w:rPr>
        <w:t>reported that</w:t>
      </w:r>
      <w:bookmarkEnd w:id="167"/>
      <w:r w:rsidR="008056D3" w:rsidRPr="004E6C66">
        <w:rPr>
          <w:rFonts w:ascii="Arial" w:hAnsi="Arial"/>
          <w:iCs/>
          <w:szCs w:val="28"/>
        </w:rPr>
        <w:t>:</w:t>
      </w:r>
    </w:p>
    <w:p w14:paraId="4297903B" w14:textId="3219AEA0" w:rsidR="00B1409A" w:rsidRPr="00B1409A" w:rsidRDefault="00861666" w:rsidP="00B1409A">
      <w:pPr>
        <w:numPr>
          <w:ilvl w:val="0"/>
          <w:numId w:val="7"/>
        </w:numPr>
        <w:spacing w:before="240" w:after="240" w:line="276" w:lineRule="auto"/>
        <w:rPr>
          <w:rFonts w:ascii="Arial" w:hAnsi="Arial"/>
        </w:rPr>
      </w:pPr>
      <w:r>
        <w:rPr>
          <w:rFonts w:ascii="Arial" w:hAnsi="Arial"/>
        </w:rPr>
        <w:t>23.8</w:t>
      </w:r>
      <w:r w:rsidR="008056D3" w:rsidRPr="004E6C66">
        <w:rPr>
          <w:rFonts w:ascii="Arial" w:hAnsi="Arial"/>
        </w:rPr>
        <w:t xml:space="preserve">% of trusts </w:t>
      </w:r>
      <w:r w:rsidR="001A719F">
        <w:rPr>
          <w:rFonts w:ascii="Arial" w:hAnsi="Arial"/>
        </w:rPr>
        <w:t xml:space="preserve">reviewed </w:t>
      </w:r>
      <w:r w:rsidR="008056D3" w:rsidRPr="004E6C66">
        <w:rPr>
          <w:rFonts w:ascii="Arial" w:hAnsi="Arial"/>
        </w:rPr>
        <w:t>reported that rehabilitation services are resourced and designed to deliver 7-day services.</w:t>
      </w:r>
    </w:p>
    <w:p w14:paraId="4A58AE40" w14:textId="77777777" w:rsidR="00B1409A" w:rsidRDefault="00B1409A" w:rsidP="00B1409A">
      <w:pPr>
        <w:pStyle w:val="Bulletleft1"/>
        <w:numPr>
          <w:ilvl w:val="0"/>
          <w:numId w:val="0"/>
        </w:numPr>
        <w:spacing w:line="276" w:lineRule="auto"/>
      </w:pPr>
    </w:p>
    <w:p w14:paraId="0ADBEA1D" w14:textId="397476FD" w:rsidR="004F6FD6" w:rsidRDefault="0012215D" w:rsidP="00B1409A">
      <w:pPr>
        <w:pStyle w:val="Bulletleft1"/>
        <w:numPr>
          <w:ilvl w:val="0"/>
          <w:numId w:val="0"/>
        </w:numPr>
        <w:spacing w:line="276" w:lineRule="auto"/>
        <w:rPr>
          <w:color w:val="0000FF" w:themeColor="hyperlink"/>
          <w:u w:val="single"/>
          <w:lang w:eastAsia="en-GB"/>
        </w:rPr>
      </w:pPr>
      <w:r w:rsidRPr="00DA2E47">
        <w:rPr>
          <w:lang w:eastAsia="en-GB"/>
        </w:rPr>
        <w:t xml:space="preserve">Analysis of variation between the content of Enhanced Recovery Programmes (ERPs) at 22 UK NHS hospitals performing THR and 23 performing TKR, together with an audit of compliance (15 patients aged 18 and over having an operation on a single joint) using data provided by 16 (THR) and 18 (TKR) was conducted October 2014 to April 2015 and reported </w:t>
      </w:r>
      <w:r w:rsidRPr="00DA2E47">
        <w:t xml:space="preserve">by </w:t>
      </w:r>
      <w:hyperlink r:id="rId70" w:history="1">
        <w:r w:rsidRPr="00DA2E47">
          <w:rPr>
            <w:color w:val="0000FF" w:themeColor="hyperlink"/>
            <w:u w:val="single"/>
            <w:lang w:eastAsia="en-GB"/>
          </w:rPr>
          <w:t>Nagra et al (2017)</w:t>
        </w:r>
      </w:hyperlink>
      <w:r>
        <w:rPr>
          <w:color w:val="0000FF" w:themeColor="hyperlink"/>
          <w:u w:val="single"/>
          <w:lang w:eastAsia="en-GB"/>
        </w:rPr>
        <w:t>:</w:t>
      </w:r>
    </w:p>
    <w:p w14:paraId="44059D7A" w14:textId="77777777" w:rsidR="0012215D" w:rsidRPr="004F6FD6" w:rsidRDefault="0012215D" w:rsidP="00B1409A">
      <w:pPr>
        <w:pStyle w:val="Bulletleft1"/>
        <w:numPr>
          <w:ilvl w:val="0"/>
          <w:numId w:val="0"/>
        </w:numPr>
        <w:spacing w:line="276" w:lineRule="auto"/>
        <w:rPr>
          <w:lang w:eastAsia="en-GB"/>
        </w:rPr>
      </w:pPr>
    </w:p>
    <w:p w14:paraId="314DB916" w14:textId="3C39A782" w:rsidR="00D94464" w:rsidRPr="00D64ABA" w:rsidRDefault="00D94464" w:rsidP="00147948">
      <w:pPr>
        <w:pStyle w:val="Bulletleft1"/>
        <w:spacing w:line="276" w:lineRule="auto"/>
      </w:pPr>
      <w:r w:rsidRPr="00D64ABA">
        <w:t xml:space="preserve">82% of </w:t>
      </w:r>
      <w:r>
        <w:t xml:space="preserve">16 </w:t>
      </w:r>
      <w:r w:rsidRPr="00D64ABA">
        <w:t>centres recommended early mobilisation and physiotherapy for THR (51% adhered to local guidelines when it was offered).</w:t>
      </w:r>
    </w:p>
    <w:p w14:paraId="208D6892" w14:textId="420C7667" w:rsidR="008056D3" w:rsidRPr="00D64ABA" w:rsidRDefault="008056D3" w:rsidP="00147948">
      <w:pPr>
        <w:pStyle w:val="Bulletleft1"/>
        <w:spacing w:line="276" w:lineRule="auto"/>
      </w:pPr>
      <w:r w:rsidRPr="00D64ABA">
        <w:t xml:space="preserve">76% of </w:t>
      </w:r>
      <w:r w:rsidR="00D94464">
        <w:t xml:space="preserve">18 </w:t>
      </w:r>
      <w:r w:rsidRPr="00D64ABA">
        <w:t xml:space="preserve">centres recommended early mobilisation and physiotherapy for TKR (47% adhered to local guidelines when it was offered). </w:t>
      </w:r>
    </w:p>
    <w:p w14:paraId="25126A27" w14:textId="77777777" w:rsidR="008056D3" w:rsidRPr="008056D3" w:rsidRDefault="008056D3" w:rsidP="008056D3">
      <w:pPr>
        <w:spacing w:line="360" w:lineRule="auto"/>
        <w:ind w:left="644" w:hanging="284"/>
        <w:rPr>
          <w:rFonts w:ascii="Arial" w:hAnsi="Arial"/>
        </w:rPr>
      </w:pPr>
    </w:p>
    <w:p w14:paraId="4E7F2A6A" w14:textId="2F99559C" w:rsidR="008056D3" w:rsidRDefault="004F6FD6" w:rsidP="008056D3">
      <w:pPr>
        <w:spacing w:line="276" w:lineRule="auto"/>
        <w:rPr>
          <w:rFonts w:ascii="Arial" w:hAnsi="Arial"/>
        </w:rPr>
      </w:pPr>
      <w:r>
        <w:rPr>
          <w:rFonts w:ascii="Arial" w:hAnsi="Arial"/>
        </w:rPr>
        <w:t>Nagra et al</w:t>
      </w:r>
      <w:r w:rsidR="008056D3" w:rsidRPr="008056D3">
        <w:rPr>
          <w:rFonts w:ascii="Arial" w:hAnsi="Arial"/>
        </w:rPr>
        <w:t xml:space="preserve"> also highlighted that some </w:t>
      </w:r>
      <w:r w:rsidR="00E0729A">
        <w:rPr>
          <w:rFonts w:ascii="Arial" w:hAnsi="Arial"/>
        </w:rPr>
        <w:t xml:space="preserve">plans </w:t>
      </w:r>
      <w:r w:rsidR="008056D3" w:rsidRPr="008056D3">
        <w:rPr>
          <w:rFonts w:ascii="Arial" w:hAnsi="Arial"/>
        </w:rPr>
        <w:t>stated that patients should be mobilised within 2 or 4 hours of the operation</w:t>
      </w:r>
      <w:r w:rsidR="00BA0E5D">
        <w:rPr>
          <w:rFonts w:ascii="Arial" w:hAnsi="Arial"/>
        </w:rPr>
        <w:t xml:space="preserve"> (but only if blood pressure was within 10% of preoperative value)</w:t>
      </w:r>
      <w:r w:rsidR="008056D3" w:rsidRPr="008056D3">
        <w:rPr>
          <w:rFonts w:ascii="Arial" w:hAnsi="Arial"/>
        </w:rPr>
        <w:t>, while others recommended exercise in bed on day 0</w:t>
      </w:r>
      <w:proofErr w:type="gramStart"/>
      <w:r w:rsidR="008056D3" w:rsidRPr="008056D3">
        <w:rPr>
          <w:rFonts w:ascii="Arial" w:hAnsi="Arial"/>
        </w:rPr>
        <w:t xml:space="preserve">.  </w:t>
      </w:r>
      <w:proofErr w:type="gramEnd"/>
    </w:p>
    <w:p w14:paraId="33A4CE90" w14:textId="77777777" w:rsidR="008056D3" w:rsidRPr="008056D3" w:rsidRDefault="008056D3" w:rsidP="008056D3">
      <w:pPr>
        <w:spacing w:line="276" w:lineRule="auto"/>
        <w:rPr>
          <w:rFonts w:ascii="Arial" w:hAnsi="Arial"/>
        </w:rPr>
      </w:pPr>
    </w:p>
    <w:p w14:paraId="10E2069D" w14:textId="039B7B47" w:rsidR="00EA5DEA" w:rsidRPr="00154CF9" w:rsidRDefault="00EA5DEA" w:rsidP="00EA5DEA">
      <w:pPr>
        <w:spacing w:line="276" w:lineRule="auto"/>
        <w:rPr>
          <w:rFonts w:ascii="Arial" w:hAnsi="Arial" w:cs="Arial"/>
        </w:rPr>
      </w:pPr>
      <w:r>
        <w:rPr>
          <w:rFonts w:ascii="Arial" w:hAnsi="Arial" w:cs="Arial"/>
        </w:rPr>
        <w:t xml:space="preserve">The </w:t>
      </w:r>
      <w:hyperlink r:id="rId71" w:anchor=":~:text=PQIP%20releases%20a%20range%20of%20reports%20on%20the,their%20results%20along%20with%20quarterly%20and%20annual%20reports." w:history="1">
        <w:r w:rsidRPr="00D8195A">
          <w:rPr>
            <w:rStyle w:val="Hyperlink"/>
            <w:rFonts w:ascii="Arial" w:hAnsi="Arial" w:cs="Arial"/>
          </w:rPr>
          <w:t xml:space="preserve">Perioperative Quality Improvement Programme’s </w:t>
        </w:r>
        <w:r w:rsidR="00E0729A" w:rsidRPr="00D8195A">
          <w:rPr>
            <w:rStyle w:val="Hyperlink"/>
            <w:rFonts w:ascii="Arial" w:hAnsi="Arial" w:cs="Arial"/>
          </w:rPr>
          <w:t>2018-</w:t>
        </w:r>
        <w:r w:rsidRPr="00D8195A">
          <w:rPr>
            <w:rStyle w:val="Hyperlink"/>
            <w:rFonts w:ascii="Arial" w:hAnsi="Arial" w:cs="Arial"/>
          </w:rPr>
          <w:t>2019 annual report</w:t>
        </w:r>
      </w:hyperlink>
      <w:r>
        <w:rPr>
          <w:rFonts w:ascii="Arial" w:hAnsi="Arial" w:cs="Arial"/>
        </w:rPr>
        <w:t xml:space="preserve"> highlighted that the national target for mobilisation within 24 hours of surgery is 85%. The report is based on </w:t>
      </w:r>
      <w:r w:rsidR="00162C24">
        <w:rPr>
          <w:rFonts w:ascii="Arial" w:hAnsi="Arial" w:cs="Arial"/>
        </w:rPr>
        <w:t xml:space="preserve">data relating to </w:t>
      </w:r>
      <w:r w:rsidR="00BA0E5D">
        <w:rPr>
          <w:rFonts w:ascii="Arial" w:hAnsi="Arial" w:cs="Arial"/>
        </w:rPr>
        <w:t>around</w:t>
      </w:r>
      <w:r>
        <w:rPr>
          <w:rFonts w:ascii="Arial" w:hAnsi="Arial" w:cs="Arial"/>
        </w:rPr>
        <w:t xml:space="preserve"> 18,500 patients in England</w:t>
      </w:r>
      <w:r w:rsidR="00EC611A">
        <w:rPr>
          <w:rFonts w:ascii="Arial" w:hAnsi="Arial" w:cs="Arial"/>
        </w:rPr>
        <w:t xml:space="preserve"> and Wales</w:t>
      </w:r>
      <w:proofErr w:type="gramStart"/>
      <w:r>
        <w:rPr>
          <w:rFonts w:ascii="Arial" w:hAnsi="Arial" w:cs="Arial"/>
        </w:rPr>
        <w:t xml:space="preserve">.  </w:t>
      </w:r>
      <w:proofErr w:type="gramEnd"/>
      <w:r>
        <w:rPr>
          <w:rFonts w:ascii="Arial" w:hAnsi="Arial" w:cs="Arial"/>
        </w:rPr>
        <w:t xml:space="preserve">The report highlighted that the target was exceeded by the following specialties: colorectal, </w:t>
      </w:r>
      <w:r w:rsidR="00162C24">
        <w:rPr>
          <w:rFonts w:ascii="Arial" w:hAnsi="Arial" w:cs="Arial"/>
        </w:rPr>
        <w:t>u</w:t>
      </w:r>
      <w:r>
        <w:rPr>
          <w:rFonts w:ascii="Arial" w:hAnsi="Arial" w:cs="Arial"/>
        </w:rPr>
        <w:t xml:space="preserve">rology, </w:t>
      </w:r>
      <w:r w:rsidR="00162C24">
        <w:rPr>
          <w:rFonts w:ascii="Arial" w:hAnsi="Arial" w:cs="Arial"/>
        </w:rPr>
        <w:t>u</w:t>
      </w:r>
      <w:r>
        <w:rPr>
          <w:rFonts w:ascii="Arial" w:hAnsi="Arial" w:cs="Arial"/>
        </w:rPr>
        <w:t xml:space="preserve">pper GI, </w:t>
      </w:r>
      <w:r w:rsidR="00162C24">
        <w:rPr>
          <w:rFonts w:ascii="Arial" w:hAnsi="Arial" w:cs="Arial"/>
        </w:rPr>
        <w:t>t</w:t>
      </w:r>
      <w:r>
        <w:rPr>
          <w:rFonts w:ascii="Arial" w:hAnsi="Arial" w:cs="Arial"/>
        </w:rPr>
        <w:t xml:space="preserve">horacis and </w:t>
      </w:r>
      <w:r w:rsidR="00162C24">
        <w:rPr>
          <w:rFonts w:ascii="Arial" w:hAnsi="Arial" w:cs="Arial"/>
        </w:rPr>
        <w:t>b</w:t>
      </w:r>
      <w:r>
        <w:rPr>
          <w:rFonts w:ascii="Arial" w:hAnsi="Arial" w:cs="Arial"/>
        </w:rPr>
        <w:t xml:space="preserve">urns </w:t>
      </w:r>
      <w:r w:rsidR="00162C24">
        <w:rPr>
          <w:rFonts w:ascii="Arial" w:hAnsi="Arial" w:cs="Arial"/>
        </w:rPr>
        <w:t xml:space="preserve">&amp; </w:t>
      </w:r>
      <w:r>
        <w:rPr>
          <w:rFonts w:ascii="Arial" w:hAnsi="Arial" w:cs="Arial"/>
        </w:rPr>
        <w:t>plastics.</w:t>
      </w:r>
      <w:r w:rsidR="00E0729A">
        <w:rPr>
          <w:rFonts w:ascii="Arial" w:hAnsi="Arial" w:cs="Arial"/>
        </w:rPr>
        <w:t xml:space="preserve"> For</w:t>
      </w:r>
      <w:r>
        <w:rPr>
          <w:rFonts w:ascii="Arial" w:hAnsi="Arial" w:cs="Arial"/>
        </w:rPr>
        <w:t xml:space="preserve"> orthopaedics </w:t>
      </w:r>
      <w:r w:rsidR="00E0729A">
        <w:rPr>
          <w:rFonts w:ascii="Arial" w:hAnsi="Arial" w:cs="Arial"/>
        </w:rPr>
        <w:t xml:space="preserve">and </w:t>
      </w:r>
      <w:r w:rsidR="00162C24">
        <w:rPr>
          <w:rFonts w:ascii="Arial" w:hAnsi="Arial" w:cs="Arial"/>
        </w:rPr>
        <w:t>h</w:t>
      </w:r>
      <w:r>
        <w:rPr>
          <w:rFonts w:ascii="Arial" w:hAnsi="Arial" w:cs="Arial"/>
        </w:rPr>
        <w:t xml:space="preserve">ead and </w:t>
      </w:r>
      <w:r w:rsidR="00162C24">
        <w:rPr>
          <w:rFonts w:ascii="Arial" w:hAnsi="Arial" w:cs="Arial"/>
        </w:rPr>
        <w:t>n</w:t>
      </w:r>
      <w:r>
        <w:rPr>
          <w:rFonts w:ascii="Arial" w:hAnsi="Arial" w:cs="Arial"/>
        </w:rPr>
        <w:t>eck</w:t>
      </w:r>
      <w:r w:rsidR="004B57D0">
        <w:rPr>
          <w:rFonts w:ascii="Arial" w:hAnsi="Arial" w:cs="Arial"/>
        </w:rPr>
        <w:t xml:space="preserve"> specialties</w:t>
      </w:r>
      <w:r w:rsidR="00E0729A">
        <w:rPr>
          <w:rFonts w:ascii="Arial" w:hAnsi="Arial" w:cs="Arial"/>
        </w:rPr>
        <w:t>, no hospitals exceeded this target</w:t>
      </w:r>
      <w:proofErr w:type="gramStart"/>
      <w:r>
        <w:rPr>
          <w:rFonts w:ascii="Arial" w:hAnsi="Arial" w:cs="Arial"/>
        </w:rPr>
        <w:t xml:space="preserve">.  </w:t>
      </w:r>
      <w:proofErr w:type="gramEnd"/>
    </w:p>
    <w:p w14:paraId="39F38C01" w14:textId="2A0D27E7" w:rsidR="00EA5DEA" w:rsidRDefault="001D13AE" w:rsidP="00E2289F">
      <w:pPr>
        <w:pStyle w:val="Heading3"/>
      </w:pPr>
      <w:r>
        <w:t>Post-discharge</w:t>
      </w:r>
      <w:r w:rsidR="00EA5DEA">
        <w:t xml:space="preserve"> rehabilitation</w:t>
      </w:r>
    </w:p>
    <w:p w14:paraId="1F2EB96F" w14:textId="77777777" w:rsidR="007B1472" w:rsidRDefault="007B1472" w:rsidP="00D376FC">
      <w:pPr>
        <w:pStyle w:val="Bulletleft1"/>
        <w:numPr>
          <w:ilvl w:val="0"/>
          <w:numId w:val="0"/>
        </w:numPr>
        <w:spacing w:line="276" w:lineRule="auto"/>
      </w:pPr>
      <w:r w:rsidRPr="007B1472">
        <w:t>Stakeholders felt that outpatient rehabilitation, including planning for discharge, is an important area because it helps to maintain the benefits of surgery. Stakeholders highlighted the following areas:</w:t>
      </w:r>
    </w:p>
    <w:p w14:paraId="14A86767" w14:textId="4C0C11B8" w:rsidR="00A712A6" w:rsidRPr="00BA0E5D" w:rsidRDefault="00F81B70" w:rsidP="00D376FC">
      <w:pPr>
        <w:pStyle w:val="Bulletleft1"/>
        <w:spacing w:line="276" w:lineRule="auto"/>
      </w:pPr>
      <w:r>
        <w:t>Multidisciplinary, p</w:t>
      </w:r>
      <w:r w:rsidR="004B57D0" w:rsidRPr="00BA0E5D">
        <w:t>ersonalised, holistic care</w:t>
      </w:r>
      <w:r w:rsidR="00B54112">
        <w:t>.</w:t>
      </w:r>
    </w:p>
    <w:p w14:paraId="3D9A4464" w14:textId="4567EB76" w:rsidR="00F81B70" w:rsidRDefault="00F81B70" w:rsidP="00D376FC">
      <w:pPr>
        <w:pStyle w:val="Bulletleft1"/>
        <w:spacing w:line="276" w:lineRule="auto"/>
      </w:pPr>
      <w:r>
        <w:lastRenderedPageBreak/>
        <w:t>Timely identification (prior to discharge) of people needing referral to outpatient or community physiotherap</w:t>
      </w:r>
      <w:r w:rsidR="00855C1D">
        <w:t>y; goal setting was highlighted as an aspect of this process</w:t>
      </w:r>
      <w:proofErr w:type="gramStart"/>
      <w:r w:rsidR="00855C1D">
        <w:t xml:space="preserve">.  </w:t>
      </w:r>
      <w:proofErr w:type="gramEnd"/>
      <w:r>
        <w:t>People with frailty or cognitive impairment were identified as important groups to focus on.</w:t>
      </w:r>
    </w:p>
    <w:p w14:paraId="2B4E494A" w14:textId="3DFC7F90" w:rsidR="00F81B70" w:rsidRDefault="00BA0E5D" w:rsidP="00D376FC">
      <w:pPr>
        <w:pStyle w:val="Bulletleft1"/>
        <w:spacing w:line="276" w:lineRule="auto"/>
      </w:pPr>
      <w:r w:rsidRPr="00BA0E5D">
        <w:t>Timely provision of post</w:t>
      </w:r>
      <w:r w:rsidR="00F81B70">
        <w:t>-</w:t>
      </w:r>
      <w:r w:rsidRPr="00BA0E5D">
        <w:t>discharge rehabilitation</w:t>
      </w:r>
      <w:r w:rsidR="005A0BA7">
        <w:t xml:space="preserve">. </w:t>
      </w:r>
    </w:p>
    <w:p w14:paraId="64098549" w14:textId="739DDCAD" w:rsidR="00BA0E5D" w:rsidRPr="00BA0E5D" w:rsidRDefault="00F81B70" w:rsidP="00D376FC">
      <w:pPr>
        <w:pStyle w:val="Bulletleft1"/>
        <w:spacing w:line="276" w:lineRule="auto"/>
      </w:pPr>
      <w:r>
        <w:t>A</w:t>
      </w:r>
      <w:r w:rsidR="00BA0E5D" w:rsidRPr="00BA0E5D">
        <w:t>ccess</w:t>
      </w:r>
      <w:r>
        <w:t>,</w:t>
      </w:r>
      <w:r w:rsidR="00BA0E5D" w:rsidRPr="00BA0E5D">
        <w:t xml:space="preserve"> especially in the context of increased pressure on services</w:t>
      </w:r>
      <w:r>
        <w:t xml:space="preserve"> and impact on outcomes</w:t>
      </w:r>
      <w:r w:rsidR="00BA0E5D" w:rsidRPr="00BA0E5D">
        <w:t>.</w:t>
      </w:r>
    </w:p>
    <w:p w14:paraId="70EB04A7" w14:textId="70872A13" w:rsidR="00BA0E5D" w:rsidRDefault="00F81B70" w:rsidP="00D376FC">
      <w:pPr>
        <w:pStyle w:val="Bulletleft1"/>
        <w:spacing w:line="276" w:lineRule="auto"/>
      </w:pPr>
      <w:r>
        <w:t>S</w:t>
      </w:r>
      <w:r w:rsidR="00BA0E5D" w:rsidRPr="00BA0E5D">
        <w:t xml:space="preserve">upport (including materials) for self-directed rehabilitation. </w:t>
      </w:r>
    </w:p>
    <w:p w14:paraId="0C6610FE" w14:textId="1CE8B701" w:rsidR="00DE0CB4" w:rsidRDefault="00DE0CB4" w:rsidP="00D376FC">
      <w:pPr>
        <w:pStyle w:val="Bulletleft1"/>
        <w:spacing w:line="276" w:lineRule="auto"/>
      </w:pPr>
      <w:r>
        <w:t>Improving long-term function, pain and mitigating long-term complications.</w:t>
      </w:r>
    </w:p>
    <w:p w14:paraId="26C158D0" w14:textId="34F2A7BA" w:rsidR="00DE0CB4" w:rsidRPr="00BA0E5D" w:rsidRDefault="00DE0CB4" w:rsidP="00D376FC">
      <w:pPr>
        <w:pStyle w:val="Bulletleft1"/>
        <w:spacing w:line="276" w:lineRule="auto"/>
      </w:pPr>
      <w:r>
        <w:t xml:space="preserve">Variability of </w:t>
      </w:r>
      <w:r w:rsidR="00AB4225">
        <w:t>practice regarding for how long patients are advised to maintain hip precautions after THR.</w:t>
      </w:r>
    </w:p>
    <w:p w14:paraId="5D8C6A17" w14:textId="6B8DC7EC" w:rsidR="003E5928" w:rsidRPr="003E5928" w:rsidRDefault="00567EC2" w:rsidP="00D376FC">
      <w:pPr>
        <w:pStyle w:val="Bulletleft1"/>
        <w:spacing w:line="276" w:lineRule="auto"/>
      </w:pPr>
      <w:r>
        <w:t>Continuity of care</w:t>
      </w:r>
      <w:r w:rsidR="001F16E9">
        <w:t>.</w:t>
      </w:r>
      <w:r w:rsidR="003E5928">
        <w:t xml:space="preserve"> </w:t>
      </w:r>
    </w:p>
    <w:p w14:paraId="6DE7062B" w14:textId="77777777" w:rsidR="004B57D0" w:rsidRPr="004B57D0" w:rsidRDefault="004B57D0" w:rsidP="004B57D0">
      <w:pPr>
        <w:pStyle w:val="Heading4"/>
      </w:pPr>
      <w:r w:rsidRPr="004B57D0">
        <w:t>Selected recommendations</w:t>
      </w:r>
    </w:p>
    <w:p w14:paraId="21BDAB10" w14:textId="77777777" w:rsidR="004B57D0" w:rsidRPr="00FB14B6" w:rsidRDefault="00751008" w:rsidP="004B57D0">
      <w:pPr>
        <w:spacing w:after="240" w:line="276" w:lineRule="auto"/>
        <w:rPr>
          <w:rFonts w:ascii="Arial" w:hAnsi="Arial"/>
          <w:lang w:eastAsia="en-GB"/>
        </w:rPr>
      </w:pPr>
      <w:hyperlink r:id="rId72" w:history="1">
        <w:r w:rsidR="004B57D0" w:rsidRPr="00216C63">
          <w:rPr>
            <w:rStyle w:val="Hyperlink"/>
            <w:rFonts w:ascii="Arial" w:hAnsi="Arial"/>
            <w:lang w:eastAsia="en-GB"/>
          </w:rPr>
          <w:t>NICE’s guideline on joint replacement (primary) NG157</w:t>
        </w:r>
      </w:hyperlink>
      <w:r w:rsidR="004B57D0" w:rsidRPr="00482E05">
        <w:rPr>
          <w:rFonts w:ascii="Arial" w:hAnsi="Arial"/>
          <w:lang w:eastAsia="en-GB"/>
        </w:rPr>
        <w:t>:</w:t>
      </w:r>
    </w:p>
    <w:p w14:paraId="04584302" w14:textId="77777777" w:rsidR="004B57D0" w:rsidRPr="00216C63" w:rsidRDefault="004B57D0" w:rsidP="004B57D0">
      <w:pPr>
        <w:spacing w:after="240" w:line="276" w:lineRule="auto"/>
        <w:rPr>
          <w:rFonts w:ascii="Arial" w:hAnsi="Arial"/>
          <w:lang w:eastAsia="en-GB"/>
        </w:rPr>
      </w:pPr>
      <w:r>
        <w:rPr>
          <w:rFonts w:ascii="Arial" w:hAnsi="Arial"/>
          <w:lang w:eastAsia="en-GB"/>
        </w:rPr>
        <w:t>1.10.2</w:t>
      </w:r>
      <w:r w:rsidRPr="00FB14B6">
        <w:rPr>
          <w:rFonts w:ascii="Arial" w:hAnsi="Arial"/>
          <w:lang w:eastAsia="en-GB"/>
        </w:rPr>
        <w:t xml:space="preserve"> </w:t>
      </w:r>
      <w:r w:rsidRPr="00216C63">
        <w:rPr>
          <w:rFonts w:ascii="Arial" w:hAnsi="Arial"/>
          <w:lang w:eastAsia="en-GB"/>
        </w:rPr>
        <w:t>For people who have had primary elective hip or knee replacement:</w:t>
      </w:r>
    </w:p>
    <w:p w14:paraId="490F4E10" w14:textId="77777777" w:rsidR="004B57D0" w:rsidRPr="00BA0E5D" w:rsidRDefault="004B57D0" w:rsidP="00F667DD">
      <w:pPr>
        <w:pStyle w:val="Bulletleft1"/>
        <w:spacing w:line="276" w:lineRule="auto"/>
      </w:pPr>
      <w:r w:rsidRPr="00BA0E5D">
        <w:t>a member of the physiotherapy or occupational therapy team should give advice on self-directed rehabilitation</w:t>
      </w:r>
    </w:p>
    <w:p w14:paraId="6E85B6EE" w14:textId="77777777" w:rsidR="00BA0E5D" w:rsidRPr="00BA0E5D" w:rsidRDefault="004B57D0" w:rsidP="00F667DD">
      <w:pPr>
        <w:pStyle w:val="Bulletleft1"/>
        <w:spacing w:line="276" w:lineRule="auto"/>
      </w:pPr>
      <w:r w:rsidRPr="00BA0E5D">
        <w:t>the advice should be given before the person leaves hospital</w:t>
      </w:r>
    </w:p>
    <w:p w14:paraId="2029C75D" w14:textId="2148521D" w:rsidR="00861666" w:rsidRDefault="004B57D0" w:rsidP="00E0729A">
      <w:pPr>
        <w:pStyle w:val="Bulletleft1last"/>
        <w:spacing w:line="276" w:lineRule="auto"/>
      </w:pPr>
      <w:r w:rsidRPr="00BA0E5D">
        <w:t>the advice should be adjusted in line with recommendations 1.10.5 and 1.10.6 if needed.</w:t>
      </w:r>
    </w:p>
    <w:p w14:paraId="0BD00527" w14:textId="589B9223" w:rsidR="00861666" w:rsidRPr="00861666" w:rsidRDefault="004B57D0" w:rsidP="004B57D0">
      <w:pPr>
        <w:pStyle w:val="Bulletleft1last"/>
        <w:numPr>
          <w:ilvl w:val="0"/>
          <w:numId w:val="0"/>
        </w:numPr>
        <w:rPr>
          <w:lang w:val="en-GB" w:eastAsia="en-GB"/>
        </w:rPr>
      </w:pPr>
      <w:r>
        <w:rPr>
          <w:lang w:val="en-GB" w:eastAsia="en-GB"/>
        </w:rPr>
        <w:t xml:space="preserve">1.10.3  </w:t>
      </w:r>
      <w:r w:rsidRPr="00216C63">
        <w:rPr>
          <w:lang w:eastAsia="en-GB"/>
        </w:rPr>
        <w:t>For people who have had primary elective shoulder replacement</w:t>
      </w:r>
      <w:r w:rsidR="00861666">
        <w:rPr>
          <w:lang w:val="en-GB" w:eastAsia="en-GB"/>
        </w:rPr>
        <w:t>:</w:t>
      </w:r>
    </w:p>
    <w:p w14:paraId="29CCA901" w14:textId="77777777" w:rsidR="004B57D0" w:rsidRPr="00216C63" w:rsidRDefault="004B57D0" w:rsidP="004B57D0">
      <w:pPr>
        <w:pStyle w:val="Bulletleft1"/>
        <w:spacing w:line="276" w:lineRule="auto"/>
        <w:rPr>
          <w:lang w:eastAsia="en-GB"/>
        </w:rPr>
      </w:pPr>
      <w:r w:rsidRPr="00216C63">
        <w:rPr>
          <w:lang w:eastAsia="en-GB"/>
        </w:rPr>
        <w:t>a member of the physiotherapy or occupational therapy team should give advice on:</w:t>
      </w:r>
    </w:p>
    <w:p w14:paraId="2B7C679A" w14:textId="77777777" w:rsidR="004B57D0" w:rsidRPr="00216C63" w:rsidRDefault="004B57D0" w:rsidP="000868F8">
      <w:pPr>
        <w:pStyle w:val="Bulletleft1"/>
        <w:numPr>
          <w:ilvl w:val="1"/>
          <w:numId w:val="4"/>
        </w:numPr>
        <w:rPr>
          <w:lang w:eastAsia="en-GB"/>
        </w:rPr>
      </w:pPr>
      <w:r w:rsidRPr="00216C63">
        <w:rPr>
          <w:lang w:eastAsia="en-GB"/>
        </w:rPr>
        <w:t>self-directed rehabilitation </w:t>
      </w:r>
      <w:r w:rsidRPr="00216C63">
        <w:rPr>
          <w:b/>
          <w:bCs/>
          <w:lang w:eastAsia="en-GB"/>
        </w:rPr>
        <w:t>or</w:t>
      </w:r>
    </w:p>
    <w:p w14:paraId="5E9F496C" w14:textId="77777777" w:rsidR="004B57D0" w:rsidRPr="00216C63" w:rsidRDefault="004B57D0" w:rsidP="000868F8">
      <w:pPr>
        <w:pStyle w:val="Bulletleft1"/>
        <w:numPr>
          <w:ilvl w:val="1"/>
          <w:numId w:val="4"/>
        </w:numPr>
        <w:rPr>
          <w:lang w:eastAsia="en-GB"/>
        </w:rPr>
      </w:pPr>
      <w:r w:rsidRPr="00216C63">
        <w:rPr>
          <w:lang w:eastAsia="en-GB"/>
        </w:rPr>
        <w:t>supervised group rehabilitation </w:t>
      </w:r>
      <w:r w:rsidRPr="00216C63">
        <w:rPr>
          <w:b/>
          <w:bCs/>
          <w:lang w:eastAsia="en-GB"/>
        </w:rPr>
        <w:t>or</w:t>
      </w:r>
    </w:p>
    <w:p w14:paraId="1FD0A335" w14:textId="77777777" w:rsidR="004B57D0" w:rsidRPr="00216C63" w:rsidRDefault="004B57D0" w:rsidP="000868F8">
      <w:pPr>
        <w:pStyle w:val="Bulletleft1"/>
        <w:numPr>
          <w:ilvl w:val="1"/>
          <w:numId w:val="4"/>
        </w:numPr>
      </w:pPr>
      <w:r w:rsidRPr="00216C63">
        <w:t>individual rehabilitation</w:t>
      </w:r>
    </w:p>
    <w:p w14:paraId="2211DC1B" w14:textId="77777777" w:rsidR="004B57D0" w:rsidRPr="00216C63" w:rsidRDefault="004B57D0" w:rsidP="004B57D0">
      <w:pPr>
        <w:pStyle w:val="Bulletleft1"/>
        <w:spacing w:line="276" w:lineRule="auto"/>
        <w:rPr>
          <w:lang w:eastAsia="en-GB"/>
        </w:rPr>
      </w:pPr>
      <w:r w:rsidRPr="00216C63">
        <w:rPr>
          <w:lang w:eastAsia="en-GB"/>
        </w:rPr>
        <w:t>the advice should be given before the person leaves hospital</w:t>
      </w:r>
    </w:p>
    <w:p w14:paraId="2235C5F6" w14:textId="63423EF3" w:rsidR="004B57D0" w:rsidRDefault="004B57D0" w:rsidP="00E0729A">
      <w:pPr>
        <w:pStyle w:val="Bulletleft1last"/>
        <w:spacing w:line="276" w:lineRule="auto"/>
      </w:pPr>
      <w:r w:rsidRPr="00BA0E5D">
        <w:t>the advice should be adjusted in line with recommendations 1.10.5 and 1.10.6 if needed</w:t>
      </w:r>
      <w:r w:rsidRPr="00216C63">
        <w:t>.</w:t>
      </w:r>
    </w:p>
    <w:p w14:paraId="03F83328" w14:textId="1AC7A959" w:rsidR="004B57D0" w:rsidRPr="00216C63" w:rsidRDefault="004B57D0" w:rsidP="004B57D0">
      <w:pPr>
        <w:pStyle w:val="Bulletleft1last"/>
        <w:numPr>
          <w:ilvl w:val="0"/>
          <w:numId w:val="0"/>
        </w:numPr>
        <w:spacing w:line="276" w:lineRule="auto"/>
        <w:rPr>
          <w:lang w:val="en-GB" w:eastAsia="en-GB"/>
        </w:rPr>
      </w:pPr>
      <w:r>
        <w:rPr>
          <w:lang w:val="en-GB" w:eastAsia="en-GB"/>
        </w:rPr>
        <w:t xml:space="preserve">1.10.4 </w:t>
      </w:r>
      <w:r w:rsidRPr="00216C63">
        <w:rPr>
          <w:lang w:val="en-GB" w:eastAsia="en-GB"/>
        </w:rPr>
        <w:t>Ensure that people who are undertaking self-directed rehabilitation have:</w:t>
      </w:r>
    </w:p>
    <w:p w14:paraId="55B695EC" w14:textId="768C4096" w:rsidR="00BA0E5D" w:rsidRDefault="00BA0E5D" w:rsidP="00BA0E5D">
      <w:pPr>
        <w:pStyle w:val="Bulletleft1"/>
        <w:spacing w:line="276" w:lineRule="auto"/>
        <w:rPr>
          <w:lang w:eastAsia="en-GB"/>
        </w:rPr>
      </w:pPr>
      <w:r w:rsidRPr="00BA0E5D">
        <w:rPr>
          <w:lang w:eastAsia="en-GB"/>
        </w:rPr>
        <w:t>a clear understanding of their rehabilitation goals and the importance of doing the exercises prescribed to achieve these goals</w:t>
      </w:r>
    </w:p>
    <w:p w14:paraId="63CF2F44" w14:textId="78B8698F" w:rsidR="004B57D0" w:rsidRDefault="004B57D0" w:rsidP="00E0729A">
      <w:pPr>
        <w:pStyle w:val="Bulletleft1last"/>
        <w:spacing w:line="276" w:lineRule="auto"/>
        <w:rPr>
          <w:lang w:eastAsia="en-GB"/>
        </w:rPr>
      </w:pPr>
      <w:r w:rsidRPr="00216C63">
        <w:rPr>
          <w:lang w:eastAsia="en-GB"/>
        </w:rPr>
        <w:t>a point of contact for advice and support.</w:t>
      </w:r>
    </w:p>
    <w:p w14:paraId="1E552437" w14:textId="77777777" w:rsidR="004B57D0" w:rsidRPr="00216C63" w:rsidRDefault="004B57D0" w:rsidP="004B57D0">
      <w:pPr>
        <w:pStyle w:val="Bulletleft1last"/>
        <w:numPr>
          <w:ilvl w:val="0"/>
          <w:numId w:val="0"/>
        </w:numPr>
        <w:spacing w:line="276" w:lineRule="auto"/>
        <w:rPr>
          <w:lang w:val="en-GB" w:eastAsia="en-GB"/>
        </w:rPr>
      </w:pPr>
      <w:r>
        <w:rPr>
          <w:lang w:val="en-GB" w:eastAsia="en-GB"/>
        </w:rPr>
        <w:t>1.10.5 Offer supervised or group individual outpatient rehabilitation to people who:</w:t>
      </w:r>
    </w:p>
    <w:p w14:paraId="435B03A8" w14:textId="77777777" w:rsidR="004B57D0" w:rsidRPr="00216C63" w:rsidRDefault="004B57D0" w:rsidP="004B57D0">
      <w:pPr>
        <w:pStyle w:val="Bulletleft1"/>
        <w:spacing w:line="276" w:lineRule="auto"/>
        <w:rPr>
          <w:lang w:eastAsia="en-GB"/>
        </w:rPr>
      </w:pPr>
      <w:r w:rsidRPr="00216C63">
        <w:rPr>
          <w:lang w:eastAsia="en-GB"/>
        </w:rPr>
        <w:t xml:space="preserve">have difficulties managing activities of daily living </w:t>
      </w:r>
      <w:r w:rsidRPr="00216C63">
        <w:rPr>
          <w:b/>
          <w:bCs/>
          <w:lang w:eastAsia="en-GB"/>
        </w:rPr>
        <w:t>or</w:t>
      </w:r>
    </w:p>
    <w:p w14:paraId="09BECB87" w14:textId="77777777" w:rsidR="00305039" w:rsidRPr="00305039" w:rsidRDefault="004B57D0" w:rsidP="00305039">
      <w:pPr>
        <w:pStyle w:val="Bulletleft1"/>
        <w:spacing w:line="276" w:lineRule="auto"/>
        <w:rPr>
          <w:lang w:eastAsia="en-GB"/>
        </w:rPr>
      </w:pPr>
      <w:r w:rsidRPr="00216C63">
        <w:rPr>
          <w:lang w:eastAsia="en-GB"/>
        </w:rPr>
        <w:lastRenderedPageBreak/>
        <w:t xml:space="preserve">have ongoing functional impairment leading to specific rehabilitation needs </w:t>
      </w:r>
      <w:r w:rsidRPr="00216C63">
        <w:rPr>
          <w:b/>
          <w:bCs/>
          <w:lang w:eastAsia="en-GB"/>
        </w:rPr>
        <w:t>or</w:t>
      </w:r>
    </w:p>
    <w:p w14:paraId="7004495C" w14:textId="3F3C5CBE" w:rsidR="004B57D0" w:rsidRDefault="004B57D0" w:rsidP="00E0729A">
      <w:pPr>
        <w:pStyle w:val="Bulletleft1last"/>
        <w:rPr>
          <w:lang w:eastAsia="en-GB"/>
        </w:rPr>
      </w:pPr>
      <w:r w:rsidRPr="00216C63">
        <w:t>find that self-directed rehabilitation is not meeting their rehabilitation goals.</w:t>
      </w:r>
    </w:p>
    <w:p w14:paraId="6F7F3A04" w14:textId="7792C019" w:rsidR="004B57D0" w:rsidRDefault="004B57D0" w:rsidP="00F667DD">
      <w:pPr>
        <w:pStyle w:val="Bulletleft1last"/>
        <w:numPr>
          <w:ilvl w:val="0"/>
          <w:numId w:val="0"/>
        </w:numPr>
        <w:spacing w:line="276" w:lineRule="auto"/>
        <w:rPr>
          <w:lang w:val="en-GB"/>
        </w:rPr>
      </w:pPr>
      <w:r>
        <w:rPr>
          <w:lang w:val="en-GB"/>
        </w:rPr>
        <w:t xml:space="preserve">1.10.6 </w:t>
      </w:r>
      <w:r w:rsidRPr="002D1955">
        <w:rPr>
          <w:lang w:val="en-GB"/>
        </w:rPr>
        <w:t>Consider supervised group or individual outpatient rehabilitation for people with cognitive impairment.</w:t>
      </w:r>
    </w:p>
    <w:p w14:paraId="6317D8D0" w14:textId="6065F21D" w:rsidR="00EA46E2" w:rsidRDefault="00751008" w:rsidP="00EA46E2">
      <w:pPr>
        <w:pStyle w:val="Paragraph"/>
      </w:pPr>
      <w:hyperlink r:id="rId73" w:history="1">
        <w:r w:rsidR="00EA46E2">
          <w:rPr>
            <w:rStyle w:val="Hyperlink"/>
          </w:rPr>
          <w:t>RCOTs’ guideline on occupational therapy for people undergoing total hip replacement (NICE-accredited, 2017):</w:t>
        </w:r>
      </w:hyperlink>
    </w:p>
    <w:p w14:paraId="24E5881E" w14:textId="77777777" w:rsidR="00EA46E2" w:rsidRDefault="00EA46E2" w:rsidP="001F16E9">
      <w:pPr>
        <w:pStyle w:val="Paragraphnonumbers"/>
      </w:pPr>
      <w:r>
        <w:t>1 It is recommended that the occupational therapy assessment is comprehensive and considers factors which may affect individual needs, goals, recovery and rehabilitation, including co-morbidities, trauma history, personal circumstances, obesity and pre-operative function.</w:t>
      </w:r>
    </w:p>
    <w:p w14:paraId="601636CB" w14:textId="77777777" w:rsidR="00B429A8" w:rsidRDefault="00B429A8" w:rsidP="001F16E9">
      <w:pPr>
        <w:pStyle w:val="Paragraphnonumbers"/>
      </w:pPr>
      <w:r w:rsidRPr="00B429A8">
        <w:t>2 It is recommended that goal setting is individualised, enhances realistic expectations of functional independence, and commences at pre-operative assessment.</w:t>
      </w:r>
    </w:p>
    <w:p w14:paraId="67C7341C" w14:textId="65BEB442" w:rsidR="00EA46E2" w:rsidRDefault="00EA46E2" w:rsidP="001F16E9">
      <w:pPr>
        <w:pStyle w:val="Paragraphnonumbers"/>
      </w:pPr>
      <w:r>
        <w:t xml:space="preserve">5 It is recommended that cognitive status is </w:t>
      </w:r>
      <w:proofErr w:type="gramStart"/>
      <w:r>
        <w:t>taken into account</w:t>
      </w:r>
      <w:proofErr w:type="gramEnd"/>
      <w:r>
        <w:t xml:space="preserve"> during pre-operative and post-operative intervention due to its potential for impact on recovery. </w:t>
      </w:r>
    </w:p>
    <w:p w14:paraId="420B3996" w14:textId="77777777" w:rsidR="00AB4225" w:rsidRDefault="00AB4225" w:rsidP="00AB4225">
      <w:pPr>
        <w:pStyle w:val="Paragraph"/>
      </w:pPr>
      <w:r w:rsidRPr="007B2126">
        <w:t>6 It is recommended that service users are fully involved in decisions about the equipment required to enable them to carry out daily living activities and to comply with any hip precautions in their home environment post-surgery.</w:t>
      </w:r>
    </w:p>
    <w:p w14:paraId="620A10FB" w14:textId="5285C635" w:rsidR="00EA46E2" w:rsidRDefault="003D15BF" w:rsidP="001F16E9">
      <w:pPr>
        <w:pStyle w:val="Paragraphnonumbers"/>
      </w:pPr>
      <w:r>
        <w:t>20</w:t>
      </w:r>
      <w:r w:rsidR="00EA46E2">
        <w:t xml:space="preserve"> </w:t>
      </w:r>
      <w:r w:rsidR="00EA46E2" w:rsidRPr="00EA46E2">
        <w:t>It is suggested that where specific needs are identified, the occupational therapist refers the service user on to community rehabilitation, reablement or intermediate care services to enhance community reintegration.</w:t>
      </w:r>
    </w:p>
    <w:p w14:paraId="71A8AB76" w14:textId="06FD9D2A" w:rsidR="00AB4225" w:rsidRDefault="00AB4225" w:rsidP="00AB4225">
      <w:pPr>
        <w:pStyle w:val="Paragraphnonumbers"/>
      </w:pPr>
      <w:bookmarkStart w:id="168" w:name="_Hlk82205105"/>
      <w:r w:rsidRPr="00106FA0">
        <w:t>21 It is recommended that occupational therapists consult with the surgical team regarding any specific precautions to be followed post-operatively.</w:t>
      </w:r>
    </w:p>
    <w:p w14:paraId="53FBF7AB" w14:textId="69AAEB91" w:rsidR="00AB4225" w:rsidRDefault="00B17B63" w:rsidP="00841B24">
      <w:pPr>
        <w:pStyle w:val="Paragraphnonumbers"/>
      </w:pPr>
      <w:r>
        <w:t>22 It is recommended that occupational therapists advise service users, where protocol includes precautions, on appropriate position behaviours for those daily activities applicable to the individual’s needs, ranging from getting in/out of a car to answering the telephone.</w:t>
      </w:r>
      <w:r>
        <w:cr/>
      </w:r>
      <w:r w:rsidR="00841B24">
        <w:br/>
      </w:r>
      <w:r w:rsidR="00AB4225">
        <w:t>23 It is suggested that given the increase in evidence of improved service user satisfaction and earlier functional independence, without adverse effects on dislocation rates when hip precautions are relaxed or discontinued, occupational therapists engage in local discussion/review of hip precaution protocols with their surgical and multidisciplinary teams.</w:t>
      </w:r>
    </w:p>
    <w:p w14:paraId="5731714D" w14:textId="254F7605" w:rsidR="0020663C" w:rsidRPr="002D1955" w:rsidRDefault="00EA46E2" w:rsidP="001F16E9">
      <w:pPr>
        <w:pStyle w:val="Paragraphnonumbers"/>
      </w:pPr>
      <w:r>
        <w:t>25 It is recommended that the occupational therapist is involved in early multidisciplinary post-operative intervention for service users following hip replacement, providing either inpatient or home-based rehabilitation.</w:t>
      </w:r>
      <w:bookmarkEnd w:id="164"/>
    </w:p>
    <w:bookmarkEnd w:id="168"/>
    <w:p w14:paraId="7C653E14" w14:textId="2979CEE8" w:rsidR="003E5928" w:rsidRPr="003E5928" w:rsidRDefault="00FB14B6" w:rsidP="00FB14B6">
      <w:pPr>
        <w:keepNext/>
        <w:spacing w:before="240" w:after="60" w:line="360" w:lineRule="auto"/>
        <w:outlineLvl w:val="3"/>
        <w:rPr>
          <w:rFonts w:ascii="Arial" w:hAnsi="Arial"/>
          <w:b/>
          <w:bCs/>
          <w:iCs/>
          <w:szCs w:val="28"/>
        </w:rPr>
      </w:pPr>
      <w:r w:rsidRPr="006E5ED8">
        <w:rPr>
          <w:rFonts w:ascii="Arial" w:hAnsi="Arial"/>
          <w:b/>
          <w:bCs/>
          <w:iCs/>
          <w:szCs w:val="28"/>
        </w:rPr>
        <w:lastRenderedPageBreak/>
        <w:t>Current UK practice</w:t>
      </w:r>
    </w:p>
    <w:p w14:paraId="3D95B3DC" w14:textId="77777777" w:rsidR="00C10DE8" w:rsidRDefault="00751008" w:rsidP="000D5E8C">
      <w:pPr>
        <w:pStyle w:val="NICEnormal"/>
        <w:spacing w:line="276" w:lineRule="auto"/>
      </w:pPr>
      <w:hyperlink r:id="rId74" w:history="1">
        <w:r w:rsidR="00C428D5" w:rsidRPr="004E6C66">
          <w:rPr>
            <w:iCs/>
            <w:color w:val="0000FF" w:themeColor="hyperlink"/>
            <w:szCs w:val="28"/>
            <w:u w:val="single"/>
          </w:rPr>
          <w:t xml:space="preserve">GIRFT (2020) </w:t>
        </w:r>
      </w:hyperlink>
      <w:r w:rsidR="00C428D5" w:rsidRPr="004E6C66">
        <w:rPr>
          <w:iCs/>
          <w:szCs w:val="28"/>
        </w:rPr>
        <w:t>reported that</w:t>
      </w:r>
      <w:r w:rsidR="00C428D5" w:rsidRPr="00C428D5">
        <w:t xml:space="preserve"> </w:t>
      </w:r>
    </w:p>
    <w:p w14:paraId="344EE4F8" w14:textId="3E029899" w:rsidR="00C10DE8" w:rsidRDefault="00C428D5" w:rsidP="00720B7C">
      <w:pPr>
        <w:pStyle w:val="Bulletleft1"/>
        <w:spacing w:line="276" w:lineRule="auto"/>
      </w:pPr>
      <w:r w:rsidRPr="00C428D5">
        <w:t xml:space="preserve">32.8% of trusts </w:t>
      </w:r>
      <w:r w:rsidR="004F6FD6">
        <w:t xml:space="preserve">reviewed </w:t>
      </w:r>
      <w:r w:rsidRPr="00C428D5">
        <w:t xml:space="preserve">have reported that as routine practice, </w:t>
      </w:r>
      <w:r>
        <w:t>all TKR</w:t>
      </w:r>
      <w:r w:rsidRPr="00C428D5">
        <w:t xml:space="preserve"> patients should have follow-up with a specialist physiotherapist within </w:t>
      </w:r>
      <w:r>
        <w:t xml:space="preserve">3 </w:t>
      </w:r>
      <w:r w:rsidRPr="00C428D5">
        <w:t xml:space="preserve">weeks </w:t>
      </w:r>
      <w:r w:rsidR="00C10DE8">
        <w:t>after being discharged from hospital</w:t>
      </w:r>
      <w:r w:rsidRPr="00C428D5">
        <w:t xml:space="preserve"> to assess postoperative progress. </w:t>
      </w:r>
    </w:p>
    <w:p w14:paraId="14FA532C" w14:textId="6A1A16EF" w:rsidR="00EA46E2" w:rsidRPr="004F6FD6" w:rsidRDefault="003E5928" w:rsidP="001A719F">
      <w:pPr>
        <w:pStyle w:val="Bulletleft1"/>
        <w:numPr>
          <w:ilvl w:val="0"/>
          <w:numId w:val="0"/>
        </w:numPr>
        <w:spacing w:line="276" w:lineRule="auto"/>
        <w:rPr>
          <w:lang w:val="en-US"/>
        </w:rPr>
      </w:pPr>
      <w:r>
        <w:rPr>
          <w:iCs/>
          <w:szCs w:val="28"/>
        </w:rPr>
        <w:br/>
      </w:r>
      <w:r w:rsidR="00EA46E2" w:rsidRPr="003E5928">
        <w:rPr>
          <w:iCs/>
          <w:szCs w:val="28"/>
        </w:rPr>
        <w:t>A study published in 2020</w:t>
      </w:r>
      <w:r w:rsidR="00EA46E2">
        <w:t xml:space="preserve"> (</w:t>
      </w:r>
      <w:hyperlink r:id="rId75" w:history="1">
        <w:r w:rsidR="00EA46E2" w:rsidRPr="003E5928">
          <w:rPr>
            <w:rStyle w:val="Hyperlink"/>
          </w:rPr>
          <w:t>Smith et al</w:t>
        </w:r>
      </w:hyperlink>
      <w:r w:rsidR="00EA46E2">
        <w:t>) investigated demographic and geographical variability in physiotherapy</w:t>
      </w:r>
      <w:r w:rsidR="003153CB">
        <w:t xml:space="preserve"> provision</w:t>
      </w:r>
      <w:r w:rsidR="00EA46E2">
        <w:t xml:space="preserve"> following hip and knee replacement using</w:t>
      </w:r>
      <w:r w:rsidR="001C01A1">
        <w:t xml:space="preserve"> sources that include</w:t>
      </w:r>
      <w:r w:rsidR="00EA46E2">
        <w:t xml:space="preserve"> NJR data</w:t>
      </w:r>
      <w:r w:rsidR="00D376FC">
        <w:t xml:space="preserve"> </w:t>
      </w:r>
      <w:r w:rsidR="00EA46E2">
        <w:t>from 2009-2010</w:t>
      </w:r>
      <w:r w:rsidR="001660D1">
        <w:t xml:space="preserve"> </w:t>
      </w:r>
      <w:r w:rsidR="003153CB">
        <w:t>and completed PROM</w:t>
      </w:r>
      <w:r w:rsidR="00CA311A">
        <w:t>s</w:t>
      </w:r>
      <w:r w:rsidR="003153CB">
        <w:t xml:space="preserve"> questionnaires at baseline and 12 months postoperatively</w:t>
      </w:r>
      <w:proofErr w:type="gramStart"/>
      <w:r w:rsidR="00EA46E2">
        <w:t xml:space="preserve">.  </w:t>
      </w:r>
      <w:proofErr w:type="gramEnd"/>
      <w:r w:rsidR="00EA46E2">
        <w:t xml:space="preserve">17,338  people </w:t>
      </w:r>
      <w:r w:rsidR="00C10DE8">
        <w:t>(</w:t>
      </w:r>
      <w:r w:rsidR="00EA46E2">
        <w:t>THR</w:t>
      </w:r>
      <w:r w:rsidR="00C10DE8">
        <w:t>)</w:t>
      </w:r>
      <w:r w:rsidR="00EA46E2">
        <w:t xml:space="preserve"> and 20,260 people </w:t>
      </w:r>
      <w:r w:rsidR="00C10DE8">
        <w:t>(</w:t>
      </w:r>
      <w:r w:rsidR="00EA46E2">
        <w:t>TKR</w:t>
      </w:r>
      <w:r w:rsidR="00C10DE8">
        <w:t>)</w:t>
      </w:r>
      <w:r w:rsidR="00EA46E2">
        <w:t xml:space="preserve"> were included in the analysis. The study highlighted:</w:t>
      </w:r>
    </w:p>
    <w:p w14:paraId="0B662E57" w14:textId="2C08F4C4" w:rsidR="008870BF" w:rsidRDefault="00B447F5" w:rsidP="00A34FC6">
      <w:pPr>
        <w:pStyle w:val="Bulletleft1"/>
        <w:spacing w:line="276" w:lineRule="auto"/>
      </w:pPr>
      <w:r>
        <w:t>People having THR are less likely to receive physiotherapy in</w:t>
      </w:r>
      <w:r w:rsidR="00C10DE8">
        <w:t xml:space="preserve"> the</w:t>
      </w:r>
      <w:r>
        <w:t xml:space="preserve"> first postoperative year</w:t>
      </w:r>
      <w:r w:rsidR="00D376FC">
        <w:t>.</w:t>
      </w:r>
    </w:p>
    <w:p w14:paraId="36ADEB78" w14:textId="07B6335C" w:rsidR="00003FCC" w:rsidRDefault="008870BF" w:rsidP="00281DF3">
      <w:pPr>
        <w:pStyle w:val="Bulletleft1"/>
        <w:spacing w:line="276" w:lineRule="auto"/>
      </w:pPr>
      <w:r>
        <w:t xml:space="preserve">There was substantial </w:t>
      </w:r>
      <w:r w:rsidR="00222E4F">
        <w:t>variation</w:t>
      </w:r>
      <w:r>
        <w:t xml:space="preserve"> in the provision of physiotherapy across England</w:t>
      </w:r>
      <w:r w:rsidR="00003FCC">
        <w:t xml:space="preserve"> (mapped to SHA areas)</w:t>
      </w:r>
      <w:r w:rsidR="00C10DE8">
        <w:t>:</w:t>
      </w:r>
    </w:p>
    <w:p w14:paraId="63CB86FC" w14:textId="6B058445" w:rsidR="008870BF" w:rsidRDefault="00003FCC" w:rsidP="00281DF3">
      <w:pPr>
        <w:pStyle w:val="Bulletleft1"/>
        <w:numPr>
          <w:ilvl w:val="1"/>
          <w:numId w:val="4"/>
        </w:numPr>
        <w:spacing w:line="276" w:lineRule="auto"/>
      </w:pPr>
      <w:r w:rsidRPr="00003FCC">
        <w:t>between 40% (</w:t>
      </w:r>
      <w:proofErr w:type="gramStart"/>
      <w:r w:rsidRPr="00003FCC">
        <w:t>south west</w:t>
      </w:r>
      <w:proofErr w:type="gramEnd"/>
      <w:r w:rsidRPr="00003FCC">
        <w:t xml:space="preserve">) and 73% (London) received </w:t>
      </w:r>
      <w:r w:rsidR="0002613A">
        <w:t xml:space="preserve">at least 1 session </w:t>
      </w:r>
      <w:r w:rsidR="00C10DE8">
        <w:t>(THA)</w:t>
      </w:r>
      <w:r w:rsidR="00281DF3">
        <w:t>.</w:t>
      </w:r>
      <w:r w:rsidRPr="00003FCC">
        <w:t xml:space="preserve"> </w:t>
      </w:r>
    </w:p>
    <w:p w14:paraId="2FD95C14" w14:textId="30DA9FD4" w:rsidR="00003FCC" w:rsidRDefault="00003FCC" w:rsidP="00281DF3">
      <w:pPr>
        <w:pStyle w:val="Bulletleft1"/>
        <w:numPr>
          <w:ilvl w:val="1"/>
          <w:numId w:val="4"/>
        </w:numPr>
        <w:spacing w:line="276" w:lineRule="auto"/>
      </w:pPr>
      <w:r>
        <w:t>between 74% (</w:t>
      </w:r>
      <w:proofErr w:type="gramStart"/>
      <w:r>
        <w:t>south west</w:t>
      </w:r>
      <w:proofErr w:type="gramEnd"/>
      <w:r>
        <w:t xml:space="preserve">) and 87% (north east) of patients received </w:t>
      </w:r>
      <w:r w:rsidR="00281DF3">
        <w:t xml:space="preserve">at least 1 session </w:t>
      </w:r>
      <w:r w:rsidR="00C10DE8">
        <w:t>(</w:t>
      </w:r>
      <w:r>
        <w:t>TKR</w:t>
      </w:r>
      <w:r w:rsidR="00C10DE8">
        <w:t>)</w:t>
      </w:r>
      <w:r>
        <w:t>.</w:t>
      </w:r>
    </w:p>
    <w:p w14:paraId="5F7B24C6" w14:textId="5C7319DE" w:rsidR="000C658C" w:rsidRDefault="000C658C" w:rsidP="00281DF3">
      <w:pPr>
        <w:pStyle w:val="Bulletleft1"/>
        <w:spacing w:line="276" w:lineRule="auto"/>
      </w:pPr>
      <w:r>
        <w:t xml:space="preserve">A greater proportion of younger people and females received more physiotherapy. </w:t>
      </w:r>
    </w:p>
    <w:p w14:paraId="78121092" w14:textId="4E32472E" w:rsidR="0002613A" w:rsidRDefault="00E115BF" w:rsidP="00281DF3">
      <w:pPr>
        <w:pStyle w:val="Bulletleft1"/>
        <w:spacing w:line="276" w:lineRule="auto"/>
      </w:pPr>
      <w:r>
        <w:t xml:space="preserve">A greater proportion of non-white </w:t>
      </w:r>
      <w:r w:rsidR="000C658C">
        <w:t>people</w:t>
      </w:r>
      <w:r>
        <w:t xml:space="preserve"> received </w:t>
      </w:r>
      <w:r w:rsidR="00F0781B">
        <w:t xml:space="preserve">at least 1 session than white </w:t>
      </w:r>
      <w:r w:rsidR="000C658C">
        <w:t>people</w:t>
      </w:r>
      <w:r w:rsidR="00F0781B">
        <w:t xml:space="preserve"> (64% compared to 36%).</w:t>
      </w:r>
    </w:p>
    <w:p w14:paraId="0E808209" w14:textId="1E46F532" w:rsidR="000C658C" w:rsidRPr="00003FCC" w:rsidRDefault="000C658C" w:rsidP="00281DF3">
      <w:pPr>
        <w:pStyle w:val="Bulletleft1"/>
        <w:spacing w:line="276" w:lineRule="auto"/>
      </w:pPr>
      <w:r>
        <w:t xml:space="preserve">While a greater proportion of people with higher levels of perceived disability are more likely to have physiotherapy after either THR or TKR, significant variation </w:t>
      </w:r>
      <w:r w:rsidR="00127D40">
        <w:t xml:space="preserve">of provision </w:t>
      </w:r>
      <w:r>
        <w:t xml:space="preserve">cannot be explained in terms of demographics or perceived severity of postoperative impairment. </w:t>
      </w:r>
    </w:p>
    <w:p w14:paraId="1D066DAD" w14:textId="51FD4C83" w:rsidR="0002270A" w:rsidRDefault="00322C86" w:rsidP="008056D3">
      <w:pPr>
        <w:pStyle w:val="NICEnormal"/>
        <w:spacing w:line="276" w:lineRule="auto"/>
        <w:rPr>
          <w:lang w:val="en-US"/>
        </w:rPr>
      </w:pPr>
      <w:r>
        <w:rPr>
          <w:lang w:val="en-US"/>
        </w:rPr>
        <w:br/>
      </w:r>
      <w:r w:rsidR="005C356E">
        <w:rPr>
          <w:lang w:val="en-US"/>
        </w:rPr>
        <w:t xml:space="preserve">Limitations of the study include missing data for </w:t>
      </w:r>
      <w:r w:rsidR="00F51EBF">
        <w:rPr>
          <w:lang w:val="en-US"/>
        </w:rPr>
        <w:t>both procedures</w:t>
      </w:r>
      <w:r w:rsidR="005C356E">
        <w:rPr>
          <w:lang w:val="en-US"/>
        </w:rPr>
        <w:t xml:space="preserve">, small differences between groups taking on undue significance, and dependence on patient recall of </w:t>
      </w:r>
      <w:r w:rsidR="00F51EBF">
        <w:rPr>
          <w:lang w:val="en-US"/>
        </w:rPr>
        <w:t xml:space="preserve">their </w:t>
      </w:r>
      <w:r w:rsidR="005C356E">
        <w:rPr>
          <w:lang w:val="en-US"/>
        </w:rPr>
        <w:t>physiotherapy sessions</w:t>
      </w:r>
      <w:proofErr w:type="gramStart"/>
      <w:r w:rsidR="005C356E">
        <w:rPr>
          <w:lang w:val="en-US"/>
        </w:rPr>
        <w:t xml:space="preserve">.  </w:t>
      </w:r>
      <w:proofErr w:type="gramEnd"/>
    </w:p>
    <w:p w14:paraId="1836C01E" w14:textId="3EA7D796" w:rsidR="00AB4225" w:rsidRDefault="00AB4225" w:rsidP="001A719F">
      <w:pPr>
        <w:pStyle w:val="Paragraph"/>
      </w:pPr>
      <w:r>
        <w:t xml:space="preserve">170 UK-based physiotherapists and occupational therapists (174 Trusts) who treat patients before and/or after THR </w:t>
      </w:r>
      <w:r w:rsidRPr="00A820F7">
        <w:t>responded to a survey</w:t>
      </w:r>
      <w:r w:rsidR="00F366A5">
        <w:t>, the findings of which were</w:t>
      </w:r>
      <w:r w:rsidRPr="00A820F7">
        <w:t xml:space="preserve"> published </w:t>
      </w:r>
      <w:r>
        <w:t>in 2016 (</w:t>
      </w:r>
      <w:hyperlink r:id="rId76" w:history="1">
        <w:r>
          <w:rPr>
            <w:rStyle w:val="Hyperlink"/>
          </w:rPr>
          <w:t>Smith and Sackley</w:t>
        </w:r>
      </w:hyperlink>
      <w:r>
        <w:t>).  The findings highlight variation in practice around hip precautions</w:t>
      </w:r>
      <w:r w:rsidR="001A719F">
        <w:t xml:space="preserve">: </w:t>
      </w:r>
      <w:r>
        <w:t>49% of trusts recommended that equipment should be used for 6 weeks, while 40% recommended that patients use it for 3 months, and some (13), indefinitely.</w:t>
      </w:r>
    </w:p>
    <w:p w14:paraId="0E1CFB70" w14:textId="4B16DDC3" w:rsidR="00AB4225" w:rsidRDefault="00AB4225" w:rsidP="00AB4225">
      <w:pPr>
        <w:pStyle w:val="Bulletleft1"/>
        <w:numPr>
          <w:ilvl w:val="0"/>
          <w:numId w:val="0"/>
        </w:numPr>
        <w:spacing w:line="276" w:lineRule="auto"/>
      </w:pPr>
      <w:r>
        <w:t xml:space="preserve">The paper also highlighted that at the time of publication, UK occupational </w:t>
      </w:r>
      <w:r w:rsidR="00E45CF3">
        <w:t xml:space="preserve">therapists </w:t>
      </w:r>
      <w:r>
        <w:t>and physiotherapists questioned whether hip precautions should be routinely offered. As highlighted at engagement, other studies have suggested that hip precautions may not be routinely needed following a THR</w:t>
      </w:r>
      <w:proofErr w:type="gramStart"/>
      <w:r>
        <w:t xml:space="preserve">.  </w:t>
      </w:r>
      <w:proofErr w:type="gramEnd"/>
      <w:r>
        <w:t>No multi-centre or national published current practice studies were identified.</w:t>
      </w:r>
    </w:p>
    <w:p w14:paraId="08E6A672" w14:textId="77777777" w:rsidR="00AB4225" w:rsidRDefault="00AB4225" w:rsidP="00AB4225">
      <w:pPr>
        <w:pStyle w:val="Bulletleft1"/>
        <w:numPr>
          <w:ilvl w:val="0"/>
          <w:numId w:val="0"/>
        </w:numPr>
        <w:spacing w:line="276" w:lineRule="auto"/>
      </w:pPr>
    </w:p>
    <w:p w14:paraId="31012FF2" w14:textId="1D3271EB" w:rsidR="00B66B57" w:rsidRDefault="00AB4225" w:rsidP="00AB4225">
      <w:pPr>
        <w:pStyle w:val="Bulletleft1"/>
        <w:numPr>
          <w:ilvl w:val="0"/>
          <w:numId w:val="0"/>
        </w:numPr>
        <w:spacing w:line="276" w:lineRule="auto"/>
      </w:pPr>
      <w:r>
        <w:lastRenderedPageBreak/>
        <w:t>Stakeholders highlighted a selection of papers on rehabilitation, mainly concerning TKR, but these were primary studies or systematic reviews of primary studies and did not concern variation in practice</w:t>
      </w:r>
      <w:proofErr w:type="gramStart"/>
      <w:r>
        <w:t xml:space="preserve">.  </w:t>
      </w:r>
      <w:proofErr w:type="gramEnd"/>
    </w:p>
    <w:p w14:paraId="2392444E" w14:textId="77777777" w:rsidR="00B66B57" w:rsidRPr="00106FA0" w:rsidRDefault="00751008" w:rsidP="00B66B57">
      <w:pPr>
        <w:pStyle w:val="Paragraph"/>
        <w:rPr>
          <w:lang w:val="en-US"/>
        </w:rPr>
      </w:pPr>
      <w:hyperlink r:id="rId77" w:history="1">
        <w:r w:rsidR="00B66B57" w:rsidRPr="003D049F">
          <w:rPr>
            <w:rStyle w:val="Hyperlink"/>
            <w:lang w:val="en-US"/>
          </w:rPr>
          <w:t>A study by Artz et al (2012)</w:t>
        </w:r>
      </w:hyperlink>
      <w:r w:rsidR="00B66B57">
        <w:rPr>
          <w:lang w:val="en-US"/>
        </w:rPr>
        <w:t xml:space="preserve"> reviewed post-discharge physiotherapy provision after THR and TKR at high-volume (500 hip or knee procedures annually) NHS hospitals in England and Wales</w:t>
      </w:r>
      <w:proofErr w:type="gramStart"/>
      <w:r w:rsidR="00B66B57">
        <w:rPr>
          <w:lang w:val="en-US"/>
        </w:rPr>
        <w:t xml:space="preserve">.  </w:t>
      </w:r>
      <w:proofErr w:type="gramEnd"/>
      <w:r w:rsidR="00B66B57">
        <w:rPr>
          <w:lang w:val="en-US"/>
        </w:rPr>
        <w:t>The study used NJR data from 2010, and responses from a telephone or email survey of physiotherapy clinicians</w:t>
      </w:r>
      <w:proofErr w:type="gramStart"/>
      <w:r w:rsidR="00B66B57">
        <w:rPr>
          <w:lang w:val="en-US"/>
        </w:rPr>
        <w:t xml:space="preserve">.  </w:t>
      </w:r>
      <w:proofErr w:type="gramEnd"/>
      <w:r w:rsidR="00B66B57">
        <w:t>The study highlighted variation in the content of physiotherapy sessions following TKR:</w:t>
      </w:r>
    </w:p>
    <w:p w14:paraId="3D532A52" w14:textId="77777777" w:rsidR="00B66B57" w:rsidRDefault="00B66B57" w:rsidP="00B66B57">
      <w:pPr>
        <w:pStyle w:val="Paragraph"/>
      </w:pPr>
      <w:r>
        <w:t>Group sessions:</w:t>
      </w:r>
    </w:p>
    <w:p w14:paraId="3A8B584B" w14:textId="77777777" w:rsidR="00B66B57" w:rsidRDefault="00B66B57" w:rsidP="00B66B57">
      <w:pPr>
        <w:pStyle w:val="Bulletleft1"/>
        <w:spacing w:line="276" w:lineRule="auto"/>
      </w:pPr>
      <w:r>
        <w:t xml:space="preserve">All 23 centres offered knee strengthening and stretching exercises. </w:t>
      </w:r>
    </w:p>
    <w:p w14:paraId="0EC6FA2F" w14:textId="77777777" w:rsidR="00B66B57" w:rsidRDefault="00B66B57" w:rsidP="00B66B57">
      <w:pPr>
        <w:pStyle w:val="Bulletleft1"/>
        <w:spacing w:line="276" w:lineRule="auto"/>
      </w:pPr>
      <w:r>
        <w:t>Sessions varied in duration ranged from 20 to 60 minutes, and the number of sessions varied.</w:t>
      </w:r>
    </w:p>
    <w:p w14:paraId="027894C0" w14:textId="77777777" w:rsidR="00B66B57" w:rsidRDefault="00B66B57" w:rsidP="00B66B57">
      <w:pPr>
        <w:pStyle w:val="Bulletleft1"/>
        <w:spacing w:line="276" w:lineRule="auto"/>
      </w:pPr>
      <w:r>
        <w:t xml:space="preserve">9 provided functional exercises. </w:t>
      </w:r>
    </w:p>
    <w:p w14:paraId="66EF3BA6" w14:textId="77777777" w:rsidR="00B66B57" w:rsidRDefault="00B66B57" w:rsidP="00B66B57">
      <w:pPr>
        <w:pStyle w:val="Bulletleft1"/>
        <w:spacing w:line="276" w:lineRule="auto"/>
      </w:pPr>
      <w:r>
        <w:t>6 provided individually tailored exercises.</w:t>
      </w:r>
    </w:p>
    <w:p w14:paraId="02D04E77" w14:textId="77777777" w:rsidR="00B66B57" w:rsidRDefault="00B66B57" w:rsidP="00B66B57">
      <w:pPr>
        <w:pStyle w:val="Bulletleft1"/>
        <w:spacing w:line="276" w:lineRule="auto"/>
      </w:pPr>
      <w:r>
        <w:t>3 provided task-specific exercises.</w:t>
      </w:r>
    </w:p>
    <w:p w14:paraId="0C5ED8B7" w14:textId="77777777" w:rsidR="00B66B57" w:rsidRDefault="00B66B57" w:rsidP="00B66B57">
      <w:pPr>
        <w:pStyle w:val="Bulletleft1"/>
      </w:pPr>
      <w:r w:rsidRPr="00595D0E">
        <w:t>Other exercises included proprioceptive and balance exercises</w:t>
      </w:r>
      <w:r>
        <w:t>.</w:t>
      </w:r>
    </w:p>
    <w:p w14:paraId="52C709BA" w14:textId="77777777" w:rsidR="00B66B57" w:rsidRDefault="00B66B57" w:rsidP="00B66B57">
      <w:pPr>
        <w:pStyle w:val="Bulletleft1"/>
        <w:numPr>
          <w:ilvl w:val="0"/>
          <w:numId w:val="0"/>
        </w:numPr>
        <w:ind w:left="284" w:hanging="284"/>
      </w:pPr>
      <w:r>
        <w:t>One-to-one sessions:</w:t>
      </w:r>
    </w:p>
    <w:p w14:paraId="38CD093D" w14:textId="77777777" w:rsidR="00B66B57" w:rsidRDefault="00B66B57" w:rsidP="00B66B57">
      <w:pPr>
        <w:pStyle w:val="Bulletleft1"/>
        <w:numPr>
          <w:ilvl w:val="0"/>
          <w:numId w:val="28"/>
        </w:numPr>
        <w:spacing w:line="276" w:lineRule="auto"/>
      </w:pPr>
      <w:r>
        <w:t>The duration was not specified.</w:t>
      </w:r>
    </w:p>
    <w:p w14:paraId="2CE83118" w14:textId="77777777" w:rsidR="00B66B57" w:rsidRDefault="00B66B57" w:rsidP="00B66B57">
      <w:pPr>
        <w:pStyle w:val="Bulletleft1"/>
        <w:numPr>
          <w:ilvl w:val="0"/>
          <w:numId w:val="28"/>
        </w:numPr>
        <w:spacing w:line="276" w:lineRule="auto"/>
      </w:pPr>
      <w:r>
        <w:t>Exercises typically included specific knee joint exercises, functional exercises and advice.</w:t>
      </w:r>
    </w:p>
    <w:p w14:paraId="62B02794" w14:textId="77777777" w:rsidR="00B66B57" w:rsidRDefault="00B66B57" w:rsidP="00B66B57">
      <w:pPr>
        <w:pStyle w:val="Bulletleft1"/>
        <w:numPr>
          <w:ilvl w:val="0"/>
          <w:numId w:val="28"/>
        </w:numPr>
        <w:spacing w:line="276" w:lineRule="auto"/>
      </w:pPr>
      <w:r>
        <w:t>Manual therapy was used for people with restricted range of knee motion.</w:t>
      </w:r>
    </w:p>
    <w:p w14:paraId="2EE22574" w14:textId="0ADB54C4" w:rsidR="00B66B57" w:rsidRDefault="00B66B57" w:rsidP="003A11CE">
      <w:pPr>
        <w:pStyle w:val="Bulletleft1"/>
        <w:numPr>
          <w:ilvl w:val="0"/>
          <w:numId w:val="28"/>
        </w:numPr>
        <w:spacing w:line="276" w:lineRule="auto"/>
      </w:pPr>
      <w:r>
        <w:t>1 centre offered access to a pain management team.</w:t>
      </w:r>
    </w:p>
    <w:p w14:paraId="1B4F8C0B" w14:textId="77777777" w:rsidR="00B429A8" w:rsidRDefault="00B429A8" w:rsidP="00D376FC">
      <w:pPr>
        <w:pStyle w:val="Bulletleft1"/>
        <w:numPr>
          <w:ilvl w:val="0"/>
          <w:numId w:val="0"/>
        </w:numPr>
        <w:spacing w:line="276" w:lineRule="auto"/>
      </w:pPr>
    </w:p>
    <w:p w14:paraId="55CD6CF2" w14:textId="73A4F887" w:rsidR="004E6C66" w:rsidRPr="007E023B" w:rsidRDefault="00DF3C6B" w:rsidP="00E2289F">
      <w:pPr>
        <w:pStyle w:val="Heading3"/>
      </w:pPr>
      <w:r>
        <w:t>L</w:t>
      </w:r>
      <w:r w:rsidR="008056D3">
        <w:t>ong-term care</w:t>
      </w:r>
    </w:p>
    <w:p w14:paraId="71F42964" w14:textId="267D7536" w:rsidR="00F51EBF" w:rsidRDefault="008056D3" w:rsidP="004E6C66">
      <w:pPr>
        <w:pStyle w:val="Paragraph"/>
      </w:pPr>
      <w:r>
        <w:t xml:space="preserve">Stakeholders also </w:t>
      </w:r>
      <w:r w:rsidR="003E5928">
        <w:t xml:space="preserve">commented on </w:t>
      </w:r>
      <w:r>
        <w:t xml:space="preserve">uncertainty around the best approaches to routine, long-term follow-up. </w:t>
      </w:r>
    </w:p>
    <w:p w14:paraId="60160123" w14:textId="645D023E" w:rsidR="004E6C66" w:rsidRDefault="004E6C66" w:rsidP="005E507A">
      <w:pPr>
        <w:pStyle w:val="Heading4"/>
      </w:pPr>
      <w:r w:rsidRPr="004E6C66">
        <w:t>Selected recommendations</w:t>
      </w:r>
    </w:p>
    <w:p w14:paraId="5F2BDDB0" w14:textId="0CD1B2D8" w:rsidR="002639F5" w:rsidRPr="002639F5" w:rsidRDefault="002639F5" w:rsidP="002639F5">
      <w:pPr>
        <w:rPr>
          <w:rFonts w:ascii="Arial" w:hAnsi="Arial" w:cs="Arial"/>
        </w:rPr>
      </w:pPr>
      <w:r w:rsidRPr="002639F5">
        <w:rPr>
          <w:rFonts w:ascii="Arial" w:hAnsi="Arial" w:cs="Arial"/>
        </w:rPr>
        <w:t>No recommendations identified.</w:t>
      </w:r>
    </w:p>
    <w:p w14:paraId="066BD8BB" w14:textId="0011ED52" w:rsidR="00C8329C" w:rsidRPr="005E507A" w:rsidRDefault="00C8329C" w:rsidP="00A4306A">
      <w:pPr>
        <w:pStyle w:val="Heading4"/>
      </w:pPr>
      <w:r w:rsidRPr="00A4306A">
        <w:t>UK current practice</w:t>
      </w:r>
    </w:p>
    <w:p w14:paraId="787CD4F0" w14:textId="07786850" w:rsidR="00B66B57" w:rsidRPr="00B66B57" w:rsidRDefault="00B66B57" w:rsidP="00B66B57">
      <w:pPr>
        <w:pStyle w:val="Paragraph"/>
      </w:pPr>
      <w:r>
        <w:t>No published studies on current practice were highlighted for this suggested area for quality improvement; this area is based on stakeholder’s knowledge and experience.</w:t>
      </w:r>
    </w:p>
    <w:p w14:paraId="135EE47A" w14:textId="1BADE026" w:rsidR="00FB14B6" w:rsidRPr="00FB14B6" w:rsidRDefault="00FB14B6" w:rsidP="00FB14B6">
      <w:pPr>
        <w:keepNext/>
        <w:spacing w:before="240" w:after="60" w:line="360" w:lineRule="auto"/>
        <w:outlineLvl w:val="2"/>
        <w:rPr>
          <w:rFonts w:ascii="Arial" w:hAnsi="Arial" w:cs="Arial"/>
          <w:b/>
          <w:bCs/>
          <w:sz w:val="26"/>
        </w:rPr>
      </w:pPr>
      <w:r w:rsidRPr="00FB14B6">
        <w:rPr>
          <w:rFonts w:ascii="Arial" w:hAnsi="Arial" w:cs="Arial"/>
          <w:b/>
          <w:bCs/>
          <w:sz w:val="26"/>
        </w:rPr>
        <w:t>Resource impact</w:t>
      </w:r>
    </w:p>
    <w:p w14:paraId="479DBB95" w14:textId="658B9055" w:rsidR="00EA16A9" w:rsidRDefault="00EA16A9" w:rsidP="00305039">
      <w:pPr>
        <w:pStyle w:val="NICEnormal"/>
        <w:spacing w:line="276" w:lineRule="auto"/>
      </w:pPr>
      <w:r w:rsidRPr="00F73B98">
        <w:t>We do not expect this quality statement to have a significant impact on resources.</w:t>
      </w:r>
    </w:p>
    <w:p w14:paraId="73B3A8E4" w14:textId="31AE58AD" w:rsidR="000E0ECE" w:rsidRPr="00934476" w:rsidRDefault="00FB14B6" w:rsidP="00934476">
      <w:pPr>
        <w:keepNext/>
        <w:spacing w:before="240" w:after="60" w:line="360" w:lineRule="auto"/>
        <w:outlineLvl w:val="2"/>
        <w:rPr>
          <w:rFonts w:ascii="Arial" w:hAnsi="Arial" w:cs="Arial"/>
          <w:b/>
          <w:bCs/>
          <w:sz w:val="26"/>
        </w:rPr>
      </w:pPr>
      <w:r w:rsidRPr="00FB14B6">
        <w:rPr>
          <w:rFonts w:ascii="Arial" w:hAnsi="Arial" w:cs="Arial"/>
          <w:b/>
          <w:bCs/>
          <w:sz w:val="26"/>
        </w:rPr>
        <w:lastRenderedPageBreak/>
        <w:t>Issues for consideration</w:t>
      </w:r>
    </w:p>
    <w:p w14:paraId="01DAF4B7" w14:textId="36065CCE" w:rsidR="007E6961" w:rsidRPr="004F6FD6" w:rsidRDefault="00FB14B6" w:rsidP="004F6FD6">
      <w:pPr>
        <w:spacing w:before="240" w:after="240" w:line="276" w:lineRule="auto"/>
        <w:rPr>
          <w:rFonts w:ascii="Arial" w:hAnsi="Arial"/>
          <w:b/>
          <w:bCs/>
        </w:rPr>
      </w:pPr>
      <w:r w:rsidRPr="00FB14B6">
        <w:rPr>
          <w:rFonts w:ascii="Arial" w:hAnsi="Arial"/>
          <w:b/>
          <w:bCs/>
        </w:rPr>
        <w:t>For discussion:</w:t>
      </w:r>
    </w:p>
    <w:p w14:paraId="4F35B03E" w14:textId="5B6682AD" w:rsidR="00144E0A" w:rsidRDefault="00127D40" w:rsidP="00144E0A">
      <w:pPr>
        <w:pStyle w:val="Bulletleft1"/>
        <w:spacing w:line="276" w:lineRule="auto"/>
      </w:pPr>
      <w:r>
        <w:t xml:space="preserve">There are no recommendations </w:t>
      </w:r>
      <w:r w:rsidR="00B429A8">
        <w:t xml:space="preserve">on </w:t>
      </w:r>
      <w:r>
        <w:t>long-term care.</w:t>
      </w:r>
    </w:p>
    <w:p w14:paraId="2E45D549" w14:textId="5311AD50" w:rsidR="00B429A8" w:rsidRDefault="00B429A8" w:rsidP="00144E0A">
      <w:pPr>
        <w:pStyle w:val="Bulletleft1"/>
        <w:spacing w:line="276" w:lineRule="auto"/>
      </w:pPr>
      <w:r>
        <w:t>The RCOT recommendation on referral to community and other settings only concerns THR.</w:t>
      </w:r>
    </w:p>
    <w:p w14:paraId="1BDD2956" w14:textId="30964100" w:rsidR="00127D40" w:rsidRDefault="00127D40" w:rsidP="00127D40">
      <w:pPr>
        <w:pStyle w:val="Bulletleft1"/>
        <w:spacing w:line="276" w:lineRule="auto"/>
      </w:pPr>
      <w:r>
        <w:t xml:space="preserve">There is only a ‘consider’ recommendation for people with </w:t>
      </w:r>
      <w:r w:rsidR="007A4DA1">
        <w:t xml:space="preserve">cognitive impairment. </w:t>
      </w:r>
    </w:p>
    <w:p w14:paraId="67B916BF" w14:textId="731B96F9" w:rsidR="00127D40" w:rsidRDefault="00127D40" w:rsidP="00127D40">
      <w:pPr>
        <w:pStyle w:val="Bulletleft1"/>
        <w:spacing w:line="276" w:lineRule="auto"/>
      </w:pPr>
      <w:r>
        <w:t>There are multiple options for outpatient rehabilitation</w:t>
      </w:r>
      <w:r w:rsidR="00E45CF3">
        <w:t xml:space="preserve"> for shoulder replacement</w:t>
      </w:r>
      <w:r>
        <w:t xml:space="preserve"> </w:t>
      </w:r>
      <w:r w:rsidR="007A4DA1">
        <w:t xml:space="preserve">(implications for </w:t>
      </w:r>
      <w:r w:rsidR="00513715">
        <w:t>measurability</w:t>
      </w:r>
      <w:r w:rsidR="007A4DA1">
        <w:t>)</w:t>
      </w:r>
      <w:r>
        <w:t>.</w:t>
      </w:r>
    </w:p>
    <w:p w14:paraId="4FBC2212" w14:textId="2AD6772D" w:rsidR="000D4940" w:rsidRDefault="00FB14B6" w:rsidP="00350167">
      <w:pPr>
        <w:pStyle w:val="Bulletleft1"/>
        <w:spacing w:line="276" w:lineRule="auto"/>
      </w:pPr>
      <w:r w:rsidRPr="00305039">
        <w:t xml:space="preserve">What is the key </w:t>
      </w:r>
      <w:r w:rsidR="00127D40">
        <w:t>area for quality improvement</w:t>
      </w:r>
      <w:r w:rsidR="00D376FC">
        <w:t>?</w:t>
      </w:r>
    </w:p>
    <w:p w14:paraId="5E8926F7" w14:textId="77777777" w:rsidR="00FB14B6" w:rsidRPr="00FB14B6" w:rsidRDefault="00FB14B6" w:rsidP="00513715">
      <w:pPr>
        <w:spacing w:before="240" w:after="240" w:line="276" w:lineRule="auto"/>
        <w:rPr>
          <w:rFonts w:ascii="Arial" w:hAnsi="Arial"/>
          <w:b/>
          <w:bCs/>
        </w:rPr>
      </w:pPr>
      <w:r w:rsidRPr="00FB14B6">
        <w:rPr>
          <w:rFonts w:ascii="Arial" w:hAnsi="Arial"/>
          <w:b/>
          <w:bCs/>
        </w:rPr>
        <w:t>For decision:</w:t>
      </w:r>
    </w:p>
    <w:p w14:paraId="4EA8C21F" w14:textId="5E29214A" w:rsidR="003E721A" w:rsidRDefault="00FB14B6" w:rsidP="00FB14B6">
      <w:pPr>
        <w:tabs>
          <w:tab w:val="num" w:pos="284"/>
        </w:tabs>
        <w:spacing w:line="360" w:lineRule="auto"/>
        <w:ind w:left="284" w:hanging="284"/>
        <w:rPr>
          <w:rFonts w:ascii="Arial" w:hAnsi="Arial"/>
        </w:rPr>
      </w:pPr>
      <w:r w:rsidRPr="00FB14B6">
        <w:rPr>
          <w:rFonts w:ascii="Arial" w:hAnsi="Arial"/>
        </w:rPr>
        <w:t>Should this area be prioritised for inclusion in the quality standard?</w:t>
      </w:r>
    </w:p>
    <w:p w14:paraId="6AEEEE78" w14:textId="77777777" w:rsidR="003E721A" w:rsidRDefault="003E721A">
      <w:pPr>
        <w:rPr>
          <w:rFonts w:ascii="Arial" w:hAnsi="Arial"/>
        </w:rPr>
      </w:pPr>
      <w:r>
        <w:rPr>
          <w:rFonts w:ascii="Arial" w:hAnsi="Arial"/>
        </w:rPr>
        <w:br w:type="page"/>
      </w:r>
    </w:p>
    <w:p w14:paraId="00CE4D4D" w14:textId="02F95544" w:rsidR="00626943" w:rsidRPr="00427135" w:rsidRDefault="00626943" w:rsidP="00427135">
      <w:pPr>
        <w:pStyle w:val="Numberedheading2"/>
      </w:pPr>
      <w:bookmarkStart w:id="169" w:name="_Toc87374580"/>
      <w:r w:rsidRPr="00427135">
        <w:lastRenderedPageBreak/>
        <w:t>Additional areas</w:t>
      </w:r>
      <w:bookmarkEnd w:id="169"/>
      <w:r w:rsidRPr="00427135">
        <w:t xml:space="preserve"> </w:t>
      </w:r>
    </w:p>
    <w:p w14:paraId="0578242B" w14:textId="77777777" w:rsidR="00626943" w:rsidRPr="00E80EE3" w:rsidRDefault="00626943" w:rsidP="00427135">
      <w:pPr>
        <w:pStyle w:val="Heading3"/>
      </w:pPr>
      <w:r w:rsidRPr="00E80EE3">
        <w:t>Summary of suggestions</w:t>
      </w:r>
    </w:p>
    <w:p w14:paraId="6D104B01"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251A5258"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7DD5C09F" w14:textId="239E12C3" w:rsidR="00910D5A" w:rsidRDefault="00910D5A" w:rsidP="00F04347">
      <w:pPr>
        <w:pStyle w:val="Caption"/>
      </w:pPr>
      <w:r w:rsidRPr="000C29CE">
        <w:t xml:space="preserve">Table </w:t>
      </w:r>
      <w:r w:rsidR="00855C1D">
        <w:t>2</w:t>
      </w:r>
      <w:r w:rsidR="00F96905" w:rsidRPr="000C29CE">
        <w:t xml:space="preserve"> Summary of information available for additional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497655AC" w14:textId="77777777" w:rsidTr="003D5F7B">
        <w:trPr>
          <w:tblHeader/>
        </w:trPr>
        <w:tc>
          <w:tcPr>
            <w:tcW w:w="2089" w:type="pct"/>
            <w:shd w:val="clear" w:color="auto" w:fill="auto"/>
          </w:tcPr>
          <w:p w14:paraId="0C4B9EFB" w14:textId="77777777" w:rsidR="00910D5A" w:rsidRPr="00910B42" w:rsidRDefault="00910D5A" w:rsidP="00F04347">
            <w:pPr>
              <w:pStyle w:val="Tabletitle"/>
            </w:pPr>
            <w:r w:rsidRPr="5A137D12">
              <w:t>Suggested area for improvement</w:t>
            </w:r>
          </w:p>
        </w:tc>
        <w:tc>
          <w:tcPr>
            <w:tcW w:w="726" w:type="pct"/>
          </w:tcPr>
          <w:p w14:paraId="4C1EC98A" w14:textId="77777777" w:rsidR="00910D5A" w:rsidRPr="00910B42" w:rsidRDefault="00910D5A" w:rsidP="00F04347">
            <w:pPr>
              <w:pStyle w:val="Tabletitle"/>
            </w:pPr>
            <w:r>
              <w:t>Within remit of NICE QS</w:t>
            </w:r>
          </w:p>
        </w:tc>
        <w:tc>
          <w:tcPr>
            <w:tcW w:w="730" w:type="pct"/>
          </w:tcPr>
          <w:p w14:paraId="5426A27A" w14:textId="77777777" w:rsidR="00910D5A" w:rsidRDefault="00910D5A" w:rsidP="00F04347">
            <w:pPr>
              <w:pStyle w:val="Tabletitle"/>
            </w:pPr>
            <w:r w:rsidRPr="00910B42">
              <w:t>In scope</w:t>
            </w:r>
          </w:p>
          <w:p w14:paraId="6933F903" w14:textId="77777777" w:rsidR="00910D5A" w:rsidRPr="00910B42" w:rsidRDefault="00910D5A" w:rsidP="00F04347">
            <w:pPr>
              <w:pStyle w:val="Tabletitle"/>
            </w:pPr>
          </w:p>
        </w:tc>
        <w:tc>
          <w:tcPr>
            <w:tcW w:w="726" w:type="pct"/>
          </w:tcPr>
          <w:p w14:paraId="09E4C800" w14:textId="77777777" w:rsidR="00910D5A" w:rsidRPr="00910B42" w:rsidRDefault="00910D5A" w:rsidP="00F04347">
            <w:pPr>
              <w:pStyle w:val="Tabletitle"/>
            </w:pPr>
            <w:r w:rsidRPr="00910B42">
              <w:t>Guideline recs</w:t>
            </w:r>
          </w:p>
        </w:tc>
        <w:tc>
          <w:tcPr>
            <w:tcW w:w="729" w:type="pct"/>
          </w:tcPr>
          <w:p w14:paraId="28D96EA9" w14:textId="77777777" w:rsidR="00910D5A" w:rsidRDefault="00910D5A" w:rsidP="00F04347">
            <w:pPr>
              <w:pStyle w:val="Tabletitle"/>
            </w:pPr>
            <w:r>
              <w:t xml:space="preserve">Relevant </w:t>
            </w:r>
          </w:p>
          <w:p w14:paraId="387707E3" w14:textId="77777777" w:rsidR="00910D5A" w:rsidRPr="00910B42" w:rsidRDefault="00910D5A" w:rsidP="00F04347">
            <w:pPr>
              <w:pStyle w:val="Tabletitle"/>
            </w:pPr>
            <w:r>
              <w:t>e</w:t>
            </w:r>
            <w:r w:rsidRPr="00910B42">
              <w:t xml:space="preserve">xisting QS </w:t>
            </w:r>
          </w:p>
        </w:tc>
      </w:tr>
      <w:tr w:rsidR="00910D5A" w:rsidRPr="00910B42" w14:paraId="743C0864" w14:textId="77777777" w:rsidTr="003D5F7B">
        <w:trPr>
          <w:trHeight w:val="382"/>
        </w:trPr>
        <w:tc>
          <w:tcPr>
            <w:tcW w:w="2089" w:type="pct"/>
            <w:tcBorders>
              <w:top w:val="single" w:sz="4" w:space="0" w:color="auto"/>
              <w:left w:val="single" w:sz="4" w:space="0" w:color="auto"/>
              <w:right w:val="single" w:sz="4" w:space="0" w:color="auto"/>
            </w:tcBorders>
            <w:shd w:val="clear" w:color="auto" w:fill="auto"/>
          </w:tcPr>
          <w:p w14:paraId="5BC188E4" w14:textId="146824D8" w:rsidR="00910D5A" w:rsidRPr="00910B42" w:rsidRDefault="000C29CE" w:rsidP="00F04347">
            <w:pPr>
              <w:pStyle w:val="Tabletext"/>
            </w:pPr>
            <w:r>
              <w:t>Audits and registries</w:t>
            </w:r>
          </w:p>
        </w:tc>
        <w:tc>
          <w:tcPr>
            <w:tcW w:w="726" w:type="pct"/>
          </w:tcPr>
          <w:p w14:paraId="2AAD71C4" w14:textId="1BAE47D9" w:rsidR="00910D5A" w:rsidRPr="000C29CE" w:rsidRDefault="000C29CE" w:rsidP="00F04347">
            <w:pPr>
              <w:pStyle w:val="Tabletext"/>
            </w:pPr>
            <w:r w:rsidRPr="000C29CE">
              <w:t>No</w:t>
            </w:r>
          </w:p>
        </w:tc>
        <w:tc>
          <w:tcPr>
            <w:tcW w:w="730" w:type="pct"/>
          </w:tcPr>
          <w:p w14:paraId="5AF224FF" w14:textId="3E9F9F77" w:rsidR="00910D5A" w:rsidRPr="000C29CE" w:rsidRDefault="00106FA0" w:rsidP="00F04347">
            <w:pPr>
              <w:pStyle w:val="Tabletext"/>
            </w:pPr>
            <w:r>
              <w:t>No</w:t>
            </w:r>
          </w:p>
        </w:tc>
        <w:tc>
          <w:tcPr>
            <w:tcW w:w="726" w:type="pct"/>
          </w:tcPr>
          <w:p w14:paraId="16823EB4" w14:textId="23EEB432" w:rsidR="00910D5A" w:rsidRPr="000C29CE" w:rsidRDefault="00FD7A6A" w:rsidP="00F04347">
            <w:pPr>
              <w:pStyle w:val="Tabletext"/>
            </w:pPr>
            <w:r>
              <w:t>No</w:t>
            </w:r>
          </w:p>
        </w:tc>
        <w:tc>
          <w:tcPr>
            <w:tcW w:w="729" w:type="pct"/>
          </w:tcPr>
          <w:p w14:paraId="1DAC40BB" w14:textId="3554A34C" w:rsidR="00910D5A" w:rsidRPr="000C29CE" w:rsidRDefault="00FD7A6A" w:rsidP="00F04347">
            <w:pPr>
              <w:pStyle w:val="Tabletext"/>
            </w:pPr>
            <w:r>
              <w:t>No</w:t>
            </w:r>
          </w:p>
        </w:tc>
      </w:tr>
      <w:tr w:rsidR="003D5F7B" w:rsidRPr="00910B42" w14:paraId="3785223D" w14:textId="77777777" w:rsidTr="003D5F7B">
        <w:trPr>
          <w:trHeight w:val="382"/>
        </w:trPr>
        <w:tc>
          <w:tcPr>
            <w:tcW w:w="2089" w:type="pct"/>
            <w:tcBorders>
              <w:top w:val="single" w:sz="4" w:space="0" w:color="auto"/>
              <w:left w:val="single" w:sz="4" w:space="0" w:color="auto"/>
              <w:right w:val="single" w:sz="4" w:space="0" w:color="auto"/>
            </w:tcBorders>
            <w:shd w:val="clear" w:color="auto" w:fill="auto"/>
          </w:tcPr>
          <w:p w14:paraId="64A9EA65" w14:textId="39E68850" w:rsidR="003D5F7B" w:rsidRDefault="009B3899" w:rsidP="00F04347">
            <w:pPr>
              <w:pStyle w:val="Tabletext"/>
            </w:pPr>
            <w:r>
              <w:t>Implants</w:t>
            </w:r>
          </w:p>
        </w:tc>
        <w:tc>
          <w:tcPr>
            <w:tcW w:w="726" w:type="pct"/>
          </w:tcPr>
          <w:p w14:paraId="65921768" w14:textId="414243B5" w:rsidR="003D5F7B" w:rsidRDefault="003D5F7B" w:rsidP="00F04347">
            <w:pPr>
              <w:pStyle w:val="Tabletext"/>
            </w:pPr>
            <w:r>
              <w:t>No</w:t>
            </w:r>
          </w:p>
        </w:tc>
        <w:tc>
          <w:tcPr>
            <w:tcW w:w="730" w:type="pct"/>
          </w:tcPr>
          <w:p w14:paraId="3098CE25" w14:textId="260FB2C3" w:rsidR="003D5F7B" w:rsidRDefault="003D5F7B" w:rsidP="00F04347">
            <w:pPr>
              <w:pStyle w:val="Tabletext"/>
            </w:pPr>
            <w:r>
              <w:t>Yes</w:t>
            </w:r>
          </w:p>
        </w:tc>
        <w:tc>
          <w:tcPr>
            <w:tcW w:w="726" w:type="pct"/>
          </w:tcPr>
          <w:p w14:paraId="7129215A" w14:textId="4E4FF148" w:rsidR="003D5F7B" w:rsidRPr="00910B42" w:rsidRDefault="003D5F7B" w:rsidP="00F04347">
            <w:pPr>
              <w:pStyle w:val="Tabletext"/>
            </w:pPr>
            <w:r>
              <w:t>TA403</w:t>
            </w:r>
            <w:r w:rsidR="009B3899">
              <w:t xml:space="preserve"> </w:t>
            </w:r>
          </w:p>
        </w:tc>
        <w:tc>
          <w:tcPr>
            <w:tcW w:w="729" w:type="pct"/>
          </w:tcPr>
          <w:p w14:paraId="51F17793" w14:textId="0CB56BB4" w:rsidR="003D5F7B" w:rsidRPr="00910B42" w:rsidRDefault="00106FA0" w:rsidP="00F04347">
            <w:pPr>
              <w:pStyle w:val="Tabletext"/>
            </w:pPr>
            <w:r>
              <w:t>No</w:t>
            </w:r>
          </w:p>
        </w:tc>
      </w:tr>
      <w:tr w:rsidR="00910D5A" w:rsidRPr="00910B42" w14:paraId="35588121" w14:textId="77777777" w:rsidTr="003D5F7B">
        <w:trPr>
          <w:trHeight w:val="382"/>
        </w:trPr>
        <w:tc>
          <w:tcPr>
            <w:tcW w:w="2089" w:type="pct"/>
            <w:tcBorders>
              <w:top w:val="single" w:sz="4" w:space="0" w:color="auto"/>
              <w:left w:val="single" w:sz="4" w:space="0" w:color="auto"/>
              <w:right w:val="single" w:sz="4" w:space="0" w:color="auto"/>
            </w:tcBorders>
            <w:shd w:val="clear" w:color="auto" w:fill="auto"/>
          </w:tcPr>
          <w:p w14:paraId="3E1AE8F4" w14:textId="4EA1D4CF" w:rsidR="00910D5A" w:rsidRPr="00910B42" w:rsidRDefault="000C29CE" w:rsidP="00F04347">
            <w:pPr>
              <w:pStyle w:val="Tabletext"/>
            </w:pPr>
            <w:r>
              <w:t>New guidance</w:t>
            </w:r>
          </w:p>
        </w:tc>
        <w:tc>
          <w:tcPr>
            <w:tcW w:w="726" w:type="pct"/>
          </w:tcPr>
          <w:p w14:paraId="29679F99" w14:textId="62242BDA" w:rsidR="00910D5A" w:rsidRPr="00910B42" w:rsidRDefault="000C29CE" w:rsidP="00F04347">
            <w:pPr>
              <w:pStyle w:val="Tabletext"/>
            </w:pPr>
            <w:r>
              <w:t>No</w:t>
            </w:r>
          </w:p>
        </w:tc>
        <w:tc>
          <w:tcPr>
            <w:tcW w:w="730" w:type="pct"/>
          </w:tcPr>
          <w:p w14:paraId="07628AF3" w14:textId="26F19935" w:rsidR="00910D5A" w:rsidRPr="00910B42" w:rsidRDefault="00106FA0" w:rsidP="00F04347">
            <w:pPr>
              <w:pStyle w:val="Tabletext"/>
            </w:pPr>
            <w:r>
              <w:t>No</w:t>
            </w:r>
          </w:p>
        </w:tc>
        <w:tc>
          <w:tcPr>
            <w:tcW w:w="726" w:type="pct"/>
          </w:tcPr>
          <w:p w14:paraId="6A794200" w14:textId="2D15407E" w:rsidR="00910D5A" w:rsidRPr="00910B42" w:rsidRDefault="003D5F7B" w:rsidP="00F04347">
            <w:pPr>
              <w:pStyle w:val="Tabletext"/>
            </w:pPr>
            <w:r>
              <w:t>No</w:t>
            </w:r>
          </w:p>
        </w:tc>
        <w:tc>
          <w:tcPr>
            <w:tcW w:w="729" w:type="pct"/>
          </w:tcPr>
          <w:p w14:paraId="48E5DCE8" w14:textId="1B55E4B8" w:rsidR="00910D5A" w:rsidRPr="00910B42" w:rsidRDefault="00106FA0" w:rsidP="00F04347">
            <w:pPr>
              <w:pStyle w:val="Tabletext"/>
            </w:pPr>
            <w:r>
              <w:t>No</w:t>
            </w:r>
          </w:p>
        </w:tc>
      </w:tr>
      <w:tr w:rsidR="00910D5A" w:rsidRPr="00910B42" w14:paraId="1612A2E4" w14:textId="77777777" w:rsidTr="003D5F7B">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1F5EA874" w14:textId="797A1D39" w:rsidR="00910D5A" w:rsidRPr="000C29CE" w:rsidRDefault="000C29CE" w:rsidP="00F04347">
            <w:pPr>
              <w:pStyle w:val="Tabletext"/>
            </w:pPr>
            <w:r>
              <w:t>Referral</w:t>
            </w:r>
            <w:r w:rsidR="003D5F7B">
              <w:t xml:space="preserve"> for joint surgery</w:t>
            </w:r>
          </w:p>
        </w:tc>
        <w:tc>
          <w:tcPr>
            <w:tcW w:w="726" w:type="pct"/>
          </w:tcPr>
          <w:p w14:paraId="0D713F56" w14:textId="0DB10F6D" w:rsidR="00910D5A" w:rsidRPr="00910B42" w:rsidRDefault="000C29CE" w:rsidP="00F04347">
            <w:pPr>
              <w:pStyle w:val="Tabletext"/>
            </w:pPr>
            <w:r>
              <w:t>Yes</w:t>
            </w:r>
          </w:p>
        </w:tc>
        <w:tc>
          <w:tcPr>
            <w:tcW w:w="730" w:type="pct"/>
          </w:tcPr>
          <w:p w14:paraId="4C978DE0" w14:textId="6FE6B598" w:rsidR="00910D5A" w:rsidRPr="00910B42" w:rsidRDefault="000C29CE" w:rsidP="00F04347">
            <w:pPr>
              <w:pStyle w:val="Tabletext"/>
            </w:pPr>
            <w:r>
              <w:t>No</w:t>
            </w:r>
          </w:p>
        </w:tc>
        <w:tc>
          <w:tcPr>
            <w:tcW w:w="726" w:type="pct"/>
          </w:tcPr>
          <w:p w14:paraId="6D2A96B9" w14:textId="7148011D" w:rsidR="00910D5A" w:rsidRPr="00910B42" w:rsidRDefault="003D5F7B" w:rsidP="00F04347">
            <w:pPr>
              <w:pStyle w:val="Tabletext"/>
            </w:pPr>
            <w:r>
              <w:t>Yes</w:t>
            </w:r>
          </w:p>
        </w:tc>
        <w:tc>
          <w:tcPr>
            <w:tcW w:w="729" w:type="pct"/>
          </w:tcPr>
          <w:p w14:paraId="15E53AEF" w14:textId="7163909E" w:rsidR="00910D5A" w:rsidRPr="00910B42" w:rsidRDefault="00106FA0" w:rsidP="00F04347">
            <w:pPr>
              <w:pStyle w:val="Tabletext"/>
            </w:pPr>
            <w:r>
              <w:t>Yes</w:t>
            </w:r>
          </w:p>
        </w:tc>
      </w:tr>
    </w:tbl>
    <w:p w14:paraId="7181F52B" w14:textId="77777777" w:rsidR="007C6EB9" w:rsidRPr="00B8485D" w:rsidRDefault="007C6EB9" w:rsidP="007C6EB9">
      <w:pPr>
        <w:pStyle w:val="Heading3"/>
      </w:pPr>
      <w:bookmarkStart w:id="170" w:name="_Toc404063922"/>
      <w:bookmarkStart w:id="171" w:name="_Toc404587493"/>
      <w:bookmarkStart w:id="172" w:name="_Toc432164930"/>
      <w:bookmarkStart w:id="173" w:name="_Toc467141920"/>
      <w:bookmarkStart w:id="174" w:name="_Toc467141971"/>
      <w:r w:rsidRPr="00B8485D">
        <w:t>Audits and registries</w:t>
      </w:r>
    </w:p>
    <w:p w14:paraId="2971D1E0" w14:textId="30637A54" w:rsidR="00B8485D" w:rsidRDefault="00864C4D" w:rsidP="007C6EB9">
      <w:pPr>
        <w:pStyle w:val="Paragraph"/>
      </w:pPr>
      <w:r>
        <w:t>Reducing variation in the</w:t>
      </w:r>
      <w:r w:rsidR="007C6EB9" w:rsidRPr="00864C4D">
        <w:t xml:space="preserve"> quality and completeness of data collected for </w:t>
      </w:r>
      <w:r w:rsidR="00C0169D">
        <w:t xml:space="preserve">the </w:t>
      </w:r>
      <w:r>
        <w:t xml:space="preserve">National Joint </w:t>
      </w:r>
      <w:r w:rsidR="007C6EB9" w:rsidRPr="00864C4D">
        <w:t>registry was suggested</w:t>
      </w:r>
      <w:r>
        <w:t xml:space="preserve">. </w:t>
      </w:r>
      <w:r w:rsidR="000C2336">
        <w:t>Improving rates of consent and compliance were highlighted as</w:t>
      </w:r>
      <w:r w:rsidR="00541D45">
        <w:t xml:space="preserve"> supporting mechanisms</w:t>
      </w:r>
      <w:r w:rsidR="000C2336">
        <w:t xml:space="preserve">, </w:t>
      </w:r>
      <w:r w:rsidR="00C0169D">
        <w:t>necessary to maintain</w:t>
      </w:r>
      <w:r w:rsidR="000C2336">
        <w:t xml:space="preserve"> an independent and effective system for monitoring the quality of joint replacement surger</w:t>
      </w:r>
      <w:r w:rsidR="00391B7E">
        <w:t>y</w:t>
      </w:r>
      <w:r w:rsidR="000C2336">
        <w:t>, which includes the safety and performance of medical devices</w:t>
      </w:r>
      <w:proofErr w:type="gramStart"/>
      <w:r w:rsidR="000C2336">
        <w:t xml:space="preserve">.  </w:t>
      </w:r>
      <w:proofErr w:type="gramEnd"/>
    </w:p>
    <w:p w14:paraId="1B038BDF" w14:textId="285B0135" w:rsidR="000C2336" w:rsidRPr="00864C4D" w:rsidRDefault="00541D45" w:rsidP="007C6EB9">
      <w:pPr>
        <w:pStyle w:val="Paragraph"/>
      </w:pPr>
      <w:r>
        <w:t>Improving</w:t>
      </w:r>
      <w:r w:rsidR="00EC5A70">
        <w:t xml:space="preserve"> participation in</w:t>
      </w:r>
      <w:r>
        <w:t xml:space="preserve"> the collection of pre- and post-operative Patient Reported Outcome Measures (PROM</w:t>
      </w:r>
      <w:r w:rsidR="00EC5A70">
        <w:t>s</w:t>
      </w:r>
      <w:r>
        <w:t>) was highlighted as a quality improvement area</w:t>
      </w:r>
      <w:proofErr w:type="gramStart"/>
      <w:r>
        <w:t>.</w:t>
      </w:r>
      <w:r w:rsidR="00334C73">
        <w:t xml:space="preserve">  </w:t>
      </w:r>
      <w:proofErr w:type="gramEnd"/>
      <w:r w:rsidR="00334C73">
        <w:t>Improving participation in the preoperative Oxford Shoulder Score for shoulder replacements was highlighted as a specific area for improvement</w:t>
      </w:r>
      <w:proofErr w:type="gramStart"/>
      <w:r w:rsidR="00334C73">
        <w:t xml:space="preserve">. </w:t>
      </w:r>
      <w:r w:rsidR="00EC5A70">
        <w:t xml:space="preserve"> </w:t>
      </w:r>
      <w:proofErr w:type="gramEnd"/>
      <w:r w:rsidR="00EC5A70" w:rsidRPr="00EC5A70">
        <w:t>Stakeholders</w:t>
      </w:r>
      <w:r w:rsidR="00EC5A70">
        <w:t xml:space="preserve"> also</w:t>
      </w:r>
      <w:r w:rsidR="00EC5A70" w:rsidRPr="00EC5A70">
        <w:t xml:space="preserve"> felt that standardising PROMs questionnaires, especially those for shoulder surgery, would help improve participation. Using PROMs data to support shared decision making when people are considering joint surgery was a further suggestion</w:t>
      </w:r>
      <w:r w:rsidR="00EC5A70">
        <w:t>.</w:t>
      </w:r>
      <w:r w:rsidR="00334C73">
        <w:t xml:space="preserve"> </w:t>
      </w:r>
    </w:p>
    <w:p w14:paraId="26712CE3" w14:textId="78C5A469" w:rsidR="006C2E99" w:rsidRDefault="000C2336" w:rsidP="007C6EB9">
      <w:pPr>
        <w:pStyle w:val="Paragraph"/>
      </w:pPr>
      <w:r>
        <w:t>These</w:t>
      </w:r>
      <w:r w:rsidR="007C6EB9" w:rsidRPr="00864C4D">
        <w:t xml:space="preserve"> suggestion</w:t>
      </w:r>
      <w:r>
        <w:t>s</w:t>
      </w:r>
      <w:r w:rsidR="007C6EB9" w:rsidRPr="00864C4D">
        <w:t xml:space="preserve"> ha</w:t>
      </w:r>
      <w:r>
        <w:t>ve</w:t>
      </w:r>
      <w:r w:rsidR="007C6EB9" w:rsidRPr="00864C4D">
        <w:t xml:space="preserve"> not been progressed. Participation in </w:t>
      </w:r>
      <w:r w:rsidR="009451E5">
        <w:t>registries and PROMs are</w:t>
      </w:r>
      <w:r w:rsidR="007C6EB9" w:rsidRPr="00864C4D">
        <w:t xml:space="preserve"> method</w:t>
      </w:r>
      <w:r w:rsidR="009451E5">
        <w:t>s</w:t>
      </w:r>
      <w:r w:rsidR="007C6EB9" w:rsidRPr="00864C4D">
        <w:t xml:space="preserve"> by which quality improvement can be evidenced. Quality statements focus on actions that demonstrate high quality care or support, not the methods by which evidence is collated. </w:t>
      </w:r>
      <w:r w:rsidR="00B8485D">
        <w:t xml:space="preserve">However, </w:t>
      </w:r>
      <w:r w:rsidR="009451E5">
        <w:t xml:space="preserve">suggested methods of data collection </w:t>
      </w:r>
      <w:r w:rsidR="00B8485D" w:rsidRPr="00B8485D">
        <w:t>may be referred to in the quality measures for each statement.</w:t>
      </w:r>
    </w:p>
    <w:p w14:paraId="36877551" w14:textId="763AB850" w:rsidR="007A6176" w:rsidRDefault="007A6176" w:rsidP="00FD7A6A">
      <w:pPr>
        <w:pStyle w:val="Heading3"/>
      </w:pPr>
      <w:r>
        <w:lastRenderedPageBreak/>
        <w:t>Implants</w:t>
      </w:r>
    </w:p>
    <w:p w14:paraId="00AAFF48" w14:textId="5FA01492" w:rsidR="007A6176" w:rsidRDefault="009B3899" w:rsidP="009B3899">
      <w:pPr>
        <w:pStyle w:val="Paragraph"/>
      </w:pPr>
      <w:r>
        <w:t xml:space="preserve">Stakeholders suggested that procurement policies should be rationalised, to ensure that </w:t>
      </w:r>
      <w:r w:rsidRPr="009B3899">
        <w:t>clinically and cost-effective implants</w:t>
      </w:r>
      <w:r>
        <w:t xml:space="preserve"> are used. Using ODEP-rated implants was also proposed as a quality improvement area. </w:t>
      </w:r>
    </w:p>
    <w:p w14:paraId="46DA7465" w14:textId="5A9C59AF" w:rsidR="006C2E99" w:rsidRDefault="00391B7E" w:rsidP="009B3899">
      <w:pPr>
        <w:pStyle w:val="Paragraph"/>
      </w:pPr>
      <w:r>
        <w:t xml:space="preserve">Responsibility for providing ODEP rated implants was passed to NHS purchasing and supply functions after </w:t>
      </w:r>
      <w:hyperlink r:id="rId78" w:history="1">
        <w:r w:rsidR="00E75C5F" w:rsidRPr="00E75C5F">
          <w:rPr>
            <w:rStyle w:val="Hyperlink"/>
          </w:rPr>
          <w:t>NICE’s technology appraisal total hip replacement and resurfacing arthroplasty for end-stage arthritis of the hip TA304 (2014)</w:t>
        </w:r>
      </w:hyperlink>
      <w:r w:rsidR="00E75C5F">
        <w:t xml:space="preserve"> </w:t>
      </w:r>
      <w:r>
        <w:t>was published</w:t>
      </w:r>
      <w:proofErr w:type="gramStart"/>
      <w:r>
        <w:t xml:space="preserve">.  </w:t>
      </w:r>
      <w:proofErr w:type="gramEnd"/>
    </w:p>
    <w:p w14:paraId="5EA621B3" w14:textId="4DADE3A9" w:rsidR="00106FA0" w:rsidRDefault="00106FA0" w:rsidP="009451E5">
      <w:pPr>
        <w:pStyle w:val="NICEnormal"/>
        <w:spacing w:line="276" w:lineRule="auto"/>
      </w:pPr>
      <w:r w:rsidRPr="00106FA0">
        <w:t>These areas cannot be progressed because quality standards support quality improvement and are not mandatory. Existing mechanisms are in place to ensure patients have access to treatments recommended by technology appraisals that the NHS is legally obliged to fund and resource.</w:t>
      </w:r>
    </w:p>
    <w:p w14:paraId="5E90D734" w14:textId="33585448" w:rsidR="00FD7A6A" w:rsidRPr="00B8485D" w:rsidRDefault="00FD7A6A" w:rsidP="00FD7A6A">
      <w:pPr>
        <w:pStyle w:val="Heading3"/>
      </w:pPr>
      <w:r>
        <w:t xml:space="preserve">New guidance </w:t>
      </w:r>
    </w:p>
    <w:p w14:paraId="11575627" w14:textId="2B058717" w:rsidR="00FD7A6A" w:rsidRDefault="007A6176" w:rsidP="007C6EB9">
      <w:pPr>
        <w:pStyle w:val="Paragraph"/>
      </w:pPr>
      <w:r>
        <w:t xml:space="preserve">Stakeholders suggested </w:t>
      </w:r>
      <w:r w:rsidR="00C81DDE">
        <w:t>a range of topics.</w:t>
      </w:r>
    </w:p>
    <w:p w14:paraId="6F3F7AEA" w14:textId="3EF657EA" w:rsidR="007A6176" w:rsidRDefault="007A6176" w:rsidP="00C40F27">
      <w:pPr>
        <w:pStyle w:val="Bulletleft1"/>
        <w:spacing w:line="276" w:lineRule="auto"/>
        <w:rPr>
          <w:lang w:eastAsia="en-GB"/>
        </w:rPr>
      </w:pPr>
      <w:r>
        <w:rPr>
          <w:lang w:eastAsia="en-GB"/>
        </w:rPr>
        <w:t>Standardising</w:t>
      </w:r>
      <w:r w:rsidRPr="007A6176">
        <w:rPr>
          <w:lang w:eastAsia="en-GB"/>
        </w:rPr>
        <w:t xml:space="preserve"> PROM</w:t>
      </w:r>
      <w:r w:rsidR="00DB6106">
        <w:rPr>
          <w:lang w:eastAsia="en-GB"/>
        </w:rPr>
        <w:t>s questionnaires</w:t>
      </w:r>
      <w:r w:rsidR="00E75C5F">
        <w:rPr>
          <w:lang w:eastAsia="en-GB"/>
        </w:rPr>
        <w:t>.</w:t>
      </w:r>
    </w:p>
    <w:p w14:paraId="79AFBB8A" w14:textId="11D1F2C6" w:rsidR="007A6176" w:rsidRDefault="007A6176" w:rsidP="00C40F27">
      <w:pPr>
        <w:pStyle w:val="Bulletleft1"/>
        <w:spacing w:line="276" w:lineRule="auto"/>
        <w:rPr>
          <w:lang w:eastAsia="en-GB"/>
        </w:rPr>
      </w:pPr>
      <w:r>
        <w:rPr>
          <w:lang w:eastAsia="en-GB"/>
        </w:rPr>
        <w:t>W</w:t>
      </w:r>
      <w:r w:rsidRPr="007A6176">
        <w:rPr>
          <w:lang w:eastAsia="en-GB"/>
        </w:rPr>
        <w:t>hether hydrogen peroxide should be used in hip replacement surgery (and if</w:t>
      </w:r>
      <w:r w:rsidR="00BA57BF">
        <w:rPr>
          <w:lang w:eastAsia="en-GB"/>
        </w:rPr>
        <w:t xml:space="preserve"> it were to be</w:t>
      </w:r>
      <w:r w:rsidRPr="007A6176">
        <w:rPr>
          <w:lang w:eastAsia="en-GB"/>
        </w:rPr>
        <w:t xml:space="preserve"> recommended</w:t>
      </w:r>
      <w:r w:rsidR="00DB6106">
        <w:rPr>
          <w:lang w:eastAsia="en-GB"/>
        </w:rPr>
        <w:t>, that its</w:t>
      </w:r>
      <w:r w:rsidRPr="007A6176">
        <w:rPr>
          <w:lang w:eastAsia="en-GB"/>
        </w:rPr>
        <w:t xml:space="preserve"> </w:t>
      </w:r>
      <w:r w:rsidR="00DB6106">
        <w:rPr>
          <w:lang w:eastAsia="en-GB"/>
        </w:rPr>
        <w:t xml:space="preserve">use is recorded in the </w:t>
      </w:r>
      <w:r w:rsidRPr="007A6176">
        <w:rPr>
          <w:lang w:eastAsia="en-GB"/>
        </w:rPr>
        <w:t>NJR)</w:t>
      </w:r>
      <w:r>
        <w:rPr>
          <w:lang w:eastAsia="en-GB"/>
        </w:rPr>
        <w:t>.</w:t>
      </w:r>
    </w:p>
    <w:p w14:paraId="0A4178A9" w14:textId="11603449" w:rsidR="007A6176" w:rsidRDefault="007A6176" w:rsidP="00C40F27">
      <w:pPr>
        <w:pStyle w:val="Bulletleft1"/>
        <w:spacing w:line="276" w:lineRule="auto"/>
        <w:rPr>
          <w:lang w:eastAsia="en-GB"/>
        </w:rPr>
      </w:pPr>
      <w:r>
        <w:rPr>
          <w:lang w:eastAsia="en-GB"/>
        </w:rPr>
        <w:t>Delivery of ‘d</w:t>
      </w:r>
      <w:r w:rsidRPr="007A6176">
        <w:rPr>
          <w:lang w:eastAsia="en-GB"/>
        </w:rPr>
        <w:t>igital by default’ rehabilitation clinics</w:t>
      </w:r>
      <w:r w:rsidR="00DB6106">
        <w:rPr>
          <w:lang w:eastAsia="en-GB"/>
        </w:rPr>
        <w:t>.</w:t>
      </w:r>
      <w:r>
        <w:rPr>
          <w:lang w:eastAsia="en-GB"/>
        </w:rPr>
        <w:t xml:space="preserve"> </w:t>
      </w:r>
    </w:p>
    <w:p w14:paraId="6E639C8A" w14:textId="7556F13F" w:rsidR="007A6176" w:rsidRDefault="007A6176" w:rsidP="00C40F27">
      <w:pPr>
        <w:pStyle w:val="Bulletleft1"/>
        <w:spacing w:line="276" w:lineRule="auto"/>
        <w:rPr>
          <w:lang w:eastAsia="en-GB"/>
        </w:rPr>
      </w:pPr>
      <w:r w:rsidRPr="007A6176">
        <w:rPr>
          <w:lang w:eastAsia="en-GB"/>
        </w:rPr>
        <w:t>Prereferral and postoperative rehabilitation group consultations</w:t>
      </w:r>
      <w:r>
        <w:rPr>
          <w:lang w:eastAsia="en-GB"/>
        </w:rPr>
        <w:t>.</w:t>
      </w:r>
      <w:r w:rsidRPr="007A6176">
        <w:rPr>
          <w:lang w:eastAsia="en-GB"/>
        </w:rPr>
        <w:t xml:space="preserve"> </w:t>
      </w:r>
    </w:p>
    <w:p w14:paraId="2371E19E" w14:textId="13E45B15" w:rsidR="00765A68" w:rsidRDefault="00765A68" w:rsidP="00C40F27">
      <w:pPr>
        <w:pStyle w:val="Bulletleft1"/>
        <w:spacing w:line="276" w:lineRule="auto"/>
        <w:rPr>
          <w:lang w:eastAsia="en-GB"/>
        </w:rPr>
      </w:pPr>
      <w:r>
        <w:rPr>
          <w:lang w:eastAsia="en-GB"/>
        </w:rPr>
        <w:t xml:space="preserve">Evaluation of multimodal pain strategies to improve long-term outcomes after knee surgery. </w:t>
      </w:r>
    </w:p>
    <w:p w14:paraId="22B170C0" w14:textId="771EAD2D" w:rsidR="006C2E99" w:rsidRPr="009451E5" w:rsidRDefault="00C81DDE" w:rsidP="00C40F27">
      <w:pPr>
        <w:pStyle w:val="Bulletleft1last"/>
        <w:spacing w:line="276" w:lineRule="auto"/>
        <w:rPr>
          <w:lang w:eastAsia="en-GB"/>
        </w:rPr>
      </w:pPr>
      <w:r>
        <w:rPr>
          <w:lang w:eastAsia="en-GB"/>
        </w:rPr>
        <w:t>Value of using FRAX at preoperative assessments for hip surgery, to assess for the likelihood of periprosthetic fractures</w:t>
      </w:r>
      <w:r w:rsidR="006C2E99">
        <w:rPr>
          <w:lang w:val="en-GB" w:eastAsia="en-GB"/>
        </w:rPr>
        <w:t>.</w:t>
      </w:r>
    </w:p>
    <w:p w14:paraId="6EE67BE6" w14:textId="6CFB2797" w:rsidR="009451E5" w:rsidRPr="00C40F27" w:rsidRDefault="009451E5" w:rsidP="009451E5">
      <w:pPr>
        <w:pStyle w:val="NICEnormal"/>
        <w:spacing w:line="276" w:lineRule="auto"/>
        <w:rPr>
          <w:lang w:eastAsia="en-GB"/>
        </w:rPr>
      </w:pPr>
      <w:r w:rsidRPr="009451E5">
        <w:rPr>
          <w:lang w:eastAsia="en-GB"/>
        </w:rPr>
        <w:t>Th</w:t>
      </w:r>
      <w:r w:rsidR="00556F7C">
        <w:rPr>
          <w:lang w:eastAsia="en-GB"/>
        </w:rPr>
        <w:t>ese</w:t>
      </w:r>
      <w:r w:rsidRPr="009451E5">
        <w:rPr>
          <w:lang w:eastAsia="en-GB"/>
        </w:rPr>
        <w:t xml:space="preserve"> </w:t>
      </w:r>
      <w:r w:rsidR="004F6FD6">
        <w:rPr>
          <w:lang w:eastAsia="en-GB"/>
        </w:rPr>
        <w:t xml:space="preserve">suggestions cannot </w:t>
      </w:r>
      <w:r w:rsidRPr="009451E5">
        <w:rPr>
          <w:lang w:eastAsia="en-GB"/>
        </w:rPr>
        <w:t>be progressed because additional evidence and guidance is outside of the remit of quality standards. Suggestions for additional guidance will be passed on to the NICE centre for guidelines.</w:t>
      </w:r>
    </w:p>
    <w:p w14:paraId="23ECD4F4" w14:textId="77777777" w:rsidR="006C2E99" w:rsidRDefault="006C2E99" w:rsidP="006C2E99">
      <w:pPr>
        <w:pStyle w:val="Heading3"/>
      </w:pPr>
      <w:r>
        <w:t>Referral for joint surgery</w:t>
      </w:r>
    </w:p>
    <w:p w14:paraId="58BDAE97" w14:textId="5DD493BD" w:rsidR="007A6176" w:rsidRDefault="006C2E99" w:rsidP="00DB6106">
      <w:pPr>
        <w:pStyle w:val="Paragraph"/>
      </w:pPr>
      <w:r>
        <w:t>Stakeholders suggested:</w:t>
      </w:r>
    </w:p>
    <w:p w14:paraId="43FD0C7B" w14:textId="25386380" w:rsidR="006C2E99" w:rsidRDefault="006C2E99" w:rsidP="003A11CE">
      <w:pPr>
        <w:pStyle w:val="Bulletleft1"/>
        <w:spacing w:line="276" w:lineRule="auto"/>
      </w:pPr>
      <w:r>
        <w:t>Addressing variation in referral thresholds</w:t>
      </w:r>
      <w:r w:rsidR="00DB6106">
        <w:t>.</w:t>
      </w:r>
    </w:p>
    <w:p w14:paraId="7A359BE0" w14:textId="570AE343" w:rsidR="006C2E99" w:rsidRDefault="006C2E99" w:rsidP="003A11CE">
      <w:pPr>
        <w:pStyle w:val="Bulletleft1"/>
        <w:spacing w:line="276" w:lineRule="auto"/>
      </w:pPr>
      <w:r>
        <w:t>Whether plain radiographs should be taken in primary care to support a referral or be performed in secondary care.</w:t>
      </w:r>
    </w:p>
    <w:p w14:paraId="541EAE52" w14:textId="38A7FDCB" w:rsidR="006239FF" w:rsidRPr="007A6176" w:rsidRDefault="006239FF" w:rsidP="006239FF">
      <w:pPr>
        <w:pStyle w:val="Bulletleft1"/>
        <w:spacing w:line="276" w:lineRule="auto"/>
      </w:pPr>
      <w:r>
        <w:t xml:space="preserve">Use of the Versus Arthritis (NICE-endorsed and referenced as an implementation support tool for </w:t>
      </w:r>
      <w:hyperlink r:id="rId79" w:history="1">
        <w:r w:rsidRPr="006239FF">
          <w:rPr>
            <w:rStyle w:val="Hyperlink"/>
          </w:rPr>
          <w:t>NICE’s guideline on osteoarthritis: care and management CG177</w:t>
        </w:r>
      </w:hyperlink>
      <w:r>
        <w:t xml:space="preserve">) </w:t>
      </w:r>
      <w:hyperlink r:id="rId80" w:history="1">
        <w:r w:rsidRPr="006239FF">
          <w:rPr>
            <w:rStyle w:val="Hyperlink"/>
          </w:rPr>
          <w:t>musculoskeletal decision support tools</w:t>
        </w:r>
      </w:hyperlink>
      <w:r>
        <w:t xml:space="preserve"> to facilitate shared decision making prior to </w:t>
      </w:r>
      <w:r w:rsidRPr="006239FF">
        <w:t>referral for joint surgery.</w:t>
      </w:r>
    </w:p>
    <w:bookmarkEnd w:id="170"/>
    <w:bookmarkEnd w:id="171"/>
    <w:bookmarkEnd w:id="172"/>
    <w:bookmarkEnd w:id="173"/>
    <w:bookmarkEnd w:id="174"/>
    <w:p w14:paraId="71A9A2DE" w14:textId="77777777" w:rsidR="006239FF" w:rsidRDefault="006239FF" w:rsidP="006239FF">
      <w:pPr>
        <w:pStyle w:val="Bulletleft1"/>
        <w:numPr>
          <w:ilvl w:val="0"/>
          <w:numId w:val="0"/>
        </w:numPr>
        <w:spacing w:line="276" w:lineRule="auto"/>
      </w:pPr>
    </w:p>
    <w:p w14:paraId="4F5124B1" w14:textId="6E129179" w:rsidR="00E9784F" w:rsidRPr="00A813F7" w:rsidRDefault="006239FF" w:rsidP="009451E5">
      <w:pPr>
        <w:pStyle w:val="Bulletleft1"/>
        <w:numPr>
          <w:ilvl w:val="0"/>
          <w:numId w:val="0"/>
        </w:numPr>
        <w:spacing w:line="276" w:lineRule="auto"/>
      </w:pPr>
      <w:r w:rsidRPr="00B8485D">
        <w:lastRenderedPageBreak/>
        <w:t xml:space="preserve">This area has not been progressed because </w:t>
      </w:r>
      <w:r w:rsidR="0051012E">
        <w:t xml:space="preserve">the NICE guideline on </w:t>
      </w:r>
      <w:hyperlink r:id="rId81" w:history="1">
        <w:r w:rsidR="0051012E" w:rsidRPr="0051012E">
          <w:rPr>
            <w:rStyle w:val="Hyperlink"/>
          </w:rPr>
          <w:t>joint replacement (primary): hip, knee and shoulder</w:t>
        </w:r>
      </w:hyperlink>
      <w:r w:rsidR="0051012E">
        <w:t xml:space="preserve"> and the </w:t>
      </w:r>
      <w:hyperlink r:id="rId82" w:history="1">
        <w:r w:rsidR="0051012E" w:rsidRPr="0051012E">
          <w:rPr>
            <w:rStyle w:val="Hyperlink"/>
          </w:rPr>
          <w:t>associated</w:t>
        </w:r>
        <w:r w:rsidR="0051012E">
          <w:rPr>
            <w:rStyle w:val="Hyperlink"/>
          </w:rPr>
          <w:t xml:space="preserve"> NICE</w:t>
        </w:r>
        <w:r w:rsidR="0051012E" w:rsidRPr="0051012E">
          <w:rPr>
            <w:rStyle w:val="Hyperlink"/>
          </w:rPr>
          <w:t xml:space="preserve"> Pathway</w:t>
        </w:r>
      </w:hyperlink>
      <w:r w:rsidR="0051012E">
        <w:t xml:space="preserve"> begin at the point of having been referred for consideration for elective joint replacement.  </w:t>
      </w:r>
      <w:r>
        <w:t xml:space="preserve">Referral for consideration of joint surgery for people with osteoarthritis is covered by </w:t>
      </w:r>
      <w:hyperlink r:id="rId83" w:history="1">
        <w:r w:rsidRPr="006C2E99">
          <w:rPr>
            <w:rStyle w:val="Hyperlink"/>
          </w:rPr>
          <w:t>NICE’s quality standard on osteoarthritis QS87</w:t>
        </w:r>
      </w:hyperlink>
      <w:r w:rsidR="009451E5">
        <w:rPr>
          <w:rStyle w:val="Hyperlink"/>
        </w:rPr>
        <w:t>, statements 7 and 8</w:t>
      </w:r>
      <w:r>
        <w:t>.</w:t>
      </w:r>
    </w:p>
    <w:p w14:paraId="76F984C5" w14:textId="3F4AA21C" w:rsidR="008D5584" w:rsidRPr="00E80EE3" w:rsidRDefault="008D5584" w:rsidP="00A813F7">
      <w:pPr>
        <w:pStyle w:val="Paragraph"/>
      </w:pPr>
      <w:r w:rsidRPr="00A813F7">
        <w:t xml:space="preserve">© NICE </w:t>
      </w:r>
      <w:r w:rsidR="001B3F81">
        <w:t>2021</w:t>
      </w:r>
      <w:r w:rsidRPr="00A813F7">
        <w:t xml:space="preserve">. All rights reserved. </w:t>
      </w:r>
      <w:r w:rsidR="008A5E6E" w:rsidRPr="00A813F7">
        <w:t xml:space="preserve">Subject to </w:t>
      </w:r>
      <w:hyperlink r:id="rId84" w:anchor="notice-of-rights" w:history="1">
        <w:r w:rsidR="008A5E6E">
          <w:rPr>
            <w:rStyle w:val="Hyperlink"/>
            <w:rFonts w:cs="Arial"/>
          </w:rPr>
          <w:t>Notice of rights</w:t>
        </w:r>
      </w:hyperlink>
      <w:r w:rsidRPr="00A813F7">
        <w:t>.</w:t>
      </w:r>
    </w:p>
    <w:p w14:paraId="26A68EF3" w14:textId="5DC1F7BF" w:rsidR="004F6FD6" w:rsidRDefault="000E401D" w:rsidP="00256E7D">
      <w:pPr>
        <w:pStyle w:val="Heading1"/>
        <w:rPr>
          <w:noProof/>
        </w:rPr>
      </w:pPr>
      <w:bookmarkStart w:id="175" w:name="_Appendix_1:_Additional"/>
      <w:bookmarkEnd w:id="175"/>
      <w:r>
        <w:br w:type="page"/>
      </w:r>
    </w:p>
    <w:p w14:paraId="1808BBCC" w14:textId="2DB41176" w:rsidR="0001392D" w:rsidRPr="0001392D" w:rsidRDefault="0001392D" w:rsidP="0001392D">
      <w:pPr>
        <w:pStyle w:val="Paragraph"/>
        <w:sectPr w:rsidR="0001392D" w:rsidRPr="0001392D" w:rsidSect="001A719F">
          <w:pgSz w:w="11906" w:h="16838"/>
          <w:pgMar w:top="1440" w:right="1440" w:bottom="993" w:left="1440" w:header="708" w:footer="708" w:gutter="0"/>
          <w:cols w:space="708"/>
          <w:titlePg/>
          <w:docGrid w:linePitch="360"/>
        </w:sectPr>
      </w:pPr>
    </w:p>
    <w:p w14:paraId="221948F8" w14:textId="7BD7EB14" w:rsidR="002C296A" w:rsidRDefault="005C6F10" w:rsidP="00FC11EC">
      <w:pPr>
        <w:pStyle w:val="Heading1"/>
      </w:pPr>
      <w:bookmarkStart w:id="176" w:name="_Toc87374581"/>
      <w:r w:rsidRPr="00FC11EC">
        <w:lastRenderedPageBreak/>
        <w:t xml:space="preserve">Appendix </w:t>
      </w:r>
      <w:r w:rsidR="00EF4825">
        <w:t>1</w:t>
      </w:r>
      <w:r w:rsidR="00603263">
        <w:t xml:space="preserve">: </w:t>
      </w:r>
      <w:r w:rsidR="002C296A" w:rsidRPr="00FC11EC">
        <w:t xml:space="preserve">Suggestions from </w:t>
      </w:r>
      <w:r w:rsidR="00626943">
        <w:t>registered stakeholders</w:t>
      </w:r>
      <w:bookmarkEnd w:id="176"/>
    </w:p>
    <w:p w14:paraId="0C2C16E9" w14:textId="5F59F192" w:rsidR="00DC2522" w:rsidRPr="00E94910" w:rsidRDefault="00DC2522" w:rsidP="00DC2522">
      <w:pPr>
        <w:pStyle w:val="Paragraph"/>
      </w:pPr>
    </w:p>
    <w:tbl>
      <w:tblPr>
        <w:tblW w:w="5148"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Caption w:val="Suggestions from stakeholder engagement exercise – registered stakeholders"/>
        <w:tblDescription w:val="Information from registered stakeholders on their suggestions for key areas for quality improvement, including why each area is important for quality improvement and any supporting information."/>
      </w:tblPr>
      <w:tblGrid>
        <w:gridCol w:w="945"/>
        <w:gridCol w:w="2431"/>
        <w:gridCol w:w="2090"/>
        <w:gridCol w:w="3489"/>
        <w:gridCol w:w="6147"/>
      </w:tblGrid>
      <w:tr w:rsidR="009711BF" w:rsidRPr="00427135" w14:paraId="7E21534D" w14:textId="77777777" w:rsidTr="00641E12">
        <w:trPr>
          <w:trHeight w:val="560"/>
          <w:tblHeader/>
        </w:trPr>
        <w:tc>
          <w:tcPr>
            <w:tcW w:w="313" w:type="pct"/>
            <w:shd w:val="clear" w:color="auto" w:fill="auto"/>
          </w:tcPr>
          <w:p w14:paraId="1277A9AF" w14:textId="77777777" w:rsidR="00BA2A7B" w:rsidRPr="00B24E25" w:rsidRDefault="00BA2A7B" w:rsidP="00B24E25">
            <w:pPr>
              <w:pStyle w:val="Tabletitle"/>
            </w:pPr>
            <w:r w:rsidRPr="00B24E25">
              <w:t>ID</w:t>
            </w:r>
          </w:p>
        </w:tc>
        <w:tc>
          <w:tcPr>
            <w:tcW w:w="805" w:type="pct"/>
            <w:shd w:val="clear" w:color="auto" w:fill="auto"/>
          </w:tcPr>
          <w:p w14:paraId="13B56B87" w14:textId="77777777" w:rsidR="00BA2A7B" w:rsidRPr="00B24E25" w:rsidRDefault="00BA2A7B" w:rsidP="00B24E25">
            <w:pPr>
              <w:pStyle w:val="Tabletitle"/>
            </w:pPr>
            <w:r w:rsidRPr="00B24E25">
              <w:t>Stakeholder</w:t>
            </w:r>
          </w:p>
        </w:tc>
        <w:tc>
          <w:tcPr>
            <w:tcW w:w="0" w:type="auto"/>
            <w:shd w:val="clear" w:color="auto" w:fill="auto"/>
          </w:tcPr>
          <w:p w14:paraId="31EAE26D" w14:textId="77777777" w:rsidR="00BA2A7B" w:rsidRPr="00B24E25" w:rsidRDefault="00BA2A7B" w:rsidP="00B24E25">
            <w:pPr>
              <w:pStyle w:val="Tabletitle"/>
            </w:pPr>
            <w:r w:rsidRPr="00B24E25">
              <w:t>Suggested key area for quality improvement</w:t>
            </w:r>
          </w:p>
        </w:tc>
        <w:tc>
          <w:tcPr>
            <w:tcW w:w="1155" w:type="pct"/>
            <w:shd w:val="clear" w:color="auto" w:fill="auto"/>
          </w:tcPr>
          <w:p w14:paraId="7EE382CB" w14:textId="77777777" w:rsidR="00BA2A7B" w:rsidRPr="00B24E25" w:rsidRDefault="00BA2A7B" w:rsidP="00B24E25">
            <w:pPr>
              <w:pStyle w:val="Tabletitle"/>
            </w:pPr>
            <w:r w:rsidRPr="00B24E25">
              <w:t>Why is this a key area for quality improvement?</w:t>
            </w:r>
          </w:p>
        </w:tc>
        <w:tc>
          <w:tcPr>
            <w:tcW w:w="2035" w:type="pct"/>
            <w:shd w:val="clear" w:color="auto" w:fill="auto"/>
          </w:tcPr>
          <w:p w14:paraId="791D8FC4" w14:textId="77777777" w:rsidR="00BA2A7B" w:rsidRPr="00B24E25" w:rsidRDefault="00BA2A7B" w:rsidP="00B24E25">
            <w:pPr>
              <w:pStyle w:val="Tabletitle"/>
            </w:pPr>
            <w:r w:rsidRPr="00B24E25">
              <w:t>Supporting information</w:t>
            </w:r>
          </w:p>
        </w:tc>
      </w:tr>
      <w:tr w:rsidR="009711BF" w:rsidRPr="00C92280" w14:paraId="349D3049" w14:textId="77777777" w:rsidTr="00641E12">
        <w:trPr>
          <w:trHeight w:val="284"/>
        </w:trPr>
        <w:tc>
          <w:tcPr>
            <w:tcW w:w="313" w:type="pct"/>
          </w:tcPr>
          <w:p w14:paraId="25B631D4" w14:textId="03C65466" w:rsidR="00BA2A7B" w:rsidRPr="00474F40" w:rsidRDefault="00FF4E20" w:rsidP="00065914">
            <w:pPr>
              <w:pStyle w:val="Tabletext"/>
              <w:rPr>
                <w:lang w:eastAsia="en-GB"/>
              </w:rPr>
            </w:pPr>
            <w:r>
              <w:rPr>
                <w:lang w:eastAsia="en-GB"/>
              </w:rPr>
              <w:t>1</w:t>
            </w:r>
          </w:p>
        </w:tc>
        <w:tc>
          <w:tcPr>
            <w:tcW w:w="805" w:type="pct"/>
          </w:tcPr>
          <w:p w14:paraId="59A251A1" w14:textId="00A6BCF0" w:rsidR="00BA2A7B" w:rsidRPr="00474F40" w:rsidRDefault="006C7489" w:rsidP="00427135">
            <w:pPr>
              <w:pStyle w:val="Tabletext"/>
            </w:pPr>
            <w:r w:rsidRPr="00474F40">
              <w:t>N</w:t>
            </w:r>
            <w:r>
              <w:t>ational Clinical Director</w:t>
            </w:r>
            <w:r w:rsidR="00474F40">
              <w:t xml:space="preserve">, </w:t>
            </w:r>
            <w:r w:rsidR="00474F40" w:rsidRPr="00474F40">
              <w:t xml:space="preserve">MSK conditions NHS England </w:t>
            </w:r>
            <w:r w:rsidR="005C6FE1">
              <w:t>and</w:t>
            </w:r>
            <w:r w:rsidR="00474F40" w:rsidRPr="00474F40">
              <w:t xml:space="preserve"> NHS Improvement</w:t>
            </w:r>
          </w:p>
        </w:tc>
        <w:tc>
          <w:tcPr>
            <w:tcW w:w="0" w:type="auto"/>
          </w:tcPr>
          <w:p w14:paraId="2F52A079" w14:textId="7BBFB0B4" w:rsidR="00474F40" w:rsidRDefault="00474F40" w:rsidP="00474F40">
            <w:pPr>
              <w:pStyle w:val="Tabletext"/>
              <w:rPr>
                <w:b/>
                <w:bCs/>
              </w:rPr>
            </w:pPr>
            <w:r w:rsidRPr="00474F40">
              <w:rPr>
                <w:b/>
                <w:bCs/>
              </w:rPr>
              <w:t>What 5 national priority areas for quality improvement would you want to see covered by this quality standard?</w:t>
            </w:r>
          </w:p>
          <w:p w14:paraId="43226F7F" w14:textId="4C2B9CA2" w:rsidR="00BA2A7B" w:rsidRPr="00474F40" w:rsidRDefault="003917AA" w:rsidP="003917AA">
            <w:pPr>
              <w:pStyle w:val="Tabletext"/>
            </w:pPr>
            <w:r w:rsidRPr="003917AA">
              <w:t>To link with the high impact recommendations for the Best MSK health National Improvement programme aligned with the GIRFT driven High volume low complexity strategy driving elective restoration</w:t>
            </w:r>
            <w:proofErr w:type="gramStart"/>
            <w:r w:rsidRPr="003917AA">
              <w:t xml:space="preserve">.  </w:t>
            </w:r>
            <w:proofErr w:type="gramEnd"/>
            <w:r w:rsidRPr="003917AA">
              <w:t xml:space="preserve">Elective orthopaedic recommendations are key, as are the </w:t>
            </w:r>
            <w:r w:rsidRPr="003917AA">
              <w:lastRenderedPageBreak/>
              <w:t>core recommendations. This reflect a whole pathways strategy, from referral, hospital care/procedure rehabilitation. Also the need for shared decision making and delivery within a personalised model.</w:t>
            </w:r>
          </w:p>
        </w:tc>
        <w:tc>
          <w:tcPr>
            <w:tcW w:w="1155" w:type="pct"/>
          </w:tcPr>
          <w:p w14:paraId="0DF92980" w14:textId="30102A10" w:rsidR="00BA2A7B" w:rsidRPr="00474F40" w:rsidRDefault="00BA2A7B" w:rsidP="00427135">
            <w:pPr>
              <w:pStyle w:val="Tabletext"/>
            </w:pPr>
          </w:p>
        </w:tc>
        <w:tc>
          <w:tcPr>
            <w:tcW w:w="2035" w:type="pct"/>
          </w:tcPr>
          <w:p w14:paraId="2AB9CA93" w14:textId="772A6494" w:rsidR="00BA2A7B" w:rsidRPr="00474F40" w:rsidRDefault="00BA2A7B" w:rsidP="00F42F2E">
            <w:pPr>
              <w:pStyle w:val="Tabletext"/>
            </w:pPr>
          </w:p>
        </w:tc>
      </w:tr>
      <w:tr w:rsidR="009711BF" w:rsidRPr="00C92280" w14:paraId="44409A66" w14:textId="77777777" w:rsidTr="00641E12">
        <w:trPr>
          <w:trHeight w:val="284"/>
        </w:trPr>
        <w:tc>
          <w:tcPr>
            <w:tcW w:w="313" w:type="pct"/>
          </w:tcPr>
          <w:p w14:paraId="4FDEBF6E" w14:textId="659A8D2F" w:rsidR="00474F40" w:rsidRPr="00474F40" w:rsidRDefault="0030499B" w:rsidP="00065914">
            <w:pPr>
              <w:pStyle w:val="Tabletext"/>
              <w:rPr>
                <w:lang w:eastAsia="en-GB"/>
              </w:rPr>
            </w:pPr>
            <w:r>
              <w:rPr>
                <w:lang w:eastAsia="en-GB"/>
              </w:rPr>
              <w:t>2</w:t>
            </w:r>
          </w:p>
        </w:tc>
        <w:tc>
          <w:tcPr>
            <w:tcW w:w="805" w:type="pct"/>
          </w:tcPr>
          <w:p w14:paraId="2F62C8C3" w14:textId="17AAFC06" w:rsidR="00474F40" w:rsidRPr="00474F40" w:rsidRDefault="006C7489" w:rsidP="00427135">
            <w:pPr>
              <w:pStyle w:val="Tabletext"/>
            </w:pPr>
            <w:r w:rsidRPr="00474F40">
              <w:t>N</w:t>
            </w:r>
            <w:r>
              <w:t>ational Clinical Director</w:t>
            </w:r>
            <w:r w:rsidR="00474F40" w:rsidRPr="00474F40">
              <w:t xml:space="preserve">, MSK conditions NHS England </w:t>
            </w:r>
            <w:r w:rsidR="005C6FE1">
              <w:t>and</w:t>
            </w:r>
            <w:r w:rsidR="00474F40" w:rsidRPr="00474F40">
              <w:t xml:space="preserve"> NHS Improvement</w:t>
            </w:r>
          </w:p>
        </w:tc>
        <w:tc>
          <w:tcPr>
            <w:tcW w:w="0" w:type="auto"/>
          </w:tcPr>
          <w:p w14:paraId="4D557296" w14:textId="28197133" w:rsidR="00474F40" w:rsidRDefault="00474F40" w:rsidP="00474F40">
            <w:pPr>
              <w:pStyle w:val="Tabletext"/>
              <w:rPr>
                <w:b/>
                <w:bCs/>
              </w:rPr>
            </w:pPr>
            <w:r w:rsidRPr="00474F40">
              <w:rPr>
                <w:b/>
                <w:bCs/>
              </w:rPr>
              <w:t>Are there any relevant national audits or reports highlighting current practice that you think it would be helpful for the committee to be made aware of?</w:t>
            </w:r>
          </w:p>
          <w:p w14:paraId="3D84BD8A" w14:textId="77777777" w:rsidR="00474F40" w:rsidRDefault="00474F40" w:rsidP="00474F40">
            <w:pPr>
              <w:pStyle w:val="Tabletext"/>
              <w:rPr>
                <w:b/>
                <w:bCs/>
              </w:rPr>
            </w:pPr>
          </w:p>
          <w:p w14:paraId="7BBCA698" w14:textId="07A3D95F" w:rsidR="00474F40" w:rsidRPr="00FE4DB7" w:rsidRDefault="00474F40" w:rsidP="00474F40">
            <w:pPr>
              <w:pStyle w:val="Tabletext"/>
            </w:pPr>
            <w:r w:rsidRPr="00474F40">
              <w:t>GIRFT report orthopaedics, Relevant NJR reports</w:t>
            </w:r>
            <w:proofErr w:type="gramStart"/>
            <w:r w:rsidRPr="00474F40">
              <w:t xml:space="preserve">.  </w:t>
            </w:r>
            <w:proofErr w:type="gramEnd"/>
            <w:r w:rsidRPr="00474F40">
              <w:t xml:space="preserve"> </w:t>
            </w:r>
          </w:p>
        </w:tc>
        <w:tc>
          <w:tcPr>
            <w:tcW w:w="1155" w:type="pct"/>
          </w:tcPr>
          <w:p w14:paraId="0F50198C" w14:textId="77777777" w:rsidR="00474F40" w:rsidRPr="00474F40" w:rsidRDefault="00474F40" w:rsidP="00427135">
            <w:pPr>
              <w:pStyle w:val="Tabletext"/>
            </w:pPr>
          </w:p>
        </w:tc>
        <w:tc>
          <w:tcPr>
            <w:tcW w:w="2035" w:type="pct"/>
          </w:tcPr>
          <w:p w14:paraId="0EF0BAF2" w14:textId="77777777" w:rsidR="00474F40" w:rsidRPr="00474F40" w:rsidRDefault="00474F40" w:rsidP="00F42F2E">
            <w:pPr>
              <w:pStyle w:val="Tabletext"/>
            </w:pPr>
          </w:p>
        </w:tc>
      </w:tr>
      <w:tr w:rsidR="009711BF" w:rsidRPr="00C92280" w14:paraId="09D98357" w14:textId="77777777" w:rsidTr="00641E12">
        <w:trPr>
          <w:trHeight w:val="284"/>
        </w:trPr>
        <w:tc>
          <w:tcPr>
            <w:tcW w:w="313" w:type="pct"/>
          </w:tcPr>
          <w:p w14:paraId="7A21D5E3" w14:textId="7C5C8184" w:rsidR="00474F40" w:rsidRPr="00474F40" w:rsidRDefault="0030499B" w:rsidP="00065914">
            <w:pPr>
              <w:pStyle w:val="Tabletext"/>
              <w:rPr>
                <w:lang w:eastAsia="en-GB"/>
              </w:rPr>
            </w:pPr>
            <w:r>
              <w:rPr>
                <w:lang w:eastAsia="en-GB"/>
              </w:rPr>
              <w:t>3</w:t>
            </w:r>
          </w:p>
        </w:tc>
        <w:tc>
          <w:tcPr>
            <w:tcW w:w="805" w:type="pct"/>
          </w:tcPr>
          <w:p w14:paraId="7F1757CD" w14:textId="15933030" w:rsidR="00474F40" w:rsidRPr="00474F40" w:rsidRDefault="006C7489" w:rsidP="00427135">
            <w:pPr>
              <w:pStyle w:val="Tabletext"/>
            </w:pPr>
            <w:r w:rsidRPr="00474F40">
              <w:t>N</w:t>
            </w:r>
            <w:r>
              <w:t>ational Clinical Director</w:t>
            </w:r>
            <w:r w:rsidR="00474F40" w:rsidRPr="00474F40">
              <w:t xml:space="preserve">, MSK </w:t>
            </w:r>
            <w:r w:rsidR="00474F40" w:rsidRPr="00474F40">
              <w:lastRenderedPageBreak/>
              <w:t>conditions NHS England and NHS Improvement</w:t>
            </w:r>
          </w:p>
        </w:tc>
        <w:tc>
          <w:tcPr>
            <w:tcW w:w="0" w:type="auto"/>
          </w:tcPr>
          <w:p w14:paraId="763A3D5A" w14:textId="157D11D0" w:rsidR="00474F40" w:rsidRDefault="00474F40" w:rsidP="00474F40">
            <w:pPr>
              <w:pStyle w:val="Tabletext"/>
              <w:rPr>
                <w:b/>
                <w:bCs/>
              </w:rPr>
            </w:pPr>
            <w:r w:rsidRPr="00474F40">
              <w:rPr>
                <w:b/>
                <w:bCs/>
              </w:rPr>
              <w:lastRenderedPageBreak/>
              <w:t xml:space="preserve">Is there anything else happening in </w:t>
            </w:r>
            <w:r w:rsidRPr="00474F40">
              <w:rPr>
                <w:b/>
                <w:bCs/>
              </w:rPr>
              <w:lastRenderedPageBreak/>
              <w:t>the topic area which you think may be of interest to the committee?</w:t>
            </w:r>
          </w:p>
          <w:p w14:paraId="3D905ADE" w14:textId="2A9C066E" w:rsidR="00474F40" w:rsidRPr="00474F40" w:rsidRDefault="00474F40" w:rsidP="00474F40">
            <w:pPr>
              <w:pStyle w:val="Tabletext"/>
            </w:pPr>
            <w:r w:rsidRPr="00474F40">
              <w:t>Emergent work related to providing personalised support to those on waiting lists.</w:t>
            </w:r>
          </w:p>
        </w:tc>
        <w:tc>
          <w:tcPr>
            <w:tcW w:w="1155" w:type="pct"/>
          </w:tcPr>
          <w:p w14:paraId="65FAD92D" w14:textId="77777777" w:rsidR="00474F40" w:rsidRPr="00474F40" w:rsidRDefault="00474F40" w:rsidP="00427135">
            <w:pPr>
              <w:pStyle w:val="Tabletext"/>
            </w:pPr>
          </w:p>
        </w:tc>
        <w:tc>
          <w:tcPr>
            <w:tcW w:w="2035" w:type="pct"/>
          </w:tcPr>
          <w:p w14:paraId="636A8E14" w14:textId="77777777" w:rsidR="00474F40" w:rsidRPr="00474F40" w:rsidRDefault="00474F40" w:rsidP="00F42F2E">
            <w:pPr>
              <w:pStyle w:val="Tabletext"/>
            </w:pPr>
          </w:p>
        </w:tc>
      </w:tr>
      <w:tr w:rsidR="009711BF" w:rsidRPr="00C92280" w14:paraId="487F583B" w14:textId="77777777" w:rsidTr="00641E12">
        <w:trPr>
          <w:trHeight w:val="284"/>
        </w:trPr>
        <w:tc>
          <w:tcPr>
            <w:tcW w:w="313" w:type="pct"/>
          </w:tcPr>
          <w:p w14:paraId="543F3F6B" w14:textId="6C161C07" w:rsidR="00F60567" w:rsidRPr="0088696C" w:rsidRDefault="0030499B" w:rsidP="00F60567">
            <w:pPr>
              <w:pStyle w:val="Tabletext"/>
            </w:pPr>
            <w:r w:rsidRPr="00D20AFB">
              <w:t>4</w:t>
            </w:r>
          </w:p>
        </w:tc>
        <w:tc>
          <w:tcPr>
            <w:tcW w:w="805" w:type="pct"/>
          </w:tcPr>
          <w:p w14:paraId="1970CC9B" w14:textId="2B5837BD" w:rsidR="00F60567" w:rsidRPr="00C6212D" w:rsidRDefault="00F60567" w:rsidP="00F60567">
            <w:pPr>
              <w:pStyle w:val="Tabletext"/>
            </w:pPr>
            <w:r w:rsidRPr="00C6212D">
              <w:t xml:space="preserve">AGILE (Special Interest Group Representing Physiotherapists Working </w:t>
            </w:r>
            <w:proofErr w:type="gramStart"/>
            <w:r w:rsidRPr="00C6212D">
              <w:t>With</w:t>
            </w:r>
            <w:proofErr w:type="gramEnd"/>
            <w:r w:rsidRPr="00C6212D">
              <w:t xml:space="preserve"> Older People), Affiliated to the Chartered Society of Physiotherapy</w:t>
            </w:r>
          </w:p>
        </w:tc>
        <w:tc>
          <w:tcPr>
            <w:tcW w:w="0" w:type="auto"/>
          </w:tcPr>
          <w:p w14:paraId="725F07CD" w14:textId="417BAB83" w:rsidR="00F60567" w:rsidRDefault="00F60567" w:rsidP="00F60567">
            <w:pPr>
              <w:pStyle w:val="Tabletext"/>
              <w:rPr>
                <w:b/>
                <w:bCs/>
              </w:rPr>
            </w:pPr>
            <w:r w:rsidRPr="00C6212D">
              <w:rPr>
                <w:b/>
                <w:bCs/>
              </w:rPr>
              <w:t xml:space="preserve">Self-management and preoperative </w:t>
            </w:r>
            <w:r w:rsidR="008744F4">
              <w:rPr>
                <w:b/>
                <w:bCs/>
              </w:rPr>
              <w:t>care</w:t>
            </w:r>
            <w:r>
              <w:rPr>
                <w:b/>
                <w:bCs/>
              </w:rPr>
              <w:t xml:space="preserve">: </w:t>
            </w:r>
          </w:p>
          <w:p w14:paraId="17661CE5" w14:textId="7DE18814" w:rsidR="00F60567" w:rsidRPr="00C6212D" w:rsidRDefault="00F60567" w:rsidP="00F60567">
            <w:pPr>
              <w:pStyle w:val="Tabletext"/>
              <w:rPr>
                <w:b/>
                <w:bCs/>
              </w:rPr>
            </w:pPr>
            <w:r>
              <w:t>1</w:t>
            </w:r>
          </w:p>
        </w:tc>
        <w:tc>
          <w:tcPr>
            <w:tcW w:w="1155" w:type="pct"/>
          </w:tcPr>
          <w:p w14:paraId="436F34B7" w14:textId="79EBA673" w:rsidR="00F60567" w:rsidRPr="00C6212D" w:rsidRDefault="00F60567" w:rsidP="00F60567">
            <w:pPr>
              <w:pStyle w:val="Tabletext"/>
            </w:pPr>
            <w:r w:rsidRPr="00F60567">
              <w:t>Pre-operative frailty screening</w:t>
            </w:r>
          </w:p>
        </w:tc>
        <w:tc>
          <w:tcPr>
            <w:tcW w:w="2035" w:type="pct"/>
          </w:tcPr>
          <w:p w14:paraId="20DC16DE" w14:textId="5CF852F4" w:rsidR="00F60567" w:rsidRDefault="00F60567" w:rsidP="00F60567">
            <w:pPr>
              <w:pStyle w:val="Tabletext"/>
            </w:pPr>
            <w:r>
              <w:t>Frailty Screening prior to surgery predicts length of stay, morbidity and mortality and those likely to need transfer to a rehabilitation centre or ward post operatively which will support proactive identification of those likely to need specialist care and also improve discharge planning</w:t>
            </w:r>
            <w:proofErr w:type="gramStart"/>
            <w:r>
              <w:t xml:space="preserve">.  </w:t>
            </w:r>
            <w:proofErr w:type="gramEnd"/>
          </w:p>
          <w:p w14:paraId="3665F60D" w14:textId="6100D18B" w:rsidR="00F60567" w:rsidRDefault="00F60567" w:rsidP="00F60567">
            <w:pPr>
              <w:pStyle w:val="Tabletext"/>
            </w:pPr>
            <w:r>
              <w:t xml:space="preserve">Wang </w:t>
            </w:r>
            <w:proofErr w:type="gramStart"/>
            <w:r>
              <w:t xml:space="preserve">et al.  </w:t>
            </w:r>
            <w:proofErr w:type="gramEnd"/>
            <w:r>
              <w:t>Frailty as a predictor of hospital length of stay after elective total joint replacements in elderly patients</w:t>
            </w:r>
            <w:r w:rsidR="00FE4DB7">
              <w:t xml:space="preserve"> </w:t>
            </w:r>
            <w:hyperlink r:id="rId85" w:history="1">
              <w:r w:rsidRPr="00FE4DB7">
                <w:rPr>
                  <w:rStyle w:val="Hyperlink"/>
                </w:rPr>
                <w:t xml:space="preserve">BMC </w:t>
              </w:r>
              <w:proofErr w:type="spellStart"/>
              <w:r w:rsidRPr="00FE4DB7">
                <w:rPr>
                  <w:rStyle w:val="Hyperlink"/>
                </w:rPr>
                <w:t>Musculoskelet</w:t>
              </w:r>
              <w:proofErr w:type="spellEnd"/>
              <w:r w:rsidRPr="00FE4DB7">
                <w:rPr>
                  <w:rStyle w:val="Hyperlink"/>
                </w:rPr>
                <w:t xml:space="preserve"> </w:t>
              </w:r>
              <w:proofErr w:type="spellStart"/>
              <w:r w:rsidRPr="00FE4DB7">
                <w:rPr>
                  <w:rStyle w:val="Hyperlink"/>
                </w:rPr>
                <w:t>Disord</w:t>
              </w:r>
              <w:proofErr w:type="spellEnd"/>
            </w:hyperlink>
            <w:r>
              <w:t xml:space="preserve">. 2018; 19: 14. </w:t>
            </w:r>
          </w:p>
          <w:p w14:paraId="009D1B6E" w14:textId="2081BE0A" w:rsidR="00F60567" w:rsidRPr="00FE4DB7" w:rsidRDefault="00F60567" w:rsidP="00F60567">
            <w:pPr>
              <w:pStyle w:val="Tabletext"/>
              <w:rPr>
                <w:rStyle w:val="Hyperlink"/>
              </w:rPr>
            </w:pPr>
            <w:r>
              <w:t xml:space="preserve">Published online 2018 Jan 16. </w:t>
            </w:r>
            <w:proofErr w:type="spellStart"/>
            <w:r>
              <w:t>doi</w:t>
            </w:r>
            <w:proofErr w:type="spellEnd"/>
            <w:r>
              <w:t xml:space="preserve">: </w:t>
            </w:r>
            <w:r w:rsidRPr="00FE4DB7">
              <w:rPr>
                <w:rStyle w:val="Hyperlink"/>
              </w:rPr>
              <w:t>10.1186/s12891-018-1935-8</w:t>
            </w:r>
            <w:r w:rsidR="00FE4DB7" w:rsidRPr="00FE4DB7">
              <w:rPr>
                <w:rStyle w:val="Hyperlink"/>
              </w:rPr>
              <w:t xml:space="preserve"> </w:t>
            </w:r>
          </w:p>
          <w:p w14:paraId="1C461AD0" w14:textId="31A08F4E" w:rsidR="00F60567" w:rsidRPr="00C6212D" w:rsidRDefault="00F60567" w:rsidP="00F60567">
            <w:pPr>
              <w:pStyle w:val="Tabletext"/>
            </w:pPr>
            <w:r>
              <w:t xml:space="preserve">Hall et al Association of a Frailty Screening Initiative </w:t>
            </w:r>
            <w:proofErr w:type="gramStart"/>
            <w:r>
              <w:t>With</w:t>
            </w:r>
            <w:proofErr w:type="gramEnd"/>
            <w:r>
              <w:t xml:space="preserve"> Postoperative Survival at 30, 180, and 365 Days JAMA Surg. 2017;152(3):233-240. doi:10.1001/jamasurg.2016.4219</w:t>
            </w:r>
          </w:p>
        </w:tc>
      </w:tr>
      <w:tr w:rsidR="009711BF" w:rsidRPr="00C92280" w14:paraId="124427F2" w14:textId="77777777" w:rsidTr="00641E12">
        <w:trPr>
          <w:trHeight w:val="284"/>
        </w:trPr>
        <w:tc>
          <w:tcPr>
            <w:tcW w:w="313" w:type="pct"/>
          </w:tcPr>
          <w:p w14:paraId="16B3A767" w14:textId="176A5C47" w:rsidR="00F60567" w:rsidRPr="0088696C" w:rsidRDefault="0030499B" w:rsidP="00F60567">
            <w:pPr>
              <w:pStyle w:val="Tabletext"/>
            </w:pPr>
            <w:r w:rsidRPr="00D20AFB">
              <w:t>5</w:t>
            </w:r>
          </w:p>
        </w:tc>
        <w:tc>
          <w:tcPr>
            <w:tcW w:w="805" w:type="pct"/>
          </w:tcPr>
          <w:p w14:paraId="0529CA4D" w14:textId="4B247418" w:rsidR="00F60567" w:rsidRPr="00495F71" w:rsidRDefault="00F60567" w:rsidP="00F60567">
            <w:pPr>
              <w:pStyle w:val="Tabletext"/>
            </w:pPr>
            <w:r w:rsidRPr="00C6212D">
              <w:t xml:space="preserve">AGILE (Special Interest Group Representing Physiotherapists Working </w:t>
            </w:r>
            <w:proofErr w:type="gramStart"/>
            <w:r w:rsidRPr="00C6212D">
              <w:t>With</w:t>
            </w:r>
            <w:proofErr w:type="gramEnd"/>
            <w:r w:rsidRPr="00C6212D">
              <w:t xml:space="preserve"> Older People), Affiliated to </w:t>
            </w:r>
            <w:r w:rsidRPr="00C6212D">
              <w:lastRenderedPageBreak/>
              <w:t>the Chartered Society of Physiotherapy</w:t>
            </w:r>
          </w:p>
        </w:tc>
        <w:tc>
          <w:tcPr>
            <w:tcW w:w="0" w:type="auto"/>
          </w:tcPr>
          <w:p w14:paraId="0EB4112F" w14:textId="0576EA0C" w:rsidR="00F60567" w:rsidRDefault="00F60567" w:rsidP="00F60567">
            <w:pPr>
              <w:pStyle w:val="Tabletext"/>
              <w:rPr>
                <w:b/>
                <w:bCs/>
              </w:rPr>
            </w:pPr>
            <w:r w:rsidRPr="00C6212D">
              <w:rPr>
                <w:b/>
                <w:bCs/>
              </w:rPr>
              <w:lastRenderedPageBreak/>
              <w:t xml:space="preserve">Self-management and preoperative </w:t>
            </w:r>
            <w:r w:rsidR="008744F4">
              <w:rPr>
                <w:b/>
                <w:bCs/>
              </w:rPr>
              <w:t>care</w:t>
            </w:r>
            <w:r>
              <w:rPr>
                <w:b/>
                <w:bCs/>
              </w:rPr>
              <w:t xml:space="preserve">: </w:t>
            </w:r>
          </w:p>
          <w:p w14:paraId="2F42A212" w14:textId="17FE262A" w:rsidR="00F60567" w:rsidRPr="00C6212D" w:rsidRDefault="00F60567" w:rsidP="00F60567">
            <w:pPr>
              <w:pStyle w:val="Tabletext"/>
            </w:pPr>
            <w:r w:rsidRPr="00C6212D">
              <w:t>2</w:t>
            </w:r>
          </w:p>
        </w:tc>
        <w:tc>
          <w:tcPr>
            <w:tcW w:w="1155" w:type="pct"/>
          </w:tcPr>
          <w:p w14:paraId="2A506BED" w14:textId="199F86AC" w:rsidR="00F60567" w:rsidRPr="00495F71" w:rsidRDefault="00F60567" w:rsidP="00F60567">
            <w:pPr>
              <w:pStyle w:val="Tabletext"/>
            </w:pPr>
            <w:r w:rsidRPr="00C6212D">
              <w:t>Preoperative rehabilitation and assessment</w:t>
            </w:r>
          </w:p>
        </w:tc>
        <w:tc>
          <w:tcPr>
            <w:tcW w:w="2035" w:type="pct"/>
          </w:tcPr>
          <w:p w14:paraId="6A491F56" w14:textId="48F52BFC" w:rsidR="00F60567" w:rsidRPr="00495F71" w:rsidRDefault="00F60567" w:rsidP="00F60567">
            <w:pPr>
              <w:pStyle w:val="Tabletext"/>
            </w:pPr>
            <w:r w:rsidRPr="00C6212D">
              <w:t xml:space="preserve">British Orthopaedic Association guidance supports the requirement to preoperatively assess those, particularly those screened as frail, to ensure that home adaptations required can be proactively planned, those likely to need supervised rehabilitation can be identified and patients can </w:t>
            </w:r>
            <w:r w:rsidRPr="00C6212D">
              <w:lastRenderedPageBreak/>
              <w:t>be taught exercises to optimally prepare them for surgery and to recover from surgery quickly.</w:t>
            </w:r>
          </w:p>
        </w:tc>
      </w:tr>
      <w:tr w:rsidR="003917AA" w:rsidRPr="00C92280" w14:paraId="1C2610C3" w14:textId="77777777" w:rsidTr="00641E12">
        <w:trPr>
          <w:trHeight w:val="284"/>
        </w:trPr>
        <w:tc>
          <w:tcPr>
            <w:tcW w:w="313" w:type="pct"/>
          </w:tcPr>
          <w:p w14:paraId="136DF025" w14:textId="1EEFCB8F" w:rsidR="003917AA" w:rsidRPr="00D20AFB" w:rsidRDefault="00765A68" w:rsidP="003917AA">
            <w:pPr>
              <w:pStyle w:val="Tabletext"/>
            </w:pPr>
            <w:r>
              <w:lastRenderedPageBreak/>
              <w:t>6</w:t>
            </w:r>
          </w:p>
        </w:tc>
        <w:tc>
          <w:tcPr>
            <w:tcW w:w="805" w:type="pct"/>
          </w:tcPr>
          <w:p w14:paraId="7BA275E2" w14:textId="6DA20AAA" w:rsidR="003917AA" w:rsidRDefault="003917AA" w:rsidP="003917AA">
            <w:pPr>
              <w:pStyle w:val="Tabletext"/>
              <w:rPr>
                <w:b/>
              </w:rPr>
            </w:pPr>
            <w:r>
              <w:t>British Orthopaedic Association (comments endorsed by the British Hip Society)</w:t>
            </w:r>
          </w:p>
        </w:tc>
        <w:tc>
          <w:tcPr>
            <w:tcW w:w="0" w:type="auto"/>
          </w:tcPr>
          <w:p w14:paraId="7C800794" w14:textId="62D84C7C" w:rsidR="003917AA" w:rsidRDefault="003917AA" w:rsidP="003917AA">
            <w:pPr>
              <w:pStyle w:val="Tabletext"/>
              <w:rPr>
                <w:b/>
                <w:bCs/>
              </w:rPr>
            </w:pPr>
            <w:r w:rsidRPr="00C6212D">
              <w:rPr>
                <w:b/>
                <w:bCs/>
              </w:rPr>
              <w:t xml:space="preserve">Self-management and preoperative </w:t>
            </w:r>
            <w:r w:rsidR="008744F4">
              <w:rPr>
                <w:b/>
                <w:bCs/>
              </w:rPr>
              <w:t>care</w:t>
            </w:r>
            <w:r>
              <w:rPr>
                <w:b/>
                <w:bCs/>
              </w:rPr>
              <w:t xml:space="preserve">: </w:t>
            </w:r>
          </w:p>
          <w:p w14:paraId="22915305" w14:textId="56AFA14A" w:rsidR="003917AA" w:rsidRPr="00C6212D" w:rsidRDefault="003917AA" w:rsidP="003917AA">
            <w:pPr>
              <w:pStyle w:val="Tabletext"/>
              <w:rPr>
                <w:b/>
                <w:bCs/>
              </w:rPr>
            </w:pPr>
            <w:r w:rsidRPr="00F60567">
              <w:t>4</w:t>
            </w:r>
          </w:p>
        </w:tc>
        <w:tc>
          <w:tcPr>
            <w:tcW w:w="1155" w:type="pct"/>
          </w:tcPr>
          <w:p w14:paraId="3C2A9A4B" w14:textId="2ACB7CB6" w:rsidR="003917AA" w:rsidRPr="005E425F" w:rsidRDefault="003917AA" w:rsidP="003917AA">
            <w:pPr>
              <w:pStyle w:val="Tabletext"/>
            </w:pPr>
            <w:r>
              <w:t>Pre-</w:t>
            </w:r>
            <w:proofErr w:type="spellStart"/>
            <w:r>
              <w:t>habilitation</w:t>
            </w:r>
            <w:proofErr w:type="spellEnd"/>
          </w:p>
        </w:tc>
        <w:tc>
          <w:tcPr>
            <w:tcW w:w="2035" w:type="pct"/>
          </w:tcPr>
          <w:p w14:paraId="5B7C0A03" w14:textId="77777777" w:rsidR="003917AA" w:rsidRDefault="003917AA" w:rsidP="003917AA">
            <w:pPr>
              <w:pStyle w:val="Tabletext"/>
            </w:pPr>
            <w:r>
              <w:t>Good preoperative care is aimed at making the best use of the available time from the decision to operate to the commencement of surgery. For hip, knee and shoulder replacement this can involve not just optimising medical issues but also optimising physical fitness. The objective is to improve recovery time and maximise post-operative function</w:t>
            </w:r>
          </w:p>
          <w:p w14:paraId="40990243" w14:textId="77777777" w:rsidR="003917AA" w:rsidRDefault="003917AA" w:rsidP="003917AA">
            <w:pPr>
              <w:pStyle w:val="Tabletext"/>
            </w:pPr>
          </w:p>
          <w:p w14:paraId="496E00EB" w14:textId="48F890C4" w:rsidR="003917AA" w:rsidRDefault="003917AA" w:rsidP="003917AA">
            <w:pPr>
              <w:pStyle w:val="Tabletext"/>
            </w:pPr>
            <w:r>
              <w:t>NICE NG157 recommendation 1.2</w:t>
            </w:r>
          </w:p>
        </w:tc>
      </w:tr>
      <w:tr w:rsidR="003917AA" w:rsidRPr="00C92280" w14:paraId="67B57AE2" w14:textId="77777777" w:rsidTr="00641E12">
        <w:trPr>
          <w:trHeight w:val="284"/>
        </w:trPr>
        <w:tc>
          <w:tcPr>
            <w:tcW w:w="313" w:type="pct"/>
          </w:tcPr>
          <w:p w14:paraId="17A20444" w14:textId="504F1E9B" w:rsidR="003917AA" w:rsidRPr="00D20AFB" w:rsidRDefault="00765A68" w:rsidP="003917AA">
            <w:pPr>
              <w:pStyle w:val="Tabletext"/>
            </w:pPr>
            <w:r>
              <w:t>7</w:t>
            </w:r>
          </w:p>
        </w:tc>
        <w:tc>
          <w:tcPr>
            <w:tcW w:w="805" w:type="pct"/>
          </w:tcPr>
          <w:p w14:paraId="3D8A6721" w14:textId="04E8754F" w:rsidR="003917AA" w:rsidRDefault="003917AA" w:rsidP="003917AA">
            <w:pPr>
              <w:pStyle w:val="Tabletext"/>
            </w:pPr>
            <w:r>
              <w:rPr>
                <w:b/>
              </w:rPr>
              <w:t xml:space="preserve"> </w:t>
            </w:r>
            <w:r>
              <w:t>NeuroCare Europe</w:t>
            </w:r>
          </w:p>
        </w:tc>
        <w:tc>
          <w:tcPr>
            <w:tcW w:w="0" w:type="auto"/>
          </w:tcPr>
          <w:p w14:paraId="1529B251" w14:textId="26C34BAE" w:rsidR="003917AA" w:rsidRDefault="003917AA" w:rsidP="003917AA">
            <w:pPr>
              <w:pStyle w:val="Tabletext"/>
              <w:rPr>
                <w:b/>
                <w:bCs/>
              </w:rPr>
            </w:pPr>
            <w:r w:rsidRPr="00C6212D">
              <w:rPr>
                <w:b/>
                <w:bCs/>
              </w:rPr>
              <w:t xml:space="preserve">Self-management and preoperative </w:t>
            </w:r>
            <w:r w:rsidR="008744F4">
              <w:rPr>
                <w:b/>
                <w:bCs/>
              </w:rPr>
              <w:t>care</w:t>
            </w:r>
            <w:r>
              <w:rPr>
                <w:b/>
                <w:bCs/>
              </w:rPr>
              <w:t xml:space="preserve">: </w:t>
            </w:r>
          </w:p>
          <w:p w14:paraId="4579BB65" w14:textId="77777777" w:rsidR="003917AA" w:rsidRDefault="003917AA" w:rsidP="003917AA">
            <w:pPr>
              <w:pStyle w:val="Tabletext"/>
              <w:rPr>
                <w:b/>
                <w:bCs/>
              </w:rPr>
            </w:pPr>
          </w:p>
          <w:p w14:paraId="01A32496" w14:textId="206F845D" w:rsidR="003917AA" w:rsidRPr="005E425F" w:rsidRDefault="003917AA" w:rsidP="003917AA">
            <w:pPr>
              <w:pStyle w:val="Tabletext"/>
            </w:pPr>
            <w:r w:rsidRPr="00FF4E20">
              <w:t>1 Attention to muscle condition pre-operation</w:t>
            </w:r>
          </w:p>
        </w:tc>
        <w:tc>
          <w:tcPr>
            <w:tcW w:w="1155" w:type="pct"/>
          </w:tcPr>
          <w:p w14:paraId="3F46A73E" w14:textId="1AE4A9D4" w:rsidR="003917AA" w:rsidRDefault="003917AA" w:rsidP="003917AA">
            <w:pPr>
              <w:pStyle w:val="Tabletext"/>
            </w:pPr>
            <w:r w:rsidRPr="005E425F">
              <w:t>Pre-</w:t>
            </w:r>
            <w:proofErr w:type="spellStart"/>
            <w:r w:rsidRPr="005E425F">
              <w:t>habilitation</w:t>
            </w:r>
            <w:proofErr w:type="spellEnd"/>
            <w:r w:rsidRPr="005E425F">
              <w:t xml:space="preserve"> is rarely considered and usually not provisioned in the NHS This should change in order to optimise rehabilitation outcomes</w:t>
            </w:r>
            <w:r>
              <w:t>.</w:t>
            </w:r>
          </w:p>
          <w:p w14:paraId="521C17ED" w14:textId="1ACEADDA" w:rsidR="003917AA" w:rsidRDefault="003917AA" w:rsidP="003917AA">
            <w:pPr>
              <w:pStyle w:val="Tabletext"/>
            </w:pPr>
          </w:p>
          <w:p w14:paraId="17062592" w14:textId="1226B81D" w:rsidR="003917AA" w:rsidRPr="005E425F" w:rsidRDefault="003917AA" w:rsidP="003917AA">
            <w:pPr>
              <w:pStyle w:val="Tabletext"/>
              <w:rPr>
                <w:b/>
                <w:bCs/>
              </w:rPr>
            </w:pPr>
            <w:r w:rsidRPr="005E425F">
              <w:rPr>
                <w:b/>
                <w:bCs/>
              </w:rPr>
              <w:t>Why is this important?</w:t>
            </w:r>
          </w:p>
          <w:p w14:paraId="6ABF4423" w14:textId="7C53A79C" w:rsidR="003917AA" w:rsidRPr="00F60567" w:rsidRDefault="003917AA" w:rsidP="003917AA">
            <w:pPr>
              <w:pStyle w:val="Tabletext"/>
            </w:pPr>
            <w:r>
              <w:t>Pre op muscle condition has been shown to be a major indicator and determinant of the prospects for full post-op rehabilitation</w:t>
            </w:r>
          </w:p>
        </w:tc>
        <w:tc>
          <w:tcPr>
            <w:tcW w:w="2035" w:type="pct"/>
          </w:tcPr>
          <w:p w14:paraId="5D70E8A8" w14:textId="1BA3E295" w:rsidR="003917AA" w:rsidRDefault="003917AA" w:rsidP="003917AA">
            <w:pPr>
              <w:pStyle w:val="Tabletext"/>
            </w:pPr>
            <w:r>
              <w:t>Evidence is mainly in the form of published clinical studies many of which have been noted in our response to the consultation phase</w:t>
            </w:r>
          </w:p>
          <w:p w14:paraId="4F9A5A8F" w14:textId="77777777" w:rsidR="003917AA" w:rsidRDefault="003917AA" w:rsidP="003917AA">
            <w:pPr>
              <w:pStyle w:val="Tabletext"/>
            </w:pPr>
            <w:r>
              <w:t>Here we supplement the already included clinical trial data with some further studies which broadly support our previously reached conclusions</w:t>
            </w:r>
          </w:p>
          <w:p w14:paraId="46A5F504" w14:textId="63AB9978" w:rsidR="003917AA" w:rsidRDefault="003917AA" w:rsidP="003917AA">
            <w:pPr>
              <w:pStyle w:val="Tabletext"/>
            </w:pPr>
            <w:r>
              <w:t xml:space="preserve">Two of these studies make specific reference to the use of NMES along the rehabilitation treatment pathway </w:t>
            </w:r>
          </w:p>
        </w:tc>
      </w:tr>
      <w:tr w:rsidR="003917AA" w:rsidRPr="00C92280" w14:paraId="0DBBBC73" w14:textId="77777777" w:rsidTr="00641E12">
        <w:trPr>
          <w:trHeight w:val="284"/>
        </w:trPr>
        <w:tc>
          <w:tcPr>
            <w:tcW w:w="313" w:type="pct"/>
          </w:tcPr>
          <w:p w14:paraId="288CF85D" w14:textId="2A39A330" w:rsidR="003917AA" w:rsidRPr="00D20AFB" w:rsidRDefault="00765A68" w:rsidP="003917AA">
            <w:pPr>
              <w:pStyle w:val="Tabletext"/>
            </w:pPr>
            <w:r>
              <w:t>8</w:t>
            </w:r>
          </w:p>
        </w:tc>
        <w:tc>
          <w:tcPr>
            <w:tcW w:w="805" w:type="pct"/>
          </w:tcPr>
          <w:p w14:paraId="4320C8AC" w14:textId="6AC081BE" w:rsidR="003917AA" w:rsidRPr="00C6212D" w:rsidRDefault="003917AA" w:rsidP="003917AA">
            <w:pPr>
              <w:pStyle w:val="Tabletext"/>
            </w:pPr>
            <w:r>
              <w:t>SCM2</w:t>
            </w:r>
          </w:p>
        </w:tc>
        <w:tc>
          <w:tcPr>
            <w:tcW w:w="0" w:type="auto"/>
          </w:tcPr>
          <w:p w14:paraId="5BBF53DC" w14:textId="60C2A3EA" w:rsidR="003917AA" w:rsidRPr="00C2010A" w:rsidRDefault="003917AA" w:rsidP="003917AA">
            <w:pPr>
              <w:pStyle w:val="Tabletext"/>
              <w:rPr>
                <w:b/>
                <w:bCs/>
              </w:rPr>
            </w:pPr>
            <w:r>
              <w:rPr>
                <w:b/>
                <w:bCs/>
              </w:rPr>
              <w:t>S</w:t>
            </w:r>
            <w:r w:rsidRPr="00F60567">
              <w:rPr>
                <w:b/>
                <w:bCs/>
              </w:rPr>
              <w:t xml:space="preserve">elf-management and preoperative </w:t>
            </w:r>
            <w:r w:rsidR="008744F4">
              <w:rPr>
                <w:b/>
                <w:bCs/>
              </w:rPr>
              <w:t>care</w:t>
            </w:r>
            <w:r w:rsidRPr="00F60567">
              <w:rPr>
                <w:b/>
                <w:bCs/>
              </w:rPr>
              <w:t xml:space="preserve">: </w:t>
            </w:r>
            <w:r w:rsidR="00C2010A">
              <w:rPr>
                <w:b/>
                <w:bCs/>
              </w:rPr>
              <w:t xml:space="preserve"> </w:t>
            </w:r>
            <w:proofErr w:type="gramStart"/>
            <w:r w:rsidRPr="00F60567">
              <w:t>Pre-operative</w:t>
            </w:r>
            <w:proofErr w:type="gramEnd"/>
            <w:r w:rsidRPr="00F60567">
              <w:t xml:space="preserve"> care for hip &amp; knee arthroplasty</w:t>
            </w:r>
          </w:p>
        </w:tc>
        <w:tc>
          <w:tcPr>
            <w:tcW w:w="1155" w:type="pct"/>
          </w:tcPr>
          <w:p w14:paraId="560115E8" w14:textId="54024E06" w:rsidR="003917AA" w:rsidRPr="00C6212D" w:rsidRDefault="003917AA" w:rsidP="003917AA">
            <w:pPr>
              <w:pStyle w:val="Tabletext"/>
            </w:pPr>
            <w:r w:rsidRPr="00F60567">
              <w:t xml:space="preserve">Preoperative rehabilitation – sometimes known as joint school – varies throughout England with no consensus on format or who delivers it. Would need to cover those with cognitive impairment plus timing of onset of </w:t>
            </w:r>
            <w:r w:rsidRPr="00F60567">
              <w:lastRenderedPageBreak/>
              <w:t>rehabilitation given the long wait times for primary elective joint replacement. Aware that NG157 included research recommendation for shoulder replacement.</w:t>
            </w:r>
          </w:p>
        </w:tc>
        <w:tc>
          <w:tcPr>
            <w:tcW w:w="2035" w:type="pct"/>
          </w:tcPr>
          <w:p w14:paraId="2A6AAC52" w14:textId="7144592F" w:rsidR="003917AA" w:rsidRDefault="00751008" w:rsidP="003917AA">
            <w:pPr>
              <w:pStyle w:val="Tabletext"/>
            </w:pPr>
            <w:hyperlink r:id="rId86" w:history="1">
              <w:r w:rsidR="003917AA" w:rsidRPr="00CD01D5">
                <w:rPr>
                  <w:rStyle w:val="Hyperlink"/>
                </w:rPr>
                <w:t>https://gettingitrightfirsttime.co.uk/wp-content/uploads/2020/02/GIRFT-orthopaedics-follow-up-report-February-2020.pdf</w:t>
              </w:r>
            </w:hyperlink>
            <w:r w:rsidR="003917AA">
              <w:t xml:space="preserve">     </w:t>
            </w:r>
          </w:p>
          <w:p w14:paraId="5961906B" w14:textId="77777777" w:rsidR="003917AA" w:rsidRDefault="003917AA" w:rsidP="003917AA">
            <w:pPr>
              <w:pStyle w:val="Tabletext"/>
            </w:pPr>
          </w:p>
          <w:p w14:paraId="02B25035" w14:textId="629DC77A" w:rsidR="003917AA" w:rsidRPr="00C6212D" w:rsidRDefault="003917AA" w:rsidP="003917AA">
            <w:pPr>
              <w:pStyle w:val="Tabletext"/>
            </w:pPr>
            <w:r>
              <w:t xml:space="preserve">See 6.1 Findings of original report and also 6.3 Developments since the original report. </w:t>
            </w:r>
          </w:p>
        </w:tc>
      </w:tr>
      <w:tr w:rsidR="003917AA" w:rsidRPr="00C92280" w14:paraId="50D8B6CE" w14:textId="77777777" w:rsidTr="00641E12">
        <w:trPr>
          <w:trHeight w:val="284"/>
        </w:trPr>
        <w:tc>
          <w:tcPr>
            <w:tcW w:w="313" w:type="pct"/>
          </w:tcPr>
          <w:p w14:paraId="6AAE84E6" w14:textId="0D51A49D" w:rsidR="003917AA" w:rsidRPr="00D20AFB" w:rsidRDefault="00765A68" w:rsidP="003917AA">
            <w:pPr>
              <w:pStyle w:val="Tabletext"/>
            </w:pPr>
            <w:r>
              <w:t>9</w:t>
            </w:r>
          </w:p>
        </w:tc>
        <w:tc>
          <w:tcPr>
            <w:tcW w:w="805" w:type="pct"/>
          </w:tcPr>
          <w:p w14:paraId="442D5C79" w14:textId="7809794B" w:rsidR="003917AA" w:rsidRPr="00C6212D" w:rsidRDefault="003917AA" w:rsidP="003917AA">
            <w:pPr>
              <w:pStyle w:val="Tabletext"/>
            </w:pPr>
            <w:r>
              <w:t>SCM3</w:t>
            </w:r>
          </w:p>
        </w:tc>
        <w:tc>
          <w:tcPr>
            <w:tcW w:w="0" w:type="auto"/>
          </w:tcPr>
          <w:p w14:paraId="6019DE1C" w14:textId="6164D467" w:rsidR="003917AA" w:rsidRDefault="003917AA" w:rsidP="003917AA">
            <w:pPr>
              <w:pStyle w:val="Tabletext"/>
              <w:rPr>
                <w:b/>
                <w:bCs/>
              </w:rPr>
            </w:pPr>
            <w:r w:rsidRPr="00F60567">
              <w:rPr>
                <w:b/>
                <w:bCs/>
              </w:rPr>
              <w:t xml:space="preserve">Self-management and preoperative </w:t>
            </w:r>
            <w:r w:rsidR="008744F4">
              <w:rPr>
                <w:b/>
                <w:bCs/>
              </w:rPr>
              <w:t>care</w:t>
            </w:r>
            <w:r w:rsidRPr="00F60567">
              <w:rPr>
                <w:b/>
                <w:bCs/>
              </w:rPr>
              <w:t xml:space="preserve">: </w:t>
            </w:r>
          </w:p>
          <w:p w14:paraId="1B415D89" w14:textId="2B08697E" w:rsidR="003917AA" w:rsidRPr="005A1F91" w:rsidRDefault="003917AA" w:rsidP="003917AA">
            <w:pPr>
              <w:pStyle w:val="Tabletext"/>
            </w:pPr>
            <w:r w:rsidRPr="00FF4E20">
              <w:t>1</w:t>
            </w:r>
            <w:r w:rsidR="00C2010A">
              <w:t xml:space="preserve"> </w:t>
            </w:r>
            <w:r w:rsidRPr="00FF4E20">
              <w:t xml:space="preserve">Multidisciplinary pre-admission service for all patients including education and information, expectations, and preparation for surgery (this should be holistic, and account for both physical and mental health needs)  </w:t>
            </w:r>
          </w:p>
        </w:tc>
        <w:tc>
          <w:tcPr>
            <w:tcW w:w="1155" w:type="pct"/>
          </w:tcPr>
          <w:p w14:paraId="35AE0080" w14:textId="12D7E8E6" w:rsidR="003917AA" w:rsidRPr="00C6212D" w:rsidRDefault="003917AA" w:rsidP="003917AA">
            <w:pPr>
              <w:pStyle w:val="Tabletext"/>
            </w:pPr>
            <w:r w:rsidRPr="00FF4E20">
              <w:t>There is a variety of provision of pre-operative assessment and rehabilitation. Some services provide digital and/or written advice and information, others host “joint schools”, and others offer individual appointments.</w:t>
            </w:r>
          </w:p>
        </w:tc>
        <w:tc>
          <w:tcPr>
            <w:tcW w:w="2035" w:type="pct"/>
          </w:tcPr>
          <w:p w14:paraId="1A9779B8" w14:textId="5114C96E" w:rsidR="003917AA" w:rsidRDefault="003917AA" w:rsidP="003917AA">
            <w:pPr>
              <w:pStyle w:val="Tabletext"/>
            </w:pPr>
            <w:r>
              <w:t xml:space="preserve">Smith, T.O., Sackley, C.M. UK survey of occupational </w:t>
            </w:r>
            <w:proofErr w:type="spellStart"/>
            <w:r>
              <w:t>therapist’s</w:t>
            </w:r>
            <w:proofErr w:type="spellEnd"/>
            <w:r>
              <w:t xml:space="preserve"> and physiotherapist’s experiences and attitudes towards hip replacement precautions and equipment. BMC </w:t>
            </w:r>
            <w:hyperlink r:id="rId87" w:history="1">
              <w:r w:rsidRPr="005E425F">
                <w:rPr>
                  <w:rStyle w:val="Hyperlink"/>
                </w:rPr>
                <w:t>https://doi.org/10.1186/s12891-016-1092-x</w:t>
              </w:r>
            </w:hyperlink>
          </w:p>
          <w:p w14:paraId="40254EA7" w14:textId="2C75329C" w:rsidR="003917AA" w:rsidRDefault="003917AA" w:rsidP="003917AA">
            <w:pPr>
              <w:pStyle w:val="Tabletext"/>
            </w:pPr>
            <w:r>
              <w:t xml:space="preserve">Royal College of Occupational Therapists (2017) </w:t>
            </w:r>
            <w:hyperlink r:id="rId88" w:history="1">
              <w:r w:rsidRPr="005E425F">
                <w:rPr>
                  <w:rStyle w:val="Hyperlink"/>
                </w:rPr>
                <w:t>Occupational therapy for people undergoing total hip replacement: practice guideline 2nd edition</w:t>
              </w:r>
            </w:hyperlink>
            <w:r>
              <w:t xml:space="preserve"> </w:t>
            </w:r>
          </w:p>
          <w:p w14:paraId="72472918" w14:textId="0E857C3B" w:rsidR="003917AA" w:rsidRDefault="003917AA" w:rsidP="003917AA">
            <w:pPr>
              <w:pStyle w:val="Tabletext"/>
            </w:pPr>
            <w:r>
              <w:t xml:space="preserve">Getting it Right First Time (2020) </w:t>
            </w:r>
            <w:hyperlink r:id="rId89" w:history="1">
              <w:r w:rsidRPr="005E425F">
                <w:rPr>
                  <w:rStyle w:val="Hyperlink"/>
                </w:rPr>
                <w:t>Getting It Right in Orthopaedics: reflecting on success and reinforcing improvement - a follow-up on the GIRFT national specialty report on orthopaedics</w:t>
              </w:r>
            </w:hyperlink>
          </w:p>
          <w:p w14:paraId="2F00620D" w14:textId="77777777" w:rsidR="003917AA" w:rsidRDefault="003917AA" w:rsidP="003917AA">
            <w:pPr>
              <w:pStyle w:val="Tabletext"/>
            </w:pPr>
            <w:r>
              <w:t xml:space="preserve">NHS England’s quality improvement report indicates that there are MSK services led by advanced practitioners (e.g. physiotherapists) in some parts of the country who may be involved in supporting rehabilitation for patients before referred for joint replacement or in the preoperative phase. </w:t>
            </w:r>
          </w:p>
          <w:p w14:paraId="6F55FD06" w14:textId="31303878" w:rsidR="003917AA" w:rsidRPr="00C6212D" w:rsidRDefault="003917AA" w:rsidP="003917AA">
            <w:pPr>
              <w:pStyle w:val="Tabletext"/>
            </w:pPr>
            <w:r>
              <w:t xml:space="preserve">NHS England (2017) </w:t>
            </w:r>
            <w:hyperlink r:id="rId90" w:history="1">
              <w:r w:rsidRPr="005E425F">
                <w:rPr>
                  <w:rStyle w:val="Hyperlink"/>
                </w:rPr>
                <w:t>Transforming musculoskeletal and orthopaedic elective care services</w:t>
              </w:r>
            </w:hyperlink>
          </w:p>
        </w:tc>
      </w:tr>
      <w:tr w:rsidR="003917AA" w:rsidRPr="00C92280" w14:paraId="272F944D" w14:textId="77777777" w:rsidTr="00641E12">
        <w:trPr>
          <w:trHeight w:val="284"/>
        </w:trPr>
        <w:tc>
          <w:tcPr>
            <w:tcW w:w="313" w:type="pct"/>
          </w:tcPr>
          <w:p w14:paraId="38EF2E09" w14:textId="6EC5ACC0" w:rsidR="003917AA" w:rsidRDefault="001A2B81" w:rsidP="003917AA">
            <w:pPr>
              <w:pStyle w:val="Tabletext"/>
            </w:pPr>
            <w:r>
              <w:t>1</w:t>
            </w:r>
            <w:r w:rsidR="00765A68">
              <w:t>0</w:t>
            </w:r>
          </w:p>
        </w:tc>
        <w:tc>
          <w:tcPr>
            <w:tcW w:w="805" w:type="pct"/>
          </w:tcPr>
          <w:p w14:paraId="4AC5D4F4" w14:textId="4650876B" w:rsidR="003917AA" w:rsidRDefault="003917AA" w:rsidP="003917AA">
            <w:pPr>
              <w:pStyle w:val="Tabletext"/>
            </w:pPr>
            <w:r>
              <w:t>SCM4</w:t>
            </w:r>
          </w:p>
        </w:tc>
        <w:tc>
          <w:tcPr>
            <w:tcW w:w="0" w:type="auto"/>
          </w:tcPr>
          <w:p w14:paraId="22876BA2" w14:textId="6DC7AAFA" w:rsidR="003917AA" w:rsidRPr="002A495A" w:rsidRDefault="003917AA" w:rsidP="003917AA">
            <w:pPr>
              <w:pStyle w:val="Tabletext"/>
            </w:pPr>
            <w:r>
              <w:rPr>
                <w:b/>
                <w:bCs/>
              </w:rPr>
              <w:t xml:space="preserve">Self-management and preoperative </w:t>
            </w:r>
            <w:r w:rsidR="008744F4">
              <w:rPr>
                <w:b/>
                <w:bCs/>
              </w:rPr>
              <w:t>care</w:t>
            </w:r>
            <w:r>
              <w:rPr>
                <w:b/>
                <w:bCs/>
              </w:rPr>
              <w:t xml:space="preserve">:  </w:t>
            </w:r>
            <w:r w:rsidRPr="002A495A">
              <w:t>1</w:t>
            </w:r>
          </w:p>
        </w:tc>
        <w:tc>
          <w:tcPr>
            <w:tcW w:w="1155" w:type="pct"/>
          </w:tcPr>
          <w:p w14:paraId="4038FB45" w14:textId="38C711C5" w:rsidR="003917AA" w:rsidRPr="00FF4E20" w:rsidRDefault="003917AA" w:rsidP="003917AA">
            <w:pPr>
              <w:pStyle w:val="Tabletext"/>
            </w:pPr>
            <w:r w:rsidRPr="002A495A">
              <w:t>Pre-operative care for hip &amp; knee arthroplasty</w:t>
            </w:r>
          </w:p>
        </w:tc>
        <w:tc>
          <w:tcPr>
            <w:tcW w:w="2035" w:type="pct"/>
          </w:tcPr>
          <w:p w14:paraId="07DC47BA" w14:textId="77777777" w:rsidR="003917AA" w:rsidRDefault="003917AA" w:rsidP="003917AA">
            <w:pPr>
              <w:pStyle w:val="Tabletext"/>
            </w:pPr>
            <w:r>
              <w:t xml:space="preserve">Evidence showed pre-operative rehab reduces length of stay, there is however variability on how this is delivered as well as the quality of information. For those patients with additional needs such as cognitive issues the need for more personalised care and education will ensure improved quality of care, such as the case study example below: </w:t>
            </w:r>
          </w:p>
          <w:p w14:paraId="650C629A" w14:textId="6738CBB5" w:rsidR="003917AA" w:rsidRDefault="00751008" w:rsidP="003917AA">
            <w:pPr>
              <w:pStyle w:val="Tabletext"/>
            </w:pPr>
            <w:hyperlink r:id="rId91" w:history="1">
              <w:r w:rsidR="003917AA" w:rsidRPr="00A34D8A">
                <w:rPr>
                  <w:rStyle w:val="Hyperlink"/>
                </w:rPr>
                <w:t>https://www.england.nhs.uk/atlas_case_study/improving-pathways-in-elective-orthopaedic-arthroplasty-care/</w:t>
              </w:r>
            </w:hyperlink>
            <w:r w:rsidR="003917AA">
              <w:t xml:space="preserve"> </w:t>
            </w:r>
          </w:p>
        </w:tc>
      </w:tr>
      <w:tr w:rsidR="003917AA" w:rsidRPr="00C92280" w14:paraId="11E870FF" w14:textId="77777777" w:rsidTr="00641E12">
        <w:trPr>
          <w:trHeight w:val="284"/>
        </w:trPr>
        <w:tc>
          <w:tcPr>
            <w:tcW w:w="313" w:type="pct"/>
          </w:tcPr>
          <w:p w14:paraId="693D0408" w14:textId="692826D5" w:rsidR="003917AA" w:rsidRPr="0088696C" w:rsidRDefault="001A2B81" w:rsidP="003917AA">
            <w:pPr>
              <w:pStyle w:val="Tabletext"/>
            </w:pPr>
            <w:r>
              <w:lastRenderedPageBreak/>
              <w:t>1</w:t>
            </w:r>
            <w:r w:rsidR="00765A68">
              <w:t>1</w:t>
            </w:r>
          </w:p>
        </w:tc>
        <w:tc>
          <w:tcPr>
            <w:tcW w:w="805" w:type="pct"/>
          </w:tcPr>
          <w:p w14:paraId="64D08D68" w14:textId="2381CD0D" w:rsidR="003917AA" w:rsidRPr="00495F71" w:rsidRDefault="003917AA" w:rsidP="003917AA">
            <w:pPr>
              <w:pStyle w:val="Tabletext"/>
            </w:pPr>
            <w:r>
              <w:t>Versus Arthritis</w:t>
            </w:r>
          </w:p>
        </w:tc>
        <w:tc>
          <w:tcPr>
            <w:tcW w:w="0" w:type="auto"/>
          </w:tcPr>
          <w:p w14:paraId="0A61443D" w14:textId="5DC9A3D3" w:rsidR="003917AA" w:rsidRDefault="003917AA" w:rsidP="003917AA">
            <w:pPr>
              <w:pStyle w:val="Tabletext"/>
              <w:rPr>
                <w:b/>
                <w:bCs/>
              </w:rPr>
            </w:pPr>
            <w:r w:rsidRPr="00C6212D">
              <w:rPr>
                <w:b/>
                <w:bCs/>
              </w:rPr>
              <w:t xml:space="preserve">Self-management and preoperative </w:t>
            </w:r>
            <w:r w:rsidR="008744F4">
              <w:rPr>
                <w:b/>
                <w:bCs/>
              </w:rPr>
              <w:t>care</w:t>
            </w:r>
            <w:r>
              <w:rPr>
                <w:b/>
                <w:bCs/>
              </w:rPr>
              <w:t xml:space="preserve">: </w:t>
            </w:r>
          </w:p>
          <w:p w14:paraId="2FCDBB34" w14:textId="300A5063" w:rsidR="003917AA" w:rsidRPr="00C6212D" w:rsidRDefault="003917AA" w:rsidP="003917AA">
            <w:pPr>
              <w:pStyle w:val="Tabletext"/>
            </w:pPr>
            <w:r w:rsidRPr="00C6212D">
              <w:t>3 Self-management support for people waiting for joint replacement surgery</w:t>
            </w:r>
          </w:p>
        </w:tc>
        <w:tc>
          <w:tcPr>
            <w:tcW w:w="1155" w:type="pct"/>
          </w:tcPr>
          <w:p w14:paraId="16BB8B8D" w14:textId="02976B5F" w:rsidR="003917AA" w:rsidRDefault="003917AA" w:rsidP="003917AA">
            <w:pPr>
              <w:pStyle w:val="Tabletext"/>
            </w:pPr>
            <w:r>
              <w:t>Self-management support must be provided to enable people with arthritis to manage their pain and other symptoms, including their wellbeing, while being referred for surgery and waiting for surgery.</w:t>
            </w:r>
          </w:p>
          <w:p w14:paraId="02938D5D" w14:textId="33BCCCC4" w:rsidR="003917AA" w:rsidRPr="00495F71" w:rsidRDefault="003917AA" w:rsidP="003917AA">
            <w:pPr>
              <w:pStyle w:val="Tabletext"/>
            </w:pPr>
            <w:r>
              <w:t>ICSs and NHS Trusts should offer in person or online peer-led, structured self-management support programmes, including those provided by Versus Arthritis.</w:t>
            </w:r>
          </w:p>
        </w:tc>
        <w:tc>
          <w:tcPr>
            <w:tcW w:w="2035" w:type="pct"/>
          </w:tcPr>
          <w:p w14:paraId="07266C63" w14:textId="77777777" w:rsidR="003917AA" w:rsidRPr="005E425F" w:rsidRDefault="003917AA" w:rsidP="003917AA">
            <w:pPr>
              <w:pStyle w:val="Tabletext"/>
            </w:pPr>
            <w:r w:rsidRPr="005E425F">
              <w:t>Self-management was also recognised as a topic area of quality improvement in the NICE Quality Standard on Osteoarthritis (</w:t>
            </w:r>
            <w:hyperlink r:id="rId92" w:history="1">
              <w:r w:rsidRPr="005E425F">
                <w:rPr>
                  <w:rStyle w:val="Hyperlink"/>
                  <w:color w:val="auto"/>
                  <w:u w:val="none"/>
                </w:rPr>
                <w:t>QS87</w:t>
              </w:r>
            </w:hyperlink>
            <w:r w:rsidRPr="005E425F">
              <w:t>).</w:t>
            </w:r>
          </w:p>
          <w:p w14:paraId="6818C1EB" w14:textId="77777777" w:rsidR="003917AA" w:rsidRPr="005E425F" w:rsidRDefault="003917AA" w:rsidP="003917AA">
            <w:pPr>
              <w:pStyle w:val="Tabletext"/>
            </w:pPr>
          </w:p>
          <w:p w14:paraId="18D437CE" w14:textId="77777777" w:rsidR="003917AA" w:rsidRPr="005E425F" w:rsidRDefault="003917AA" w:rsidP="003917AA">
            <w:pPr>
              <w:pStyle w:val="Tabletext"/>
            </w:pPr>
            <w:r w:rsidRPr="005E425F">
              <w:t xml:space="preserve">People living with chronic pain from arthritis often experience symptoms other than pain. </w:t>
            </w:r>
            <w:hyperlink r:id="rId93" w:history="1">
              <w:r w:rsidRPr="005E425F">
                <w:rPr>
                  <w:rStyle w:val="Hyperlink"/>
                  <w:color w:val="auto"/>
                  <w:u w:val="none"/>
                </w:rPr>
                <w:t>The Musculoskeletal Health Questionnaire (MSK-HQ)</w:t>
              </w:r>
            </w:hyperlink>
            <w:r w:rsidRPr="005E425F">
              <w:t xml:space="preserve"> is free to use within the NHS and can help people identify and prioritise areas where they need support.</w:t>
            </w:r>
          </w:p>
          <w:p w14:paraId="206D8EBD" w14:textId="77777777" w:rsidR="003917AA" w:rsidRPr="005E425F" w:rsidRDefault="003917AA" w:rsidP="003917AA">
            <w:pPr>
              <w:pStyle w:val="Tabletext"/>
            </w:pPr>
          </w:p>
          <w:p w14:paraId="71A2E998" w14:textId="58973470" w:rsidR="003917AA" w:rsidRPr="005E425F" w:rsidRDefault="003917AA" w:rsidP="003917AA">
            <w:pPr>
              <w:pStyle w:val="Tabletext"/>
            </w:pPr>
            <w:r w:rsidRPr="005E425F">
              <w:t>Local PCNs and GP practices should work with people with arthritis and voluntary sector organisations to map national and local community resources, activities, organisations, networks and other groups that can support people who are waiting for joint replacement surgery</w:t>
            </w:r>
            <w:proofErr w:type="gramStart"/>
            <w:r w:rsidRPr="005E425F">
              <w:t xml:space="preserve">.  </w:t>
            </w:r>
            <w:proofErr w:type="gramEnd"/>
            <w:r w:rsidRPr="005E425F">
              <w:t xml:space="preserve">The </w:t>
            </w:r>
            <w:hyperlink r:id="rId94" w:history="1">
              <w:r w:rsidRPr="005E425F">
                <w:rPr>
                  <w:rStyle w:val="Hyperlink"/>
                </w:rPr>
                <w:t>NHS X Musculoskeletal Digital Playbook</w:t>
              </w:r>
            </w:hyperlink>
            <w:r w:rsidRPr="005E425F">
              <w:t xml:space="preserve"> and the </w:t>
            </w:r>
            <w:hyperlink r:id="rId95" w:history="1">
              <w:r w:rsidRPr="005E425F">
                <w:rPr>
                  <w:rStyle w:val="Hyperlink"/>
                  <w:color w:val="auto"/>
                  <w:u w:val="none"/>
                </w:rPr>
                <w:t>Best MSK Innovations Hub</w:t>
              </w:r>
            </w:hyperlink>
            <w:r w:rsidRPr="005E425F">
              <w:t xml:space="preserve"> contain useful suggestions, for example on online pain management resources.  </w:t>
            </w:r>
          </w:p>
        </w:tc>
      </w:tr>
      <w:tr w:rsidR="003917AA" w:rsidRPr="00C92280" w14:paraId="262446A0" w14:textId="77777777" w:rsidTr="00641E12">
        <w:trPr>
          <w:trHeight w:val="284"/>
        </w:trPr>
        <w:tc>
          <w:tcPr>
            <w:tcW w:w="313" w:type="pct"/>
          </w:tcPr>
          <w:p w14:paraId="7AC26174" w14:textId="30E51D97" w:rsidR="003917AA" w:rsidRDefault="001A2B81" w:rsidP="003917AA">
            <w:pPr>
              <w:pStyle w:val="Tabletext"/>
            </w:pPr>
            <w:r>
              <w:t>1</w:t>
            </w:r>
            <w:r w:rsidR="00765A68">
              <w:t>2</w:t>
            </w:r>
          </w:p>
        </w:tc>
        <w:tc>
          <w:tcPr>
            <w:tcW w:w="805" w:type="pct"/>
          </w:tcPr>
          <w:p w14:paraId="0E21A3FE" w14:textId="2D927F2B" w:rsidR="003917AA" w:rsidRPr="00495F71" w:rsidRDefault="003917AA" w:rsidP="003917AA">
            <w:pPr>
              <w:pStyle w:val="Tabletext"/>
            </w:pPr>
            <w:r>
              <w:t>Versus Arthritis</w:t>
            </w:r>
          </w:p>
        </w:tc>
        <w:tc>
          <w:tcPr>
            <w:tcW w:w="0" w:type="auto"/>
          </w:tcPr>
          <w:p w14:paraId="284D275E" w14:textId="5DCA9C8E" w:rsidR="003917AA" w:rsidRDefault="003917AA" w:rsidP="003917AA">
            <w:pPr>
              <w:pStyle w:val="Tabletext"/>
              <w:rPr>
                <w:b/>
                <w:bCs/>
              </w:rPr>
            </w:pPr>
            <w:r w:rsidRPr="00C6212D">
              <w:rPr>
                <w:b/>
                <w:bCs/>
              </w:rPr>
              <w:t xml:space="preserve">Self-management and preoperative </w:t>
            </w:r>
            <w:r w:rsidR="008744F4">
              <w:rPr>
                <w:b/>
                <w:bCs/>
              </w:rPr>
              <w:t>care</w:t>
            </w:r>
            <w:r>
              <w:rPr>
                <w:b/>
                <w:bCs/>
              </w:rPr>
              <w:t xml:space="preserve">: </w:t>
            </w:r>
          </w:p>
          <w:p w14:paraId="3B9CFCB3" w14:textId="1426A17A" w:rsidR="003917AA" w:rsidRPr="00495F71" w:rsidRDefault="003917AA" w:rsidP="003917AA">
            <w:pPr>
              <w:pStyle w:val="Tabletext"/>
              <w:rPr>
                <w:b/>
                <w:bCs/>
              </w:rPr>
            </w:pPr>
            <w:r>
              <w:t>4</w:t>
            </w:r>
            <w:r w:rsidRPr="00C6212D">
              <w:t xml:space="preserve"> </w:t>
            </w:r>
            <w:r w:rsidR="003E5F2B" w:rsidRPr="003E5F2B">
              <w:t>Physical activity and exercise</w:t>
            </w:r>
          </w:p>
        </w:tc>
        <w:tc>
          <w:tcPr>
            <w:tcW w:w="1155" w:type="pct"/>
          </w:tcPr>
          <w:p w14:paraId="7052AC7E" w14:textId="2C14620D" w:rsidR="003917AA" w:rsidRDefault="003917AA" w:rsidP="003917AA">
            <w:pPr>
              <w:pStyle w:val="Tabletext"/>
            </w:pPr>
            <w:r>
              <w:t>Physical activity and exercise programmes designed to help people with arthritis stay active and prepare for joint replacement surgery should be actively promoted by Primary Care Networks.</w:t>
            </w:r>
          </w:p>
          <w:p w14:paraId="2EB04FAA" w14:textId="36C3F3E8" w:rsidR="003917AA" w:rsidRDefault="003917AA" w:rsidP="003917AA">
            <w:pPr>
              <w:pStyle w:val="Tabletext"/>
            </w:pPr>
            <w:r>
              <w:t xml:space="preserve">Regular physical activity can reduce joint pain by 25% reducing the likelihood of </w:t>
            </w:r>
            <w:r>
              <w:lastRenderedPageBreak/>
              <w:t>impairment in walking and daily living activities by a third.</w:t>
            </w:r>
          </w:p>
          <w:p w14:paraId="1670CCEC" w14:textId="77777777" w:rsidR="003917AA" w:rsidRDefault="003917AA" w:rsidP="003917AA">
            <w:pPr>
              <w:pStyle w:val="Tabletext"/>
            </w:pPr>
          </w:p>
          <w:p w14:paraId="10972610" w14:textId="71498230" w:rsidR="003917AA" w:rsidRPr="00495F71" w:rsidRDefault="003917AA" w:rsidP="003917AA">
            <w:pPr>
              <w:pStyle w:val="Tabletext"/>
            </w:pPr>
            <w:r>
              <w:t>Practical advice on how to manage pain or fatigue while exercising should be provided by all healthcare professionals supporting people with arthritis. Within PCNs this is likely to be a combination of clinical staff such as First Contact Practitioners (FCPs), GPs, link workers and clinical pharmacists.</w:t>
            </w:r>
          </w:p>
        </w:tc>
        <w:tc>
          <w:tcPr>
            <w:tcW w:w="2035" w:type="pct"/>
          </w:tcPr>
          <w:p w14:paraId="2E2D91C3" w14:textId="22CFE8A3" w:rsidR="003917AA" w:rsidRDefault="003917AA" w:rsidP="003917AA">
            <w:pPr>
              <w:pStyle w:val="Tabletext"/>
            </w:pPr>
            <w:r>
              <w:lastRenderedPageBreak/>
              <w:t>This area for quality improvement builds on the recommendations in the NICE Guideline and Quality Standard on Osteoarthritis.</w:t>
            </w:r>
          </w:p>
          <w:p w14:paraId="253DA4B5" w14:textId="77777777" w:rsidR="003917AA" w:rsidRDefault="003917AA" w:rsidP="003917AA">
            <w:pPr>
              <w:pStyle w:val="Tabletext"/>
            </w:pPr>
            <w:r>
              <w:t>The NICE Guideline on Osteoarthritis (CG177) recommends that healthcare professionals “advise people with osteoarthritis to exercise as a core treatment… irrespective of age, comorbidity, pain severity or disability… including local muscle strengthening and general aerobic fitness.”</w:t>
            </w:r>
          </w:p>
          <w:p w14:paraId="48E47671" w14:textId="48AE5BAE" w:rsidR="003917AA" w:rsidRDefault="003917AA" w:rsidP="003917AA">
            <w:pPr>
              <w:pStyle w:val="Tabletext"/>
            </w:pPr>
            <w:r>
              <w:lastRenderedPageBreak/>
              <w:t>Exercise was also recognised as a topic area of quality improvement in the NICE Quality Standard on Osteoarthritis (</w:t>
            </w:r>
            <w:hyperlink r:id="rId96" w:history="1">
              <w:r w:rsidRPr="005E425F">
                <w:rPr>
                  <w:rStyle w:val="Hyperlink"/>
                </w:rPr>
                <w:t>QS87</w:t>
              </w:r>
            </w:hyperlink>
            <w:r>
              <w:t xml:space="preserve">) in 2015. </w:t>
            </w:r>
          </w:p>
          <w:p w14:paraId="7FA099D9" w14:textId="3A257F37" w:rsidR="003917AA" w:rsidRDefault="003917AA" w:rsidP="003917AA">
            <w:pPr>
              <w:pStyle w:val="Tabletext"/>
            </w:pPr>
            <w:r>
              <w:t xml:space="preserve">There are several helpful resources in this area that primary care teams can use. The </w:t>
            </w:r>
            <w:hyperlink r:id="rId97" w:history="1">
              <w:r w:rsidRPr="005E425F">
                <w:rPr>
                  <w:rStyle w:val="Hyperlink"/>
                </w:rPr>
                <w:t>Royal College of GP’s Physical Activity and Lifestyle Toolkit</w:t>
              </w:r>
            </w:hyperlink>
            <w:r>
              <w:t xml:space="preserve"> has been designed in partnership with Sport England to be used by primary care professionals working across the UK.</w:t>
            </w:r>
          </w:p>
          <w:p w14:paraId="4F3B2101" w14:textId="278F0CA2" w:rsidR="003917AA" w:rsidRDefault="003917AA" w:rsidP="003917AA">
            <w:pPr>
              <w:pStyle w:val="Tabletext"/>
            </w:pPr>
            <w:r>
              <w:t xml:space="preserve">The Faculty of Sports and Exercise Medicine’s </w:t>
            </w:r>
            <w:hyperlink r:id="rId98" w:history="1">
              <w:r w:rsidRPr="005E425F">
                <w:rPr>
                  <w:rStyle w:val="Hyperlink"/>
                </w:rPr>
                <w:t>Moving Medicine</w:t>
              </w:r>
            </w:hyperlink>
            <w:r>
              <w:t xml:space="preserve"> resource for MSK pain, developed in collaboration with organisations including Versus Arthritis, aimed at people on surgery waiting lists, is another useful tool which healthcare professionals can use when directing or referring patients to supported physical activity.</w:t>
            </w:r>
          </w:p>
          <w:p w14:paraId="2A6DF0EA" w14:textId="010B891F" w:rsidR="003917AA" w:rsidRDefault="003917AA" w:rsidP="003917AA">
            <w:pPr>
              <w:pStyle w:val="Tabletext"/>
            </w:pPr>
            <w:r>
              <w:t>A useful tool to support localities is the “</w:t>
            </w:r>
            <w:hyperlink r:id="rId99" w:history="1">
              <w:r w:rsidRPr="005E425F">
                <w:rPr>
                  <w:rStyle w:val="Hyperlink"/>
                </w:rPr>
                <w:t>Providing physical activity interventions for people with musculoskeletal conditions</w:t>
              </w:r>
            </w:hyperlink>
            <w:r>
              <w:t>” report, developed by Versus Arthritis (then Arthritis Research UK) in partnership with NHS England, Public Health England and the Department of Health in 2016, which includes a checklist to support the mapping of local activity provision.</w:t>
            </w:r>
          </w:p>
          <w:p w14:paraId="119BEEC9" w14:textId="69BD0F20" w:rsidR="003917AA" w:rsidRPr="00495F71" w:rsidRDefault="003917AA" w:rsidP="003917AA">
            <w:pPr>
              <w:pStyle w:val="Tabletext"/>
            </w:pPr>
            <w:r>
              <w:t xml:space="preserve">Versus Arthritis also offers physical activity advice and support to which people with osteoarthritis waiting for surgery can be referred. Our current resources can be accessed here: </w:t>
            </w:r>
            <w:hyperlink r:id="rId100" w:history="1">
              <w:r w:rsidRPr="005E425F">
                <w:rPr>
                  <w:rStyle w:val="Hyperlink"/>
                </w:rPr>
                <w:t>Exercising with arthritis | Top tips, specific exercises (versusarthritis.org)</w:t>
              </w:r>
            </w:hyperlink>
          </w:p>
        </w:tc>
      </w:tr>
      <w:tr w:rsidR="00641E12" w:rsidRPr="00C92280" w14:paraId="14063E69" w14:textId="77777777" w:rsidTr="00641E12">
        <w:trPr>
          <w:trHeight w:val="284"/>
        </w:trPr>
        <w:tc>
          <w:tcPr>
            <w:tcW w:w="313" w:type="pct"/>
          </w:tcPr>
          <w:p w14:paraId="4430B6FD" w14:textId="67C9FCF7" w:rsidR="00641E12" w:rsidRPr="00D20AFB" w:rsidRDefault="001A2B81" w:rsidP="00641E12">
            <w:pPr>
              <w:pStyle w:val="Tabletext"/>
            </w:pPr>
            <w:r>
              <w:lastRenderedPageBreak/>
              <w:t>1</w:t>
            </w:r>
            <w:r w:rsidR="00765A68">
              <w:t>3</w:t>
            </w:r>
          </w:p>
        </w:tc>
        <w:tc>
          <w:tcPr>
            <w:tcW w:w="805" w:type="pct"/>
          </w:tcPr>
          <w:p w14:paraId="1BE8EA12" w14:textId="3766E701" w:rsidR="00641E12" w:rsidRDefault="00641E12" w:rsidP="00641E12">
            <w:pPr>
              <w:pStyle w:val="Tabletext"/>
            </w:pPr>
            <w:r>
              <w:t xml:space="preserve">AGILE </w:t>
            </w:r>
            <w:r w:rsidRPr="00F60567">
              <w:t xml:space="preserve">(Special Interest Group Representing Physiotherapists Working </w:t>
            </w:r>
            <w:proofErr w:type="gramStart"/>
            <w:r w:rsidRPr="00F60567">
              <w:t>With</w:t>
            </w:r>
            <w:proofErr w:type="gramEnd"/>
            <w:r w:rsidRPr="00F60567">
              <w:t xml:space="preserve"> Older </w:t>
            </w:r>
            <w:r w:rsidRPr="00F60567">
              <w:lastRenderedPageBreak/>
              <w:t>People), Affiliated to the Chartered Society of Physiotherapy</w:t>
            </w:r>
          </w:p>
        </w:tc>
        <w:tc>
          <w:tcPr>
            <w:tcW w:w="0" w:type="auto"/>
          </w:tcPr>
          <w:p w14:paraId="51686611" w14:textId="74382AD4" w:rsidR="00641E12" w:rsidRPr="002C0EDF" w:rsidRDefault="00641E12" w:rsidP="00641E12">
            <w:pPr>
              <w:pStyle w:val="Tabletext"/>
              <w:rPr>
                <w:b/>
                <w:bCs/>
              </w:rPr>
            </w:pPr>
            <w:r>
              <w:rPr>
                <w:b/>
                <w:bCs/>
              </w:rPr>
              <w:lastRenderedPageBreak/>
              <w:t>Shared decision making and information</w:t>
            </w:r>
            <w:r w:rsidRPr="00FF4E20">
              <w:rPr>
                <w:b/>
                <w:bCs/>
              </w:rPr>
              <w:t>:</w:t>
            </w:r>
            <w:r>
              <w:rPr>
                <w:b/>
                <w:bCs/>
              </w:rPr>
              <w:t xml:space="preserve"> </w:t>
            </w:r>
            <w:r w:rsidRPr="00FF4E20">
              <w:t>5</w:t>
            </w:r>
          </w:p>
        </w:tc>
        <w:tc>
          <w:tcPr>
            <w:tcW w:w="1155" w:type="pct"/>
          </w:tcPr>
          <w:p w14:paraId="2D20767D" w14:textId="2F37EF26" w:rsidR="00641E12" w:rsidRPr="00D20AFB" w:rsidRDefault="00641E12" w:rsidP="00641E12">
            <w:pPr>
              <w:pStyle w:val="Tabletext"/>
            </w:pPr>
            <w:r>
              <w:t xml:space="preserve">Shared decision making </w:t>
            </w:r>
          </w:p>
        </w:tc>
        <w:tc>
          <w:tcPr>
            <w:tcW w:w="2035" w:type="pct"/>
          </w:tcPr>
          <w:p w14:paraId="516E6ADB" w14:textId="5F049E15" w:rsidR="00641E12" w:rsidRPr="002C0EDF" w:rsidRDefault="00641E12" w:rsidP="00641E12">
            <w:pPr>
              <w:pStyle w:val="Tabletext"/>
            </w:pPr>
            <w:r w:rsidRPr="00FF4E20">
              <w:t xml:space="preserve">NICE guidance on Shared Decision Making supports the importance of multidisciplinary guidance on the benefits and risk of interventions and also goal setting following intervention therefore the QS should consider the </w:t>
            </w:r>
            <w:r w:rsidRPr="00FF4E20">
              <w:lastRenderedPageBreak/>
              <w:t>importance of clear goal setting in the pre and post operative recovery period which can be ably supported by AHPs</w:t>
            </w:r>
            <w:r>
              <w:t>.</w:t>
            </w:r>
          </w:p>
        </w:tc>
      </w:tr>
      <w:tr w:rsidR="00641E12" w:rsidRPr="00C92280" w14:paraId="5DE0639C" w14:textId="77777777" w:rsidTr="00641E12">
        <w:trPr>
          <w:trHeight w:val="284"/>
        </w:trPr>
        <w:tc>
          <w:tcPr>
            <w:tcW w:w="313" w:type="pct"/>
          </w:tcPr>
          <w:p w14:paraId="7A9FA633" w14:textId="0590E21E" w:rsidR="00641E12" w:rsidRPr="0088696C" w:rsidRDefault="00641E12" w:rsidP="00641E12">
            <w:pPr>
              <w:pStyle w:val="Tabletext"/>
            </w:pPr>
            <w:r w:rsidRPr="00D20AFB">
              <w:lastRenderedPageBreak/>
              <w:t>1</w:t>
            </w:r>
            <w:r w:rsidR="00765A68">
              <w:t>4</w:t>
            </w:r>
          </w:p>
        </w:tc>
        <w:tc>
          <w:tcPr>
            <w:tcW w:w="805" w:type="pct"/>
          </w:tcPr>
          <w:p w14:paraId="59B7DC40" w14:textId="1C75BE2A" w:rsidR="00641E12" w:rsidRDefault="00641E12" w:rsidP="00641E12">
            <w:pPr>
              <w:pStyle w:val="Tabletext"/>
            </w:pPr>
            <w:r>
              <w:t>British Elbow &amp; Shoulder Society</w:t>
            </w:r>
          </w:p>
        </w:tc>
        <w:tc>
          <w:tcPr>
            <w:tcW w:w="0" w:type="auto"/>
          </w:tcPr>
          <w:p w14:paraId="7D89687A" w14:textId="4BD0AC61" w:rsidR="00641E12" w:rsidRPr="002C0EDF" w:rsidRDefault="00641E12" w:rsidP="00641E12">
            <w:pPr>
              <w:pStyle w:val="Tabletext"/>
            </w:pPr>
            <w:r w:rsidRPr="002C0EDF">
              <w:rPr>
                <w:b/>
                <w:bCs/>
              </w:rPr>
              <w:t>Shared decision making and information</w:t>
            </w:r>
            <w:r>
              <w:rPr>
                <w:b/>
                <w:bCs/>
              </w:rPr>
              <w:t xml:space="preserve">: </w:t>
            </w:r>
            <w:r w:rsidRPr="005E425F">
              <w:t xml:space="preserve">2 </w:t>
            </w:r>
            <w:r w:rsidRPr="002C0EDF">
              <w:t>Develop patient information material about shoulder replacements.</w:t>
            </w:r>
          </w:p>
        </w:tc>
        <w:tc>
          <w:tcPr>
            <w:tcW w:w="1155" w:type="pct"/>
          </w:tcPr>
          <w:p w14:paraId="4E269621" w14:textId="6CA3CA17" w:rsidR="00641E12" w:rsidRDefault="00641E12" w:rsidP="00641E12">
            <w:pPr>
              <w:pStyle w:val="Tabletext"/>
            </w:pPr>
            <w:r w:rsidRPr="00D20AFB">
              <w:t>Currently, the type and content of information provided to patients varies considerably between providers. Standardisation is desirable and such material can be developed with the help of our BESS patient group.</w:t>
            </w:r>
          </w:p>
          <w:p w14:paraId="628CB34A" w14:textId="77777777" w:rsidR="00641E12" w:rsidRDefault="00641E12" w:rsidP="00641E12">
            <w:pPr>
              <w:pStyle w:val="Tabletext"/>
            </w:pPr>
          </w:p>
          <w:p w14:paraId="446CB452" w14:textId="532B232C" w:rsidR="00641E12" w:rsidRDefault="00641E12" w:rsidP="00641E12">
            <w:pPr>
              <w:pStyle w:val="Tabletext"/>
              <w:rPr>
                <w:b/>
                <w:bCs/>
              </w:rPr>
            </w:pPr>
            <w:r>
              <w:rPr>
                <w:b/>
                <w:bCs/>
              </w:rPr>
              <w:t>Why is this important?</w:t>
            </w:r>
          </w:p>
          <w:p w14:paraId="1B79F95F" w14:textId="7692C92D" w:rsidR="00641E12" w:rsidRPr="005E425F" w:rsidRDefault="00641E12" w:rsidP="00641E12">
            <w:pPr>
              <w:pStyle w:val="Tabletext"/>
            </w:pPr>
            <w:r w:rsidRPr="00495F71">
              <w:t>There is clear need for provision of standardised good quality information to patients to help with informed decision making about shoulder replacements.</w:t>
            </w:r>
          </w:p>
        </w:tc>
        <w:tc>
          <w:tcPr>
            <w:tcW w:w="2035" w:type="pct"/>
          </w:tcPr>
          <w:p w14:paraId="31607E77" w14:textId="556A07F8" w:rsidR="00641E12" w:rsidRDefault="00641E12" w:rsidP="00641E12">
            <w:pPr>
              <w:pStyle w:val="Tabletext"/>
            </w:pPr>
            <w:r w:rsidRPr="002C0EDF">
              <w:t>Internet search engines confirm that many providers have their own patient information material, with considerable variation in the types and levels of information provided.</w:t>
            </w:r>
          </w:p>
        </w:tc>
      </w:tr>
      <w:tr w:rsidR="00641E12" w:rsidRPr="00C92280" w14:paraId="1F7C974C" w14:textId="77777777" w:rsidTr="00641E12">
        <w:trPr>
          <w:trHeight w:val="284"/>
        </w:trPr>
        <w:tc>
          <w:tcPr>
            <w:tcW w:w="313" w:type="pct"/>
          </w:tcPr>
          <w:p w14:paraId="3F200E8F" w14:textId="71A9AD50" w:rsidR="00641E12" w:rsidRPr="00D20AFB" w:rsidRDefault="00641E12" w:rsidP="00641E12">
            <w:pPr>
              <w:pStyle w:val="Tabletext"/>
            </w:pPr>
            <w:r w:rsidRPr="00D20AFB">
              <w:t>1</w:t>
            </w:r>
            <w:r w:rsidR="00765A68">
              <w:t>5</w:t>
            </w:r>
          </w:p>
        </w:tc>
        <w:tc>
          <w:tcPr>
            <w:tcW w:w="805" w:type="pct"/>
          </w:tcPr>
          <w:p w14:paraId="4BDB48CF" w14:textId="66C98B3A" w:rsidR="00641E12" w:rsidRDefault="00641E12" w:rsidP="00641E12">
            <w:pPr>
              <w:pStyle w:val="Tabletext"/>
            </w:pPr>
            <w:r w:rsidRPr="00776158">
              <w:t>British Orthopaedic Association (comments endorsed by the British Hip Society)</w:t>
            </w:r>
          </w:p>
        </w:tc>
        <w:tc>
          <w:tcPr>
            <w:tcW w:w="0" w:type="auto"/>
          </w:tcPr>
          <w:p w14:paraId="36850444" w14:textId="38F124A1" w:rsidR="00641E12" w:rsidRPr="002C0EDF" w:rsidRDefault="00641E12" w:rsidP="00641E12">
            <w:pPr>
              <w:pStyle w:val="Tabletext"/>
              <w:rPr>
                <w:b/>
                <w:bCs/>
              </w:rPr>
            </w:pPr>
            <w:r w:rsidRPr="002C0EDF">
              <w:rPr>
                <w:b/>
                <w:bCs/>
              </w:rPr>
              <w:t xml:space="preserve">Shared decision making and information </w:t>
            </w:r>
            <w:r>
              <w:rPr>
                <w:b/>
                <w:bCs/>
              </w:rPr>
              <w:t xml:space="preserve">: </w:t>
            </w:r>
            <w:r w:rsidRPr="002C0EDF">
              <w:t>1</w:t>
            </w:r>
          </w:p>
        </w:tc>
        <w:tc>
          <w:tcPr>
            <w:tcW w:w="1155" w:type="pct"/>
          </w:tcPr>
          <w:p w14:paraId="28018117" w14:textId="46966B9B" w:rsidR="00641E12" w:rsidRDefault="00641E12" w:rsidP="00641E12">
            <w:pPr>
              <w:pStyle w:val="Tabletext"/>
            </w:pPr>
            <w:r>
              <w:t>Shared decision making</w:t>
            </w:r>
          </w:p>
        </w:tc>
        <w:tc>
          <w:tcPr>
            <w:tcW w:w="2035" w:type="pct"/>
          </w:tcPr>
          <w:p w14:paraId="0A1E9B84" w14:textId="03957DA9" w:rsidR="00641E12" w:rsidRDefault="00641E12" w:rsidP="00641E12">
            <w:pPr>
              <w:pStyle w:val="Tabletext"/>
            </w:pPr>
            <w:r>
              <w:t>Reaching the most beneficial decisions in an informed manner is crucial step in the management of hip, knee and shoulder conditions where joint replacement is contemplated. This requires the appropriate mechanism for that decision making combined with sound and pertinent information to inform those decisions.</w:t>
            </w:r>
          </w:p>
          <w:p w14:paraId="5CC227C5" w14:textId="48A90199" w:rsidR="00641E12" w:rsidRDefault="00641E12" w:rsidP="00641E12">
            <w:pPr>
              <w:pStyle w:val="Tabletext"/>
            </w:pPr>
            <w:r>
              <w:t>NICE N157 2020 – Recommendation 1.1</w:t>
            </w:r>
          </w:p>
        </w:tc>
      </w:tr>
      <w:tr w:rsidR="00641E12" w:rsidRPr="00C92280" w14:paraId="139A74A0" w14:textId="77777777" w:rsidTr="00641E12">
        <w:trPr>
          <w:trHeight w:val="284"/>
        </w:trPr>
        <w:tc>
          <w:tcPr>
            <w:tcW w:w="313" w:type="pct"/>
          </w:tcPr>
          <w:p w14:paraId="747E2596" w14:textId="3AA88EB2" w:rsidR="00641E12" w:rsidRPr="00D20AFB" w:rsidRDefault="001A2B81" w:rsidP="00641E12">
            <w:pPr>
              <w:pStyle w:val="Tabletext"/>
            </w:pPr>
            <w:r>
              <w:t>1</w:t>
            </w:r>
            <w:r w:rsidR="00765A68">
              <w:t>6</w:t>
            </w:r>
          </w:p>
        </w:tc>
        <w:tc>
          <w:tcPr>
            <w:tcW w:w="805" w:type="pct"/>
          </w:tcPr>
          <w:p w14:paraId="2674F00B" w14:textId="77233367" w:rsidR="00641E12" w:rsidRDefault="00641E12" w:rsidP="00641E12">
            <w:pPr>
              <w:pStyle w:val="Tabletext"/>
            </w:pPr>
            <w:r>
              <w:t>SCM5</w:t>
            </w:r>
          </w:p>
        </w:tc>
        <w:tc>
          <w:tcPr>
            <w:tcW w:w="0" w:type="auto"/>
          </w:tcPr>
          <w:p w14:paraId="1C77E949" w14:textId="01732E53" w:rsidR="00641E12" w:rsidRPr="00C2010A" w:rsidRDefault="00641E12" w:rsidP="00641E12">
            <w:pPr>
              <w:pStyle w:val="Tabletext"/>
            </w:pPr>
            <w:r>
              <w:rPr>
                <w:b/>
                <w:bCs/>
              </w:rPr>
              <w:t>Shared decision making and information</w:t>
            </w:r>
          </w:p>
          <w:p w14:paraId="6F2995E8" w14:textId="1673473B" w:rsidR="00641E12" w:rsidRDefault="00641E12" w:rsidP="00641E12">
            <w:pPr>
              <w:pStyle w:val="Tabletext"/>
              <w:rPr>
                <w:b/>
                <w:bCs/>
              </w:rPr>
            </w:pPr>
          </w:p>
        </w:tc>
        <w:tc>
          <w:tcPr>
            <w:tcW w:w="1155" w:type="pct"/>
          </w:tcPr>
          <w:p w14:paraId="50120F13" w14:textId="77777777" w:rsidR="00641E12" w:rsidRPr="002C0EDF" w:rsidRDefault="00641E12" w:rsidP="00641E12">
            <w:pPr>
              <w:pStyle w:val="Tabletext"/>
              <w:rPr>
                <w:b/>
                <w:bCs/>
              </w:rPr>
            </w:pPr>
            <w:r>
              <w:t>C</w:t>
            </w:r>
            <w:r w:rsidRPr="00147674">
              <w:t>onsistency of information giving, including written information / broader information pre-surgery and also during the pathway to and after surgery.</w:t>
            </w:r>
          </w:p>
          <w:p w14:paraId="2968E32A" w14:textId="5FD91B53" w:rsidR="00641E12" w:rsidRDefault="00641E12" w:rsidP="00641E12">
            <w:pPr>
              <w:pStyle w:val="Tabletext"/>
            </w:pPr>
            <w:r w:rsidRPr="00147674">
              <w:lastRenderedPageBreak/>
              <w:t>Including the type of information given in hip and knee schools / on websites - although it would not always be given in this format.</w:t>
            </w:r>
          </w:p>
        </w:tc>
        <w:tc>
          <w:tcPr>
            <w:tcW w:w="2035" w:type="pct"/>
          </w:tcPr>
          <w:p w14:paraId="37DF7BBB" w14:textId="77777777" w:rsidR="00641E12" w:rsidRDefault="00641E12" w:rsidP="00641E12">
            <w:pPr>
              <w:pStyle w:val="Tabletext"/>
            </w:pPr>
          </w:p>
        </w:tc>
      </w:tr>
      <w:tr w:rsidR="00641E12" w:rsidRPr="00C92280" w14:paraId="0C944598" w14:textId="77777777" w:rsidTr="00641E12">
        <w:trPr>
          <w:trHeight w:val="284"/>
        </w:trPr>
        <w:tc>
          <w:tcPr>
            <w:tcW w:w="313" w:type="pct"/>
          </w:tcPr>
          <w:p w14:paraId="451DE9B3" w14:textId="45D58652" w:rsidR="00641E12" w:rsidRPr="00D20AFB" w:rsidRDefault="001A2B81" w:rsidP="00641E12">
            <w:pPr>
              <w:pStyle w:val="Tabletext"/>
            </w:pPr>
            <w:r>
              <w:t>1</w:t>
            </w:r>
            <w:r w:rsidR="00765A68">
              <w:t>7</w:t>
            </w:r>
          </w:p>
        </w:tc>
        <w:tc>
          <w:tcPr>
            <w:tcW w:w="805" w:type="pct"/>
          </w:tcPr>
          <w:p w14:paraId="279B46A1" w14:textId="31FE454D" w:rsidR="00641E12" w:rsidRDefault="00641E12" w:rsidP="00641E12">
            <w:pPr>
              <w:pStyle w:val="Tabletext"/>
            </w:pPr>
            <w:r>
              <w:t>SCM6</w:t>
            </w:r>
          </w:p>
        </w:tc>
        <w:tc>
          <w:tcPr>
            <w:tcW w:w="0" w:type="auto"/>
          </w:tcPr>
          <w:p w14:paraId="02B55A24" w14:textId="641B06BA" w:rsidR="00641E12" w:rsidRPr="002C0EDF" w:rsidRDefault="00641E12" w:rsidP="00641E12">
            <w:pPr>
              <w:pStyle w:val="Tabletext"/>
              <w:rPr>
                <w:b/>
                <w:bCs/>
              </w:rPr>
            </w:pPr>
            <w:r>
              <w:rPr>
                <w:b/>
                <w:bCs/>
              </w:rPr>
              <w:t xml:space="preserve">Shared decision making and information: </w:t>
            </w:r>
          </w:p>
          <w:p w14:paraId="024FCF47" w14:textId="77777777" w:rsidR="00641E12" w:rsidRDefault="00641E12" w:rsidP="00641E12">
            <w:pPr>
              <w:pStyle w:val="Tabletext"/>
            </w:pPr>
          </w:p>
          <w:p w14:paraId="4ACF931D" w14:textId="77777777" w:rsidR="00641E12" w:rsidRPr="002C0EDF" w:rsidRDefault="00641E12" w:rsidP="00641E12">
            <w:pPr>
              <w:pStyle w:val="Tabletext"/>
            </w:pPr>
            <w:r w:rsidRPr="002C0EDF">
              <w:t>3</w:t>
            </w:r>
            <w:r>
              <w:t xml:space="preserve"> - </w:t>
            </w:r>
            <w:r w:rsidRPr="006C2B8B">
              <w:rPr>
                <w:u w:val="single"/>
              </w:rPr>
              <w:t>Hip, knee and shoulder replacement</w:t>
            </w:r>
            <w:r w:rsidRPr="002C0EDF">
              <w:t xml:space="preserve"> </w:t>
            </w:r>
          </w:p>
          <w:p w14:paraId="0AF156B9" w14:textId="184B927B" w:rsidR="00641E12" w:rsidRPr="002C0EDF" w:rsidRDefault="00641E12" w:rsidP="00641E12">
            <w:pPr>
              <w:pStyle w:val="Tabletext"/>
              <w:rPr>
                <w:b/>
                <w:bCs/>
              </w:rPr>
            </w:pPr>
            <w:r w:rsidRPr="002C0EDF">
              <w:t>Provide patients with ‘patient information’</w:t>
            </w:r>
          </w:p>
        </w:tc>
        <w:tc>
          <w:tcPr>
            <w:tcW w:w="1155" w:type="pct"/>
          </w:tcPr>
          <w:p w14:paraId="6798AE94" w14:textId="263F2771" w:rsidR="00641E12" w:rsidRDefault="00641E12" w:rsidP="00641E12">
            <w:pPr>
              <w:pStyle w:val="Tabletext"/>
            </w:pPr>
            <w:r w:rsidRPr="002C0EDF">
              <w:t>Joint replacements are substantial operations and are being performed in more and more people. Outcomes are variable and not all patients do well. Accurate patient information on risks and outcomes as well as the process and recovery are needed and should be developed with evidence and with patient involvement. There has been no national standard for such information booklets/sources for hip, knee and shoulder replacement. The content and information that should be included of has been recommended in the recent NICE Guideline.</w:t>
            </w:r>
          </w:p>
        </w:tc>
        <w:tc>
          <w:tcPr>
            <w:tcW w:w="2035" w:type="pct"/>
          </w:tcPr>
          <w:p w14:paraId="676E4685" w14:textId="5FD8DAB6" w:rsidR="00641E12" w:rsidRPr="002C0EDF" w:rsidRDefault="00641E12" w:rsidP="00641E12">
            <w:pPr>
              <w:pStyle w:val="Tabletext"/>
            </w:pPr>
            <w:r w:rsidRPr="002C0EDF">
              <w:t>New NICE joint replacement guideline has identified this as an important area for a recommendation. The new guideline lists the information topics that should be available to patients considering joint replacement. See NICE Guideline on hip, knee and shoulder replacements</w:t>
            </w:r>
          </w:p>
        </w:tc>
      </w:tr>
      <w:tr w:rsidR="00641E12" w:rsidRPr="00C92280" w14:paraId="1CD56900" w14:textId="77777777" w:rsidTr="00641E12">
        <w:trPr>
          <w:trHeight w:val="284"/>
        </w:trPr>
        <w:tc>
          <w:tcPr>
            <w:tcW w:w="313" w:type="pct"/>
          </w:tcPr>
          <w:p w14:paraId="4DDDD163" w14:textId="237F82F8" w:rsidR="00641E12" w:rsidRPr="0088696C" w:rsidRDefault="001A2B81" w:rsidP="00641E12">
            <w:pPr>
              <w:pStyle w:val="Tabletext"/>
            </w:pPr>
            <w:r>
              <w:t>1</w:t>
            </w:r>
            <w:r w:rsidR="00765A68">
              <w:t>8</w:t>
            </w:r>
          </w:p>
        </w:tc>
        <w:tc>
          <w:tcPr>
            <w:tcW w:w="805" w:type="pct"/>
          </w:tcPr>
          <w:p w14:paraId="51B6ABFA" w14:textId="16BCDF45" w:rsidR="00641E12" w:rsidRDefault="00641E12" w:rsidP="00641E12">
            <w:pPr>
              <w:pStyle w:val="Tabletext"/>
            </w:pPr>
            <w:r>
              <w:t>SCM7</w:t>
            </w:r>
          </w:p>
        </w:tc>
        <w:tc>
          <w:tcPr>
            <w:tcW w:w="0" w:type="auto"/>
          </w:tcPr>
          <w:p w14:paraId="50D60433" w14:textId="59B13CA0" w:rsidR="00641E12" w:rsidRDefault="00641E12" w:rsidP="00641E12">
            <w:pPr>
              <w:pStyle w:val="Tabletext"/>
              <w:rPr>
                <w:b/>
                <w:bCs/>
              </w:rPr>
            </w:pPr>
            <w:r w:rsidRPr="002C0EDF">
              <w:rPr>
                <w:b/>
                <w:bCs/>
              </w:rPr>
              <w:t>Shared decision making and information</w:t>
            </w:r>
            <w:r>
              <w:rPr>
                <w:b/>
                <w:bCs/>
              </w:rPr>
              <w:t xml:space="preserve">: </w:t>
            </w:r>
          </w:p>
          <w:p w14:paraId="67F07248" w14:textId="04273CEA" w:rsidR="00641E12" w:rsidRDefault="00641E12" w:rsidP="00641E12">
            <w:pPr>
              <w:pStyle w:val="Tabletext"/>
              <w:rPr>
                <w:b/>
                <w:bCs/>
              </w:rPr>
            </w:pPr>
            <w:r w:rsidRPr="006C2B8B">
              <w:t xml:space="preserve">3 </w:t>
            </w:r>
            <w:r w:rsidRPr="002C0EDF">
              <w:t xml:space="preserve">Shared decision making and information for people offered hip, </w:t>
            </w:r>
            <w:r w:rsidRPr="002C0EDF">
              <w:lastRenderedPageBreak/>
              <w:t>knee or shoulder replacement</w:t>
            </w:r>
          </w:p>
        </w:tc>
        <w:tc>
          <w:tcPr>
            <w:tcW w:w="1155" w:type="pct"/>
          </w:tcPr>
          <w:p w14:paraId="2C3B2668" w14:textId="64A31BC2" w:rsidR="00641E12" w:rsidRDefault="00641E12" w:rsidP="00641E12">
            <w:pPr>
              <w:pStyle w:val="Tabletext"/>
            </w:pPr>
            <w:r>
              <w:lastRenderedPageBreak/>
              <w:t>Offering improved communication, information and shared decision making is a NICE recommendation across a number of NICE guidelines and should be offered routinely but can variety within practice.</w:t>
            </w:r>
          </w:p>
          <w:p w14:paraId="5634C740" w14:textId="77777777" w:rsidR="00436A12" w:rsidRDefault="00436A12" w:rsidP="00641E12">
            <w:pPr>
              <w:pStyle w:val="Tabletext"/>
              <w:rPr>
                <w:b/>
                <w:bCs/>
              </w:rPr>
            </w:pPr>
          </w:p>
          <w:p w14:paraId="6921D495" w14:textId="41CCC1C9" w:rsidR="00641E12" w:rsidRPr="002C0EDF" w:rsidRDefault="00641E12" w:rsidP="00641E12">
            <w:pPr>
              <w:pStyle w:val="Tabletext"/>
              <w:rPr>
                <w:b/>
                <w:bCs/>
              </w:rPr>
            </w:pPr>
            <w:r w:rsidRPr="002C0EDF">
              <w:rPr>
                <w:b/>
                <w:bCs/>
              </w:rPr>
              <w:t>Why is this important</w:t>
            </w:r>
            <w:r>
              <w:rPr>
                <w:b/>
                <w:bCs/>
              </w:rPr>
              <w:t>?</w:t>
            </w:r>
          </w:p>
          <w:p w14:paraId="0E5D138B" w14:textId="606CD28B" w:rsidR="00641E12" w:rsidRDefault="00641E12" w:rsidP="00641E12">
            <w:pPr>
              <w:pStyle w:val="Tabletext"/>
            </w:pPr>
            <w:r>
              <w:t>Informing patients of the operation is important on decision making to have the procedure but also expectations on outcome which can be different between health professional and patients.</w:t>
            </w:r>
          </w:p>
        </w:tc>
        <w:tc>
          <w:tcPr>
            <w:tcW w:w="2035" w:type="pct"/>
          </w:tcPr>
          <w:p w14:paraId="23C377BE" w14:textId="50D27E9A" w:rsidR="00641E12" w:rsidRDefault="00641E12" w:rsidP="00641E12">
            <w:pPr>
              <w:pStyle w:val="Tabletext"/>
            </w:pPr>
            <w:r w:rsidRPr="002C0EDF">
              <w:lastRenderedPageBreak/>
              <w:t>Perioperative care guideline.</w:t>
            </w:r>
          </w:p>
        </w:tc>
      </w:tr>
      <w:tr w:rsidR="00641E12" w:rsidRPr="00C92280" w14:paraId="2CAE724E" w14:textId="77777777" w:rsidTr="00641E12">
        <w:trPr>
          <w:trHeight w:val="583"/>
        </w:trPr>
        <w:tc>
          <w:tcPr>
            <w:tcW w:w="313" w:type="pct"/>
          </w:tcPr>
          <w:p w14:paraId="1C0C7098" w14:textId="160EFC67" w:rsidR="00641E12" w:rsidRPr="0088696C" w:rsidRDefault="00765A68" w:rsidP="00641E12">
            <w:pPr>
              <w:pStyle w:val="Tabletext"/>
            </w:pPr>
            <w:r>
              <w:t>19</w:t>
            </w:r>
          </w:p>
        </w:tc>
        <w:tc>
          <w:tcPr>
            <w:tcW w:w="805" w:type="pct"/>
          </w:tcPr>
          <w:p w14:paraId="2448308A" w14:textId="1356C660" w:rsidR="00641E12" w:rsidRDefault="00641E12" w:rsidP="00641E12">
            <w:pPr>
              <w:pStyle w:val="Tabletext"/>
            </w:pPr>
            <w:r>
              <w:t>Versus Arthritis</w:t>
            </w:r>
          </w:p>
        </w:tc>
        <w:tc>
          <w:tcPr>
            <w:tcW w:w="0" w:type="auto"/>
          </w:tcPr>
          <w:p w14:paraId="7AFA29BE" w14:textId="7BB4947B" w:rsidR="00641E12" w:rsidRPr="00495F71" w:rsidRDefault="00641E12" w:rsidP="00641E12">
            <w:pPr>
              <w:pStyle w:val="Tabletext"/>
              <w:rPr>
                <w:b/>
                <w:bCs/>
              </w:rPr>
            </w:pPr>
            <w:r w:rsidRPr="00495F71">
              <w:rPr>
                <w:b/>
                <w:bCs/>
              </w:rPr>
              <w:t>Shared decision making and information:</w:t>
            </w:r>
            <w:r>
              <w:rPr>
                <w:b/>
                <w:bCs/>
              </w:rPr>
              <w:t xml:space="preserve"> </w:t>
            </w:r>
          </w:p>
          <w:p w14:paraId="007AF641" w14:textId="084414BB" w:rsidR="00641E12" w:rsidRPr="00495F71" w:rsidRDefault="009A3DA0" w:rsidP="00641E12">
            <w:pPr>
              <w:pStyle w:val="Tabletext"/>
            </w:pPr>
            <w:r>
              <w:t xml:space="preserve">1 </w:t>
            </w:r>
            <w:r w:rsidR="00641E12" w:rsidRPr="00495F71">
              <w:t>Clear communication with people waiting for Joint Replacement Surgery</w:t>
            </w:r>
          </w:p>
        </w:tc>
        <w:tc>
          <w:tcPr>
            <w:tcW w:w="1155" w:type="pct"/>
          </w:tcPr>
          <w:p w14:paraId="0845C01B" w14:textId="6F3097AA" w:rsidR="00641E12" w:rsidRDefault="00641E12" w:rsidP="00641E12">
            <w:pPr>
              <w:pStyle w:val="Tabletext"/>
            </w:pPr>
            <w:r w:rsidRPr="00495F71">
              <w:t>Once placed on a waiting list for surgery, people should receive monthly, clear communication about their current predicted waiting time for surgery, and any alternatives that may be open to them for selecting different providers.</w:t>
            </w:r>
          </w:p>
        </w:tc>
        <w:tc>
          <w:tcPr>
            <w:tcW w:w="2035" w:type="pct"/>
          </w:tcPr>
          <w:p w14:paraId="60AD9708" w14:textId="60565443" w:rsidR="00641E12" w:rsidRDefault="00641E12" w:rsidP="00641E12">
            <w:pPr>
              <w:pStyle w:val="Tabletext"/>
            </w:pPr>
            <w:r>
              <w:t>People who are on a waiting list for joint replacement surgery should have rapid access to a point of contact who can support with clinical and administrative queries and any problems that have arisen since their initial consultation.</w:t>
            </w:r>
          </w:p>
          <w:p w14:paraId="7E87E87E" w14:textId="77777777" w:rsidR="00641E12" w:rsidRDefault="00641E12" w:rsidP="00641E12">
            <w:pPr>
              <w:pStyle w:val="Tabletext"/>
            </w:pPr>
          </w:p>
          <w:p w14:paraId="3EEF1AC4" w14:textId="77777777" w:rsidR="00641E12" w:rsidRDefault="00641E12" w:rsidP="00641E12">
            <w:pPr>
              <w:pStyle w:val="Tabletext"/>
            </w:pPr>
            <w:r>
              <w:t>Between October and December 2020, Versus Arthritis ran an on-line survey to understand more about the experiences of people waiting for joint replacement surgery. The survey findings highlighted the lack of communication between healthcare professionals and people waiting for surgery, and that this was a key priority for support</w:t>
            </w:r>
            <w:proofErr w:type="gramStart"/>
            <w:r>
              <w:t xml:space="preserve">.  </w:t>
            </w:r>
            <w:proofErr w:type="gramEnd"/>
            <w:r>
              <w:t>Of the 724 people who replied in England, 72.2% said that they had not been informed of their likely surgery date</w:t>
            </w:r>
            <w:proofErr w:type="gramStart"/>
            <w:r>
              <w:t xml:space="preserve">.  </w:t>
            </w:r>
            <w:proofErr w:type="gramEnd"/>
            <w:r>
              <w:t xml:space="preserve"> </w:t>
            </w:r>
          </w:p>
          <w:p w14:paraId="75E2A7BE" w14:textId="77777777" w:rsidR="00641E12" w:rsidRDefault="00641E12" w:rsidP="00641E12">
            <w:pPr>
              <w:pStyle w:val="Tabletext"/>
            </w:pPr>
          </w:p>
          <w:p w14:paraId="134A1C5D" w14:textId="77777777" w:rsidR="00641E12" w:rsidRDefault="00641E12" w:rsidP="00641E12">
            <w:pPr>
              <w:pStyle w:val="Tabletext"/>
            </w:pPr>
            <w:r>
              <w:t>Every Integrated Care System (ICS) area in England should ensure that its constituent NHS organisations proactively communicate with every patient on a surgery waiting list.</w:t>
            </w:r>
          </w:p>
          <w:p w14:paraId="1D2EC479" w14:textId="77777777" w:rsidR="00641E12" w:rsidRDefault="00641E12" w:rsidP="00641E12">
            <w:pPr>
              <w:pStyle w:val="Tabletext"/>
            </w:pPr>
          </w:p>
          <w:p w14:paraId="76E790E4" w14:textId="546B960D" w:rsidR="00641E12" w:rsidRDefault="00641E12" w:rsidP="00641E12">
            <w:pPr>
              <w:pStyle w:val="Tabletext"/>
            </w:pPr>
            <w:r>
              <w:t xml:space="preserve">NHS England has recognised the value of good communication with people on waiting lists through its recent </w:t>
            </w:r>
            <w:r>
              <w:lastRenderedPageBreak/>
              <w:t>guidance, “Good Communication with Patients Waiting for Care: Core Principles”.</w:t>
            </w:r>
          </w:p>
        </w:tc>
      </w:tr>
      <w:tr w:rsidR="00641E12" w:rsidRPr="00C92280" w14:paraId="47485523" w14:textId="77777777" w:rsidTr="00641E12">
        <w:trPr>
          <w:trHeight w:val="284"/>
        </w:trPr>
        <w:tc>
          <w:tcPr>
            <w:tcW w:w="313" w:type="pct"/>
          </w:tcPr>
          <w:p w14:paraId="4F22E474" w14:textId="0AC9F042" w:rsidR="00641E12" w:rsidRPr="00D20AFB" w:rsidRDefault="001A2B81" w:rsidP="00641E12">
            <w:pPr>
              <w:pStyle w:val="Tabletext"/>
            </w:pPr>
            <w:r>
              <w:lastRenderedPageBreak/>
              <w:t>2</w:t>
            </w:r>
            <w:r w:rsidR="00765A68">
              <w:t>0</w:t>
            </w:r>
          </w:p>
        </w:tc>
        <w:tc>
          <w:tcPr>
            <w:tcW w:w="805" w:type="pct"/>
          </w:tcPr>
          <w:p w14:paraId="08A32710" w14:textId="2FB706ED" w:rsidR="00641E12" w:rsidRDefault="00641E12" w:rsidP="00641E12">
            <w:pPr>
              <w:pStyle w:val="Tabletext"/>
            </w:pPr>
            <w:r>
              <w:t>NeuroCare Europe</w:t>
            </w:r>
          </w:p>
        </w:tc>
        <w:tc>
          <w:tcPr>
            <w:tcW w:w="0" w:type="auto"/>
          </w:tcPr>
          <w:p w14:paraId="1B9173D0" w14:textId="66470E84" w:rsidR="00641E12" w:rsidRDefault="00641E12" w:rsidP="00641E12">
            <w:pPr>
              <w:pStyle w:val="Tabletext"/>
            </w:pPr>
            <w:r>
              <w:rPr>
                <w:b/>
                <w:bCs/>
              </w:rPr>
              <w:t>A</w:t>
            </w:r>
            <w:r w:rsidRPr="00474F40">
              <w:rPr>
                <w:b/>
                <w:bCs/>
              </w:rPr>
              <w:t>naesthesia</w:t>
            </w:r>
            <w:r w:rsidR="00436A12">
              <w:rPr>
                <w:b/>
                <w:bCs/>
              </w:rPr>
              <w:t xml:space="preserve">, </w:t>
            </w:r>
            <w:r w:rsidRPr="00474F40">
              <w:rPr>
                <w:b/>
                <w:bCs/>
              </w:rPr>
              <w:t>tranexamic acid</w:t>
            </w:r>
            <w:r>
              <w:rPr>
                <w:b/>
                <w:bCs/>
              </w:rPr>
              <w:t xml:space="preserve"> and VTE prophylaxis:</w:t>
            </w:r>
            <w:r w:rsidRPr="00FF4E20">
              <w:t xml:space="preserve"> </w:t>
            </w:r>
          </w:p>
          <w:p w14:paraId="761E3A05" w14:textId="3614B181" w:rsidR="00641E12" w:rsidRDefault="00641E12" w:rsidP="00641E12">
            <w:pPr>
              <w:pStyle w:val="Tabletext"/>
              <w:rPr>
                <w:b/>
                <w:bCs/>
              </w:rPr>
            </w:pPr>
            <w:r w:rsidRPr="00FF4E20">
              <w:t>3: Avoidance of DVT</w:t>
            </w:r>
          </w:p>
        </w:tc>
        <w:tc>
          <w:tcPr>
            <w:tcW w:w="1155" w:type="pct"/>
          </w:tcPr>
          <w:p w14:paraId="52EA6B84" w14:textId="77777777" w:rsidR="00641E12" w:rsidRDefault="00641E12" w:rsidP="00641E12">
            <w:pPr>
              <w:pStyle w:val="Tabletext"/>
            </w:pPr>
            <w:r>
              <w:t xml:space="preserve">ICDs are only marginally </w:t>
            </w:r>
            <w:proofErr w:type="spellStart"/>
            <w:r>
              <w:t>effective.ICDs</w:t>
            </w:r>
            <w:proofErr w:type="spellEnd"/>
            <w:r>
              <w:t xml:space="preserve"> used in conjunction with LMWH are more effective but bring  risks of bleeding. NMES devices are more effective than  ICDs used alone or </w:t>
            </w:r>
            <w:proofErr w:type="spellStart"/>
            <w:r>
              <w:t>ICDs+LMWH</w:t>
            </w:r>
            <w:proofErr w:type="spellEnd"/>
            <w:r>
              <w:t xml:space="preserve">  as  prophylaxis and bring the added advantage of stimulating muscle activity during treatment</w:t>
            </w:r>
          </w:p>
          <w:p w14:paraId="062B9600" w14:textId="77777777" w:rsidR="00641E12" w:rsidRDefault="00641E12" w:rsidP="00641E12">
            <w:pPr>
              <w:pStyle w:val="Tabletext"/>
            </w:pPr>
          </w:p>
          <w:p w14:paraId="512638D1" w14:textId="49CCDA50" w:rsidR="00641E12" w:rsidRPr="00FF4E20" w:rsidRDefault="00641E12" w:rsidP="00641E12">
            <w:pPr>
              <w:pStyle w:val="Tabletext"/>
              <w:rPr>
                <w:b/>
                <w:bCs/>
              </w:rPr>
            </w:pPr>
            <w:r w:rsidRPr="00FF4E20">
              <w:rPr>
                <w:b/>
                <w:bCs/>
              </w:rPr>
              <w:t xml:space="preserve">Why is this important </w:t>
            </w:r>
          </w:p>
          <w:p w14:paraId="00A4CE47" w14:textId="3BC39AC2" w:rsidR="00641E12" w:rsidRDefault="00641E12" w:rsidP="00641E12">
            <w:pPr>
              <w:pStyle w:val="Tabletext"/>
            </w:pPr>
            <w:r w:rsidRPr="005E425F">
              <w:t>Patients undergoing Joint replacement are at enhanced risk of DVT during and post operatively</w:t>
            </w:r>
          </w:p>
        </w:tc>
        <w:tc>
          <w:tcPr>
            <w:tcW w:w="2035" w:type="pct"/>
          </w:tcPr>
          <w:p w14:paraId="4D8A2207" w14:textId="77777777" w:rsidR="00641E12" w:rsidRPr="00563FFF" w:rsidRDefault="00641E12" w:rsidP="00641E12">
            <w:pPr>
              <w:pStyle w:val="Tabletext"/>
            </w:pPr>
          </w:p>
        </w:tc>
      </w:tr>
      <w:tr w:rsidR="00641E12" w:rsidRPr="00C92280" w14:paraId="6C35D8A5" w14:textId="77777777" w:rsidTr="00641E12">
        <w:trPr>
          <w:trHeight w:val="284"/>
        </w:trPr>
        <w:tc>
          <w:tcPr>
            <w:tcW w:w="313" w:type="pct"/>
          </w:tcPr>
          <w:p w14:paraId="22647D24" w14:textId="6CF5EDBD" w:rsidR="00641E12" w:rsidRPr="0088696C" w:rsidRDefault="001A2B81" w:rsidP="00641E12">
            <w:pPr>
              <w:pStyle w:val="Tabletext"/>
            </w:pPr>
            <w:r>
              <w:t>2</w:t>
            </w:r>
            <w:r w:rsidR="00765A68">
              <w:t>1</w:t>
            </w:r>
          </w:p>
        </w:tc>
        <w:tc>
          <w:tcPr>
            <w:tcW w:w="805" w:type="pct"/>
          </w:tcPr>
          <w:p w14:paraId="04218AB3" w14:textId="04140426" w:rsidR="00641E12" w:rsidRDefault="00641E12" w:rsidP="00641E12">
            <w:pPr>
              <w:pStyle w:val="Tabletext"/>
            </w:pPr>
            <w:r>
              <w:t>SCM1</w:t>
            </w:r>
          </w:p>
        </w:tc>
        <w:tc>
          <w:tcPr>
            <w:tcW w:w="0" w:type="auto"/>
          </w:tcPr>
          <w:p w14:paraId="55DB7F04" w14:textId="7713AF85" w:rsidR="00641E12" w:rsidRPr="00563FFF" w:rsidRDefault="00641E12" w:rsidP="00641E12">
            <w:pPr>
              <w:pStyle w:val="Tabletext"/>
              <w:rPr>
                <w:b/>
              </w:rPr>
            </w:pPr>
            <w:r>
              <w:rPr>
                <w:b/>
                <w:bCs/>
              </w:rPr>
              <w:t>A</w:t>
            </w:r>
            <w:r w:rsidRPr="00474F40">
              <w:rPr>
                <w:b/>
                <w:bCs/>
              </w:rPr>
              <w:t>naesthesia</w:t>
            </w:r>
            <w:r w:rsidR="00436A12">
              <w:rPr>
                <w:b/>
                <w:bCs/>
              </w:rPr>
              <w:t xml:space="preserve">, </w:t>
            </w:r>
            <w:r w:rsidRPr="00474F40">
              <w:rPr>
                <w:b/>
                <w:bCs/>
              </w:rPr>
              <w:t>tranexamic acid</w:t>
            </w:r>
            <w:r>
              <w:rPr>
                <w:b/>
                <w:bCs/>
              </w:rPr>
              <w:t xml:space="preserve"> and VTE prophylaxis</w:t>
            </w:r>
            <w:r w:rsidRPr="00474F40">
              <w:rPr>
                <w:b/>
                <w:bCs/>
              </w:rPr>
              <w:t xml:space="preserve">: </w:t>
            </w:r>
            <w:r w:rsidRPr="00474F40">
              <w:rPr>
                <w:bCs/>
              </w:rPr>
              <w:t>4</w:t>
            </w:r>
            <w:r>
              <w:t xml:space="preserve"> </w:t>
            </w:r>
            <w:r w:rsidRPr="005E425F">
              <w:rPr>
                <w:bCs/>
              </w:rPr>
              <w:t>Use of TXA in hip and knee replacement</w:t>
            </w:r>
          </w:p>
          <w:p w14:paraId="15D2A67C" w14:textId="10CA525C" w:rsidR="00641E12" w:rsidRPr="00474F40" w:rsidRDefault="00641E12" w:rsidP="00641E12">
            <w:pPr>
              <w:pStyle w:val="Tabletext"/>
              <w:rPr>
                <w:b/>
                <w:bCs/>
              </w:rPr>
            </w:pPr>
          </w:p>
        </w:tc>
        <w:tc>
          <w:tcPr>
            <w:tcW w:w="1155" w:type="pct"/>
          </w:tcPr>
          <w:p w14:paraId="775BB016" w14:textId="77777777" w:rsidR="00641E12" w:rsidRDefault="00641E12" w:rsidP="00641E12">
            <w:pPr>
              <w:pStyle w:val="Tabletext"/>
            </w:pPr>
            <w:r>
              <w:t>Use of TXA in hip and knee replacement</w:t>
            </w:r>
            <w:r>
              <w:tab/>
              <w:t xml:space="preserve">There is clear evidence that the addition of topical TXA to IV/PO TXA reduces blood loss / need for transfusion after surgery. NICE therefore recommended the use of topical TXA in both the primary knee and hip setting. </w:t>
            </w:r>
          </w:p>
          <w:p w14:paraId="137F2E1C" w14:textId="77777777" w:rsidR="00641E12" w:rsidRDefault="00641E12" w:rsidP="00641E12">
            <w:pPr>
              <w:pStyle w:val="Tabletext"/>
            </w:pPr>
            <w:r>
              <w:t xml:space="preserve">Local survey of practice from my own unit demonstrated there remained variation in practice </w:t>
            </w:r>
            <w:r>
              <w:lastRenderedPageBreak/>
              <w:t>because of uncertainty about a) the timing this should be given b) the method of delivery (dilution / undiluted) c) dosing</w:t>
            </w:r>
          </w:p>
          <w:p w14:paraId="1118B43A" w14:textId="77777777" w:rsidR="00641E12" w:rsidRDefault="00641E12" w:rsidP="00641E12">
            <w:pPr>
              <w:pStyle w:val="Tabletext"/>
            </w:pPr>
            <w:r>
              <w:t>This is a cheap and highly effective intervention that is not being used as surgeon are unclear how best to operationalise its use.</w:t>
            </w:r>
          </w:p>
          <w:p w14:paraId="4D499207" w14:textId="7BC6D68E" w:rsidR="00641E12" w:rsidRPr="00563FFF" w:rsidRDefault="00641E12" w:rsidP="00641E12">
            <w:pPr>
              <w:pStyle w:val="Tabletext"/>
            </w:pPr>
            <w:r>
              <w:t>A QI project to produce clear guidance for surgeons and theatre teams would be potentially beneficial.</w:t>
            </w:r>
          </w:p>
        </w:tc>
        <w:tc>
          <w:tcPr>
            <w:tcW w:w="2035" w:type="pct"/>
          </w:tcPr>
          <w:p w14:paraId="1A73EC1D" w14:textId="77777777" w:rsidR="00641E12" w:rsidRPr="00563FFF" w:rsidRDefault="00641E12" w:rsidP="00641E12">
            <w:pPr>
              <w:pStyle w:val="Tabletext"/>
            </w:pPr>
          </w:p>
        </w:tc>
      </w:tr>
      <w:tr w:rsidR="00641E12" w:rsidRPr="00C92280" w14:paraId="574E7396" w14:textId="77777777" w:rsidTr="00641E12">
        <w:trPr>
          <w:trHeight w:val="284"/>
        </w:trPr>
        <w:tc>
          <w:tcPr>
            <w:tcW w:w="313" w:type="pct"/>
          </w:tcPr>
          <w:p w14:paraId="66D11399" w14:textId="0A532959" w:rsidR="00641E12" w:rsidRPr="00D20AFB" w:rsidRDefault="001A2B81" w:rsidP="00641E12">
            <w:pPr>
              <w:pStyle w:val="Tabletext"/>
            </w:pPr>
            <w:r>
              <w:t>2</w:t>
            </w:r>
            <w:r w:rsidR="00765A68">
              <w:t>2</w:t>
            </w:r>
          </w:p>
        </w:tc>
        <w:tc>
          <w:tcPr>
            <w:tcW w:w="805" w:type="pct"/>
          </w:tcPr>
          <w:p w14:paraId="7DE9C7F8" w14:textId="6F8E4F81" w:rsidR="00641E12" w:rsidRDefault="00641E12" w:rsidP="00641E12">
            <w:pPr>
              <w:pStyle w:val="Tabletext"/>
            </w:pPr>
            <w:r>
              <w:t>SCM7</w:t>
            </w:r>
          </w:p>
        </w:tc>
        <w:tc>
          <w:tcPr>
            <w:tcW w:w="0" w:type="auto"/>
          </w:tcPr>
          <w:p w14:paraId="42CC3322" w14:textId="1C20F93F" w:rsidR="00641E12" w:rsidRDefault="00641E12" w:rsidP="00641E12">
            <w:pPr>
              <w:pStyle w:val="Tabletext"/>
            </w:pPr>
            <w:r>
              <w:rPr>
                <w:b/>
                <w:bCs/>
              </w:rPr>
              <w:t>A</w:t>
            </w:r>
            <w:r w:rsidRPr="00474F40">
              <w:rPr>
                <w:b/>
                <w:bCs/>
              </w:rPr>
              <w:t>naesthesia</w:t>
            </w:r>
            <w:r w:rsidR="00A65DD8">
              <w:rPr>
                <w:b/>
                <w:bCs/>
              </w:rPr>
              <w:t xml:space="preserve">, </w:t>
            </w:r>
            <w:r w:rsidRPr="00474F40">
              <w:rPr>
                <w:b/>
                <w:bCs/>
              </w:rPr>
              <w:t>tranexamic acid</w:t>
            </w:r>
            <w:r>
              <w:rPr>
                <w:b/>
                <w:bCs/>
              </w:rPr>
              <w:t xml:space="preserve"> and VTE prophylaxis:</w:t>
            </w:r>
            <w:r w:rsidRPr="00FF4E20">
              <w:t xml:space="preserve"> </w:t>
            </w:r>
          </w:p>
          <w:p w14:paraId="0CA96ACF" w14:textId="70588D42" w:rsidR="00641E12" w:rsidRPr="00FF4E20" w:rsidRDefault="00641E12" w:rsidP="00641E12">
            <w:pPr>
              <w:pStyle w:val="Tabletext"/>
            </w:pPr>
            <w:r>
              <w:t xml:space="preserve">4 </w:t>
            </w:r>
            <w:r w:rsidRPr="00FF4E20">
              <w:t>Offer people having elective hip or knee replacement the choice of regional anaesthesia in combination with location infiltration analgesia (LIA) or general anaesthesia in combination with LIA.</w:t>
            </w:r>
          </w:p>
        </w:tc>
        <w:tc>
          <w:tcPr>
            <w:tcW w:w="1155" w:type="pct"/>
          </w:tcPr>
          <w:p w14:paraId="236070E6" w14:textId="26112FB3" w:rsidR="00641E12" w:rsidRDefault="00641E12" w:rsidP="00641E12">
            <w:pPr>
              <w:pStyle w:val="Tabletext"/>
            </w:pPr>
            <w:r>
              <w:t>The evidence-base suggest massive variability in the anaesthetic combinations offered to patients for elective hip and knee replacement and this variability should be reduced to promote best practice.</w:t>
            </w:r>
          </w:p>
          <w:p w14:paraId="19F66CFD" w14:textId="140DCDDA" w:rsidR="00641E12" w:rsidRPr="006C2B8B" w:rsidRDefault="00641E12" w:rsidP="00641E12">
            <w:pPr>
              <w:pStyle w:val="Tabletext"/>
              <w:rPr>
                <w:b/>
                <w:bCs/>
              </w:rPr>
            </w:pPr>
            <w:r w:rsidRPr="006C2B8B">
              <w:rPr>
                <w:b/>
                <w:bCs/>
              </w:rPr>
              <w:t>Why is this important?</w:t>
            </w:r>
          </w:p>
          <w:p w14:paraId="5A734876" w14:textId="63E6BDEE" w:rsidR="00641E12" w:rsidRPr="00563FFF" w:rsidRDefault="00641E12" w:rsidP="00641E12">
            <w:pPr>
              <w:pStyle w:val="Tabletext"/>
            </w:pPr>
            <w:r>
              <w:t>Anaesthesia is key to a good early recovery in relation to pain and nausea. Offering the best analgesia will improve patient recovery and overall experience.</w:t>
            </w:r>
          </w:p>
        </w:tc>
        <w:tc>
          <w:tcPr>
            <w:tcW w:w="2035" w:type="pct"/>
          </w:tcPr>
          <w:p w14:paraId="13AFB8BA" w14:textId="476ABD8C" w:rsidR="00641E12" w:rsidRPr="00563FFF" w:rsidRDefault="00641E12" w:rsidP="00641E12">
            <w:pPr>
              <w:pStyle w:val="Tabletext"/>
            </w:pPr>
            <w:r w:rsidRPr="00DD5593">
              <w:t>NICE guideline evidence synthesis highlights the variability of anaesthesia on offer. Clinical experience backs this up.</w:t>
            </w:r>
          </w:p>
        </w:tc>
      </w:tr>
      <w:tr w:rsidR="00641E12" w:rsidRPr="00C92280" w14:paraId="77DD60AC" w14:textId="77777777" w:rsidTr="00641E12">
        <w:trPr>
          <w:trHeight w:val="284"/>
        </w:trPr>
        <w:tc>
          <w:tcPr>
            <w:tcW w:w="313" w:type="pct"/>
          </w:tcPr>
          <w:p w14:paraId="45E4D347" w14:textId="671FFD09" w:rsidR="00641E12" w:rsidRPr="00D20AFB" w:rsidRDefault="001A2B81" w:rsidP="00641E12">
            <w:pPr>
              <w:pStyle w:val="Tabletext"/>
            </w:pPr>
            <w:r>
              <w:lastRenderedPageBreak/>
              <w:t>2</w:t>
            </w:r>
            <w:r w:rsidR="00765A68">
              <w:t>3</w:t>
            </w:r>
          </w:p>
        </w:tc>
        <w:tc>
          <w:tcPr>
            <w:tcW w:w="805" w:type="pct"/>
          </w:tcPr>
          <w:p w14:paraId="768A1BDD" w14:textId="52CAF889" w:rsidR="00641E12" w:rsidRDefault="00641E12" w:rsidP="00641E12">
            <w:pPr>
              <w:pStyle w:val="Tabletext"/>
            </w:pPr>
            <w:r w:rsidRPr="00776158">
              <w:t>British Orthopaedic Association (comments endorsed by the British Hip Society)</w:t>
            </w:r>
          </w:p>
        </w:tc>
        <w:tc>
          <w:tcPr>
            <w:tcW w:w="0" w:type="auto"/>
          </w:tcPr>
          <w:p w14:paraId="2B5BDBA8" w14:textId="12473EB0" w:rsidR="00641E12" w:rsidRPr="00DD5593" w:rsidRDefault="00641E12" w:rsidP="00641E12">
            <w:pPr>
              <w:pStyle w:val="Tabletext"/>
            </w:pPr>
            <w:r>
              <w:rPr>
                <w:b/>
                <w:bCs/>
              </w:rPr>
              <w:t xml:space="preserve">Surgery: </w:t>
            </w:r>
            <w:r>
              <w:rPr>
                <w:bCs/>
              </w:rPr>
              <w:t>3</w:t>
            </w:r>
          </w:p>
        </w:tc>
        <w:tc>
          <w:tcPr>
            <w:tcW w:w="1155" w:type="pct"/>
          </w:tcPr>
          <w:p w14:paraId="7E0684EF" w14:textId="66124372" w:rsidR="00641E12" w:rsidRPr="00563FFF" w:rsidRDefault="00641E12" w:rsidP="00641E12">
            <w:pPr>
              <w:pStyle w:val="Tabletext"/>
            </w:pPr>
            <w:r w:rsidRPr="00DD5593">
              <w:t>Avoiding implant selection errors</w:t>
            </w:r>
          </w:p>
        </w:tc>
        <w:tc>
          <w:tcPr>
            <w:tcW w:w="2035" w:type="pct"/>
          </w:tcPr>
          <w:p w14:paraId="4DD0DB33" w14:textId="08A68138" w:rsidR="00641E12" w:rsidRDefault="00641E12" w:rsidP="00641E12">
            <w:pPr>
              <w:pStyle w:val="Tabletext"/>
            </w:pPr>
            <w:r>
              <w:t>During joint replacement surgery, there is a point in the surgical procedure when the implant is selected. In a fashion similar to the WHO checklist at the beginning of the procedure, a further pause should be taken to check implant compatibility with the theatre team, to avoid error at the time of implantation.</w:t>
            </w:r>
          </w:p>
          <w:p w14:paraId="5B26BAE9" w14:textId="5A07D1C0" w:rsidR="00641E12" w:rsidRPr="00563FFF" w:rsidRDefault="00641E12" w:rsidP="00641E12">
            <w:pPr>
              <w:pStyle w:val="Tabletext"/>
            </w:pPr>
            <w:r>
              <w:t>NICE NG157 Recommendation 1.6</w:t>
            </w:r>
          </w:p>
        </w:tc>
      </w:tr>
      <w:tr w:rsidR="00641E12" w:rsidRPr="00C92280" w14:paraId="711064D5" w14:textId="77777777" w:rsidTr="00641E12">
        <w:trPr>
          <w:trHeight w:val="284"/>
        </w:trPr>
        <w:tc>
          <w:tcPr>
            <w:tcW w:w="313" w:type="pct"/>
          </w:tcPr>
          <w:p w14:paraId="302F5F93" w14:textId="6616744C" w:rsidR="00641E12" w:rsidRPr="00D20AFB" w:rsidRDefault="001A2B81" w:rsidP="00641E12">
            <w:pPr>
              <w:pStyle w:val="Tabletext"/>
            </w:pPr>
            <w:r>
              <w:t>2</w:t>
            </w:r>
            <w:r w:rsidR="00765A68">
              <w:t>4</w:t>
            </w:r>
          </w:p>
        </w:tc>
        <w:tc>
          <w:tcPr>
            <w:tcW w:w="805" w:type="pct"/>
          </w:tcPr>
          <w:p w14:paraId="4B0476D4" w14:textId="6D51B20C" w:rsidR="00641E12" w:rsidRDefault="00641E12" w:rsidP="00641E12">
            <w:pPr>
              <w:pStyle w:val="Tabletext"/>
            </w:pPr>
            <w:r>
              <w:t>NHS England</w:t>
            </w:r>
            <w:r w:rsidR="008F49C9">
              <w:t xml:space="preserve"> &amp; </w:t>
            </w:r>
            <w:r>
              <w:t xml:space="preserve">Improvement: </w:t>
            </w:r>
          </w:p>
          <w:p w14:paraId="24726A3D" w14:textId="054F8493" w:rsidR="00641E12" w:rsidRPr="00776158" w:rsidRDefault="00641E12" w:rsidP="00641E12">
            <w:pPr>
              <w:pStyle w:val="Tabletext"/>
            </w:pPr>
            <w:r>
              <w:t>Patient safety division</w:t>
            </w:r>
          </w:p>
        </w:tc>
        <w:tc>
          <w:tcPr>
            <w:tcW w:w="0" w:type="auto"/>
          </w:tcPr>
          <w:p w14:paraId="546265D9" w14:textId="5D05FB78" w:rsidR="00641E12" w:rsidRDefault="00641E12" w:rsidP="00641E12">
            <w:pPr>
              <w:pStyle w:val="Tabletext"/>
              <w:rPr>
                <w:b/>
                <w:bCs/>
              </w:rPr>
            </w:pPr>
            <w:r>
              <w:rPr>
                <w:rFonts w:cs="Arial"/>
                <w:b/>
                <w:bCs/>
              </w:rPr>
              <w:t xml:space="preserve">Surgery: </w:t>
            </w:r>
            <w:r w:rsidRPr="005F370B">
              <w:rPr>
                <w:rFonts w:cs="Arial"/>
              </w:rPr>
              <w:t>1</w:t>
            </w:r>
          </w:p>
        </w:tc>
        <w:tc>
          <w:tcPr>
            <w:tcW w:w="1155" w:type="pct"/>
          </w:tcPr>
          <w:p w14:paraId="5DEA1ECE" w14:textId="7D24DE8F" w:rsidR="00641E12" w:rsidRPr="00DD5593" w:rsidRDefault="00641E12" w:rsidP="00641E12">
            <w:pPr>
              <w:pStyle w:val="Tabletext"/>
            </w:pPr>
            <w:r>
              <w:rPr>
                <w:rFonts w:cs="Arial"/>
              </w:rPr>
              <w:t>Variation in the uptake and implementation of hip cement curfew recommendations to identify potential for and the management of intraoperative Bone</w:t>
            </w:r>
            <w:r w:rsidRPr="006D5CD2">
              <w:rPr>
                <w:rFonts w:cs="Arial"/>
              </w:rPr>
              <w:t xml:space="preserve"> Cement Implantation Syndrome </w:t>
            </w:r>
            <w:r>
              <w:rPr>
                <w:rFonts w:cs="Arial"/>
              </w:rPr>
              <w:t xml:space="preserve">(BCIS). </w:t>
            </w:r>
          </w:p>
        </w:tc>
        <w:tc>
          <w:tcPr>
            <w:tcW w:w="2035" w:type="pct"/>
          </w:tcPr>
          <w:p w14:paraId="0A7B08C4" w14:textId="77777777" w:rsidR="00641E12" w:rsidRDefault="00641E12" w:rsidP="00641E12">
            <w:pPr>
              <w:pStyle w:val="TableText1"/>
              <w:rPr>
                <w:sz w:val="22"/>
                <w:szCs w:val="28"/>
              </w:rPr>
            </w:pPr>
            <w:bookmarkStart w:id="177" w:name="_Hlk87103560"/>
            <w:r w:rsidRPr="006C2B8B">
              <w:rPr>
                <w:sz w:val="22"/>
                <w:szCs w:val="28"/>
              </w:rPr>
              <w:t xml:space="preserve">Bone Cement Implantation Syndrome (BCIS) is a fatal condition with complex physiological changes occurring immediately after the insertion of cement during arthroplasty in both elective and trauma procedures. </w:t>
            </w:r>
          </w:p>
          <w:p w14:paraId="2D0C0193" w14:textId="77777777" w:rsidR="00641E12" w:rsidRPr="006C2B8B" w:rsidRDefault="00641E12" w:rsidP="00641E12">
            <w:pPr>
              <w:pStyle w:val="TableText1"/>
              <w:rPr>
                <w:sz w:val="22"/>
                <w:szCs w:val="28"/>
              </w:rPr>
            </w:pPr>
          </w:p>
          <w:p w14:paraId="40A52AFC" w14:textId="77777777" w:rsidR="00641E12" w:rsidRPr="006C2B8B" w:rsidRDefault="00641E12" w:rsidP="00641E12">
            <w:pPr>
              <w:pStyle w:val="TableText1"/>
              <w:rPr>
                <w:sz w:val="22"/>
                <w:szCs w:val="28"/>
              </w:rPr>
            </w:pPr>
            <w:r w:rsidRPr="006C2B8B">
              <w:rPr>
                <w:sz w:val="22"/>
                <w:szCs w:val="28"/>
              </w:rPr>
              <w:t xml:space="preserve">NHS England and Improvement Patient Safety National Reporting and Learning System routinely receives reports of death and severe harm related to this syndrome. </w:t>
            </w:r>
          </w:p>
          <w:p w14:paraId="1B6EE36F" w14:textId="77777777" w:rsidR="00641E12" w:rsidRDefault="00641E12" w:rsidP="00641E12">
            <w:pPr>
              <w:pStyle w:val="TableText1"/>
              <w:rPr>
                <w:sz w:val="22"/>
                <w:szCs w:val="28"/>
              </w:rPr>
            </w:pPr>
            <w:r w:rsidRPr="006C2B8B">
              <w:rPr>
                <w:sz w:val="22"/>
                <w:szCs w:val="28"/>
              </w:rPr>
              <w:t xml:space="preserve">A ‘cement or Coventry curfew’ is a recognised way to manage risk assessment and management of this syndrome and recommended by several national resources and </w:t>
            </w:r>
            <w:proofErr w:type="gramStart"/>
            <w:r w:rsidRPr="006C2B8B">
              <w:rPr>
                <w:sz w:val="22"/>
                <w:szCs w:val="28"/>
              </w:rPr>
              <w:t>organisations</w:t>
            </w:r>
            <w:proofErr w:type="gramEnd"/>
            <w:r w:rsidRPr="006C2B8B">
              <w:rPr>
                <w:sz w:val="22"/>
                <w:szCs w:val="28"/>
              </w:rPr>
              <w:t xml:space="preserve"> but it is unclear how widespread this practice is</w:t>
            </w:r>
          </w:p>
          <w:bookmarkEnd w:id="177"/>
          <w:p w14:paraId="0817E3A8" w14:textId="77777777" w:rsidR="00641E12" w:rsidRPr="006C2B8B" w:rsidRDefault="00641E12" w:rsidP="00641E12">
            <w:pPr>
              <w:pStyle w:val="TableText1"/>
              <w:rPr>
                <w:b/>
                <w:bCs/>
                <w:sz w:val="22"/>
                <w:szCs w:val="28"/>
              </w:rPr>
            </w:pPr>
          </w:p>
          <w:p w14:paraId="17855EB4" w14:textId="73627963" w:rsidR="00641E12" w:rsidRPr="006C2B8B" w:rsidRDefault="00751008" w:rsidP="00641E12">
            <w:pPr>
              <w:pStyle w:val="TableText1"/>
              <w:rPr>
                <w:rStyle w:val="Hyperlink"/>
                <w:rFonts w:cs="Arial"/>
                <w:b/>
                <w:bCs/>
                <w:sz w:val="22"/>
                <w:szCs w:val="28"/>
              </w:rPr>
            </w:pPr>
            <w:hyperlink r:id="rId101" w:history="1">
              <w:r w:rsidR="00641E12" w:rsidRPr="006C2B8B">
                <w:rPr>
                  <w:rStyle w:val="Hyperlink"/>
                  <w:rFonts w:cs="Arial"/>
                  <w:b/>
                  <w:bCs/>
                  <w:sz w:val="22"/>
                  <w:szCs w:val="28"/>
                </w:rPr>
                <w:t>Link to Anaesthesia News October 2014</w:t>
              </w:r>
            </w:hyperlink>
          </w:p>
          <w:p w14:paraId="728EDB7B" w14:textId="77777777" w:rsidR="00641E12" w:rsidRPr="006C2B8B" w:rsidRDefault="00641E12" w:rsidP="00641E12">
            <w:pPr>
              <w:pStyle w:val="TableText1"/>
              <w:rPr>
                <w:sz w:val="22"/>
                <w:szCs w:val="28"/>
              </w:rPr>
            </w:pPr>
            <w:r w:rsidRPr="006C2B8B">
              <w:rPr>
                <w:rFonts w:ascii="Calibri" w:hAnsi="Calibri" w:cs="Calibri"/>
                <w:noProof/>
                <w:sz w:val="22"/>
                <w:szCs w:val="28"/>
              </w:rPr>
              <w:t xml:space="preserve"> </w:t>
            </w:r>
            <w:r w:rsidRPr="006C2B8B">
              <w:rPr>
                <w:b/>
                <w:bCs/>
                <w:noProof/>
                <w:sz w:val="22"/>
                <w:szCs w:val="28"/>
              </w:rPr>
              <w:t xml:space="preserve">2015 AAGBI/British Orthopaedic Association/British Geriatric Society  </w:t>
            </w:r>
            <w:hyperlink r:id="rId102" w:history="1">
              <w:r w:rsidRPr="006C2B8B">
                <w:rPr>
                  <w:rStyle w:val="Hyperlink"/>
                  <w:rFonts w:cs="Arial"/>
                  <w:noProof/>
                  <w:sz w:val="22"/>
                  <w:szCs w:val="28"/>
                </w:rPr>
                <w:t>clinical guidance</w:t>
              </w:r>
            </w:hyperlink>
            <w:r w:rsidRPr="006C2B8B">
              <w:rPr>
                <w:b/>
                <w:bCs/>
                <w:noProof/>
                <w:sz w:val="22"/>
                <w:szCs w:val="28"/>
              </w:rPr>
              <w:t xml:space="preserve"> </w:t>
            </w:r>
            <w:r w:rsidRPr="006C2B8B">
              <w:rPr>
                <w:noProof/>
                <w:sz w:val="22"/>
                <w:szCs w:val="28"/>
              </w:rPr>
              <w:t>provides BCIS specific clinical recommendations on selection and management of patients pre, intra and post operatively</w:t>
            </w:r>
            <w:r w:rsidRPr="006C2B8B">
              <w:rPr>
                <w:rFonts w:ascii="Calibri" w:hAnsi="Calibri" w:cs="Calibri"/>
                <w:noProof/>
                <w:sz w:val="22"/>
                <w:szCs w:val="28"/>
              </w:rPr>
              <w:t xml:space="preserve"> </w:t>
            </w:r>
            <w:r w:rsidRPr="006C2B8B">
              <w:rPr>
                <w:noProof/>
                <w:sz w:val="22"/>
                <w:szCs w:val="28"/>
              </w:rPr>
              <w:t>including adoption of ‘cement curfew ‘  time out procedure immediatley prior to cement insertion.</w:t>
            </w:r>
          </w:p>
          <w:p w14:paraId="6D86F172" w14:textId="77777777" w:rsidR="00641E12" w:rsidRPr="006C2B8B" w:rsidRDefault="00641E12" w:rsidP="00641E12">
            <w:pPr>
              <w:pStyle w:val="TableText1"/>
              <w:rPr>
                <w:noProof/>
                <w:sz w:val="22"/>
                <w:szCs w:val="28"/>
              </w:rPr>
            </w:pPr>
          </w:p>
          <w:p w14:paraId="6CE994AD" w14:textId="77777777" w:rsidR="00641E12" w:rsidRPr="006C2B8B" w:rsidRDefault="00641E12" w:rsidP="00641E12">
            <w:pPr>
              <w:pStyle w:val="TableText1"/>
              <w:rPr>
                <w:noProof/>
                <w:sz w:val="22"/>
                <w:szCs w:val="28"/>
              </w:rPr>
            </w:pPr>
            <w:r w:rsidRPr="006C2B8B">
              <w:rPr>
                <w:b/>
                <w:bCs/>
                <w:noProof/>
                <w:sz w:val="22"/>
                <w:szCs w:val="28"/>
              </w:rPr>
              <w:lastRenderedPageBreak/>
              <w:t xml:space="preserve">2017/2019 NICE </w:t>
            </w:r>
            <w:hyperlink r:id="rId103" w:history="1">
              <w:r w:rsidRPr="006C2B8B">
                <w:rPr>
                  <w:rStyle w:val="Hyperlink"/>
                  <w:rFonts w:cs="Arial"/>
                  <w:noProof/>
                  <w:sz w:val="22"/>
                  <w:szCs w:val="28"/>
                </w:rPr>
                <w:t>Clinical Guideline</w:t>
              </w:r>
            </w:hyperlink>
            <w:r w:rsidRPr="006C2B8B">
              <w:rPr>
                <w:b/>
                <w:bCs/>
                <w:noProof/>
                <w:sz w:val="22"/>
                <w:szCs w:val="28"/>
              </w:rPr>
              <w:t xml:space="preserve"> 124 Hip fracture: management</w:t>
            </w:r>
            <w:r w:rsidRPr="006C2B8B">
              <w:rPr>
                <w:noProof/>
                <w:sz w:val="22"/>
                <w:szCs w:val="28"/>
              </w:rPr>
              <w:t xml:space="preserve"> mentions the above guidance but only as a reference, no other recommendations.</w:t>
            </w:r>
          </w:p>
          <w:p w14:paraId="57F9B133" w14:textId="77777777" w:rsidR="00641E12" w:rsidRPr="00AD70E8" w:rsidRDefault="00641E12" w:rsidP="00641E12">
            <w:pPr>
              <w:pStyle w:val="TableText1"/>
              <w:rPr>
                <w:noProof/>
                <w:sz w:val="22"/>
                <w:szCs w:val="28"/>
              </w:rPr>
            </w:pPr>
            <w:r w:rsidRPr="00AD70E8">
              <w:rPr>
                <w:noProof/>
                <w:sz w:val="22"/>
                <w:szCs w:val="28"/>
              </w:rPr>
              <w:t>‘1.6.5 Use cemented implants in patients undergoing surgery with arthroplasty</w:t>
            </w:r>
            <w:r w:rsidRPr="00AD70E8">
              <w:rPr>
                <w:noProof/>
                <w:sz w:val="22"/>
                <w:szCs w:val="28"/>
                <w:vertAlign w:val="superscript"/>
              </w:rPr>
              <w:t>[1]’</w:t>
            </w:r>
          </w:p>
          <w:p w14:paraId="210FD137" w14:textId="77777777" w:rsidR="00641E12" w:rsidRPr="006C2B8B" w:rsidRDefault="00641E12" w:rsidP="00641E12">
            <w:pPr>
              <w:pStyle w:val="TableText1"/>
              <w:rPr>
                <w:noProof/>
                <w:sz w:val="22"/>
                <w:szCs w:val="28"/>
              </w:rPr>
            </w:pPr>
            <w:r w:rsidRPr="006C2B8B">
              <w:rPr>
                <w:noProof/>
                <w:sz w:val="22"/>
                <w:szCs w:val="28"/>
              </w:rPr>
              <w:t>The CG was reviewed in 2017 with no update to BCIS, surveillance review also in 2019</w:t>
            </w:r>
            <w:r w:rsidRPr="006C2B8B">
              <w:rPr>
                <w:sz w:val="22"/>
                <w:szCs w:val="28"/>
              </w:rPr>
              <w:t xml:space="preserve"> </w:t>
            </w:r>
            <w:r w:rsidRPr="006C2B8B">
              <w:rPr>
                <w:noProof/>
                <w:sz w:val="22"/>
                <w:szCs w:val="28"/>
              </w:rPr>
              <w:t xml:space="preserve">but made no recommendations related to BCIS.  </w:t>
            </w:r>
          </w:p>
          <w:p w14:paraId="4DCFA2CB" w14:textId="5A14D7CC" w:rsidR="00641E12" w:rsidRPr="006C2B8B" w:rsidRDefault="00641E12" w:rsidP="00641E12">
            <w:pPr>
              <w:pStyle w:val="TableText1"/>
              <w:rPr>
                <w:rFonts w:ascii="Calibri" w:hAnsi="Calibri" w:cs="Calibri"/>
                <w:noProof/>
                <w:sz w:val="22"/>
                <w:szCs w:val="28"/>
              </w:rPr>
            </w:pPr>
            <w:r w:rsidRPr="006C2B8B">
              <w:rPr>
                <w:rFonts w:ascii="Calibri" w:hAnsi="Calibri" w:cs="Calibri"/>
                <w:noProof/>
                <w:sz w:val="22"/>
                <w:szCs w:val="28"/>
              </w:rPr>
              <w:t xml:space="preserve">  </w:t>
            </w:r>
          </w:p>
          <w:p w14:paraId="1EF5E327" w14:textId="77777777" w:rsidR="00641E12" w:rsidRPr="006C2B8B" w:rsidRDefault="00641E12" w:rsidP="00641E12">
            <w:pPr>
              <w:pStyle w:val="TableText1"/>
              <w:rPr>
                <w:sz w:val="22"/>
                <w:szCs w:val="28"/>
              </w:rPr>
            </w:pPr>
            <w:r w:rsidRPr="006C2B8B">
              <w:rPr>
                <w:b/>
                <w:bCs/>
                <w:sz w:val="22"/>
                <w:szCs w:val="28"/>
              </w:rPr>
              <w:t xml:space="preserve">2017 Safe Anaesthesia Liaison Group </w:t>
            </w:r>
            <w:hyperlink r:id="rId104" w:history="1">
              <w:r w:rsidRPr="006C2B8B">
                <w:rPr>
                  <w:rStyle w:val="Hyperlink"/>
                  <w:rFonts w:cs="Arial"/>
                  <w:sz w:val="22"/>
                  <w:szCs w:val="28"/>
                </w:rPr>
                <w:t>Patient Safety Update</w:t>
              </w:r>
            </w:hyperlink>
            <w:r w:rsidRPr="006C2B8B">
              <w:rPr>
                <w:sz w:val="22"/>
                <w:szCs w:val="28"/>
              </w:rPr>
              <w:t xml:space="preserve"> </w:t>
            </w:r>
          </w:p>
          <w:p w14:paraId="5A181453" w14:textId="77777777" w:rsidR="00641E12" w:rsidRPr="006C2B8B" w:rsidRDefault="00641E12" w:rsidP="00641E12">
            <w:pPr>
              <w:pStyle w:val="TableText1"/>
              <w:rPr>
                <w:sz w:val="22"/>
                <w:szCs w:val="28"/>
              </w:rPr>
            </w:pPr>
            <w:r w:rsidRPr="006C2B8B">
              <w:rPr>
                <w:sz w:val="22"/>
                <w:szCs w:val="28"/>
              </w:rPr>
              <w:t>Identified learning points from reported incidents described some difficulties with cement curfew implementation:</w:t>
            </w:r>
          </w:p>
          <w:p w14:paraId="68D0A717" w14:textId="77777777" w:rsidR="00641E12" w:rsidRPr="00AD70E8" w:rsidRDefault="00641E12" w:rsidP="00641E12">
            <w:pPr>
              <w:pStyle w:val="TableText1"/>
              <w:numPr>
                <w:ilvl w:val="0"/>
                <w:numId w:val="38"/>
              </w:numPr>
              <w:rPr>
                <w:sz w:val="22"/>
                <w:szCs w:val="28"/>
              </w:rPr>
            </w:pPr>
            <w:r w:rsidRPr="00AD70E8">
              <w:rPr>
                <w:sz w:val="22"/>
                <w:szCs w:val="28"/>
              </w:rPr>
              <w:t>‘</w:t>
            </w:r>
            <w:proofErr w:type="gramStart"/>
            <w:r w:rsidRPr="00AD70E8">
              <w:rPr>
                <w:sz w:val="22"/>
                <w:szCs w:val="28"/>
              </w:rPr>
              <w:t>cement</w:t>
            </w:r>
            <w:proofErr w:type="gramEnd"/>
            <w:r w:rsidRPr="00AD70E8">
              <w:rPr>
                <w:sz w:val="22"/>
                <w:szCs w:val="28"/>
              </w:rPr>
              <w:t xml:space="preserve"> implantation syndrome was not discussed within the surgical or anaesthetic consent process. This should probably be done and documented in patients who are high risk.’</w:t>
            </w:r>
          </w:p>
          <w:p w14:paraId="27A70F9F" w14:textId="77777777" w:rsidR="00641E12" w:rsidRPr="00AD70E8" w:rsidRDefault="00641E12" w:rsidP="00641E12">
            <w:pPr>
              <w:pStyle w:val="TableText1"/>
              <w:numPr>
                <w:ilvl w:val="0"/>
                <w:numId w:val="38"/>
              </w:numPr>
              <w:rPr>
                <w:sz w:val="22"/>
                <w:szCs w:val="28"/>
              </w:rPr>
            </w:pPr>
            <w:r w:rsidRPr="00AD70E8">
              <w:rPr>
                <w:sz w:val="22"/>
                <w:szCs w:val="28"/>
              </w:rPr>
              <w:t>‘</w:t>
            </w:r>
            <w:proofErr w:type="gramStart"/>
            <w:r w:rsidRPr="00AD70E8">
              <w:rPr>
                <w:sz w:val="22"/>
                <w:szCs w:val="28"/>
              </w:rPr>
              <w:t>communication</w:t>
            </w:r>
            <w:proofErr w:type="gramEnd"/>
            <w:r w:rsidRPr="00AD70E8">
              <w:rPr>
                <w:sz w:val="22"/>
                <w:szCs w:val="28"/>
              </w:rPr>
              <w:t xml:space="preserve"> between the surgical and anaesthetic teams was good however the cementing was not discussed at the WHO check.’</w:t>
            </w:r>
          </w:p>
          <w:p w14:paraId="4F0F20AD" w14:textId="77777777" w:rsidR="00641E12" w:rsidRPr="00AD70E8" w:rsidRDefault="00641E12" w:rsidP="00641E12">
            <w:pPr>
              <w:pStyle w:val="TableText1"/>
              <w:numPr>
                <w:ilvl w:val="0"/>
                <w:numId w:val="38"/>
              </w:numPr>
              <w:rPr>
                <w:sz w:val="22"/>
                <w:szCs w:val="28"/>
              </w:rPr>
            </w:pPr>
            <w:r w:rsidRPr="00AD70E8">
              <w:rPr>
                <w:sz w:val="22"/>
                <w:szCs w:val="28"/>
              </w:rPr>
              <w:t>‘</w:t>
            </w:r>
            <w:proofErr w:type="gramStart"/>
            <w:r w:rsidRPr="00AD70E8">
              <w:rPr>
                <w:sz w:val="22"/>
                <w:szCs w:val="28"/>
              </w:rPr>
              <w:t>cement</w:t>
            </w:r>
            <w:proofErr w:type="gramEnd"/>
            <w:r w:rsidRPr="00AD70E8">
              <w:rPr>
                <w:sz w:val="22"/>
                <w:szCs w:val="28"/>
              </w:rPr>
              <w:t xml:space="preserve"> curfew did not take place formally we just discussed it around the time of cementing. Guidance should be available in theatre on how exactly this should be done to standardise this.’</w:t>
            </w:r>
          </w:p>
          <w:p w14:paraId="1265657E" w14:textId="77777777" w:rsidR="00641E12" w:rsidRPr="006C2B8B" w:rsidRDefault="00641E12" w:rsidP="00641E12">
            <w:pPr>
              <w:pStyle w:val="TableText1"/>
              <w:rPr>
                <w:rFonts w:ascii="Calibri" w:hAnsi="Calibri" w:cs="Calibri"/>
                <w:noProof/>
                <w:sz w:val="22"/>
                <w:szCs w:val="28"/>
              </w:rPr>
            </w:pPr>
          </w:p>
          <w:p w14:paraId="56F341AD" w14:textId="77777777" w:rsidR="00641E12" w:rsidRPr="006C2B8B" w:rsidRDefault="00751008" w:rsidP="00641E12">
            <w:pPr>
              <w:pStyle w:val="TableText1"/>
              <w:rPr>
                <w:noProof/>
                <w:sz w:val="22"/>
                <w:szCs w:val="28"/>
              </w:rPr>
            </w:pPr>
            <w:hyperlink r:id="rId105" w:history="1">
              <w:r w:rsidR="00641E12" w:rsidRPr="006C2B8B">
                <w:rPr>
                  <w:rStyle w:val="Hyperlink"/>
                  <w:rFonts w:cs="Arial"/>
                  <w:b/>
                  <w:bCs/>
                  <w:noProof/>
                  <w:sz w:val="22"/>
                  <w:szCs w:val="28"/>
                </w:rPr>
                <w:t>2018 paper</w:t>
              </w:r>
            </w:hyperlink>
            <w:r w:rsidR="00641E12" w:rsidRPr="006C2B8B">
              <w:rPr>
                <w:noProof/>
                <w:sz w:val="22"/>
                <w:szCs w:val="28"/>
              </w:rPr>
              <w:t xml:space="preserve"> reviewing the evidence for and commenting on under-reporting of BCIS based on a small English study. Advances a protocol for patient selection, pre and intraoperative patient optimiazation </w:t>
            </w:r>
          </w:p>
          <w:p w14:paraId="4D2B7ECF" w14:textId="77777777" w:rsidR="00641E12" w:rsidRPr="006C2B8B" w:rsidRDefault="00641E12" w:rsidP="00641E12">
            <w:pPr>
              <w:pStyle w:val="TableText1"/>
              <w:rPr>
                <w:rFonts w:ascii="Calibri" w:hAnsi="Calibri" w:cs="Calibri"/>
                <w:b/>
                <w:bCs/>
                <w:noProof/>
                <w:sz w:val="22"/>
                <w:szCs w:val="28"/>
              </w:rPr>
            </w:pPr>
          </w:p>
          <w:p w14:paraId="18ACB9CC" w14:textId="77777777" w:rsidR="00641E12" w:rsidRPr="006C2B8B" w:rsidRDefault="00641E12" w:rsidP="00641E12">
            <w:pPr>
              <w:pStyle w:val="TableText1"/>
              <w:rPr>
                <w:b/>
                <w:bCs/>
                <w:noProof/>
                <w:sz w:val="22"/>
                <w:szCs w:val="28"/>
              </w:rPr>
            </w:pPr>
            <w:r w:rsidRPr="006C2B8B">
              <w:rPr>
                <w:b/>
                <w:bCs/>
                <w:noProof/>
                <w:sz w:val="22"/>
                <w:szCs w:val="28"/>
              </w:rPr>
              <w:lastRenderedPageBreak/>
              <w:t xml:space="preserve">Sept 2020 </w:t>
            </w:r>
            <w:hyperlink r:id="rId106" w:history="1">
              <w:r w:rsidRPr="006C2B8B">
                <w:rPr>
                  <w:rStyle w:val="Hyperlink"/>
                  <w:rFonts w:cs="Arial"/>
                  <w:b/>
                  <w:bCs/>
                  <w:noProof/>
                  <w:sz w:val="22"/>
                  <w:szCs w:val="28"/>
                </w:rPr>
                <w:t>Association of Anaesthatists Guidelines Management of hip fractures</w:t>
              </w:r>
            </w:hyperlink>
          </w:p>
          <w:p w14:paraId="35607E7B" w14:textId="77777777" w:rsidR="00641E12" w:rsidRPr="006C2B8B" w:rsidRDefault="00641E12" w:rsidP="00641E12">
            <w:pPr>
              <w:pStyle w:val="TableText1"/>
              <w:numPr>
                <w:ilvl w:val="0"/>
                <w:numId w:val="39"/>
              </w:numPr>
              <w:rPr>
                <w:noProof/>
                <w:sz w:val="22"/>
                <w:szCs w:val="28"/>
              </w:rPr>
            </w:pPr>
            <w:r w:rsidRPr="006C2B8B">
              <w:rPr>
                <w:noProof/>
                <w:sz w:val="22"/>
                <w:szCs w:val="28"/>
              </w:rPr>
              <w:t>BCIS guidance refers directly to 2015 AAGBI/BOAS/BGS</w:t>
            </w:r>
            <w:r w:rsidRPr="006C2B8B">
              <w:rPr>
                <w:b/>
                <w:bCs/>
                <w:noProof/>
                <w:sz w:val="22"/>
                <w:szCs w:val="28"/>
              </w:rPr>
              <w:t xml:space="preserve"> </w:t>
            </w:r>
            <w:r w:rsidRPr="006C2B8B">
              <w:rPr>
                <w:noProof/>
                <w:sz w:val="22"/>
                <w:szCs w:val="28"/>
              </w:rPr>
              <w:t>guidance with no update</w:t>
            </w:r>
          </w:p>
          <w:p w14:paraId="51E11770" w14:textId="77777777" w:rsidR="00641E12" w:rsidRPr="006C2B8B" w:rsidRDefault="00641E12" w:rsidP="00641E12">
            <w:pPr>
              <w:pStyle w:val="TableText1"/>
              <w:numPr>
                <w:ilvl w:val="0"/>
                <w:numId w:val="39"/>
              </w:numPr>
              <w:rPr>
                <w:noProof/>
                <w:sz w:val="22"/>
                <w:szCs w:val="28"/>
              </w:rPr>
            </w:pPr>
            <w:r w:rsidRPr="006C2B8B">
              <w:rPr>
                <w:noProof/>
                <w:sz w:val="22"/>
                <w:szCs w:val="28"/>
              </w:rPr>
              <w:t>Recheck DNAR decision as part of WHO Safety Checklist prior to procedure</w:t>
            </w:r>
          </w:p>
          <w:p w14:paraId="434D0CF6" w14:textId="77777777" w:rsidR="00641E12" w:rsidRPr="006C2B8B" w:rsidRDefault="00641E12" w:rsidP="00641E12">
            <w:pPr>
              <w:pStyle w:val="TableText1"/>
              <w:numPr>
                <w:ilvl w:val="0"/>
                <w:numId w:val="39"/>
              </w:numPr>
              <w:rPr>
                <w:noProof/>
                <w:sz w:val="22"/>
                <w:szCs w:val="28"/>
              </w:rPr>
            </w:pPr>
            <w:r w:rsidRPr="006C2B8B">
              <w:rPr>
                <w:noProof/>
                <w:sz w:val="22"/>
                <w:szCs w:val="28"/>
              </w:rPr>
              <w:t xml:space="preserve">Consent for procedure refers directly to </w:t>
            </w:r>
            <w:hyperlink r:id="rId107" w:history="1">
              <w:r w:rsidRPr="006C2B8B">
                <w:rPr>
                  <w:rStyle w:val="Hyperlink"/>
                  <w:rFonts w:cs="Arial"/>
                  <w:b/>
                  <w:bCs/>
                  <w:noProof/>
                  <w:sz w:val="22"/>
                  <w:szCs w:val="28"/>
                </w:rPr>
                <w:t>2017 updated AAGBI ‘Consent’ guidance</w:t>
              </w:r>
            </w:hyperlink>
            <w:r w:rsidRPr="006C2B8B">
              <w:rPr>
                <w:noProof/>
                <w:sz w:val="22"/>
                <w:szCs w:val="28"/>
              </w:rPr>
              <w:t xml:space="preserve"> in line with new Montgomery ruling that ‘all material risks’ need to be fully exlained when discussing consent with the patient</w:t>
            </w:r>
          </w:p>
          <w:p w14:paraId="79ACB107" w14:textId="7DF71B12" w:rsidR="00641E12" w:rsidRDefault="00641E12" w:rsidP="00641E12">
            <w:pPr>
              <w:pStyle w:val="Tabletext"/>
            </w:pPr>
            <w:r w:rsidRPr="006C2B8B">
              <w:rPr>
                <w:noProof/>
                <w:szCs w:val="28"/>
              </w:rPr>
              <w:t>Makes recommendations for anaesthatists to be involved in the content of patient information materials relating to hip fracture surgery</w:t>
            </w:r>
          </w:p>
        </w:tc>
      </w:tr>
      <w:tr w:rsidR="001A2B81" w:rsidRPr="00C92280" w14:paraId="658B67CC" w14:textId="77777777" w:rsidTr="00641E12">
        <w:trPr>
          <w:trHeight w:val="284"/>
        </w:trPr>
        <w:tc>
          <w:tcPr>
            <w:tcW w:w="313" w:type="pct"/>
          </w:tcPr>
          <w:p w14:paraId="102A039B" w14:textId="53DD6356" w:rsidR="001A2B81" w:rsidRPr="00D20AFB" w:rsidRDefault="001A2B81" w:rsidP="001A2B81">
            <w:pPr>
              <w:pStyle w:val="Tabletext"/>
            </w:pPr>
            <w:r>
              <w:lastRenderedPageBreak/>
              <w:t>2</w:t>
            </w:r>
            <w:r w:rsidR="00765A68">
              <w:t>5</w:t>
            </w:r>
          </w:p>
        </w:tc>
        <w:tc>
          <w:tcPr>
            <w:tcW w:w="805" w:type="pct"/>
          </w:tcPr>
          <w:p w14:paraId="36D912CC" w14:textId="72517A50" w:rsidR="001A2B81" w:rsidRDefault="001A2B81" w:rsidP="001A2B81">
            <w:pPr>
              <w:pStyle w:val="Tabletext"/>
            </w:pPr>
            <w:r>
              <w:t>SCM1</w:t>
            </w:r>
          </w:p>
        </w:tc>
        <w:tc>
          <w:tcPr>
            <w:tcW w:w="0" w:type="auto"/>
          </w:tcPr>
          <w:p w14:paraId="40B2EC82" w14:textId="1410A13A" w:rsidR="001A2B81" w:rsidRDefault="001A2B81" w:rsidP="001A2B81">
            <w:pPr>
              <w:pStyle w:val="Tabletext"/>
              <w:rPr>
                <w:b/>
                <w:bCs/>
              </w:rPr>
            </w:pPr>
            <w:r>
              <w:rPr>
                <w:b/>
                <w:bCs/>
              </w:rPr>
              <w:t xml:space="preserve">Surgery: </w:t>
            </w:r>
            <w:r w:rsidRPr="002C0EDF">
              <w:t>1</w:t>
            </w:r>
            <w:r>
              <w:t xml:space="preserve"> </w:t>
            </w:r>
            <w:r w:rsidRPr="00563FFF">
              <w:t>Patella resurfacing for primary total knee replacement</w:t>
            </w:r>
          </w:p>
        </w:tc>
        <w:tc>
          <w:tcPr>
            <w:tcW w:w="1155" w:type="pct"/>
          </w:tcPr>
          <w:p w14:paraId="208CCD89" w14:textId="77777777" w:rsidR="001A2B81" w:rsidRDefault="001A2B81" w:rsidP="001A2B81">
            <w:pPr>
              <w:pStyle w:val="Tabletext"/>
            </w:pPr>
            <w:r>
              <w:t xml:space="preserve">Published NJR data on patella resurfacing demonstrates little change in the rate of patella resurfacing over the last 10 years (2011 - 36% of TKR resurfaced versus 2019 – 43% resurfaced). The NICE guideline should drive an increase in the practice of primary patella resurfacing. An additional driver to a change towards resurfacing is increased surgeon awareness that secondary (later) resurfacing is classified as a revision (revision rate is a metric surgeons are assessed against). </w:t>
            </w:r>
          </w:p>
          <w:p w14:paraId="54B5C9F9" w14:textId="77777777" w:rsidR="001A2B81" w:rsidRDefault="001A2B81" w:rsidP="001A2B81">
            <w:pPr>
              <w:pStyle w:val="Tabletext"/>
            </w:pPr>
          </w:p>
          <w:p w14:paraId="5D12410D" w14:textId="77777777" w:rsidR="001A2B81" w:rsidRDefault="001A2B81" w:rsidP="001A2B81">
            <w:pPr>
              <w:pStyle w:val="Tabletext"/>
            </w:pPr>
            <w:r>
              <w:lastRenderedPageBreak/>
              <w:t xml:space="preserve">Currently surgeons have different thresholds to offer patella resurfacing – some do it all the time, some never do it and some do it selectively. </w:t>
            </w:r>
          </w:p>
          <w:p w14:paraId="205689A2" w14:textId="77777777" w:rsidR="001A2B81" w:rsidRDefault="001A2B81" w:rsidP="001A2B81">
            <w:pPr>
              <w:pStyle w:val="Tabletext"/>
            </w:pPr>
          </w:p>
          <w:p w14:paraId="2B280D3F" w14:textId="32EAD3A2" w:rsidR="001A2B81" w:rsidRPr="00563FFF" w:rsidRDefault="001A2B81" w:rsidP="001A2B81">
            <w:pPr>
              <w:pStyle w:val="Tabletext"/>
            </w:pPr>
            <w:r>
              <w:t>QI should seek to standardise the discussion had with patients about the pros / cons of patella resurfacing ??would a patient information tool be useful?? and drive an increase in adoption of this technique to reduce the cost of expensive secondary procedures.</w:t>
            </w:r>
          </w:p>
        </w:tc>
        <w:tc>
          <w:tcPr>
            <w:tcW w:w="2035" w:type="pct"/>
          </w:tcPr>
          <w:p w14:paraId="75C5C823" w14:textId="77777777" w:rsidR="001A2B81" w:rsidRDefault="001A2B81" w:rsidP="001A2B81">
            <w:pPr>
              <w:pStyle w:val="Tabletext"/>
            </w:pPr>
            <w:r>
              <w:lastRenderedPageBreak/>
              <w:t xml:space="preserve">NJR website carries data on rates of patella resurfacing by year. </w:t>
            </w:r>
          </w:p>
          <w:p w14:paraId="3F9BE232" w14:textId="77777777" w:rsidR="001A2B81" w:rsidRDefault="001A2B81" w:rsidP="001A2B81">
            <w:pPr>
              <w:pStyle w:val="Tabletext"/>
            </w:pPr>
            <w:r>
              <w:t>NJR data has greater granularity on the procedures and implants used</w:t>
            </w:r>
          </w:p>
          <w:p w14:paraId="3A90F172" w14:textId="5A417F30" w:rsidR="001A2B81" w:rsidRPr="00563FFF" w:rsidRDefault="001A2B81" w:rsidP="001A2B81">
            <w:pPr>
              <w:pStyle w:val="Tabletext"/>
            </w:pPr>
            <w:r>
              <w:t>No national data / audit on the discussion / shared decision making with patients</w:t>
            </w:r>
          </w:p>
        </w:tc>
      </w:tr>
      <w:tr w:rsidR="001A2B81" w:rsidRPr="00C92280" w14:paraId="03DD0534" w14:textId="77777777" w:rsidTr="00641E12">
        <w:trPr>
          <w:trHeight w:val="284"/>
        </w:trPr>
        <w:tc>
          <w:tcPr>
            <w:tcW w:w="313" w:type="pct"/>
          </w:tcPr>
          <w:p w14:paraId="408E6AF6" w14:textId="3E566993" w:rsidR="001A2B81" w:rsidRPr="0088696C" w:rsidRDefault="001A2B81" w:rsidP="001A2B81">
            <w:pPr>
              <w:pStyle w:val="Tabletext"/>
            </w:pPr>
            <w:r w:rsidRPr="00D20AFB">
              <w:t>2</w:t>
            </w:r>
            <w:r w:rsidR="00765A68">
              <w:t>6</w:t>
            </w:r>
          </w:p>
        </w:tc>
        <w:tc>
          <w:tcPr>
            <w:tcW w:w="805" w:type="pct"/>
          </w:tcPr>
          <w:p w14:paraId="32AA42CC" w14:textId="78A6422E" w:rsidR="001A2B81" w:rsidRDefault="001A2B81" w:rsidP="001A2B81">
            <w:pPr>
              <w:pStyle w:val="Tabletext"/>
            </w:pPr>
            <w:r>
              <w:t>SCM1</w:t>
            </w:r>
          </w:p>
        </w:tc>
        <w:tc>
          <w:tcPr>
            <w:tcW w:w="0" w:type="auto"/>
          </w:tcPr>
          <w:p w14:paraId="48D1675F" w14:textId="50E8E6E4" w:rsidR="001A2B81" w:rsidRPr="00563FFF" w:rsidRDefault="001A2B81" w:rsidP="001A2B81">
            <w:pPr>
              <w:pStyle w:val="Tabletext"/>
            </w:pPr>
            <w:r>
              <w:rPr>
                <w:b/>
                <w:bCs/>
              </w:rPr>
              <w:t xml:space="preserve">Surgery: </w:t>
            </w:r>
            <w:r w:rsidRPr="00563FFF">
              <w:t>3</w:t>
            </w:r>
            <w:r>
              <w:t xml:space="preserve"> </w:t>
            </w:r>
            <w:r w:rsidRPr="00563FFF">
              <w:t>UKR for isolated medial compartment knee OA</w:t>
            </w:r>
          </w:p>
        </w:tc>
        <w:tc>
          <w:tcPr>
            <w:tcW w:w="1155" w:type="pct"/>
          </w:tcPr>
          <w:p w14:paraId="703D5A1A" w14:textId="77777777" w:rsidR="001A2B81" w:rsidRPr="00563FFF" w:rsidRDefault="001A2B81" w:rsidP="001A2B81">
            <w:pPr>
              <w:pStyle w:val="Tabletext"/>
            </w:pPr>
            <w:r w:rsidRPr="00563FFF">
              <w:t>There are a few QI standards that arise from this.</w:t>
            </w:r>
          </w:p>
          <w:p w14:paraId="7CB69792" w14:textId="77777777" w:rsidR="001A2B81" w:rsidRPr="00563FFF" w:rsidRDefault="001A2B81" w:rsidP="001A2B81">
            <w:pPr>
              <w:pStyle w:val="Tabletext"/>
            </w:pPr>
            <w:r w:rsidRPr="00563FFF">
              <w:t>Not all surgeons offer UKR (and not all surgeons should as there is good evidence that there is a volume effect with this procedure as you should only undertake them if doing &gt;20/</w:t>
            </w:r>
            <w:proofErr w:type="spellStart"/>
            <w:r w:rsidRPr="00563FFF">
              <w:t>yr</w:t>
            </w:r>
            <w:proofErr w:type="spellEnd"/>
            <w:r w:rsidRPr="00563FFF">
              <w:t xml:space="preserve"> and they make up 20% of your practice). However, it is unclear whether patients referred to these surgeons are being offered UKR as part of shared decision making and referred on to another surgeon / provider if it is </w:t>
            </w:r>
            <w:r w:rsidRPr="00563FFF">
              <w:lastRenderedPageBreak/>
              <w:t xml:space="preserve">decided that UKR is the preferred surgical approach. </w:t>
            </w:r>
          </w:p>
          <w:p w14:paraId="03E1AD42" w14:textId="77777777" w:rsidR="001A2B81" w:rsidRPr="00563FFF" w:rsidRDefault="001A2B81" w:rsidP="001A2B81">
            <w:pPr>
              <w:pStyle w:val="Tabletext"/>
            </w:pPr>
            <w:r w:rsidRPr="00563FFF">
              <w:t>There is a need to assess and address:</w:t>
            </w:r>
          </w:p>
          <w:p w14:paraId="03C08224" w14:textId="20671C06" w:rsidR="001A2B81" w:rsidRPr="00563FFF" w:rsidRDefault="001A2B81" w:rsidP="001A2B81">
            <w:pPr>
              <w:pStyle w:val="Tabletext"/>
              <w:numPr>
                <w:ilvl w:val="0"/>
                <w:numId w:val="35"/>
              </w:numPr>
            </w:pPr>
            <w:r w:rsidRPr="00563FFF">
              <w:t>How UKR is discussed and offered to patients</w:t>
            </w:r>
          </w:p>
          <w:p w14:paraId="0B4D454C" w14:textId="584819D2" w:rsidR="001A2B81" w:rsidRPr="00563FFF" w:rsidRDefault="001A2B81" w:rsidP="001A2B81">
            <w:pPr>
              <w:pStyle w:val="Tabletext"/>
              <w:numPr>
                <w:ilvl w:val="0"/>
                <w:numId w:val="35"/>
              </w:numPr>
            </w:pPr>
            <w:r w:rsidRPr="00563FFF">
              <w:t>Mechanisms for onward referral should UKR to the chosen surgical approach (within Trust or between Trust networks)</w:t>
            </w:r>
          </w:p>
          <w:p w14:paraId="24778A7E" w14:textId="30DDA2D2" w:rsidR="001A2B81" w:rsidRPr="00563FFF" w:rsidRDefault="001A2B81" w:rsidP="001A2B81">
            <w:pPr>
              <w:pStyle w:val="Tabletext"/>
              <w:numPr>
                <w:ilvl w:val="0"/>
                <w:numId w:val="35"/>
              </w:numPr>
            </w:pPr>
            <w:r w:rsidRPr="00563FFF">
              <w:t>How surgical volume is maintained and monitored to ensure patients receive the best care</w:t>
            </w:r>
          </w:p>
        </w:tc>
        <w:tc>
          <w:tcPr>
            <w:tcW w:w="2035" w:type="pct"/>
          </w:tcPr>
          <w:p w14:paraId="6ABFFDB7" w14:textId="77777777" w:rsidR="001A2B81" w:rsidRPr="00563FFF" w:rsidRDefault="001A2B81" w:rsidP="001A2B81">
            <w:pPr>
              <w:pStyle w:val="Tabletext"/>
            </w:pPr>
            <w:r w:rsidRPr="00563FFF">
              <w:lastRenderedPageBreak/>
              <w:t xml:space="preserve">Point 3 is covered within GIRFT audits and hospital reviews. </w:t>
            </w:r>
          </w:p>
          <w:p w14:paraId="6275547B" w14:textId="77777777" w:rsidR="001A2B81" w:rsidRPr="00563FFF" w:rsidRDefault="001A2B81" w:rsidP="001A2B81">
            <w:pPr>
              <w:pStyle w:val="Tabletext"/>
            </w:pPr>
            <w:r w:rsidRPr="00563FFF">
              <w:t>Information relating to point 1 and 2 are less clear</w:t>
            </w:r>
          </w:p>
          <w:p w14:paraId="1908DB98" w14:textId="4A36EE51" w:rsidR="001A2B81" w:rsidRPr="00563FFF" w:rsidRDefault="001A2B81" w:rsidP="001A2B81">
            <w:pPr>
              <w:pStyle w:val="Tabletext"/>
            </w:pPr>
            <w:r w:rsidRPr="00563FFF">
              <w:t>NJR carries information on use of UKR as a proportion of all knee replacements (e.g. 8% in 2011 versus 12% in 2019)</w:t>
            </w:r>
          </w:p>
        </w:tc>
      </w:tr>
      <w:tr w:rsidR="001A2B81" w:rsidRPr="00C92280" w14:paraId="33FBC045" w14:textId="77777777" w:rsidTr="00641E12">
        <w:trPr>
          <w:trHeight w:val="284"/>
        </w:trPr>
        <w:tc>
          <w:tcPr>
            <w:tcW w:w="313" w:type="pct"/>
          </w:tcPr>
          <w:p w14:paraId="63517DA8" w14:textId="743F67F4" w:rsidR="001A2B81" w:rsidRPr="00D20AFB" w:rsidRDefault="001A2B81" w:rsidP="001A2B81">
            <w:pPr>
              <w:pStyle w:val="Tabletext"/>
              <w:rPr>
                <w:lang w:eastAsia="en-GB"/>
              </w:rPr>
            </w:pPr>
            <w:r w:rsidRPr="00D20AFB">
              <w:rPr>
                <w:lang w:eastAsia="en-GB"/>
              </w:rPr>
              <w:t>2</w:t>
            </w:r>
            <w:r w:rsidR="00765A68">
              <w:rPr>
                <w:lang w:eastAsia="en-GB"/>
              </w:rPr>
              <w:t>7</w:t>
            </w:r>
          </w:p>
        </w:tc>
        <w:tc>
          <w:tcPr>
            <w:tcW w:w="805" w:type="pct"/>
          </w:tcPr>
          <w:p w14:paraId="484E9483" w14:textId="7B39D6A6" w:rsidR="001A2B81" w:rsidRPr="0088696C" w:rsidRDefault="001A2B81" w:rsidP="001A2B81">
            <w:pPr>
              <w:pStyle w:val="Tabletext"/>
            </w:pPr>
            <w:r>
              <w:t>SCM7</w:t>
            </w:r>
          </w:p>
        </w:tc>
        <w:tc>
          <w:tcPr>
            <w:tcW w:w="0" w:type="auto"/>
          </w:tcPr>
          <w:p w14:paraId="09A43072" w14:textId="08A899DB" w:rsidR="001A2B81" w:rsidRPr="00DD5593" w:rsidRDefault="001A2B81" w:rsidP="001A2B81">
            <w:pPr>
              <w:pStyle w:val="Tabletext"/>
            </w:pPr>
            <w:r>
              <w:rPr>
                <w:b/>
                <w:bCs/>
              </w:rPr>
              <w:t xml:space="preserve">Surgery: </w:t>
            </w:r>
            <w:r w:rsidRPr="006C2B8B">
              <w:t xml:space="preserve">1 </w:t>
            </w:r>
            <w:r w:rsidRPr="00DD5593">
              <w:rPr>
                <w:bCs/>
              </w:rPr>
              <w:t>Avoiding implant selection errors</w:t>
            </w:r>
          </w:p>
        </w:tc>
        <w:tc>
          <w:tcPr>
            <w:tcW w:w="1155" w:type="pct"/>
          </w:tcPr>
          <w:p w14:paraId="5692A52F" w14:textId="3C72888A" w:rsidR="001A2B81" w:rsidRDefault="001A2B81" w:rsidP="001A2B81">
            <w:pPr>
              <w:pStyle w:val="Tabletext"/>
            </w:pPr>
            <w:r>
              <w:t>Implant selection errors are ‘never events’ and should be prevented. We offer a solution which can be adopted into practice to prevent this.</w:t>
            </w:r>
          </w:p>
          <w:p w14:paraId="52D7E02E" w14:textId="77777777" w:rsidR="001A2B81" w:rsidRDefault="001A2B81" w:rsidP="001A2B81">
            <w:pPr>
              <w:pStyle w:val="Tabletext"/>
            </w:pPr>
          </w:p>
          <w:p w14:paraId="6CF066EA" w14:textId="5EA15FF1" w:rsidR="001A2B81" w:rsidRPr="006C2B8B" w:rsidRDefault="001A2B81" w:rsidP="001A2B81">
            <w:pPr>
              <w:pStyle w:val="Tabletext"/>
              <w:rPr>
                <w:b/>
                <w:bCs/>
              </w:rPr>
            </w:pPr>
            <w:r w:rsidRPr="00DD5593">
              <w:rPr>
                <w:b/>
                <w:bCs/>
              </w:rPr>
              <w:t>Why is this important?</w:t>
            </w:r>
          </w:p>
          <w:p w14:paraId="7AE34A7F" w14:textId="10ECEB1B" w:rsidR="001A2B81" w:rsidRPr="0088696C" w:rsidRDefault="001A2B81" w:rsidP="001A2B81">
            <w:pPr>
              <w:pStyle w:val="Tabletext"/>
            </w:pPr>
            <w:r>
              <w:t xml:space="preserve">Implant selection errors should not occur. They have a devastating impact on the patient and society. We suggest a simple approach to attempt to prevent these occurring. </w:t>
            </w:r>
          </w:p>
        </w:tc>
        <w:tc>
          <w:tcPr>
            <w:tcW w:w="2035" w:type="pct"/>
          </w:tcPr>
          <w:p w14:paraId="7CADD61B" w14:textId="7E34BB8E" w:rsidR="001A2B81" w:rsidRPr="0088696C" w:rsidRDefault="001A2B81" w:rsidP="001A2B81">
            <w:pPr>
              <w:pStyle w:val="Tabletext"/>
            </w:pPr>
            <w:r w:rsidRPr="00DD5593">
              <w:t>This was a British Orthopaedic Association recommended guideline topic when we developed the guidelines and therefore has considerable clinical importance which will also aid implementation.</w:t>
            </w:r>
          </w:p>
        </w:tc>
      </w:tr>
      <w:tr w:rsidR="001A2B81" w:rsidRPr="00C92280" w14:paraId="1118EDF3" w14:textId="77777777" w:rsidTr="00641E12">
        <w:trPr>
          <w:trHeight w:val="284"/>
        </w:trPr>
        <w:tc>
          <w:tcPr>
            <w:tcW w:w="313" w:type="pct"/>
          </w:tcPr>
          <w:p w14:paraId="0D5233EB" w14:textId="387F8A74" w:rsidR="001A2B81" w:rsidRPr="00D20AFB" w:rsidRDefault="001A2B81" w:rsidP="001A2B81">
            <w:pPr>
              <w:pStyle w:val="Tabletext"/>
              <w:rPr>
                <w:lang w:eastAsia="en-GB"/>
              </w:rPr>
            </w:pPr>
            <w:r>
              <w:rPr>
                <w:lang w:eastAsia="en-GB"/>
              </w:rPr>
              <w:lastRenderedPageBreak/>
              <w:t>2</w:t>
            </w:r>
            <w:r w:rsidR="00765A68">
              <w:rPr>
                <w:lang w:eastAsia="en-GB"/>
              </w:rPr>
              <w:t>8</w:t>
            </w:r>
          </w:p>
        </w:tc>
        <w:tc>
          <w:tcPr>
            <w:tcW w:w="805" w:type="pct"/>
          </w:tcPr>
          <w:p w14:paraId="259E7838" w14:textId="222F8EAD" w:rsidR="001A2B81" w:rsidRPr="0088696C" w:rsidRDefault="001A2B81" w:rsidP="001A2B81">
            <w:pPr>
              <w:pStyle w:val="Tabletext"/>
            </w:pPr>
            <w:r>
              <w:t>SCM7</w:t>
            </w:r>
          </w:p>
        </w:tc>
        <w:tc>
          <w:tcPr>
            <w:tcW w:w="0" w:type="auto"/>
          </w:tcPr>
          <w:p w14:paraId="4B76B883" w14:textId="4723287F" w:rsidR="001A2B81" w:rsidRPr="00DD5593" w:rsidRDefault="001A2B81" w:rsidP="001A2B81">
            <w:pPr>
              <w:pStyle w:val="Tabletext"/>
            </w:pPr>
            <w:r>
              <w:rPr>
                <w:b/>
                <w:bCs/>
              </w:rPr>
              <w:t xml:space="preserve">Surgery:  </w:t>
            </w:r>
            <w:r>
              <w:t xml:space="preserve">2 </w:t>
            </w:r>
            <w:r w:rsidRPr="00DD5593">
              <w:t>Offer a choice of partial or total knee replacement to people with isolated medial compartmental osteoarthritis.</w:t>
            </w:r>
          </w:p>
        </w:tc>
        <w:tc>
          <w:tcPr>
            <w:tcW w:w="1155" w:type="pct"/>
          </w:tcPr>
          <w:p w14:paraId="4E92F1C6" w14:textId="54666D09" w:rsidR="001A2B81" w:rsidRDefault="001A2B81" w:rsidP="001A2B81">
            <w:pPr>
              <w:pStyle w:val="Tabletext"/>
            </w:pPr>
            <w:r w:rsidRPr="00DD5593">
              <w:t>There is a requirement to improve the communication pathway between surgical teams within hospitals to facilitate this improvement. This will take some consideration and the NICE team could help here provide guidance on how this can be implemented. Without guidance, I feel that this may be a challenging recommendation to put into practice.</w:t>
            </w:r>
          </w:p>
          <w:p w14:paraId="470E3113" w14:textId="7871C6EF" w:rsidR="001A2B81" w:rsidRDefault="001A2B81" w:rsidP="001A2B81">
            <w:pPr>
              <w:pStyle w:val="Tabletext"/>
            </w:pPr>
          </w:p>
          <w:p w14:paraId="3FE9C8C4" w14:textId="288BA317" w:rsidR="001A2B81" w:rsidRPr="00DD5593" w:rsidRDefault="001A2B81" w:rsidP="001A2B81">
            <w:pPr>
              <w:pStyle w:val="Tabletext"/>
              <w:rPr>
                <w:b/>
                <w:bCs/>
              </w:rPr>
            </w:pPr>
            <w:r>
              <w:rPr>
                <w:b/>
                <w:bCs/>
              </w:rPr>
              <w:t>Why is this important?</w:t>
            </w:r>
          </w:p>
          <w:p w14:paraId="75689E12" w14:textId="76521C22" w:rsidR="001A2B81" w:rsidRPr="0088696C" w:rsidRDefault="001A2B81" w:rsidP="001A2B81">
            <w:pPr>
              <w:pStyle w:val="Tabletext"/>
            </w:pPr>
            <w:r w:rsidRPr="00DD5593">
              <w:t xml:space="preserve">There is strong evidence that partial knee replacements offer superior clinical and cost-effective outcomes for some patients compared to total knee </w:t>
            </w:r>
            <w:proofErr w:type="gramStart"/>
            <w:r w:rsidRPr="00DD5593">
              <w:t>replacements</w:t>
            </w:r>
            <w:proofErr w:type="gramEnd"/>
            <w:r w:rsidRPr="00DD5593">
              <w:t xml:space="preserve"> but these are not offered in practice. Patients should be offered these.</w:t>
            </w:r>
          </w:p>
        </w:tc>
        <w:tc>
          <w:tcPr>
            <w:tcW w:w="2035" w:type="pct"/>
          </w:tcPr>
          <w:p w14:paraId="49851239" w14:textId="1D328057" w:rsidR="001A2B81" w:rsidRPr="0088696C" w:rsidRDefault="001A2B81" w:rsidP="001A2B81">
            <w:pPr>
              <w:pStyle w:val="Tabletext"/>
            </w:pPr>
            <w:r w:rsidRPr="00DD5593">
              <w:t xml:space="preserve">Good evidence behind this recommendation, particularly from recent NIHR funded trials i.e. </w:t>
            </w:r>
            <w:hyperlink r:id="rId108" w:history="1">
              <w:r w:rsidRPr="00A34D8A">
                <w:rPr>
                  <w:rStyle w:val="Hyperlink"/>
                </w:rPr>
                <w:t>https://www.ncbi.nlm.nih.gov/pmc/articles/PMC6727069/</w:t>
              </w:r>
            </w:hyperlink>
            <w:r>
              <w:t xml:space="preserve"> </w:t>
            </w:r>
          </w:p>
        </w:tc>
      </w:tr>
      <w:tr w:rsidR="001A2B81" w:rsidRPr="00C92280" w14:paraId="6296E997" w14:textId="77777777" w:rsidTr="00641E12">
        <w:trPr>
          <w:trHeight w:val="284"/>
        </w:trPr>
        <w:tc>
          <w:tcPr>
            <w:tcW w:w="313" w:type="pct"/>
          </w:tcPr>
          <w:p w14:paraId="2AD86B48" w14:textId="3827BEAA" w:rsidR="001A2B81" w:rsidRPr="0088696C" w:rsidRDefault="00765A68" w:rsidP="001A2B81">
            <w:pPr>
              <w:pStyle w:val="Tabletext"/>
            </w:pPr>
            <w:r>
              <w:t>29</w:t>
            </w:r>
          </w:p>
        </w:tc>
        <w:tc>
          <w:tcPr>
            <w:tcW w:w="805" w:type="pct"/>
          </w:tcPr>
          <w:p w14:paraId="4B987894" w14:textId="07005E1B" w:rsidR="001A2B81" w:rsidRPr="00AC0B77" w:rsidRDefault="001A2B81" w:rsidP="001A2B81">
            <w:pPr>
              <w:pStyle w:val="Tabletext"/>
            </w:pPr>
            <w:r>
              <w:t>Zimmer Biomet</w:t>
            </w:r>
          </w:p>
        </w:tc>
        <w:tc>
          <w:tcPr>
            <w:tcW w:w="0" w:type="auto"/>
          </w:tcPr>
          <w:p w14:paraId="3356B449" w14:textId="0814EFA1" w:rsidR="001A2B81" w:rsidRPr="00541102" w:rsidRDefault="001A2B81" w:rsidP="001A2B81">
            <w:pPr>
              <w:pStyle w:val="Tabletext"/>
              <w:rPr>
                <w:b/>
              </w:rPr>
            </w:pPr>
            <w:r w:rsidRPr="00541102">
              <w:rPr>
                <w:b/>
              </w:rPr>
              <w:t xml:space="preserve">Surgery: </w:t>
            </w:r>
            <w:r w:rsidRPr="00541102">
              <w:rPr>
                <w:bCs/>
              </w:rPr>
              <w:t>1</w:t>
            </w:r>
          </w:p>
        </w:tc>
        <w:tc>
          <w:tcPr>
            <w:tcW w:w="1155" w:type="pct"/>
          </w:tcPr>
          <w:p w14:paraId="213061EC" w14:textId="77777777" w:rsidR="001A2B81" w:rsidRDefault="001A2B81" w:rsidP="001A2B81">
            <w:pPr>
              <w:pStyle w:val="Tabletext"/>
            </w:pPr>
            <w:r>
              <w:t>Partial knee replacement</w:t>
            </w:r>
          </w:p>
          <w:p w14:paraId="58296EBA" w14:textId="77777777" w:rsidR="001A2B81" w:rsidRDefault="001A2B81" w:rsidP="001A2B81">
            <w:pPr>
              <w:pStyle w:val="Tabletext"/>
            </w:pPr>
            <w:r>
              <w:t>NICE guidance recommends that a choice of partial or total knee replacement should be offered to people with isolated medial compartmental osteoarthritis</w:t>
            </w:r>
            <w:proofErr w:type="gramStart"/>
            <w:r>
              <w:t xml:space="preserve">.  </w:t>
            </w:r>
            <w:proofErr w:type="gramEnd"/>
          </w:p>
          <w:p w14:paraId="68AA57D1" w14:textId="56096A89" w:rsidR="001A2B81" w:rsidRDefault="001A2B81" w:rsidP="001A2B81">
            <w:pPr>
              <w:pStyle w:val="Tabletext"/>
            </w:pPr>
            <w:r>
              <w:t xml:space="preserve">The recommendation was made based on lower complication </w:t>
            </w:r>
            <w:r>
              <w:lastRenderedPageBreak/>
              <w:t>rates of partial knees and the likelihood of being more cost saving compared with total knee replacement. The outcomes for each type of surgery are thought to be similar although recovery after partial knee replacement tends to be faster, with a shorter stay in hospital and less pain during the recovery period.</w:t>
            </w:r>
          </w:p>
          <w:p w14:paraId="6D1A7264" w14:textId="77777777" w:rsidR="001A2B81" w:rsidRDefault="001A2B81" w:rsidP="001A2B81">
            <w:pPr>
              <w:pStyle w:val="Tabletext"/>
            </w:pPr>
          </w:p>
          <w:p w14:paraId="204F2B4A" w14:textId="4EC8D8E9" w:rsidR="001A2B81" w:rsidRPr="00AC0B77" w:rsidRDefault="001A2B81" w:rsidP="001A2B81">
            <w:pPr>
              <w:pStyle w:val="Tabletext"/>
            </w:pPr>
            <w:r>
              <w:t xml:space="preserve">Published pathways for each type of surgery should include this important </w:t>
            </w:r>
            <w:proofErr w:type="gramStart"/>
            <w:r>
              <w:t>decision making</w:t>
            </w:r>
            <w:proofErr w:type="gramEnd"/>
            <w:r>
              <w:t xml:space="preserve"> step and there should be inclusion in National best practice guidance documents</w:t>
            </w:r>
          </w:p>
        </w:tc>
        <w:tc>
          <w:tcPr>
            <w:tcW w:w="2035" w:type="pct"/>
          </w:tcPr>
          <w:p w14:paraId="1E2BBA89" w14:textId="5B4148DA" w:rsidR="001A2B81" w:rsidRDefault="001A2B81" w:rsidP="001A2B81">
            <w:pPr>
              <w:pStyle w:val="Tabletext"/>
            </w:pPr>
            <w:r>
              <w:lastRenderedPageBreak/>
              <w:t>Joint replacement (primary): hip, knee and shoulder</w:t>
            </w:r>
          </w:p>
          <w:p w14:paraId="0E9FEC6B" w14:textId="77777777" w:rsidR="001A2B81" w:rsidRDefault="001A2B81" w:rsidP="001A2B81">
            <w:pPr>
              <w:pStyle w:val="Tabletext"/>
            </w:pPr>
            <w:r>
              <w:t>NICE guideline Published: 4 June 2020</w:t>
            </w:r>
          </w:p>
          <w:p w14:paraId="183C7666" w14:textId="7294CA2E" w:rsidR="001A2B81" w:rsidRPr="00AC0B77" w:rsidRDefault="001A2B81" w:rsidP="001A2B81">
            <w:pPr>
              <w:pStyle w:val="Tabletext"/>
            </w:pPr>
            <w:r>
              <w:t>www.nice.org.uk/guidance/ng157</w:t>
            </w:r>
          </w:p>
        </w:tc>
      </w:tr>
      <w:tr w:rsidR="001A2B81" w:rsidRPr="00C92280" w14:paraId="17A952E1" w14:textId="77777777" w:rsidTr="00641E12">
        <w:trPr>
          <w:trHeight w:val="284"/>
        </w:trPr>
        <w:tc>
          <w:tcPr>
            <w:tcW w:w="313" w:type="pct"/>
            <w:shd w:val="clear" w:color="auto" w:fill="FFFFFF" w:themeFill="background1"/>
          </w:tcPr>
          <w:p w14:paraId="603B0CB4" w14:textId="15881FC6" w:rsidR="001A2B81" w:rsidRPr="00D20AFB" w:rsidRDefault="001A2B81" w:rsidP="001A2B81">
            <w:pPr>
              <w:pStyle w:val="Tabletext"/>
            </w:pPr>
            <w:r w:rsidRPr="00D20AFB">
              <w:rPr>
                <w:lang w:eastAsia="en-GB"/>
              </w:rPr>
              <w:t>3</w:t>
            </w:r>
            <w:r w:rsidR="005C6FE1">
              <w:rPr>
                <w:lang w:eastAsia="en-GB"/>
              </w:rPr>
              <w:t>0</w:t>
            </w:r>
          </w:p>
        </w:tc>
        <w:tc>
          <w:tcPr>
            <w:tcW w:w="805" w:type="pct"/>
            <w:shd w:val="clear" w:color="auto" w:fill="FFFFFF" w:themeFill="background1"/>
          </w:tcPr>
          <w:p w14:paraId="546336CC" w14:textId="7EB4D8B2" w:rsidR="001A2B81" w:rsidRPr="00AC0B77" w:rsidRDefault="001A2B81" w:rsidP="001A2B81">
            <w:pPr>
              <w:pStyle w:val="Tabletext"/>
            </w:pPr>
            <w:r w:rsidRPr="006636B3">
              <w:t xml:space="preserve">AGILE (Special Interest Group Representing Physiotherapists Working </w:t>
            </w:r>
            <w:proofErr w:type="gramStart"/>
            <w:r w:rsidRPr="006636B3">
              <w:t>With</w:t>
            </w:r>
            <w:proofErr w:type="gramEnd"/>
            <w:r w:rsidRPr="006636B3">
              <w:t xml:space="preserve"> Older People), Affiliated to the Chartered Society of Physiotherapy</w:t>
            </w:r>
          </w:p>
        </w:tc>
        <w:tc>
          <w:tcPr>
            <w:tcW w:w="0" w:type="auto"/>
            <w:shd w:val="clear" w:color="auto" w:fill="FFFFFF" w:themeFill="background1"/>
          </w:tcPr>
          <w:p w14:paraId="7AEA12E1" w14:textId="77777777" w:rsidR="001A2B81" w:rsidRPr="00A7539E" w:rsidRDefault="001A2B81" w:rsidP="001A2B81">
            <w:pPr>
              <w:pStyle w:val="Tabletext"/>
              <w:shd w:val="clear" w:color="auto" w:fill="FFFFFF" w:themeFill="background1"/>
              <w:rPr>
                <w:b/>
              </w:rPr>
            </w:pPr>
            <w:r w:rsidRPr="00970AE1">
              <w:rPr>
                <w:b/>
              </w:rPr>
              <w:t>Postoperative rehabilitation</w:t>
            </w:r>
            <w:r>
              <w:rPr>
                <w:b/>
              </w:rPr>
              <w:t xml:space="preserve"> and long-term care</w:t>
            </w:r>
            <w:r w:rsidRPr="00970AE1">
              <w:rPr>
                <w:b/>
              </w:rPr>
              <w:t>:</w:t>
            </w:r>
            <w:r>
              <w:rPr>
                <w:b/>
              </w:rPr>
              <w:t xml:space="preserve"> </w:t>
            </w:r>
            <w:r>
              <w:t>3</w:t>
            </w:r>
          </w:p>
          <w:p w14:paraId="7D3A0F0A" w14:textId="77777777" w:rsidR="001A2B81" w:rsidRPr="00AC0B77" w:rsidRDefault="001A2B81" w:rsidP="001A2B81">
            <w:pPr>
              <w:pStyle w:val="Tabletext"/>
              <w:rPr>
                <w:b/>
              </w:rPr>
            </w:pPr>
          </w:p>
        </w:tc>
        <w:tc>
          <w:tcPr>
            <w:tcW w:w="1155" w:type="pct"/>
            <w:shd w:val="clear" w:color="auto" w:fill="FFFFFF" w:themeFill="background1"/>
          </w:tcPr>
          <w:p w14:paraId="375FF828" w14:textId="00E34970" w:rsidR="001A2B81" w:rsidRPr="00AC0B77" w:rsidRDefault="001A2B81" w:rsidP="001A2B81">
            <w:pPr>
              <w:pStyle w:val="Tabletext"/>
            </w:pPr>
            <w:r w:rsidRPr="00837B5A">
              <w:t>Post operative rehabilitation and goal setting.</w:t>
            </w:r>
          </w:p>
        </w:tc>
        <w:tc>
          <w:tcPr>
            <w:tcW w:w="2035" w:type="pct"/>
            <w:shd w:val="clear" w:color="auto" w:fill="FFFFFF" w:themeFill="background1"/>
          </w:tcPr>
          <w:p w14:paraId="77BFE461" w14:textId="2A84FF5E" w:rsidR="001A2B81" w:rsidRPr="00AC0B77" w:rsidRDefault="001A2B81" w:rsidP="001A2B81">
            <w:pPr>
              <w:pStyle w:val="Tabletext"/>
            </w:pPr>
            <w:r w:rsidRPr="00837B5A">
              <w:t>NICE guideline NG 157 supports assessment of patients by a physiotherapist and occupational therapist prior to discharge from hospital which should include identification of those with frailty, functional impairment or cognitive impairment which will necessitate supervised rehabilitation either in an inpatient rehabilitation setting or in the community.</w:t>
            </w:r>
          </w:p>
        </w:tc>
      </w:tr>
      <w:tr w:rsidR="001A2B81" w:rsidRPr="00C92280" w14:paraId="4C1B8B94" w14:textId="77777777" w:rsidTr="00641E12">
        <w:trPr>
          <w:trHeight w:val="284"/>
        </w:trPr>
        <w:tc>
          <w:tcPr>
            <w:tcW w:w="313" w:type="pct"/>
          </w:tcPr>
          <w:p w14:paraId="046D4392" w14:textId="3C126F5E" w:rsidR="001A2B81" w:rsidRPr="0088696C" w:rsidRDefault="001A2B81" w:rsidP="001A2B81">
            <w:pPr>
              <w:pStyle w:val="Tabletext"/>
            </w:pPr>
            <w:r w:rsidRPr="00D20AFB">
              <w:t>3</w:t>
            </w:r>
            <w:r w:rsidR="00765A68">
              <w:t>1</w:t>
            </w:r>
          </w:p>
        </w:tc>
        <w:tc>
          <w:tcPr>
            <w:tcW w:w="805" w:type="pct"/>
          </w:tcPr>
          <w:p w14:paraId="6EC5E5AB" w14:textId="4C5BE8F6" w:rsidR="001A2B81" w:rsidRPr="0088696C" w:rsidRDefault="001A2B81" w:rsidP="001A2B81">
            <w:pPr>
              <w:pStyle w:val="Tabletext"/>
            </w:pPr>
            <w:r w:rsidRPr="00AC0B77">
              <w:t xml:space="preserve">AGILE (Special Interest Group Representing Physiotherapists Working </w:t>
            </w:r>
            <w:proofErr w:type="gramStart"/>
            <w:r w:rsidRPr="00AC0B77">
              <w:t>With</w:t>
            </w:r>
            <w:proofErr w:type="gramEnd"/>
            <w:r w:rsidRPr="00AC0B77">
              <w:t xml:space="preserve"> Older People), Affiliated to </w:t>
            </w:r>
            <w:r w:rsidRPr="00AC0B77">
              <w:lastRenderedPageBreak/>
              <w:t xml:space="preserve">the Chartered Society of Physiotherapy </w:t>
            </w:r>
            <w:r w:rsidRPr="0088696C">
              <w:fldChar w:fldCharType="begin">
                <w:ffData>
                  <w:name w:val=""/>
                  <w:enabled/>
                  <w:calcOnExit w:val="0"/>
                  <w:textInput>
                    <w:default w:val="[Add text]"/>
                  </w:textInput>
                </w:ffData>
              </w:fldChar>
            </w:r>
            <w:r w:rsidRPr="0088696C">
              <w:instrText xml:space="preserve"> FORMTEXT </w:instrText>
            </w:r>
            <w:r w:rsidR="00751008">
              <w:fldChar w:fldCharType="separate"/>
            </w:r>
            <w:r w:rsidRPr="0088696C">
              <w:fldChar w:fldCharType="end"/>
            </w:r>
          </w:p>
        </w:tc>
        <w:tc>
          <w:tcPr>
            <w:tcW w:w="0" w:type="auto"/>
          </w:tcPr>
          <w:p w14:paraId="3908C2B7" w14:textId="3AC4DBF4" w:rsidR="001A2B81" w:rsidRPr="00A7539E" w:rsidRDefault="001A2B81" w:rsidP="001A2B81">
            <w:pPr>
              <w:pStyle w:val="Tabletext"/>
              <w:rPr>
                <w:b/>
              </w:rPr>
            </w:pPr>
            <w:r w:rsidRPr="00AC0B77">
              <w:rPr>
                <w:b/>
              </w:rPr>
              <w:lastRenderedPageBreak/>
              <w:t>Postoperative rehabilitation</w:t>
            </w:r>
            <w:r>
              <w:rPr>
                <w:b/>
              </w:rPr>
              <w:t xml:space="preserve"> and long-term care</w:t>
            </w:r>
            <w:r w:rsidRPr="00AC0B77">
              <w:rPr>
                <w:b/>
              </w:rPr>
              <w:fldChar w:fldCharType="begin">
                <w:ffData>
                  <w:name w:val=""/>
                  <w:enabled/>
                  <w:calcOnExit w:val="0"/>
                  <w:textInput>
                    <w:default w:val="[Add text]"/>
                  </w:textInput>
                </w:ffData>
              </w:fldChar>
            </w:r>
            <w:r w:rsidRPr="00AC0B77">
              <w:rPr>
                <w:b/>
              </w:rPr>
              <w:instrText xml:space="preserve"> FORMTEXT </w:instrText>
            </w:r>
            <w:r w:rsidR="00751008">
              <w:rPr>
                <w:b/>
              </w:rPr>
            </w:r>
            <w:r w:rsidR="00751008">
              <w:rPr>
                <w:b/>
              </w:rPr>
              <w:fldChar w:fldCharType="separate"/>
            </w:r>
            <w:r w:rsidRPr="00AC0B77">
              <w:rPr>
                <w:b/>
              </w:rPr>
              <w:fldChar w:fldCharType="end"/>
            </w:r>
            <w:r w:rsidRPr="00AC0B77">
              <w:rPr>
                <w:b/>
              </w:rPr>
              <w:t>:</w:t>
            </w:r>
            <w:r>
              <w:rPr>
                <w:b/>
              </w:rPr>
              <w:t xml:space="preserve"> </w:t>
            </w:r>
            <w:r w:rsidRPr="00AC0B77">
              <w:t>4</w:t>
            </w:r>
          </w:p>
        </w:tc>
        <w:tc>
          <w:tcPr>
            <w:tcW w:w="1155" w:type="pct"/>
          </w:tcPr>
          <w:p w14:paraId="6C95855C" w14:textId="60A7AE22" w:rsidR="001A2B81" w:rsidRPr="0088696C" w:rsidRDefault="001A2B81" w:rsidP="001A2B81">
            <w:pPr>
              <w:pStyle w:val="Tabletext"/>
            </w:pPr>
            <w:r w:rsidRPr="00AC0B77">
              <w:t>Community rehabilitation</w:t>
            </w:r>
          </w:p>
        </w:tc>
        <w:tc>
          <w:tcPr>
            <w:tcW w:w="2035" w:type="pct"/>
          </w:tcPr>
          <w:p w14:paraId="3F2A12AF" w14:textId="1336D143" w:rsidR="001A2B81" w:rsidRPr="0088696C" w:rsidRDefault="001A2B81" w:rsidP="001A2B81">
            <w:pPr>
              <w:pStyle w:val="Tabletext"/>
            </w:pPr>
            <w:r w:rsidRPr="00AC0B77">
              <w:t xml:space="preserve">NICE guidance on patients with hip fracture supports the timely provision of ongoing rehabilitation in community settings. Similarities between people with frailty who experience hip fracture and people with frailty who require joint replacement would suggest that it is likely that the </w:t>
            </w:r>
            <w:proofErr w:type="gramStart"/>
            <w:r w:rsidRPr="00AC0B77">
              <w:t xml:space="preserve">more </w:t>
            </w:r>
            <w:r w:rsidRPr="00AC0B77">
              <w:lastRenderedPageBreak/>
              <w:t>timely</w:t>
            </w:r>
            <w:proofErr w:type="gramEnd"/>
            <w:r w:rsidRPr="00AC0B77">
              <w:t xml:space="preserve"> rehabilitation is following discharge the better the functional outcome will be.</w:t>
            </w:r>
          </w:p>
        </w:tc>
      </w:tr>
      <w:tr w:rsidR="001A2B81" w:rsidRPr="00C92280" w14:paraId="0DA0B19B" w14:textId="77777777" w:rsidTr="00641E12">
        <w:trPr>
          <w:trHeight w:val="284"/>
        </w:trPr>
        <w:tc>
          <w:tcPr>
            <w:tcW w:w="313" w:type="pct"/>
          </w:tcPr>
          <w:p w14:paraId="57063B3F" w14:textId="4813486C" w:rsidR="001A2B81" w:rsidRPr="00D20AFB" w:rsidRDefault="001A2B81" w:rsidP="001A2B81">
            <w:pPr>
              <w:pStyle w:val="Tabletext"/>
              <w:rPr>
                <w:lang w:eastAsia="en-GB"/>
              </w:rPr>
            </w:pPr>
            <w:r w:rsidRPr="00D20AFB">
              <w:rPr>
                <w:lang w:eastAsia="en-GB"/>
              </w:rPr>
              <w:lastRenderedPageBreak/>
              <w:t>3</w:t>
            </w:r>
            <w:r w:rsidR="00765A68">
              <w:rPr>
                <w:lang w:eastAsia="en-GB"/>
              </w:rPr>
              <w:t>2</w:t>
            </w:r>
          </w:p>
        </w:tc>
        <w:tc>
          <w:tcPr>
            <w:tcW w:w="805" w:type="pct"/>
          </w:tcPr>
          <w:p w14:paraId="251BC0D9" w14:textId="6F640FD3" w:rsidR="001A2B81" w:rsidRDefault="001A2B81" w:rsidP="001A2B81">
            <w:pPr>
              <w:pStyle w:val="Tabletext"/>
            </w:pPr>
            <w:r w:rsidRPr="00776158">
              <w:t>Bristol Medical School (Musculoskeletal Research Unit)</w:t>
            </w:r>
          </w:p>
        </w:tc>
        <w:tc>
          <w:tcPr>
            <w:tcW w:w="0" w:type="auto"/>
          </w:tcPr>
          <w:p w14:paraId="34C1F9F5" w14:textId="6F3FCBA8" w:rsidR="001A2B81" w:rsidRPr="00A7539E" w:rsidRDefault="001A2B81" w:rsidP="001A2B81">
            <w:pPr>
              <w:pStyle w:val="Tabletext"/>
              <w:rPr>
                <w:b/>
              </w:rPr>
            </w:pPr>
            <w:r w:rsidRPr="00970AE1">
              <w:rPr>
                <w:b/>
              </w:rPr>
              <w:t>Postoperative rehabilitation</w:t>
            </w:r>
            <w:r>
              <w:rPr>
                <w:b/>
              </w:rPr>
              <w:t xml:space="preserve"> and long-term care</w:t>
            </w:r>
            <w:r w:rsidRPr="00970AE1">
              <w:rPr>
                <w:b/>
              </w:rPr>
              <w:t>:</w:t>
            </w:r>
            <w:r>
              <w:rPr>
                <w:b/>
              </w:rPr>
              <w:t xml:space="preserve"> </w:t>
            </w:r>
            <w:r w:rsidRPr="00970AE1">
              <w:t>2: Evidence based post-operative care to prevent and mitigate long-term issues</w:t>
            </w:r>
          </w:p>
        </w:tc>
        <w:tc>
          <w:tcPr>
            <w:tcW w:w="1155" w:type="pct"/>
          </w:tcPr>
          <w:p w14:paraId="7B17623C" w14:textId="77777777" w:rsidR="001A2B81" w:rsidRDefault="001A2B81" w:rsidP="001A2B81">
            <w:pPr>
              <w:pStyle w:val="Tabletext"/>
              <w:rPr>
                <w:lang w:eastAsia="en-GB"/>
              </w:rPr>
            </w:pPr>
            <w:r>
              <w:rPr>
                <w:lang w:eastAsia="en-GB"/>
              </w:rPr>
              <w:t>TKR is performed to reduce pain and improve function for people with osteoarthritis; however, 20-30% of patients with TKR report long-term disability and 10-34% report chronic pain. Many people do not return to more demanding activities after TKR, such as gardening, kneeling, sports and valued leisure activities. These poor outcomes have a considerable negative impact on quality of life. Post-operative inpatient physiotherapy is focussed on early functional recovery and independent mobilisation to ensure safe hospital discharge, rather than long-term functional improvement. The optimal time to deliver interventions targeted at improving long-term function and pain after TKR may be after hospital discharge.</w:t>
            </w:r>
          </w:p>
          <w:p w14:paraId="39D927C0" w14:textId="5AD6CE1C" w:rsidR="001A2B81" w:rsidRDefault="001A2B81" w:rsidP="001A2B81">
            <w:pPr>
              <w:pStyle w:val="Tabletext"/>
              <w:rPr>
                <w:lang w:eastAsia="en-GB"/>
              </w:rPr>
            </w:pPr>
          </w:p>
          <w:p w14:paraId="7DADEE72" w14:textId="154E72FF" w:rsidR="001A2B81" w:rsidRPr="00D20AFB" w:rsidRDefault="001A2B81" w:rsidP="001A2B81">
            <w:pPr>
              <w:pStyle w:val="Tabletext"/>
              <w:rPr>
                <w:b/>
                <w:bCs/>
                <w:lang w:eastAsia="en-GB"/>
              </w:rPr>
            </w:pPr>
            <w:r>
              <w:rPr>
                <w:b/>
                <w:bCs/>
                <w:lang w:eastAsia="en-GB"/>
              </w:rPr>
              <w:t>Why is this  important?</w:t>
            </w:r>
          </w:p>
          <w:p w14:paraId="109EFD87" w14:textId="3B690825" w:rsidR="001A2B81" w:rsidRPr="00783357" w:rsidRDefault="001A2B81" w:rsidP="001A2B81">
            <w:pPr>
              <w:pStyle w:val="Tabletext"/>
              <w:rPr>
                <w:lang w:eastAsia="en-GB"/>
              </w:rPr>
            </w:pPr>
            <w:r>
              <w:rPr>
                <w:lang w:eastAsia="en-GB"/>
              </w:rPr>
              <w:t>Supplementing usual NHS care with post-discharge group</w:t>
            </w:r>
            <w:r>
              <w:rPr>
                <w:rFonts w:ascii="Cambria Math" w:hAnsi="Cambria Math" w:cs="Cambria Math"/>
                <w:lang w:eastAsia="en-GB"/>
              </w:rPr>
              <w:t>‐</w:t>
            </w:r>
            <w:r>
              <w:rPr>
                <w:lang w:eastAsia="en-GB"/>
              </w:rPr>
              <w:t xml:space="preserve">based outpatient physiotherapy has </w:t>
            </w:r>
            <w:r>
              <w:rPr>
                <w:lang w:eastAsia="en-GB"/>
              </w:rPr>
              <w:lastRenderedPageBreak/>
              <w:t>short-term benefit and may improve function up to a year after TKR but the effect may not be clinically important. For post-discharge exercise-based rehabilitation, there is no evidence that one type of physiotherapy intervention is more effective than another at preventing chronic pain after TKR. For people with long-term pain after TKR, few evidence-based interventions are available. Further research is needed to evaluate non-exercise interventions, including the provision of care as part of a stratified and multidisciplinary care package.</w:t>
            </w:r>
          </w:p>
        </w:tc>
        <w:tc>
          <w:tcPr>
            <w:tcW w:w="2035" w:type="pct"/>
          </w:tcPr>
          <w:p w14:paraId="66D27175" w14:textId="2B83C6BA" w:rsidR="001A2B81" w:rsidRDefault="001A2B81" w:rsidP="001A2B81">
            <w:pPr>
              <w:autoSpaceDE w:val="0"/>
              <w:autoSpaceDN w:val="0"/>
              <w:adjustRightInd w:val="0"/>
              <w:rPr>
                <w:rFonts w:ascii="Arial" w:eastAsia="Calibri" w:hAnsi="Arial" w:cs="Arial"/>
                <w:sz w:val="22"/>
                <w:szCs w:val="22"/>
              </w:rPr>
            </w:pPr>
            <w:r w:rsidRPr="0003685F">
              <w:rPr>
                <w:rFonts w:ascii="Arial" w:eastAsia="Calibri" w:hAnsi="Arial" w:cs="Arial"/>
                <w:sz w:val="22"/>
                <w:szCs w:val="22"/>
              </w:rPr>
              <w:lastRenderedPageBreak/>
              <w:t xml:space="preserve">Artz, N, Elvers, KT, </w:t>
            </w:r>
            <w:proofErr w:type="spellStart"/>
            <w:r w:rsidRPr="0003685F">
              <w:rPr>
                <w:rFonts w:ascii="Arial" w:eastAsia="Calibri" w:hAnsi="Arial" w:cs="Arial"/>
                <w:sz w:val="22"/>
                <w:szCs w:val="22"/>
              </w:rPr>
              <w:t>Minns</w:t>
            </w:r>
            <w:proofErr w:type="spellEnd"/>
            <w:r w:rsidRPr="0003685F">
              <w:rPr>
                <w:rFonts w:ascii="Arial" w:eastAsia="Calibri" w:hAnsi="Arial" w:cs="Arial"/>
                <w:sz w:val="22"/>
                <w:szCs w:val="22"/>
              </w:rPr>
              <w:t xml:space="preserve"> Lowe, C, Sackley, C, Jepson, P, Beswick, AD. Effectiveness of physiotherapy exercise following total knee replacement: Systematic review and meta-analysis. BMC </w:t>
            </w:r>
            <w:proofErr w:type="spellStart"/>
            <w:r w:rsidRPr="0003685F">
              <w:rPr>
                <w:rFonts w:ascii="Arial" w:eastAsia="Calibri" w:hAnsi="Arial" w:cs="Arial"/>
                <w:sz w:val="22"/>
                <w:szCs w:val="22"/>
              </w:rPr>
              <w:t>Musculoskel</w:t>
            </w:r>
            <w:proofErr w:type="spellEnd"/>
            <w:r w:rsidRPr="0003685F">
              <w:rPr>
                <w:rFonts w:ascii="Arial" w:eastAsia="Calibri" w:hAnsi="Arial" w:cs="Arial"/>
                <w:sz w:val="22"/>
                <w:szCs w:val="22"/>
              </w:rPr>
              <w:t xml:space="preserve"> </w:t>
            </w:r>
            <w:proofErr w:type="spellStart"/>
            <w:r w:rsidRPr="0003685F">
              <w:rPr>
                <w:rFonts w:ascii="Arial" w:eastAsia="Calibri" w:hAnsi="Arial" w:cs="Arial"/>
                <w:sz w:val="22"/>
                <w:szCs w:val="22"/>
              </w:rPr>
              <w:t>Disord</w:t>
            </w:r>
            <w:proofErr w:type="spellEnd"/>
            <w:r w:rsidRPr="0003685F">
              <w:rPr>
                <w:rFonts w:ascii="Arial" w:eastAsia="Calibri" w:hAnsi="Arial" w:cs="Arial"/>
                <w:sz w:val="22"/>
                <w:szCs w:val="22"/>
              </w:rPr>
              <w:t xml:space="preserve"> 2015; 16(1): 15. DOI: 10.1186/s12891-015-0469-6.</w:t>
            </w:r>
          </w:p>
          <w:p w14:paraId="796B8CBB" w14:textId="77777777" w:rsidR="001A2B81" w:rsidRPr="0003685F" w:rsidRDefault="001A2B81" w:rsidP="001A2B81">
            <w:pPr>
              <w:autoSpaceDE w:val="0"/>
              <w:autoSpaceDN w:val="0"/>
              <w:adjustRightInd w:val="0"/>
              <w:rPr>
                <w:rFonts w:ascii="Arial" w:eastAsia="Calibri" w:hAnsi="Arial" w:cs="Arial"/>
                <w:sz w:val="22"/>
                <w:szCs w:val="22"/>
              </w:rPr>
            </w:pPr>
          </w:p>
          <w:p w14:paraId="3257727E" w14:textId="77777777" w:rsidR="001A2B81" w:rsidRPr="0003685F" w:rsidRDefault="001A2B81" w:rsidP="001A2B81">
            <w:pPr>
              <w:autoSpaceDE w:val="0"/>
              <w:autoSpaceDN w:val="0"/>
              <w:adjustRightInd w:val="0"/>
              <w:rPr>
                <w:rFonts w:ascii="Arial" w:eastAsia="Calibri" w:hAnsi="Arial" w:cs="Arial"/>
                <w:sz w:val="22"/>
                <w:szCs w:val="22"/>
              </w:rPr>
            </w:pPr>
            <w:proofErr w:type="spellStart"/>
            <w:r w:rsidRPr="0003685F">
              <w:rPr>
                <w:rFonts w:ascii="Arial" w:eastAsia="Calibri" w:hAnsi="Arial" w:cs="Arial"/>
                <w:sz w:val="22"/>
                <w:szCs w:val="22"/>
              </w:rPr>
              <w:t>Wylde</w:t>
            </w:r>
            <w:proofErr w:type="spellEnd"/>
            <w:r w:rsidRPr="0003685F">
              <w:rPr>
                <w:rFonts w:ascii="Arial" w:eastAsia="Calibri" w:hAnsi="Arial" w:cs="Arial"/>
                <w:sz w:val="22"/>
                <w:szCs w:val="22"/>
              </w:rPr>
              <w:t xml:space="preserve"> V, Dennis J, </w:t>
            </w:r>
            <w:proofErr w:type="spellStart"/>
            <w:r w:rsidRPr="0003685F">
              <w:rPr>
                <w:rFonts w:ascii="Arial" w:eastAsia="Calibri" w:hAnsi="Arial" w:cs="Arial"/>
                <w:sz w:val="22"/>
                <w:szCs w:val="22"/>
              </w:rPr>
              <w:t>Gooberman</w:t>
            </w:r>
            <w:proofErr w:type="spellEnd"/>
            <w:r w:rsidRPr="0003685F">
              <w:rPr>
                <w:rFonts w:ascii="Arial" w:eastAsia="Calibri" w:hAnsi="Arial" w:cs="Arial"/>
                <w:sz w:val="22"/>
                <w:szCs w:val="22"/>
              </w:rPr>
              <w:t xml:space="preserve">-Hill R, et al. Effectiveness of </w:t>
            </w:r>
            <w:proofErr w:type="spellStart"/>
            <w:r w:rsidRPr="0003685F">
              <w:rPr>
                <w:rFonts w:ascii="Arial" w:eastAsia="Calibri" w:hAnsi="Arial" w:cs="Arial"/>
                <w:sz w:val="22"/>
                <w:szCs w:val="22"/>
              </w:rPr>
              <w:t>postdischarge</w:t>
            </w:r>
            <w:proofErr w:type="spellEnd"/>
            <w:r w:rsidRPr="0003685F">
              <w:rPr>
                <w:rFonts w:ascii="Arial" w:eastAsia="Calibri" w:hAnsi="Arial" w:cs="Arial"/>
                <w:sz w:val="22"/>
                <w:szCs w:val="22"/>
              </w:rPr>
              <w:t xml:space="preserve"> interventions for reducing the severity of chronic pain after total knee replacement: systematic review of randomised controlled trials. BMJ Open 2018;8:e020368. </w:t>
            </w:r>
            <w:proofErr w:type="spellStart"/>
            <w:r w:rsidRPr="0003685F">
              <w:rPr>
                <w:rFonts w:ascii="Arial" w:eastAsia="Calibri" w:hAnsi="Arial" w:cs="Arial"/>
                <w:sz w:val="22"/>
                <w:szCs w:val="22"/>
              </w:rPr>
              <w:t>doi</w:t>
            </w:r>
            <w:proofErr w:type="spellEnd"/>
            <w:r w:rsidRPr="0003685F">
              <w:rPr>
                <w:rFonts w:ascii="Arial" w:eastAsia="Calibri" w:hAnsi="Arial" w:cs="Arial"/>
                <w:sz w:val="22"/>
                <w:szCs w:val="22"/>
              </w:rPr>
              <w:t>: 10.1136/bmjopen-2017-020368</w:t>
            </w:r>
          </w:p>
          <w:p w14:paraId="5FD00F35" w14:textId="2E02E6DC" w:rsidR="001A2B81" w:rsidRDefault="001A2B81" w:rsidP="001A2B81">
            <w:pPr>
              <w:autoSpaceDE w:val="0"/>
              <w:autoSpaceDN w:val="0"/>
              <w:adjustRightInd w:val="0"/>
              <w:rPr>
                <w:rFonts w:ascii="Arial" w:eastAsia="Calibri" w:hAnsi="Arial" w:cs="Arial"/>
                <w:sz w:val="22"/>
                <w:szCs w:val="22"/>
              </w:rPr>
            </w:pPr>
            <w:proofErr w:type="spellStart"/>
            <w:r w:rsidRPr="0003685F">
              <w:rPr>
                <w:rFonts w:ascii="Arial" w:eastAsia="Calibri" w:hAnsi="Arial" w:cs="Arial"/>
                <w:sz w:val="22"/>
                <w:szCs w:val="22"/>
              </w:rPr>
              <w:t>Lenguerrand</w:t>
            </w:r>
            <w:proofErr w:type="spellEnd"/>
            <w:r w:rsidRPr="0003685F">
              <w:rPr>
                <w:rFonts w:ascii="Arial" w:eastAsia="Calibri" w:hAnsi="Arial" w:cs="Arial"/>
                <w:sz w:val="22"/>
                <w:szCs w:val="22"/>
              </w:rPr>
              <w:t xml:space="preserve">, E., Artz, N., Marques, E., Sanderson, E., Lewis, K., Murray, J., </w:t>
            </w:r>
            <w:proofErr w:type="spellStart"/>
            <w:r w:rsidRPr="0003685F">
              <w:rPr>
                <w:rFonts w:ascii="Arial" w:eastAsia="Calibri" w:hAnsi="Arial" w:cs="Arial"/>
                <w:sz w:val="22"/>
                <w:szCs w:val="22"/>
              </w:rPr>
              <w:t>Parwez</w:t>
            </w:r>
            <w:proofErr w:type="spellEnd"/>
            <w:r w:rsidRPr="0003685F">
              <w:rPr>
                <w:rFonts w:ascii="Arial" w:eastAsia="Calibri" w:hAnsi="Arial" w:cs="Arial"/>
                <w:sz w:val="22"/>
                <w:szCs w:val="22"/>
              </w:rPr>
              <w:t xml:space="preserve">, T., Bertram, W., Beswick, A.D., </w:t>
            </w:r>
            <w:proofErr w:type="spellStart"/>
            <w:r w:rsidRPr="0003685F">
              <w:rPr>
                <w:rFonts w:ascii="Arial" w:eastAsia="Calibri" w:hAnsi="Arial" w:cs="Arial"/>
                <w:sz w:val="22"/>
                <w:szCs w:val="22"/>
              </w:rPr>
              <w:t>Burston</w:t>
            </w:r>
            <w:proofErr w:type="spellEnd"/>
            <w:r w:rsidRPr="0003685F">
              <w:rPr>
                <w:rFonts w:ascii="Arial" w:eastAsia="Calibri" w:hAnsi="Arial" w:cs="Arial"/>
                <w:sz w:val="22"/>
                <w:szCs w:val="22"/>
              </w:rPr>
              <w:t xml:space="preserve">, A., </w:t>
            </w:r>
            <w:proofErr w:type="spellStart"/>
            <w:r w:rsidRPr="0003685F">
              <w:rPr>
                <w:rFonts w:ascii="Arial" w:eastAsia="Calibri" w:hAnsi="Arial" w:cs="Arial"/>
                <w:sz w:val="22"/>
                <w:szCs w:val="22"/>
              </w:rPr>
              <w:t>Gooberman</w:t>
            </w:r>
            <w:proofErr w:type="spellEnd"/>
            <w:r w:rsidRPr="0003685F">
              <w:rPr>
                <w:rFonts w:ascii="Cambria Math" w:eastAsia="Calibri" w:hAnsi="Cambria Math" w:cs="Cambria Math"/>
                <w:sz w:val="22"/>
                <w:szCs w:val="22"/>
              </w:rPr>
              <w:t>‐</w:t>
            </w:r>
            <w:r w:rsidRPr="0003685F">
              <w:rPr>
                <w:rFonts w:ascii="Arial" w:eastAsia="Calibri" w:hAnsi="Arial" w:cs="Arial"/>
                <w:sz w:val="22"/>
                <w:szCs w:val="22"/>
              </w:rPr>
              <w:t xml:space="preserve">Hill, R., </w:t>
            </w:r>
            <w:proofErr w:type="spellStart"/>
            <w:r w:rsidRPr="0003685F">
              <w:rPr>
                <w:rFonts w:ascii="Arial" w:eastAsia="Calibri" w:hAnsi="Arial" w:cs="Arial"/>
                <w:sz w:val="22"/>
                <w:szCs w:val="22"/>
              </w:rPr>
              <w:t>Blom</w:t>
            </w:r>
            <w:proofErr w:type="spellEnd"/>
            <w:r w:rsidRPr="0003685F">
              <w:rPr>
                <w:rFonts w:ascii="Arial" w:eastAsia="Calibri" w:hAnsi="Arial" w:cs="Arial"/>
                <w:sz w:val="22"/>
                <w:szCs w:val="22"/>
              </w:rPr>
              <w:t xml:space="preserve">, A.W. and </w:t>
            </w:r>
            <w:proofErr w:type="spellStart"/>
            <w:r w:rsidRPr="0003685F">
              <w:rPr>
                <w:rFonts w:ascii="Arial" w:eastAsia="Calibri" w:hAnsi="Arial" w:cs="Arial"/>
                <w:sz w:val="22"/>
                <w:szCs w:val="22"/>
              </w:rPr>
              <w:t>Wylde</w:t>
            </w:r>
            <w:proofErr w:type="spellEnd"/>
            <w:r w:rsidRPr="0003685F">
              <w:rPr>
                <w:rFonts w:ascii="Arial" w:eastAsia="Calibri" w:hAnsi="Arial" w:cs="Arial"/>
                <w:sz w:val="22"/>
                <w:szCs w:val="22"/>
              </w:rPr>
              <w:t>, V. (2020), Effect of group</w:t>
            </w:r>
            <w:r w:rsidRPr="0003685F">
              <w:rPr>
                <w:rFonts w:ascii="Cambria Math" w:eastAsia="Calibri" w:hAnsi="Cambria Math" w:cs="Cambria Math"/>
                <w:sz w:val="22"/>
                <w:szCs w:val="22"/>
              </w:rPr>
              <w:t>‐</w:t>
            </w:r>
            <w:r w:rsidRPr="0003685F">
              <w:rPr>
                <w:rFonts w:ascii="Arial" w:eastAsia="Calibri" w:hAnsi="Arial" w:cs="Arial"/>
                <w:sz w:val="22"/>
                <w:szCs w:val="22"/>
              </w:rPr>
              <w:t>based outpatient physiotherapy on function after total knee replacement: The ARENA randomised controlled trial. Arthritis Care Res. Accepted Author Manuscript. doi:10.1002/acr.23909</w:t>
            </w:r>
          </w:p>
          <w:p w14:paraId="405F4264" w14:textId="77777777" w:rsidR="001A2B81" w:rsidRPr="0003685F" w:rsidRDefault="001A2B81" w:rsidP="001A2B81">
            <w:pPr>
              <w:autoSpaceDE w:val="0"/>
              <w:autoSpaceDN w:val="0"/>
              <w:adjustRightInd w:val="0"/>
              <w:rPr>
                <w:rFonts w:ascii="Arial" w:eastAsia="Calibri" w:hAnsi="Arial" w:cs="Arial"/>
                <w:sz w:val="22"/>
                <w:szCs w:val="22"/>
              </w:rPr>
            </w:pPr>
          </w:p>
          <w:p w14:paraId="4BE45060" w14:textId="77777777" w:rsidR="001A2B81" w:rsidRPr="0003685F" w:rsidRDefault="001A2B81" w:rsidP="001A2B81">
            <w:pPr>
              <w:autoSpaceDE w:val="0"/>
              <w:autoSpaceDN w:val="0"/>
              <w:adjustRightInd w:val="0"/>
              <w:rPr>
                <w:rFonts w:ascii="Arial" w:eastAsia="Calibri" w:hAnsi="Arial" w:cs="Arial"/>
                <w:sz w:val="22"/>
                <w:szCs w:val="22"/>
              </w:rPr>
            </w:pPr>
            <w:proofErr w:type="spellStart"/>
            <w:r w:rsidRPr="0003685F">
              <w:rPr>
                <w:rFonts w:ascii="Arial" w:eastAsia="Calibri" w:hAnsi="Arial" w:cs="Arial"/>
                <w:sz w:val="22"/>
                <w:szCs w:val="22"/>
              </w:rPr>
              <w:t>Wylde</w:t>
            </w:r>
            <w:proofErr w:type="spellEnd"/>
            <w:r w:rsidRPr="0003685F">
              <w:rPr>
                <w:rFonts w:ascii="Arial" w:eastAsia="Calibri" w:hAnsi="Arial" w:cs="Arial"/>
                <w:sz w:val="22"/>
                <w:szCs w:val="22"/>
              </w:rPr>
              <w:t>, V., Howells, N., Bertram, W. et al. Development of a complex intervention for people with chronic pain after knee replacement: the STAR care pathway. Trials 19, 61 (2018). https://doi.org/10.1186/s13063-017-2391-8</w:t>
            </w:r>
          </w:p>
          <w:p w14:paraId="3E70EF7F" w14:textId="2182C036" w:rsidR="001A2B81" w:rsidRPr="00783357" w:rsidRDefault="001A2B81" w:rsidP="001A2B81">
            <w:pPr>
              <w:autoSpaceDE w:val="0"/>
              <w:autoSpaceDN w:val="0"/>
              <w:adjustRightInd w:val="0"/>
              <w:rPr>
                <w:rFonts w:ascii="Arial" w:eastAsia="Calibri" w:hAnsi="Arial" w:cs="Arial"/>
                <w:sz w:val="22"/>
                <w:szCs w:val="22"/>
              </w:rPr>
            </w:pPr>
            <w:r w:rsidRPr="0003685F">
              <w:rPr>
                <w:rFonts w:ascii="Arial" w:eastAsia="Calibri" w:hAnsi="Arial" w:cs="Arial"/>
                <w:sz w:val="22"/>
                <w:szCs w:val="22"/>
              </w:rPr>
              <w:t xml:space="preserve">Beswick AD, </w:t>
            </w:r>
            <w:proofErr w:type="spellStart"/>
            <w:r w:rsidRPr="0003685F">
              <w:rPr>
                <w:rFonts w:ascii="Arial" w:eastAsia="Calibri" w:hAnsi="Arial" w:cs="Arial"/>
                <w:sz w:val="22"/>
                <w:szCs w:val="22"/>
              </w:rPr>
              <w:t>Wylde</w:t>
            </w:r>
            <w:proofErr w:type="spellEnd"/>
            <w:r w:rsidRPr="0003685F">
              <w:rPr>
                <w:rFonts w:ascii="Arial" w:eastAsia="Calibri" w:hAnsi="Arial" w:cs="Arial"/>
                <w:sz w:val="22"/>
                <w:szCs w:val="22"/>
              </w:rPr>
              <w:t xml:space="preserve"> V, </w:t>
            </w:r>
            <w:proofErr w:type="spellStart"/>
            <w:r w:rsidRPr="0003685F">
              <w:rPr>
                <w:rFonts w:ascii="Arial" w:eastAsia="Calibri" w:hAnsi="Arial" w:cs="Arial"/>
                <w:sz w:val="22"/>
                <w:szCs w:val="22"/>
              </w:rPr>
              <w:t>Gooberman</w:t>
            </w:r>
            <w:proofErr w:type="spellEnd"/>
            <w:r w:rsidRPr="0003685F">
              <w:rPr>
                <w:rFonts w:ascii="Arial" w:eastAsia="Calibri" w:hAnsi="Arial" w:cs="Arial"/>
                <w:sz w:val="22"/>
                <w:szCs w:val="22"/>
              </w:rPr>
              <w:t xml:space="preserve">-Hill </w:t>
            </w:r>
            <w:proofErr w:type="spellStart"/>
            <w:r w:rsidRPr="0003685F">
              <w:rPr>
                <w:rFonts w:ascii="Arial" w:eastAsia="Calibri" w:hAnsi="Arial" w:cs="Arial"/>
                <w:sz w:val="22"/>
                <w:szCs w:val="22"/>
              </w:rPr>
              <w:t>RInterventions</w:t>
            </w:r>
            <w:proofErr w:type="spellEnd"/>
            <w:r w:rsidRPr="0003685F">
              <w:rPr>
                <w:rFonts w:ascii="Arial" w:eastAsia="Calibri" w:hAnsi="Arial" w:cs="Arial"/>
                <w:sz w:val="22"/>
                <w:szCs w:val="22"/>
              </w:rPr>
              <w:t xml:space="preserve"> for the prediction and management of chronic postsurgical pain after total knee replacement: systematic review of randomised controlled trials</w:t>
            </w:r>
            <w:r>
              <w:rPr>
                <w:rFonts w:ascii="Arial" w:eastAsia="Calibri" w:hAnsi="Arial" w:cs="Arial"/>
                <w:sz w:val="22"/>
                <w:szCs w:val="22"/>
              </w:rPr>
              <w:t xml:space="preserve"> </w:t>
            </w:r>
            <w:r w:rsidRPr="0003685F">
              <w:rPr>
                <w:rFonts w:ascii="Arial" w:eastAsia="Calibri" w:hAnsi="Arial" w:cs="Arial"/>
                <w:sz w:val="22"/>
                <w:szCs w:val="22"/>
              </w:rPr>
              <w:t xml:space="preserve">BMJ Open 2015;5:e007387. </w:t>
            </w:r>
            <w:proofErr w:type="spellStart"/>
            <w:r w:rsidRPr="0003685F">
              <w:rPr>
                <w:rFonts w:ascii="Arial" w:eastAsia="Calibri" w:hAnsi="Arial" w:cs="Arial"/>
                <w:sz w:val="22"/>
                <w:szCs w:val="22"/>
              </w:rPr>
              <w:t>doi</w:t>
            </w:r>
            <w:proofErr w:type="spellEnd"/>
            <w:r w:rsidRPr="0003685F">
              <w:rPr>
                <w:rFonts w:ascii="Arial" w:eastAsia="Calibri" w:hAnsi="Arial" w:cs="Arial"/>
                <w:sz w:val="22"/>
                <w:szCs w:val="22"/>
              </w:rPr>
              <w:t>: 10.1136/bmjopen-2014-007387</w:t>
            </w:r>
          </w:p>
        </w:tc>
      </w:tr>
      <w:tr w:rsidR="001A2B81" w:rsidRPr="00C92280" w14:paraId="0F7E58B3" w14:textId="77777777" w:rsidTr="00641E12">
        <w:trPr>
          <w:trHeight w:val="284"/>
        </w:trPr>
        <w:tc>
          <w:tcPr>
            <w:tcW w:w="313" w:type="pct"/>
          </w:tcPr>
          <w:p w14:paraId="49E7FF5A" w14:textId="4F125983" w:rsidR="001A2B81" w:rsidRPr="00F27622" w:rsidRDefault="001A2B81" w:rsidP="001A2B81">
            <w:pPr>
              <w:pStyle w:val="Tabletext"/>
              <w:rPr>
                <w:highlight w:val="cyan"/>
                <w:lang w:eastAsia="en-GB"/>
              </w:rPr>
            </w:pPr>
            <w:r w:rsidRPr="00D20AFB">
              <w:rPr>
                <w:lang w:eastAsia="en-GB"/>
              </w:rPr>
              <w:t>3</w:t>
            </w:r>
            <w:r w:rsidR="00765A68">
              <w:rPr>
                <w:lang w:eastAsia="en-GB"/>
              </w:rPr>
              <w:t>3</w:t>
            </w:r>
          </w:p>
        </w:tc>
        <w:tc>
          <w:tcPr>
            <w:tcW w:w="805" w:type="pct"/>
          </w:tcPr>
          <w:p w14:paraId="643C0599" w14:textId="095249D1" w:rsidR="001A2B81" w:rsidRDefault="001A2B81" w:rsidP="001A2B81">
            <w:pPr>
              <w:pStyle w:val="Tabletext"/>
            </w:pPr>
            <w:r w:rsidRPr="00776158">
              <w:t>Bristol Medical School (Musculoskeletal Research Unit)</w:t>
            </w:r>
          </w:p>
        </w:tc>
        <w:tc>
          <w:tcPr>
            <w:tcW w:w="0" w:type="auto"/>
          </w:tcPr>
          <w:p w14:paraId="3168CB92" w14:textId="11C53197" w:rsidR="001A2B81" w:rsidRPr="00A7539E" w:rsidRDefault="001A2B81" w:rsidP="001A2B81">
            <w:pPr>
              <w:pStyle w:val="Tabletext"/>
              <w:rPr>
                <w:b/>
                <w:bCs/>
              </w:rPr>
            </w:pPr>
            <w:r>
              <w:rPr>
                <w:b/>
                <w:bCs/>
              </w:rPr>
              <w:t>Postoperative</w:t>
            </w:r>
            <w:r w:rsidRPr="0003685F">
              <w:rPr>
                <w:b/>
                <w:bCs/>
              </w:rPr>
              <w:t xml:space="preserve"> rehabilitation</w:t>
            </w:r>
            <w:r>
              <w:rPr>
                <w:b/>
                <w:bCs/>
              </w:rPr>
              <w:t xml:space="preserve"> and long-term care</w:t>
            </w:r>
            <w:r w:rsidRPr="0003685F">
              <w:rPr>
                <w:b/>
                <w:bCs/>
              </w:rPr>
              <w:t>:</w:t>
            </w:r>
            <w:r>
              <w:rPr>
                <w:b/>
                <w:bCs/>
              </w:rPr>
              <w:t xml:space="preserve"> </w:t>
            </w:r>
            <w:r w:rsidRPr="0003685F">
              <w:rPr>
                <w:bCs/>
              </w:rPr>
              <w:t>2</w:t>
            </w:r>
            <w:r>
              <w:rPr>
                <w:bCs/>
              </w:rPr>
              <w:t xml:space="preserve"> </w:t>
            </w:r>
          </w:p>
          <w:p w14:paraId="6DAF999E" w14:textId="31B96BC9" w:rsidR="001A2B81" w:rsidRPr="0003685F" w:rsidRDefault="001A2B81" w:rsidP="001A2B81">
            <w:pPr>
              <w:pStyle w:val="Tabletext"/>
              <w:rPr>
                <w:bCs/>
              </w:rPr>
            </w:pPr>
            <w:r w:rsidRPr="0003685F">
              <w:rPr>
                <w:bCs/>
              </w:rPr>
              <w:t>Evidence based post-operative care to prevent and mitigate long-term issues</w:t>
            </w:r>
          </w:p>
        </w:tc>
        <w:tc>
          <w:tcPr>
            <w:tcW w:w="1155" w:type="pct"/>
          </w:tcPr>
          <w:p w14:paraId="081FE51B" w14:textId="418E85DC" w:rsidR="001A2B81" w:rsidRPr="005A1F91" w:rsidRDefault="001A2B81" w:rsidP="001A2B81">
            <w:pPr>
              <w:pStyle w:val="Tabletext"/>
              <w:rPr>
                <w:b/>
                <w:bCs/>
                <w:lang w:eastAsia="en-GB"/>
              </w:rPr>
            </w:pPr>
            <w:r w:rsidRPr="00AC0B77">
              <w:rPr>
                <w:b/>
                <w:bCs/>
                <w:lang w:eastAsia="en-GB"/>
              </w:rPr>
              <w:t xml:space="preserve">Why is this important? </w:t>
            </w:r>
          </w:p>
          <w:p w14:paraId="4AA5008B" w14:textId="77777777" w:rsidR="001A2B81" w:rsidRDefault="001A2B81" w:rsidP="001A2B81">
            <w:pPr>
              <w:pStyle w:val="Tabletext"/>
              <w:rPr>
                <w:lang w:eastAsia="en-GB"/>
              </w:rPr>
            </w:pPr>
            <w:r>
              <w:rPr>
                <w:lang w:eastAsia="en-GB"/>
              </w:rPr>
              <w:t>Observational studies have shown that preoperative osteoporosis is associated with more periprosthetic bone loss 3 years after primary hip arthroplasty[1].</w:t>
            </w:r>
          </w:p>
          <w:p w14:paraId="3712B621" w14:textId="77777777" w:rsidR="001A2B81" w:rsidRDefault="001A2B81" w:rsidP="001A2B81">
            <w:pPr>
              <w:pStyle w:val="Tabletext"/>
              <w:rPr>
                <w:lang w:eastAsia="en-GB"/>
              </w:rPr>
            </w:pPr>
          </w:p>
          <w:p w14:paraId="04A536D7" w14:textId="4838959A" w:rsidR="001A2B81" w:rsidRDefault="001A2B81" w:rsidP="001A2B81">
            <w:pPr>
              <w:pStyle w:val="Tabletext"/>
              <w:rPr>
                <w:lang w:eastAsia="en-GB"/>
              </w:rPr>
            </w:pPr>
            <w:r>
              <w:rPr>
                <w:lang w:eastAsia="en-GB"/>
              </w:rPr>
              <w:t xml:space="preserve">[1] </w:t>
            </w:r>
            <w:proofErr w:type="spellStart"/>
            <w:r>
              <w:rPr>
                <w:lang w:eastAsia="en-GB"/>
              </w:rPr>
              <w:t>Rahmy</w:t>
            </w:r>
            <w:proofErr w:type="spellEnd"/>
            <w:r>
              <w:rPr>
                <w:lang w:eastAsia="en-GB"/>
              </w:rPr>
              <w:t xml:space="preserve">, A. I. A., Gosens, T., Blake, G. M., </w:t>
            </w:r>
            <w:proofErr w:type="spellStart"/>
            <w:r>
              <w:rPr>
                <w:lang w:eastAsia="en-GB"/>
              </w:rPr>
              <w:t>Tonino</w:t>
            </w:r>
            <w:proofErr w:type="spellEnd"/>
            <w:r>
              <w:rPr>
                <w:lang w:eastAsia="en-GB"/>
              </w:rPr>
              <w:t xml:space="preserve">, A., and Fogelman, I. Periprosthetic bone remodelling of two types of </w:t>
            </w:r>
            <w:r>
              <w:rPr>
                <w:lang w:eastAsia="en-GB"/>
              </w:rPr>
              <w:lastRenderedPageBreak/>
              <w:t xml:space="preserve">uncemented femoral implant with proximal hydroxyapatite coating: a 3-year follow-up study addressing the influence of prosthesis design and preoperative bone density on periprosthetic bone loss. Osteoporosis </w:t>
            </w:r>
          </w:p>
        </w:tc>
        <w:tc>
          <w:tcPr>
            <w:tcW w:w="2035" w:type="pct"/>
          </w:tcPr>
          <w:p w14:paraId="33E58232" w14:textId="1D6BF066" w:rsidR="001A2B81" w:rsidRDefault="001A2B81" w:rsidP="001A2B81">
            <w:pPr>
              <w:autoSpaceDE w:val="0"/>
              <w:autoSpaceDN w:val="0"/>
              <w:adjustRightInd w:val="0"/>
              <w:rPr>
                <w:rFonts w:ascii="Arial" w:eastAsia="Calibri" w:hAnsi="Arial" w:cs="Arial"/>
                <w:sz w:val="22"/>
                <w:szCs w:val="22"/>
              </w:rPr>
            </w:pPr>
            <w:r w:rsidRPr="00AC0B77">
              <w:rPr>
                <w:rFonts w:ascii="Arial" w:eastAsia="Calibri" w:hAnsi="Arial" w:cs="Arial"/>
                <w:sz w:val="22"/>
                <w:szCs w:val="22"/>
              </w:rPr>
              <w:lastRenderedPageBreak/>
              <w:t>Supporting information</w:t>
            </w:r>
          </w:p>
          <w:p w14:paraId="50F23200" w14:textId="77777777" w:rsidR="001A2B81" w:rsidRPr="00AC0B77" w:rsidRDefault="001A2B81" w:rsidP="001A2B81">
            <w:pPr>
              <w:autoSpaceDE w:val="0"/>
              <w:autoSpaceDN w:val="0"/>
              <w:adjustRightInd w:val="0"/>
              <w:rPr>
                <w:rFonts w:ascii="Arial" w:eastAsia="Calibri" w:hAnsi="Arial" w:cs="Arial"/>
                <w:sz w:val="22"/>
                <w:szCs w:val="22"/>
              </w:rPr>
            </w:pPr>
          </w:p>
          <w:p w14:paraId="06C08558" w14:textId="228D3936" w:rsidR="001A2B81" w:rsidRDefault="001A2B81" w:rsidP="001A2B81">
            <w:pPr>
              <w:autoSpaceDE w:val="0"/>
              <w:autoSpaceDN w:val="0"/>
              <w:adjustRightInd w:val="0"/>
              <w:rPr>
                <w:rFonts w:ascii="Arial" w:eastAsia="Calibri" w:hAnsi="Arial" w:cs="Arial"/>
                <w:sz w:val="22"/>
                <w:szCs w:val="22"/>
              </w:rPr>
            </w:pPr>
            <w:r w:rsidRPr="00AC0B77">
              <w:rPr>
                <w:rFonts w:ascii="Arial" w:eastAsia="Calibri" w:hAnsi="Arial" w:cs="Arial"/>
                <w:sz w:val="22"/>
                <w:szCs w:val="22"/>
              </w:rPr>
              <w:t>Epidemiological studies suggest that approximately 25%[1] to 45%[2] of women undergoing hip arthroplasty have osteoporosis, with only 25% of these being treated appropriately with bisphosphonates[1].</w:t>
            </w:r>
          </w:p>
          <w:p w14:paraId="1ED88B69" w14:textId="77777777" w:rsidR="001A2B81" w:rsidRPr="00AC0B77" w:rsidRDefault="001A2B81" w:rsidP="001A2B81">
            <w:pPr>
              <w:autoSpaceDE w:val="0"/>
              <w:autoSpaceDN w:val="0"/>
              <w:adjustRightInd w:val="0"/>
              <w:rPr>
                <w:rFonts w:ascii="Arial" w:eastAsia="Calibri" w:hAnsi="Arial" w:cs="Arial"/>
                <w:sz w:val="22"/>
                <w:szCs w:val="22"/>
              </w:rPr>
            </w:pPr>
          </w:p>
          <w:p w14:paraId="76150522" w14:textId="2F9BC488" w:rsidR="001A2B81" w:rsidRDefault="001A2B81" w:rsidP="001A2B81">
            <w:pPr>
              <w:autoSpaceDE w:val="0"/>
              <w:autoSpaceDN w:val="0"/>
              <w:adjustRightInd w:val="0"/>
              <w:rPr>
                <w:rFonts w:ascii="Arial" w:eastAsia="Calibri" w:hAnsi="Arial" w:cs="Arial"/>
                <w:sz w:val="22"/>
                <w:szCs w:val="22"/>
              </w:rPr>
            </w:pPr>
            <w:r w:rsidRPr="00AC0B77">
              <w:rPr>
                <w:rFonts w:ascii="Arial" w:eastAsia="Calibri" w:hAnsi="Arial" w:cs="Arial"/>
                <w:sz w:val="22"/>
                <w:szCs w:val="22"/>
              </w:rPr>
              <w:t xml:space="preserve">[1] </w:t>
            </w:r>
            <w:proofErr w:type="spellStart"/>
            <w:r w:rsidRPr="00AC0B77">
              <w:rPr>
                <w:rFonts w:ascii="Arial" w:eastAsia="Calibri" w:hAnsi="Arial" w:cs="Arial"/>
                <w:sz w:val="22"/>
                <w:szCs w:val="22"/>
              </w:rPr>
              <w:t>Labuda</w:t>
            </w:r>
            <w:proofErr w:type="spellEnd"/>
            <w:r w:rsidRPr="00AC0B77">
              <w:rPr>
                <w:rFonts w:ascii="Arial" w:eastAsia="Calibri" w:hAnsi="Arial" w:cs="Arial"/>
                <w:sz w:val="22"/>
                <w:szCs w:val="22"/>
              </w:rPr>
              <w:t xml:space="preserve">, Anna, </w:t>
            </w:r>
            <w:proofErr w:type="spellStart"/>
            <w:r w:rsidRPr="00AC0B77">
              <w:rPr>
                <w:rFonts w:ascii="Arial" w:eastAsia="Calibri" w:hAnsi="Arial" w:cs="Arial"/>
                <w:sz w:val="22"/>
                <w:szCs w:val="22"/>
              </w:rPr>
              <w:t>Papaioannou</w:t>
            </w:r>
            <w:proofErr w:type="spellEnd"/>
            <w:r w:rsidRPr="00AC0B77">
              <w:rPr>
                <w:rFonts w:ascii="Arial" w:eastAsia="Calibri" w:hAnsi="Arial" w:cs="Arial"/>
                <w:sz w:val="22"/>
                <w:szCs w:val="22"/>
              </w:rPr>
              <w:t xml:space="preserve">, Alexandra, Pritchard, Janet, Kennedy, Court, DeBeer, Justin, and Adachi, Jonathan D. Prevalence of Osteoporosis in Osteoarthritic Patients Undergoing Total Hip or Total Knee Arthroplasty. Archives of Physical Medicine and Rehabilitation 89(12), 2373-2374. 2008. </w:t>
            </w:r>
          </w:p>
          <w:p w14:paraId="7C5DA54F" w14:textId="77777777" w:rsidR="001A2B81" w:rsidRPr="00AC0B77" w:rsidRDefault="001A2B81" w:rsidP="001A2B81">
            <w:pPr>
              <w:autoSpaceDE w:val="0"/>
              <w:autoSpaceDN w:val="0"/>
              <w:adjustRightInd w:val="0"/>
              <w:rPr>
                <w:rFonts w:ascii="Arial" w:eastAsia="Calibri" w:hAnsi="Arial" w:cs="Arial"/>
                <w:sz w:val="22"/>
                <w:szCs w:val="22"/>
              </w:rPr>
            </w:pPr>
          </w:p>
          <w:p w14:paraId="51359412" w14:textId="05CF6090" w:rsidR="001A2B81" w:rsidRPr="0003685F" w:rsidRDefault="001A2B81" w:rsidP="001A2B81">
            <w:pPr>
              <w:autoSpaceDE w:val="0"/>
              <w:autoSpaceDN w:val="0"/>
              <w:adjustRightInd w:val="0"/>
              <w:rPr>
                <w:rFonts w:ascii="Arial" w:eastAsia="Calibri" w:hAnsi="Arial" w:cs="Arial"/>
                <w:sz w:val="22"/>
                <w:szCs w:val="22"/>
              </w:rPr>
            </w:pPr>
            <w:r w:rsidRPr="00AC0B77">
              <w:rPr>
                <w:rFonts w:ascii="Arial" w:eastAsia="Calibri" w:hAnsi="Arial" w:cs="Arial"/>
                <w:sz w:val="22"/>
                <w:szCs w:val="22"/>
              </w:rPr>
              <w:t xml:space="preserve">[2] </w:t>
            </w:r>
            <w:proofErr w:type="spellStart"/>
            <w:r w:rsidRPr="00AC0B77">
              <w:rPr>
                <w:rFonts w:ascii="Arial" w:eastAsia="Calibri" w:hAnsi="Arial" w:cs="Arial"/>
                <w:sz w:val="22"/>
                <w:szCs w:val="22"/>
              </w:rPr>
              <w:t>Mäkinen</w:t>
            </w:r>
            <w:proofErr w:type="spellEnd"/>
            <w:r w:rsidRPr="00AC0B77">
              <w:rPr>
                <w:rFonts w:ascii="Arial" w:eastAsia="Calibri" w:hAnsi="Arial" w:cs="Arial"/>
                <w:sz w:val="22"/>
                <w:szCs w:val="22"/>
              </w:rPr>
              <w:t xml:space="preserve">, Tatu J., </w:t>
            </w:r>
            <w:proofErr w:type="spellStart"/>
            <w:r w:rsidRPr="00AC0B77">
              <w:rPr>
                <w:rFonts w:ascii="Arial" w:eastAsia="Calibri" w:hAnsi="Arial" w:cs="Arial"/>
                <w:sz w:val="22"/>
                <w:szCs w:val="22"/>
              </w:rPr>
              <w:t>Alm</w:t>
            </w:r>
            <w:proofErr w:type="spellEnd"/>
            <w:r w:rsidRPr="00AC0B77">
              <w:rPr>
                <w:rFonts w:ascii="Arial" w:eastAsia="Calibri" w:hAnsi="Arial" w:cs="Arial"/>
                <w:sz w:val="22"/>
                <w:szCs w:val="22"/>
              </w:rPr>
              <w:t xml:space="preserve">, Jessica J., Laine, Hanna, </w:t>
            </w:r>
            <w:proofErr w:type="spellStart"/>
            <w:r w:rsidRPr="00AC0B77">
              <w:rPr>
                <w:rFonts w:ascii="Arial" w:eastAsia="Calibri" w:hAnsi="Arial" w:cs="Arial"/>
                <w:sz w:val="22"/>
                <w:szCs w:val="22"/>
              </w:rPr>
              <w:t>Svedström</w:t>
            </w:r>
            <w:proofErr w:type="spellEnd"/>
            <w:r w:rsidRPr="00AC0B77">
              <w:rPr>
                <w:rFonts w:ascii="Arial" w:eastAsia="Calibri" w:hAnsi="Arial" w:cs="Arial"/>
                <w:sz w:val="22"/>
                <w:szCs w:val="22"/>
              </w:rPr>
              <w:t xml:space="preserve">, </w:t>
            </w:r>
            <w:proofErr w:type="spellStart"/>
            <w:r w:rsidRPr="00AC0B77">
              <w:rPr>
                <w:rFonts w:ascii="Arial" w:eastAsia="Calibri" w:hAnsi="Arial" w:cs="Arial"/>
                <w:sz w:val="22"/>
                <w:szCs w:val="22"/>
              </w:rPr>
              <w:t>Erkki</w:t>
            </w:r>
            <w:proofErr w:type="spellEnd"/>
            <w:r w:rsidRPr="00AC0B77">
              <w:rPr>
                <w:rFonts w:ascii="Arial" w:eastAsia="Calibri" w:hAnsi="Arial" w:cs="Arial"/>
                <w:sz w:val="22"/>
                <w:szCs w:val="22"/>
              </w:rPr>
              <w:t xml:space="preserve">, and </w:t>
            </w:r>
            <w:proofErr w:type="spellStart"/>
            <w:r w:rsidRPr="00AC0B77">
              <w:rPr>
                <w:rFonts w:ascii="Arial" w:eastAsia="Calibri" w:hAnsi="Arial" w:cs="Arial"/>
                <w:sz w:val="22"/>
                <w:szCs w:val="22"/>
              </w:rPr>
              <w:t>Aro</w:t>
            </w:r>
            <w:proofErr w:type="spellEnd"/>
            <w:r w:rsidRPr="00AC0B77">
              <w:rPr>
                <w:rFonts w:ascii="Arial" w:eastAsia="Calibri" w:hAnsi="Arial" w:cs="Arial"/>
                <w:sz w:val="22"/>
                <w:szCs w:val="22"/>
              </w:rPr>
              <w:t xml:space="preserve">, </w:t>
            </w:r>
            <w:proofErr w:type="spellStart"/>
            <w:r w:rsidRPr="00AC0B77">
              <w:rPr>
                <w:rFonts w:ascii="Arial" w:eastAsia="Calibri" w:hAnsi="Arial" w:cs="Arial"/>
                <w:sz w:val="22"/>
                <w:szCs w:val="22"/>
              </w:rPr>
              <w:t>Hannu</w:t>
            </w:r>
            <w:proofErr w:type="spellEnd"/>
            <w:r w:rsidRPr="00AC0B77">
              <w:rPr>
                <w:rFonts w:ascii="Arial" w:eastAsia="Calibri" w:hAnsi="Arial" w:cs="Arial"/>
                <w:sz w:val="22"/>
                <w:szCs w:val="22"/>
              </w:rPr>
              <w:t xml:space="preserve"> T. The incidence of osteopenia and osteoporosis in women with hip osteoarthritis scheduled for cementless total joint replacement. Bone 40(4), 1041-1047. 2007.</w:t>
            </w:r>
            <w:r>
              <w:rPr>
                <w:rFonts w:ascii="Arial" w:eastAsia="Calibri" w:hAnsi="Arial" w:cs="Arial"/>
                <w:sz w:val="22"/>
                <w:szCs w:val="22"/>
              </w:rPr>
              <w:t xml:space="preserve"> </w:t>
            </w:r>
          </w:p>
        </w:tc>
      </w:tr>
      <w:tr w:rsidR="001A2B81" w:rsidRPr="00C92280" w14:paraId="319609D7" w14:textId="77777777" w:rsidTr="00641E12">
        <w:trPr>
          <w:trHeight w:val="284"/>
        </w:trPr>
        <w:tc>
          <w:tcPr>
            <w:tcW w:w="313" w:type="pct"/>
          </w:tcPr>
          <w:p w14:paraId="73AA8082" w14:textId="53BB55EE" w:rsidR="001A2B81" w:rsidRPr="00F27622" w:rsidRDefault="001A2B81" w:rsidP="001A2B81">
            <w:pPr>
              <w:pStyle w:val="Tabletext"/>
              <w:rPr>
                <w:highlight w:val="cyan"/>
                <w:lang w:eastAsia="en-GB"/>
              </w:rPr>
            </w:pPr>
            <w:r w:rsidRPr="00D20AFB">
              <w:rPr>
                <w:lang w:eastAsia="en-GB"/>
              </w:rPr>
              <w:lastRenderedPageBreak/>
              <w:t>3</w:t>
            </w:r>
            <w:r w:rsidR="00765A68">
              <w:rPr>
                <w:lang w:eastAsia="en-GB"/>
              </w:rPr>
              <w:t>4</w:t>
            </w:r>
          </w:p>
        </w:tc>
        <w:tc>
          <w:tcPr>
            <w:tcW w:w="805" w:type="pct"/>
          </w:tcPr>
          <w:p w14:paraId="6F10E639" w14:textId="31372A5A" w:rsidR="001A2B81" w:rsidRPr="00837B5A" w:rsidRDefault="001A2B81" w:rsidP="001A2B81">
            <w:pPr>
              <w:pStyle w:val="Tabletext"/>
            </w:pPr>
            <w:r>
              <w:t>British Elbow &amp; Shoulder Society</w:t>
            </w:r>
          </w:p>
        </w:tc>
        <w:tc>
          <w:tcPr>
            <w:tcW w:w="0" w:type="auto"/>
          </w:tcPr>
          <w:p w14:paraId="6F724D67" w14:textId="1F71E3E0" w:rsidR="001A2B81" w:rsidRPr="00A7539E" w:rsidRDefault="001A2B81" w:rsidP="001A2B81">
            <w:pPr>
              <w:pStyle w:val="Tabletext"/>
              <w:rPr>
                <w:b/>
                <w:bCs/>
              </w:rPr>
            </w:pPr>
            <w:r>
              <w:rPr>
                <w:b/>
                <w:bCs/>
              </w:rPr>
              <w:t xml:space="preserve">Postoperative rehabilitation and long-term care: </w:t>
            </w:r>
            <w:r w:rsidRPr="00783357">
              <w:t>3</w:t>
            </w:r>
          </w:p>
          <w:p w14:paraId="765D013B" w14:textId="591A5A89" w:rsidR="001A2B81" w:rsidRPr="00783357" w:rsidRDefault="001A2B81" w:rsidP="001A2B81">
            <w:pPr>
              <w:pStyle w:val="Tabletext"/>
            </w:pPr>
            <w:r w:rsidRPr="00783357">
              <w:t>Post-operative rehabilitation.</w:t>
            </w:r>
          </w:p>
        </w:tc>
        <w:tc>
          <w:tcPr>
            <w:tcW w:w="1155" w:type="pct"/>
          </w:tcPr>
          <w:p w14:paraId="6E5C2BA5" w14:textId="46BF1731" w:rsidR="001A2B81" w:rsidRPr="005E425F" w:rsidRDefault="001A2B81" w:rsidP="001A2B81">
            <w:pPr>
              <w:pStyle w:val="Tabletext"/>
              <w:rPr>
                <w:lang w:eastAsia="en-GB"/>
              </w:rPr>
            </w:pPr>
            <w:r w:rsidRPr="005E425F">
              <w:rPr>
                <w:lang w:eastAsia="en-GB"/>
              </w:rPr>
              <w:t>There is variation in the timing, access, content and delivery of post-operative rehabilitation following shoulder replacements. One aspect of this that would help with standardising is the start of physiotherapy delivery, which should be within 24 hours of surgery.</w:t>
            </w:r>
          </w:p>
          <w:p w14:paraId="2BE980A7" w14:textId="30EA072C" w:rsidR="001A2B81" w:rsidRPr="005E425F" w:rsidRDefault="001A2B81" w:rsidP="001A2B81">
            <w:pPr>
              <w:pStyle w:val="Tabletext"/>
              <w:rPr>
                <w:b/>
                <w:bCs/>
                <w:lang w:eastAsia="en-GB"/>
              </w:rPr>
            </w:pPr>
            <w:r>
              <w:rPr>
                <w:b/>
                <w:bCs/>
                <w:lang w:eastAsia="en-GB"/>
              </w:rPr>
              <w:t>Why is this important?</w:t>
            </w:r>
          </w:p>
          <w:p w14:paraId="69051D42" w14:textId="482B6B44" w:rsidR="001A2B81" w:rsidRPr="00837B5A" w:rsidRDefault="001A2B81" w:rsidP="001A2B81">
            <w:pPr>
              <w:pStyle w:val="Tabletext"/>
              <w:rPr>
                <w:lang w:eastAsia="en-GB"/>
              </w:rPr>
            </w:pPr>
            <w:r w:rsidRPr="00783357">
              <w:rPr>
                <w:lang w:eastAsia="en-GB"/>
              </w:rPr>
              <w:t>Physiotherapy should start within 24 hours for shoulder replacements.</w:t>
            </w:r>
          </w:p>
        </w:tc>
        <w:tc>
          <w:tcPr>
            <w:tcW w:w="2035" w:type="pct"/>
          </w:tcPr>
          <w:p w14:paraId="04404B51" w14:textId="592B0185" w:rsidR="001A2B81" w:rsidRPr="00837B5A" w:rsidRDefault="001A2B81" w:rsidP="001A2B81">
            <w:pPr>
              <w:autoSpaceDE w:val="0"/>
              <w:autoSpaceDN w:val="0"/>
              <w:adjustRightInd w:val="0"/>
              <w:rPr>
                <w:rFonts w:ascii="Arial" w:eastAsia="Calibri" w:hAnsi="Arial" w:cs="Arial"/>
                <w:sz w:val="22"/>
                <w:szCs w:val="22"/>
              </w:rPr>
            </w:pPr>
          </w:p>
        </w:tc>
      </w:tr>
      <w:tr w:rsidR="001A2B81" w:rsidRPr="00C92280" w14:paraId="7908C2DE" w14:textId="77777777" w:rsidTr="00641E12">
        <w:trPr>
          <w:trHeight w:val="284"/>
        </w:trPr>
        <w:tc>
          <w:tcPr>
            <w:tcW w:w="313" w:type="pct"/>
          </w:tcPr>
          <w:p w14:paraId="0EF83EF2" w14:textId="6A7D00C8" w:rsidR="001A2B81" w:rsidRPr="00D20AFB" w:rsidRDefault="001A2B81" w:rsidP="001A2B81">
            <w:pPr>
              <w:pStyle w:val="Tabletext"/>
              <w:rPr>
                <w:lang w:eastAsia="en-GB"/>
              </w:rPr>
            </w:pPr>
            <w:r w:rsidRPr="00D20AFB">
              <w:rPr>
                <w:lang w:eastAsia="en-GB"/>
              </w:rPr>
              <w:t>3</w:t>
            </w:r>
            <w:r w:rsidR="00765A68">
              <w:rPr>
                <w:lang w:eastAsia="en-GB"/>
              </w:rPr>
              <w:t>5</w:t>
            </w:r>
          </w:p>
        </w:tc>
        <w:tc>
          <w:tcPr>
            <w:tcW w:w="805" w:type="pct"/>
          </w:tcPr>
          <w:p w14:paraId="64938E19" w14:textId="1C4ED865" w:rsidR="001A2B81" w:rsidRPr="00427135" w:rsidRDefault="001A2B81" w:rsidP="001A2B81">
            <w:pPr>
              <w:pStyle w:val="Tabletext"/>
              <w:rPr>
                <w:highlight w:val="cyan"/>
              </w:rPr>
            </w:pPr>
            <w:r w:rsidRPr="00776158">
              <w:t>British Orthopaedic Association (comments endorsed by the British Hip Society)</w:t>
            </w:r>
          </w:p>
        </w:tc>
        <w:tc>
          <w:tcPr>
            <w:tcW w:w="0" w:type="auto"/>
          </w:tcPr>
          <w:p w14:paraId="1555BBC6" w14:textId="00657B06" w:rsidR="001A2B81" w:rsidRPr="00837B5A" w:rsidRDefault="001A2B81" w:rsidP="001A2B81">
            <w:pPr>
              <w:pStyle w:val="Tabletext"/>
              <w:rPr>
                <w:b/>
                <w:bCs/>
              </w:rPr>
            </w:pPr>
            <w:r>
              <w:rPr>
                <w:b/>
                <w:bCs/>
              </w:rPr>
              <w:t xml:space="preserve">Postoperative rehabilitation and long-term care: </w:t>
            </w:r>
            <w:r w:rsidRPr="00837B5A">
              <w:t>5</w:t>
            </w:r>
          </w:p>
          <w:p w14:paraId="3DA1125C" w14:textId="77777777" w:rsidR="001A2B81" w:rsidRDefault="001A2B81" w:rsidP="001A2B81">
            <w:pPr>
              <w:pStyle w:val="Tabletext"/>
              <w:rPr>
                <w:highlight w:val="cyan"/>
              </w:rPr>
            </w:pPr>
          </w:p>
          <w:p w14:paraId="0BBF3A2A" w14:textId="0F68AC27" w:rsidR="001A2B81" w:rsidRPr="00F27622" w:rsidRDefault="001A2B81" w:rsidP="001A2B81">
            <w:pPr>
              <w:pStyle w:val="Tabletext"/>
              <w:rPr>
                <w:highlight w:val="cyan"/>
              </w:rPr>
            </w:pPr>
          </w:p>
        </w:tc>
        <w:tc>
          <w:tcPr>
            <w:tcW w:w="1155" w:type="pct"/>
          </w:tcPr>
          <w:p w14:paraId="6FEAABC4" w14:textId="5FA758C2" w:rsidR="001A2B81" w:rsidRPr="00F27622" w:rsidRDefault="001A2B81" w:rsidP="001A2B81">
            <w:pPr>
              <w:pStyle w:val="Tabletext"/>
              <w:rPr>
                <w:highlight w:val="cyan"/>
                <w:lang w:eastAsia="en-GB"/>
              </w:rPr>
            </w:pPr>
            <w:r w:rsidRPr="00837B5A">
              <w:rPr>
                <w:lang w:eastAsia="en-GB"/>
              </w:rPr>
              <w:t>Post-operative rehabilitation</w:t>
            </w:r>
          </w:p>
        </w:tc>
        <w:tc>
          <w:tcPr>
            <w:tcW w:w="2035" w:type="pct"/>
          </w:tcPr>
          <w:p w14:paraId="18CC84A1" w14:textId="1AD18268" w:rsidR="001A2B81" w:rsidRPr="00F27622" w:rsidRDefault="001A2B81" w:rsidP="001A2B81">
            <w:pPr>
              <w:autoSpaceDE w:val="0"/>
              <w:autoSpaceDN w:val="0"/>
              <w:adjustRightInd w:val="0"/>
              <w:rPr>
                <w:rFonts w:ascii="Arial" w:eastAsia="Calibri" w:hAnsi="Arial" w:cs="Arial"/>
                <w:sz w:val="22"/>
                <w:szCs w:val="22"/>
                <w:highlight w:val="cyan"/>
              </w:rPr>
            </w:pPr>
            <w:r w:rsidRPr="00837B5A">
              <w:rPr>
                <w:rFonts w:ascii="Arial" w:eastAsia="Calibri" w:hAnsi="Arial" w:cs="Arial"/>
                <w:sz w:val="22"/>
                <w:szCs w:val="22"/>
              </w:rPr>
              <w:t xml:space="preserve">Shoulder, hip and knee replacement aim to reduce pain and restore function. Restoration of function and regaining independence is more rapid and complete with therapy support. In-patient rehabilitation hastens recovery and </w:t>
            </w:r>
            <w:proofErr w:type="gramStart"/>
            <w:r w:rsidRPr="00837B5A">
              <w:rPr>
                <w:rFonts w:ascii="Arial" w:eastAsia="Calibri" w:hAnsi="Arial" w:cs="Arial"/>
                <w:sz w:val="22"/>
                <w:szCs w:val="22"/>
              </w:rPr>
              <w:t>discharge</w:t>
            </w:r>
            <w:proofErr w:type="gramEnd"/>
            <w:r w:rsidRPr="00837B5A">
              <w:rPr>
                <w:rFonts w:ascii="Arial" w:eastAsia="Calibri" w:hAnsi="Arial" w:cs="Arial"/>
                <w:sz w:val="22"/>
                <w:szCs w:val="22"/>
              </w:rPr>
              <w:t xml:space="preserve"> and outpatient rehabilitation improves and maintains the benefit of the surgical procedure</w:t>
            </w:r>
          </w:p>
        </w:tc>
      </w:tr>
      <w:tr w:rsidR="001A2B81" w:rsidRPr="00C92280" w14:paraId="43A9048A" w14:textId="77777777" w:rsidTr="00641E12">
        <w:trPr>
          <w:trHeight w:val="284"/>
        </w:trPr>
        <w:tc>
          <w:tcPr>
            <w:tcW w:w="313" w:type="pct"/>
          </w:tcPr>
          <w:p w14:paraId="7887142D" w14:textId="5893EF1E" w:rsidR="001A2B81" w:rsidRPr="00D20AFB" w:rsidRDefault="001A2B81" w:rsidP="001A2B81">
            <w:pPr>
              <w:pStyle w:val="Tabletext"/>
              <w:rPr>
                <w:lang w:eastAsia="en-GB"/>
              </w:rPr>
            </w:pPr>
            <w:r w:rsidRPr="00D20AFB">
              <w:rPr>
                <w:lang w:eastAsia="en-GB"/>
              </w:rPr>
              <w:t>3</w:t>
            </w:r>
            <w:r w:rsidR="00765A68">
              <w:rPr>
                <w:lang w:eastAsia="en-GB"/>
              </w:rPr>
              <w:t>6</w:t>
            </w:r>
          </w:p>
        </w:tc>
        <w:tc>
          <w:tcPr>
            <w:tcW w:w="805" w:type="pct"/>
          </w:tcPr>
          <w:p w14:paraId="711DEE2B" w14:textId="0A112AAE" w:rsidR="001A2B81" w:rsidRPr="00837B5A" w:rsidRDefault="001A2B81" w:rsidP="001A2B81">
            <w:pPr>
              <w:pStyle w:val="Tabletext"/>
            </w:pPr>
            <w:r>
              <w:t>NeuroCare Europe</w:t>
            </w:r>
          </w:p>
        </w:tc>
        <w:tc>
          <w:tcPr>
            <w:tcW w:w="0" w:type="auto"/>
          </w:tcPr>
          <w:p w14:paraId="0A362442" w14:textId="1DF708B3" w:rsidR="001A2B81" w:rsidRDefault="001A2B81" w:rsidP="001A2B81">
            <w:pPr>
              <w:pStyle w:val="Tabletext"/>
              <w:rPr>
                <w:b/>
                <w:bCs/>
              </w:rPr>
            </w:pPr>
            <w:r>
              <w:rPr>
                <w:b/>
                <w:bCs/>
              </w:rPr>
              <w:t>Post-operative rehabilitation and long-term care:</w:t>
            </w:r>
            <w:r>
              <w:t xml:space="preserve"> </w:t>
            </w:r>
            <w:r w:rsidRPr="00AC0B77">
              <w:t>2</w:t>
            </w:r>
            <w:r>
              <w:t xml:space="preserve"> </w:t>
            </w:r>
            <w:r w:rsidRPr="00AC0B77">
              <w:t xml:space="preserve">Development of </w:t>
            </w:r>
            <w:r w:rsidRPr="00AC0B77">
              <w:lastRenderedPageBreak/>
              <w:t>effective rehabilitation programmes post joint replacement</w:t>
            </w:r>
          </w:p>
          <w:p w14:paraId="2446D026" w14:textId="4CD45E65" w:rsidR="001A2B81" w:rsidRDefault="001A2B81" w:rsidP="001A2B81">
            <w:pPr>
              <w:pStyle w:val="Tabletext"/>
              <w:rPr>
                <w:b/>
                <w:bCs/>
              </w:rPr>
            </w:pPr>
          </w:p>
        </w:tc>
        <w:tc>
          <w:tcPr>
            <w:tcW w:w="1155" w:type="pct"/>
          </w:tcPr>
          <w:p w14:paraId="53C8DCED" w14:textId="77777777" w:rsidR="001A2B81" w:rsidRDefault="001A2B81" w:rsidP="001A2B81">
            <w:pPr>
              <w:pStyle w:val="Tabletext"/>
              <w:rPr>
                <w:lang w:eastAsia="en-GB"/>
              </w:rPr>
            </w:pPr>
            <w:r>
              <w:rPr>
                <w:lang w:eastAsia="en-GB"/>
              </w:rPr>
              <w:lastRenderedPageBreak/>
              <w:t xml:space="preserve">Effective post –op rehabilitation is crucial to the recovery of full mobility and hence </w:t>
            </w:r>
            <w:proofErr w:type="spellStart"/>
            <w:r>
              <w:rPr>
                <w:lang w:eastAsia="en-GB"/>
              </w:rPr>
              <w:t>self sufficiency</w:t>
            </w:r>
            <w:proofErr w:type="spellEnd"/>
            <w:r>
              <w:rPr>
                <w:lang w:eastAsia="en-GB"/>
              </w:rPr>
              <w:t xml:space="preserve"> and </w:t>
            </w:r>
            <w:proofErr w:type="spellStart"/>
            <w:r>
              <w:rPr>
                <w:lang w:eastAsia="en-GB"/>
              </w:rPr>
              <w:t>HRQoL</w:t>
            </w:r>
            <w:proofErr w:type="spellEnd"/>
          </w:p>
          <w:p w14:paraId="42FDE446" w14:textId="77777777" w:rsidR="001A2B81" w:rsidRDefault="001A2B81" w:rsidP="001A2B81">
            <w:pPr>
              <w:pStyle w:val="Tabletext"/>
              <w:rPr>
                <w:lang w:eastAsia="en-GB"/>
              </w:rPr>
            </w:pPr>
            <w:r>
              <w:rPr>
                <w:lang w:eastAsia="en-GB"/>
              </w:rPr>
              <w:lastRenderedPageBreak/>
              <w:t>There are presently clinically proven, unutilised  therapies   in use elsewhere which could transform the quality of rehab currently practiced in the UK</w:t>
            </w:r>
          </w:p>
          <w:p w14:paraId="0EA3B933" w14:textId="77777777" w:rsidR="001A2B81" w:rsidRDefault="001A2B81" w:rsidP="001A2B81">
            <w:pPr>
              <w:pStyle w:val="Tabletext"/>
              <w:rPr>
                <w:lang w:eastAsia="en-GB"/>
              </w:rPr>
            </w:pPr>
          </w:p>
          <w:p w14:paraId="5E73B093" w14:textId="3AA54B11" w:rsidR="001A2B81" w:rsidRPr="005E425F" w:rsidRDefault="001A2B81" w:rsidP="001A2B81">
            <w:pPr>
              <w:pStyle w:val="Tabletext"/>
              <w:rPr>
                <w:b/>
                <w:bCs/>
                <w:lang w:eastAsia="en-GB"/>
              </w:rPr>
            </w:pPr>
            <w:r>
              <w:rPr>
                <w:b/>
                <w:bCs/>
                <w:lang w:eastAsia="en-GB"/>
              </w:rPr>
              <w:t>Why is this important?</w:t>
            </w:r>
          </w:p>
          <w:p w14:paraId="2AADAF09" w14:textId="3A049FD0" w:rsidR="001A2B81" w:rsidRDefault="001A2B81" w:rsidP="001A2B81">
            <w:pPr>
              <w:pStyle w:val="Tabletext"/>
              <w:rPr>
                <w:lang w:eastAsia="en-GB"/>
              </w:rPr>
            </w:pPr>
            <w:r>
              <w:rPr>
                <w:lang w:eastAsia="en-GB"/>
              </w:rPr>
              <w:t>Most of the available evidence is that  current provision is inconsistent, of poor quality and largely ineffective. Many patients never recover their pre-op mobility and strength</w:t>
            </w:r>
          </w:p>
          <w:p w14:paraId="4C259410" w14:textId="77777777" w:rsidR="001A2B81" w:rsidRDefault="001A2B81" w:rsidP="001A2B81">
            <w:pPr>
              <w:pStyle w:val="Tabletext"/>
              <w:rPr>
                <w:lang w:eastAsia="en-GB"/>
              </w:rPr>
            </w:pPr>
          </w:p>
          <w:p w14:paraId="4BAC0444" w14:textId="640EBE59" w:rsidR="001A2B81" w:rsidRPr="00837B5A" w:rsidRDefault="001A2B81" w:rsidP="001A2B81">
            <w:pPr>
              <w:pStyle w:val="Tabletext"/>
              <w:rPr>
                <w:lang w:eastAsia="en-GB"/>
              </w:rPr>
            </w:pPr>
          </w:p>
        </w:tc>
        <w:tc>
          <w:tcPr>
            <w:tcW w:w="2035" w:type="pct"/>
          </w:tcPr>
          <w:p w14:paraId="461F6FAB" w14:textId="202101B8" w:rsidR="001A2B81" w:rsidRPr="005E425F" w:rsidRDefault="001A2B81" w:rsidP="001A2B81">
            <w:pPr>
              <w:autoSpaceDE w:val="0"/>
              <w:autoSpaceDN w:val="0"/>
              <w:adjustRightInd w:val="0"/>
              <w:rPr>
                <w:rFonts w:ascii="Arial" w:eastAsia="Calibri" w:hAnsi="Arial" w:cs="Arial"/>
                <w:b/>
                <w:bCs/>
                <w:sz w:val="22"/>
                <w:szCs w:val="22"/>
              </w:rPr>
            </w:pPr>
            <w:r w:rsidRPr="005E425F">
              <w:rPr>
                <w:rFonts w:ascii="Arial" w:eastAsia="Calibri" w:hAnsi="Arial" w:cs="Arial"/>
                <w:b/>
                <w:bCs/>
                <w:sz w:val="22"/>
                <w:szCs w:val="22"/>
              </w:rPr>
              <w:lastRenderedPageBreak/>
              <w:t>Publications on rehab after joint replacement relevant to all key areas chosen</w:t>
            </w:r>
          </w:p>
          <w:p w14:paraId="3F0BD6B4" w14:textId="40C7DEC1" w:rsidR="001A2B81" w:rsidRDefault="001A2B81" w:rsidP="001A2B81">
            <w:pPr>
              <w:autoSpaceDE w:val="0"/>
              <w:autoSpaceDN w:val="0"/>
              <w:adjustRightInd w:val="0"/>
              <w:rPr>
                <w:rFonts w:ascii="Arial" w:eastAsia="Calibri" w:hAnsi="Arial" w:cs="Arial"/>
                <w:sz w:val="22"/>
                <w:szCs w:val="22"/>
              </w:rPr>
            </w:pPr>
            <w:r w:rsidRPr="005E425F">
              <w:rPr>
                <w:rFonts w:ascii="Arial" w:eastAsia="Calibri" w:hAnsi="Arial" w:cs="Arial"/>
                <w:b/>
                <w:bCs/>
                <w:sz w:val="22"/>
                <w:szCs w:val="22"/>
              </w:rPr>
              <w:lastRenderedPageBreak/>
              <w:t>Rehabilitation after total joint replacement: a scoping study</w:t>
            </w:r>
            <w:r w:rsidRPr="00AC0B77">
              <w:rPr>
                <w:rFonts w:ascii="Arial" w:eastAsia="Calibri" w:hAnsi="Arial" w:cs="Arial"/>
                <w:sz w:val="22"/>
                <w:szCs w:val="22"/>
              </w:rPr>
              <w:t xml:space="preserve"> </w:t>
            </w:r>
            <w:hyperlink r:id="rId109" w:history="1">
              <w:r w:rsidRPr="005E425F">
                <w:rPr>
                  <w:rStyle w:val="Hyperlink"/>
                  <w:rFonts w:ascii="Arial" w:eastAsia="Calibri" w:hAnsi="Arial" w:cs="Arial"/>
                  <w:sz w:val="22"/>
                  <w:szCs w:val="22"/>
                </w:rPr>
                <w:t xml:space="preserve">Deborah L. </w:t>
              </w:r>
              <w:proofErr w:type="spellStart"/>
              <w:r w:rsidRPr="005E425F">
                <w:rPr>
                  <w:rStyle w:val="Hyperlink"/>
                  <w:rFonts w:ascii="Arial" w:eastAsia="Calibri" w:hAnsi="Arial" w:cs="Arial"/>
                  <w:sz w:val="22"/>
                  <w:szCs w:val="22"/>
                </w:rPr>
                <w:t>Snell,Julia</w:t>
              </w:r>
              <w:proofErr w:type="spellEnd"/>
              <w:r w:rsidRPr="005E425F">
                <w:rPr>
                  <w:rStyle w:val="Hyperlink"/>
                  <w:rFonts w:ascii="Arial" w:eastAsia="Calibri" w:hAnsi="Arial" w:cs="Arial"/>
                  <w:sz w:val="22"/>
                  <w:szCs w:val="22"/>
                </w:rPr>
                <w:t xml:space="preserve"> </w:t>
              </w:r>
              <w:proofErr w:type="spellStart"/>
              <w:r w:rsidRPr="005E425F">
                <w:rPr>
                  <w:rStyle w:val="Hyperlink"/>
                  <w:rFonts w:ascii="Arial" w:eastAsia="Calibri" w:hAnsi="Arial" w:cs="Arial"/>
                  <w:sz w:val="22"/>
                  <w:szCs w:val="22"/>
                </w:rPr>
                <w:t>Hipango,K</w:t>
              </w:r>
              <w:proofErr w:type="spellEnd"/>
              <w:r w:rsidRPr="005E425F">
                <w:rPr>
                  <w:rStyle w:val="Hyperlink"/>
                  <w:rFonts w:ascii="Arial" w:eastAsia="Calibri" w:hAnsi="Arial" w:cs="Arial"/>
                  <w:sz w:val="22"/>
                  <w:szCs w:val="22"/>
                </w:rPr>
                <w:t xml:space="preserve">. Anne </w:t>
              </w:r>
              <w:proofErr w:type="spellStart"/>
              <w:r w:rsidRPr="005E425F">
                <w:rPr>
                  <w:rStyle w:val="Hyperlink"/>
                  <w:rFonts w:ascii="Arial" w:eastAsia="Calibri" w:hAnsi="Arial" w:cs="Arial"/>
                  <w:sz w:val="22"/>
                  <w:szCs w:val="22"/>
                </w:rPr>
                <w:t>Sinnott,Jennifer</w:t>
              </w:r>
              <w:proofErr w:type="spellEnd"/>
              <w:r w:rsidRPr="005E425F">
                <w:rPr>
                  <w:rStyle w:val="Hyperlink"/>
                  <w:rFonts w:ascii="Arial" w:eastAsia="Calibri" w:hAnsi="Arial" w:cs="Arial"/>
                  <w:sz w:val="22"/>
                  <w:szCs w:val="22"/>
                </w:rPr>
                <w:t xml:space="preserve"> A. </w:t>
              </w:r>
              <w:proofErr w:type="spellStart"/>
              <w:r w:rsidRPr="005E425F">
                <w:rPr>
                  <w:rStyle w:val="Hyperlink"/>
                  <w:rFonts w:ascii="Arial" w:eastAsia="Calibri" w:hAnsi="Arial" w:cs="Arial"/>
                  <w:sz w:val="22"/>
                  <w:szCs w:val="22"/>
                </w:rPr>
                <w:t>Dunn,Alastair</w:t>
              </w:r>
              <w:proofErr w:type="spellEnd"/>
              <w:r w:rsidRPr="005E425F">
                <w:rPr>
                  <w:rStyle w:val="Hyperlink"/>
                  <w:rFonts w:ascii="Arial" w:eastAsia="Calibri" w:hAnsi="Arial" w:cs="Arial"/>
                  <w:sz w:val="22"/>
                  <w:szCs w:val="22"/>
                </w:rPr>
                <w:t xml:space="preserve"> </w:t>
              </w:r>
              <w:proofErr w:type="spellStart"/>
              <w:r w:rsidRPr="005E425F">
                <w:rPr>
                  <w:rStyle w:val="Hyperlink"/>
                  <w:rFonts w:ascii="Arial" w:eastAsia="Calibri" w:hAnsi="Arial" w:cs="Arial"/>
                  <w:sz w:val="22"/>
                  <w:szCs w:val="22"/>
                </w:rPr>
                <w:t>Rothwell,C</w:t>
              </w:r>
              <w:proofErr w:type="spellEnd"/>
              <w:r w:rsidRPr="005E425F">
                <w:rPr>
                  <w:rStyle w:val="Hyperlink"/>
                  <w:rFonts w:ascii="Arial" w:eastAsia="Calibri" w:hAnsi="Arial" w:cs="Arial"/>
                  <w:sz w:val="22"/>
                  <w:szCs w:val="22"/>
                </w:rPr>
                <w:t>. Jean Hsieh,</w:t>
              </w:r>
            </w:hyperlink>
          </w:p>
          <w:p w14:paraId="4EB9625C" w14:textId="77777777" w:rsidR="001A2B81" w:rsidRPr="00AC0B77" w:rsidRDefault="001A2B81" w:rsidP="001A2B81">
            <w:pPr>
              <w:autoSpaceDE w:val="0"/>
              <w:autoSpaceDN w:val="0"/>
              <w:adjustRightInd w:val="0"/>
              <w:rPr>
                <w:rFonts w:ascii="Arial" w:eastAsia="Calibri" w:hAnsi="Arial" w:cs="Arial"/>
                <w:sz w:val="22"/>
                <w:szCs w:val="22"/>
              </w:rPr>
            </w:pPr>
          </w:p>
          <w:p w14:paraId="44387A3A" w14:textId="7E393340" w:rsidR="001A2B81" w:rsidRPr="00AC0B77" w:rsidRDefault="001A2B81" w:rsidP="001A2B81">
            <w:pPr>
              <w:autoSpaceDE w:val="0"/>
              <w:autoSpaceDN w:val="0"/>
              <w:adjustRightInd w:val="0"/>
              <w:rPr>
                <w:rFonts w:ascii="Arial" w:eastAsia="Calibri" w:hAnsi="Arial" w:cs="Arial"/>
                <w:sz w:val="22"/>
                <w:szCs w:val="22"/>
              </w:rPr>
            </w:pPr>
            <w:r>
              <w:rPr>
                <w:rFonts w:ascii="Arial" w:eastAsia="Calibri" w:hAnsi="Arial" w:cs="Arial"/>
                <w:sz w:val="22"/>
                <w:szCs w:val="22"/>
              </w:rPr>
              <w:t xml:space="preserve"> </w:t>
            </w:r>
            <w:r w:rsidRPr="005E425F">
              <w:rPr>
                <w:rFonts w:ascii="Arial" w:eastAsia="Calibri" w:hAnsi="Arial" w:cs="Arial"/>
                <w:b/>
                <w:bCs/>
                <w:sz w:val="22"/>
                <w:szCs w:val="22"/>
              </w:rPr>
              <w:t>Results</w:t>
            </w:r>
            <w:r w:rsidRPr="00AC0B77">
              <w:rPr>
                <w:rFonts w:ascii="Arial" w:eastAsia="Calibri" w:hAnsi="Arial" w:cs="Arial"/>
                <w:sz w:val="22"/>
                <w:szCs w:val="22"/>
              </w:rPr>
              <w:t>: Thirty individual studies and seven systematic reviews were included, with most research examining the effectiveness of physiotherapy-based exercise rehabilitation after total knee replacement using randomized control trial methods. Rehabilitation after hip and knee replacement whether carried out at the clinic or monitored at home, appears beneficial but type, intensity and duration of interventions were not consistently associated with outcomes. The burden of comorbidities rather than specific rehabilitation approach may better predict rehabilitation outcome. Monitoring of recovery and therapeutic attention appear important but little is known about optimal levels and methods required to maximize outcomes.</w:t>
            </w:r>
          </w:p>
          <w:p w14:paraId="45B5DDCF" w14:textId="0016DD6A" w:rsidR="001A2B81" w:rsidRDefault="001A2B81" w:rsidP="001A2B81">
            <w:pPr>
              <w:autoSpaceDE w:val="0"/>
              <w:autoSpaceDN w:val="0"/>
              <w:adjustRightInd w:val="0"/>
              <w:rPr>
                <w:rFonts w:ascii="Arial" w:eastAsia="Calibri" w:hAnsi="Arial" w:cs="Arial"/>
                <w:sz w:val="22"/>
                <w:szCs w:val="22"/>
              </w:rPr>
            </w:pPr>
            <w:r w:rsidRPr="00AC0B77">
              <w:rPr>
                <w:rFonts w:ascii="Arial" w:eastAsia="Calibri" w:hAnsi="Arial" w:cs="Arial"/>
                <w:sz w:val="22"/>
                <w:szCs w:val="22"/>
              </w:rPr>
              <w:t>This study comments on the influence of comorbidities on rehabilitation outcomes</w:t>
            </w:r>
          </w:p>
          <w:p w14:paraId="0838EDAC" w14:textId="77777777" w:rsidR="001A2B81" w:rsidRPr="00AC0B77" w:rsidRDefault="001A2B81" w:rsidP="001A2B81">
            <w:pPr>
              <w:autoSpaceDE w:val="0"/>
              <w:autoSpaceDN w:val="0"/>
              <w:adjustRightInd w:val="0"/>
              <w:rPr>
                <w:rFonts w:ascii="Arial" w:eastAsia="Calibri" w:hAnsi="Arial" w:cs="Arial"/>
                <w:sz w:val="22"/>
                <w:szCs w:val="22"/>
              </w:rPr>
            </w:pPr>
          </w:p>
          <w:p w14:paraId="6D0B26C3" w14:textId="31CED654" w:rsidR="001A2B81" w:rsidRPr="00AC0B77" w:rsidRDefault="00751008" w:rsidP="001A2B81">
            <w:pPr>
              <w:autoSpaceDE w:val="0"/>
              <w:autoSpaceDN w:val="0"/>
              <w:adjustRightInd w:val="0"/>
              <w:rPr>
                <w:rFonts w:ascii="Arial" w:eastAsia="Calibri" w:hAnsi="Arial" w:cs="Arial"/>
                <w:sz w:val="22"/>
                <w:szCs w:val="22"/>
              </w:rPr>
            </w:pPr>
            <w:hyperlink r:id="rId110" w:history="1">
              <w:r w:rsidR="001A2B81" w:rsidRPr="005E425F">
                <w:rPr>
                  <w:rStyle w:val="Hyperlink"/>
                  <w:rFonts w:ascii="Arial" w:eastAsia="Calibri" w:hAnsi="Arial" w:cs="Arial"/>
                  <w:sz w:val="22"/>
                  <w:szCs w:val="22"/>
                </w:rPr>
                <w:t xml:space="preserve">Phys </w:t>
              </w:r>
              <w:proofErr w:type="spellStart"/>
              <w:r w:rsidR="001A2B81" w:rsidRPr="005E425F">
                <w:rPr>
                  <w:rStyle w:val="Hyperlink"/>
                  <w:rFonts w:ascii="Arial" w:eastAsia="Calibri" w:hAnsi="Arial" w:cs="Arial"/>
                  <w:sz w:val="22"/>
                  <w:szCs w:val="22"/>
                </w:rPr>
                <w:t>Sportsmed</w:t>
              </w:r>
              <w:proofErr w:type="spellEnd"/>
              <w:r w:rsidR="001A2B81" w:rsidRPr="005E425F">
                <w:rPr>
                  <w:rStyle w:val="Hyperlink"/>
                  <w:rFonts w:ascii="Arial" w:eastAsia="Calibri" w:hAnsi="Arial" w:cs="Arial"/>
                  <w:sz w:val="22"/>
                  <w:szCs w:val="22"/>
                </w:rPr>
                <w:t>.</w:t>
              </w:r>
            </w:hyperlink>
            <w:r w:rsidR="001A2B81" w:rsidRPr="00AC0B77">
              <w:rPr>
                <w:rFonts w:ascii="Arial" w:eastAsia="Calibri" w:hAnsi="Arial" w:cs="Arial"/>
                <w:sz w:val="22"/>
                <w:szCs w:val="22"/>
              </w:rPr>
              <w:t xml:space="preserve"> 2018 Feb;46(1):36-43. </w:t>
            </w:r>
            <w:proofErr w:type="spellStart"/>
            <w:r w:rsidR="001A2B81" w:rsidRPr="00AC0B77">
              <w:rPr>
                <w:rFonts w:ascii="Arial" w:eastAsia="Calibri" w:hAnsi="Arial" w:cs="Arial"/>
                <w:sz w:val="22"/>
                <w:szCs w:val="22"/>
              </w:rPr>
              <w:t>doi</w:t>
            </w:r>
            <w:proofErr w:type="spellEnd"/>
            <w:r w:rsidR="001A2B81" w:rsidRPr="00AC0B77">
              <w:rPr>
                <w:rFonts w:ascii="Arial" w:eastAsia="Calibri" w:hAnsi="Arial" w:cs="Arial"/>
                <w:sz w:val="22"/>
                <w:szCs w:val="22"/>
              </w:rPr>
              <w:t xml:space="preserve">: 10.1080/00913847.2018.1403274. </w:t>
            </w:r>
            <w:proofErr w:type="spellStart"/>
            <w:r w:rsidR="001A2B81" w:rsidRPr="00AC0B77">
              <w:rPr>
                <w:rFonts w:ascii="Arial" w:eastAsia="Calibri" w:hAnsi="Arial" w:cs="Arial"/>
                <w:sz w:val="22"/>
                <w:szCs w:val="22"/>
              </w:rPr>
              <w:t>Epub</w:t>
            </w:r>
            <w:proofErr w:type="spellEnd"/>
            <w:r w:rsidR="001A2B81" w:rsidRPr="00AC0B77">
              <w:rPr>
                <w:rFonts w:ascii="Arial" w:eastAsia="Calibri" w:hAnsi="Arial" w:cs="Arial"/>
                <w:sz w:val="22"/>
                <w:szCs w:val="22"/>
              </w:rPr>
              <w:t xml:space="preserve"> 2017 Nov 15.</w:t>
            </w:r>
            <w:r w:rsidR="001A2B81" w:rsidRPr="005E425F">
              <w:rPr>
                <w:rFonts w:ascii="Arial" w:eastAsia="Calibri" w:hAnsi="Arial" w:cs="Arial"/>
                <w:b/>
                <w:bCs/>
                <w:sz w:val="22"/>
                <w:szCs w:val="22"/>
              </w:rPr>
              <w:t>Is it necessary to perform prehabilitation exercise for patients undergoing total knee arthroplasty: meta-analysis of randomized controlled trials.</w:t>
            </w:r>
          </w:p>
          <w:p w14:paraId="5FDAFB80" w14:textId="159BECBD" w:rsidR="001A2B81" w:rsidRPr="00AC0B77" w:rsidRDefault="00751008" w:rsidP="001A2B81">
            <w:pPr>
              <w:autoSpaceDE w:val="0"/>
              <w:autoSpaceDN w:val="0"/>
              <w:adjustRightInd w:val="0"/>
              <w:rPr>
                <w:rFonts w:ascii="Arial" w:eastAsia="Calibri" w:hAnsi="Arial" w:cs="Arial"/>
                <w:sz w:val="22"/>
                <w:szCs w:val="22"/>
              </w:rPr>
            </w:pPr>
            <w:hyperlink r:id="rId111" w:history="1">
              <w:r w:rsidR="001A2B81" w:rsidRPr="005E425F">
                <w:rPr>
                  <w:rStyle w:val="Hyperlink"/>
                  <w:rFonts w:ascii="Arial" w:eastAsia="Calibri" w:hAnsi="Arial" w:cs="Arial"/>
                  <w:sz w:val="22"/>
                  <w:szCs w:val="22"/>
                </w:rPr>
                <w:t>Chen H</w:t>
              </w:r>
              <w:r w:rsidR="001A2B81" w:rsidRPr="005E425F">
                <w:rPr>
                  <w:rStyle w:val="Hyperlink"/>
                  <w:rFonts w:ascii="Arial" w:eastAsia="Calibri" w:hAnsi="Arial" w:cs="Arial"/>
                  <w:sz w:val="22"/>
                  <w:szCs w:val="22"/>
                  <w:vertAlign w:val="superscript"/>
                </w:rPr>
                <w:t xml:space="preserve">1, </w:t>
              </w:r>
              <w:r w:rsidR="001A2B81" w:rsidRPr="005E425F">
                <w:rPr>
                  <w:rStyle w:val="Hyperlink"/>
                  <w:rFonts w:ascii="Arial" w:eastAsia="Calibri" w:hAnsi="Arial" w:cs="Arial"/>
                  <w:sz w:val="22"/>
                  <w:szCs w:val="22"/>
                </w:rPr>
                <w:t xml:space="preserve">Li S1, </w:t>
              </w:r>
              <w:proofErr w:type="spellStart"/>
              <w:r w:rsidR="001A2B81" w:rsidRPr="005E425F">
                <w:rPr>
                  <w:rStyle w:val="Hyperlink"/>
                  <w:rFonts w:ascii="Arial" w:eastAsia="Calibri" w:hAnsi="Arial" w:cs="Arial"/>
                  <w:sz w:val="22"/>
                  <w:szCs w:val="22"/>
                </w:rPr>
                <w:t>Ruan</w:t>
              </w:r>
              <w:proofErr w:type="spellEnd"/>
              <w:r w:rsidR="001A2B81" w:rsidRPr="005E425F">
                <w:rPr>
                  <w:rStyle w:val="Hyperlink"/>
                  <w:rFonts w:ascii="Arial" w:eastAsia="Calibri" w:hAnsi="Arial" w:cs="Arial"/>
                  <w:sz w:val="22"/>
                  <w:szCs w:val="22"/>
                </w:rPr>
                <w:t xml:space="preserve"> T</w:t>
              </w:r>
              <w:r w:rsidR="001A2B81" w:rsidRPr="005E425F">
                <w:rPr>
                  <w:rStyle w:val="Hyperlink"/>
                  <w:rFonts w:ascii="Arial" w:eastAsia="Calibri" w:hAnsi="Arial" w:cs="Arial"/>
                  <w:sz w:val="22"/>
                  <w:szCs w:val="22"/>
                  <w:vertAlign w:val="superscript"/>
                </w:rPr>
                <w:t>1</w:t>
              </w:r>
              <w:r w:rsidR="001A2B81" w:rsidRPr="005E425F">
                <w:rPr>
                  <w:rStyle w:val="Hyperlink"/>
                  <w:rFonts w:ascii="Arial" w:eastAsia="Calibri" w:hAnsi="Arial" w:cs="Arial"/>
                  <w:sz w:val="22"/>
                  <w:szCs w:val="22"/>
                </w:rPr>
                <w:t>, Liu L</w:t>
              </w:r>
              <w:r w:rsidR="001A2B81" w:rsidRPr="005E425F">
                <w:rPr>
                  <w:rStyle w:val="Hyperlink"/>
                  <w:rFonts w:ascii="Arial" w:eastAsia="Calibri" w:hAnsi="Arial" w:cs="Arial"/>
                  <w:sz w:val="22"/>
                  <w:szCs w:val="22"/>
                  <w:vertAlign w:val="superscript"/>
                </w:rPr>
                <w:t>1,</w:t>
              </w:r>
              <w:r w:rsidR="001A2B81" w:rsidRPr="005E425F">
                <w:rPr>
                  <w:rStyle w:val="Hyperlink"/>
                  <w:rFonts w:ascii="Arial" w:eastAsia="Calibri" w:hAnsi="Arial" w:cs="Arial"/>
                  <w:sz w:val="22"/>
                  <w:szCs w:val="22"/>
                </w:rPr>
                <w:t xml:space="preserve"> Fang L</w:t>
              </w:r>
              <w:r w:rsidR="001A2B81" w:rsidRPr="005E425F">
                <w:rPr>
                  <w:rStyle w:val="Hyperlink"/>
                  <w:rFonts w:ascii="Arial" w:eastAsia="Calibri" w:hAnsi="Arial" w:cs="Arial"/>
                  <w:sz w:val="22"/>
                  <w:szCs w:val="22"/>
                  <w:vertAlign w:val="superscript"/>
                </w:rPr>
                <w:t>1</w:t>
              </w:r>
            </w:hyperlink>
            <w:r w:rsidR="001A2B81" w:rsidRPr="00AC0B77">
              <w:rPr>
                <w:rFonts w:ascii="Arial" w:eastAsia="Calibri" w:hAnsi="Arial" w:cs="Arial"/>
                <w:sz w:val="22"/>
                <w:szCs w:val="22"/>
              </w:rPr>
              <w:t>.</w:t>
            </w:r>
          </w:p>
          <w:p w14:paraId="6EEF56A8" w14:textId="77777777" w:rsidR="001A2B81" w:rsidRPr="00AC0B77" w:rsidRDefault="001A2B81" w:rsidP="001A2B81">
            <w:pPr>
              <w:pStyle w:val="Tabletext"/>
              <w:rPr>
                <w:rFonts w:eastAsia="Calibri"/>
              </w:rPr>
            </w:pPr>
            <w:r w:rsidRPr="00AC0B77">
              <w:rPr>
                <w:rFonts w:eastAsia="Calibri"/>
              </w:rPr>
              <w:t xml:space="preserve">Conclusions :  Our meta-analysis found that prehabilitation exercise was effective in reducing length of hospital stay. Importantly, it was an effective method for improving knee ROM and sit-to-stand test after TKA. However, there was no effect of prehabilitation exercise on the improvement of </w:t>
            </w:r>
            <w:r w:rsidRPr="00AC0B77">
              <w:rPr>
                <w:rFonts w:eastAsia="Calibri"/>
              </w:rPr>
              <w:lastRenderedPageBreak/>
              <w:t>quadriceps strength, 6-minute walk, pain and functional recovery following TKA.</w:t>
            </w:r>
          </w:p>
          <w:p w14:paraId="6EDC6037" w14:textId="1E577442" w:rsidR="001A2B81" w:rsidRPr="00AC0B77" w:rsidRDefault="001A2B81" w:rsidP="001A2B81">
            <w:pPr>
              <w:pStyle w:val="Tabletext"/>
              <w:rPr>
                <w:rFonts w:eastAsia="Calibri"/>
              </w:rPr>
            </w:pPr>
            <w:r w:rsidRPr="005E425F">
              <w:rPr>
                <w:rFonts w:eastAsia="Calibri"/>
                <w:b/>
                <w:bCs/>
              </w:rPr>
              <w:t>Effectiveness of pre-operative physiotherapy-based programmes on outcomes following total knee arthroplasty: a systematic review and meta-analysis</w:t>
            </w:r>
            <w:r w:rsidRPr="00AC0B77">
              <w:rPr>
                <w:rFonts w:eastAsia="Calibri"/>
              </w:rPr>
              <w:t xml:space="preserve"> : </w:t>
            </w:r>
            <w:hyperlink r:id="rId112" w:history="1">
              <w:r w:rsidRPr="005E425F">
                <w:rPr>
                  <w:rStyle w:val="Hyperlink"/>
                  <w:rFonts w:eastAsia="Calibri"/>
                </w:rPr>
                <w:t>Lucy Simmons</w:t>
              </w:r>
            </w:hyperlink>
            <w:r w:rsidRPr="00AC0B77">
              <w:rPr>
                <w:rFonts w:eastAsia="Calibri"/>
              </w:rPr>
              <w:t xml:space="preserve"> &amp;</w:t>
            </w:r>
            <w:hyperlink r:id="rId113" w:history="1">
              <w:r w:rsidRPr="005E425F">
                <w:rPr>
                  <w:rStyle w:val="Hyperlink"/>
                  <w:rFonts w:eastAsia="Calibri"/>
                </w:rPr>
                <w:t xml:space="preserve">Toby Smith                                                                                                                                                                                                     </w:t>
              </w:r>
            </w:hyperlink>
            <w:r w:rsidRPr="00AC0B77">
              <w:rPr>
                <w:rFonts w:eastAsia="Calibri"/>
              </w:rPr>
              <w:t xml:space="preserve"> Of those studies reporting on objective measures of function, five out of eight studies reported no significant difference with the inclusion of pre-operative rehabilitation (P&gt;0·05). Interventions based on neuromuscular electrical stimulation or proprioception in the intervention group demonstrated improvements in sit-to-stand and stair climbing/descending ability (P≤0·05) at 12 weeks after TKA.</w:t>
            </w:r>
          </w:p>
          <w:p w14:paraId="1764217C" w14:textId="4C615B41" w:rsidR="001A2B81" w:rsidRPr="00AC0B77" w:rsidRDefault="00751008" w:rsidP="001A2B81">
            <w:pPr>
              <w:pStyle w:val="Tabletext"/>
              <w:rPr>
                <w:rFonts w:eastAsia="Calibri"/>
              </w:rPr>
            </w:pPr>
            <w:hyperlink r:id="rId114" w:history="1">
              <w:r w:rsidR="001A2B81" w:rsidRPr="005E425F">
                <w:rPr>
                  <w:rStyle w:val="Hyperlink"/>
                  <w:rFonts w:eastAsia="Calibri"/>
                </w:rPr>
                <w:t xml:space="preserve">J Exp </w:t>
              </w:r>
              <w:proofErr w:type="spellStart"/>
              <w:r w:rsidR="001A2B81" w:rsidRPr="005E425F">
                <w:rPr>
                  <w:rStyle w:val="Hyperlink"/>
                  <w:rFonts w:eastAsia="Calibri"/>
                </w:rPr>
                <w:t>Orthop</w:t>
              </w:r>
              <w:proofErr w:type="spellEnd"/>
            </w:hyperlink>
            <w:r w:rsidR="001A2B81" w:rsidRPr="00AC0B77">
              <w:rPr>
                <w:rFonts w:eastAsia="Calibri"/>
              </w:rPr>
              <w:t xml:space="preserve">. 2018 Dec; 5: 44.Published online 2018 Oct 11. </w:t>
            </w:r>
            <w:proofErr w:type="spellStart"/>
            <w:r w:rsidR="001A2B81" w:rsidRPr="00AC0B77">
              <w:rPr>
                <w:rFonts w:eastAsia="Calibri"/>
              </w:rPr>
              <w:t>doi</w:t>
            </w:r>
            <w:proofErr w:type="spellEnd"/>
            <w:r w:rsidR="001A2B81" w:rsidRPr="00AC0B77">
              <w:rPr>
                <w:rFonts w:eastAsia="Calibri"/>
              </w:rPr>
              <w:t xml:space="preserve">: </w:t>
            </w:r>
            <w:hyperlink r:id="rId115" w:history="1">
              <w:r w:rsidR="001A2B81" w:rsidRPr="005E425F">
                <w:rPr>
                  <w:rStyle w:val="Hyperlink"/>
                  <w:rFonts w:eastAsia="Calibri"/>
                </w:rPr>
                <w:t>10.1186/s40634-018-0156-2</w:t>
              </w:r>
            </w:hyperlink>
            <w:r w:rsidR="001A2B81">
              <w:rPr>
                <w:rFonts w:eastAsia="Calibri"/>
              </w:rPr>
              <w:t xml:space="preserve"> </w:t>
            </w:r>
            <w:r w:rsidR="001A2B81" w:rsidRPr="00AC0B77">
              <w:rPr>
                <w:rFonts w:eastAsia="Calibri"/>
              </w:rPr>
              <w:t>Rehabilitation strategies for optimisation of functional recovery after major joint replacement</w:t>
            </w:r>
            <w:r w:rsidR="001A2B81">
              <w:rPr>
                <w:rFonts w:eastAsia="Calibri"/>
              </w:rPr>
              <w:t xml:space="preserve"> </w:t>
            </w:r>
            <w:hyperlink r:id="rId116" w:history="1">
              <w:r w:rsidR="001A2B81" w:rsidRPr="005E425F">
                <w:rPr>
                  <w:rStyle w:val="Hyperlink"/>
                  <w:rFonts w:eastAsia="Calibri"/>
                </w:rPr>
                <w:t xml:space="preserve">Thomas </w:t>
              </w:r>
              <w:proofErr w:type="spellStart"/>
              <w:r w:rsidR="001A2B81" w:rsidRPr="005E425F">
                <w:rPr>
                  <w:rStyle w:val="Hyperlink"/>
                  <w:rFonts w:eastAsia="Calibri"/>
                </w:rPr>
                <w:t>Bandholm</w:t>
              </w:r>
              <w:proofErr w:type="spellEnd"/>
              <w:r w:rsidR="001A2B81" w:rsidRPr="005E425F">
                <w:rPr>
                  <w:rStyle w:val="Hyperlink"/>
                  <w:rFonts w:eastAsia="Calibri"/>
                </w:rPr>
                <w:t xml:space="preserve">, </w:t>
              </w:r>
              <w:r w:rsidR="001A2B81" w:rsidRPr="005E425F">
                <w:rPr>
                  <w:rStyle w:val="Hyperlink"/>
                  <w:rFonts w:eastAsia="Calibri"/>
                  <w:vertAlign w:val="superscript"/>
                </w:rPr>
                <w:t>1,2,3</w:t>
              </w:r>
            </w:hyperlink>
            <w:r w:rsidR="001A2B81" w:rsidRPr="00AC0B77">
              <w:rPr>
                <w:rFonts w:eastAsia="Calibri"/>
              </w:rPr>
              <w:t xml:space="preserve"> </w:t>
            </w:r>
            <w:hyperlink r:id="rId117" w:history="1">
              <w:r w:rsidR="001A2B81" w:rsidRPr="005E425F">
                <w:rPr>
                  <w:rStyle w:val="Hyperlink"/>
                  <w:rFonts w:eastAsia="Calibri"/>
                </w:rPr>
                <w:t>Thomas W. Wainwright,</w:t>
              </w:r>
              <w:r w:rsidR="001A2B81" w:rsidRPr="005E425F">
                <w:rPr>
                  <w:rStyle w:val="Hyperlink"/>
                  <w:rFonts w:eastAsia="Calibri"/>
                  <w:vertAlign w:val="superscript"/>
                </w:rPr>
                <w:t>4</w:t>
              </w:r>
            </w:hyperlink>
            <w:r w:rsidR="001A2B81" w:rsidRPr="00AC0B77">
              <w:rPr>
                <w:rFonts w:eastAsia="Calibri"/>
              </w:rPr>
              <w:t xml:space="preserve"> and </w:t>
            </w:r>
            <w:hyperlink r:id="rId118" w:history="1">
              <w:r w:rsidR="001A2B81" w:rsidRPr="005E425F">
                <w:rPr>
                  <w:rStyle w:val="Hyperlink"/>
                  <w:rFonts w:eastAsia="Calibri"/>
                </w:rPr>
                <w:t>Henrik  kehlet</w:t>
              </w:r>
              <w:r w:rsidR="001A2B81" w:rsidRPr="005E425F">
                <w:rPr>
                  <w:rStyle w:val="Hyperlink"/>
                  <w:rFonts w:eastAsia="Calibri"/>
                  <w:vertAlign w:val="superscript"/>
                </w:rPr>
                <w:t>5</w:t>
              </w:r>
            </w:hyperlink>
          </w:p>
          <w:p w14:paraId="77653D21" w14:textId="77777777" w:rsidR="001A2B81" w:rsidRPr="00AC0B77" w:rsidRDefault="001A2B81" w:rsidP="001A2B81">
            <w:pPr>
              <w:autoSpaceDE w:val="0"/>
              <w:autoSpaceDN w:val="0"/>
              <w:adjustRightInd w:val="0"/>
              <w:rPr>
                <w:rFonts w:ascii="Arial" w:eastAsia="Calibri" w:hAnsi="Arial" w:cs="Arial"/>
                <w:sz w:val="22"/>
                <w:szCs w:val="22"/>
              </w:rPr>
            </w:pPr>
          </w:p>
          <w:p w14:paraId="01E705D7" w14:textId="77777777" w:rsidR="001A2B81" w:rsidRPr="00AC0B77" w:rsidRDefault="001A2B81" w:rsidP="001A2B81">
            <w:pPr>
              <w:pStyle w:val="Tabletext"/>
              <w:rPr>
                <w:rFonts w:eastAsia="Calibri"/>
              </w:rPr>
            </w:pPr>
            <w:r w:rsidRPr="005E425F">
              <w:rPr>
                <w:rFonts w:eastAsia="Calibri"/>
                <w:b/>
                <w:bCs/>
              </w:rPr>
              <w:t>Conclusions</w:t>
            </w:r>
            <w:r w:rsidRPr="00AC0B77">
              <w:rPr>
                <w:rFonts w:eastAsia="Calibri"/>
              </w:rPr>
              <w:t xml:space="preserve"> : In summary, there is a continuous major need to improve functional recovery after hip and knee replacement, because studies to date have not found superiority of one exercise regime over another. However, whilst exercise-based rehabilitation seems superior to no or minimal rehabilitation after THA and TKA, future rehabilitation strategies will require us to examine different patient groups and the use of specific postoperative rehabilitation interventions based within “enriched” trial designs</w:t>
            </w:r>
          </w:p>
          <w:p w14:paraId="16D7BD7C" w14:textId="77777777" w:rsidR="001A2B81" w:rsidRPr="00AC0B77" w:rsidRDefault="001A2B81" w:rsidP="001A2B81">
            <w:pPr>
              <w:pStyle w:val="Tabletext"/>
              <w:rPr>
                <w:rFonts w:eastAsia="Calibri"/>
              </w:rPr>
            </w:pPr>
            <w:r w:rsidRPr="00AC0B77">
              <w:rPr>
                <w:rFonts w:eastAsia="Calibri"/>
              </w:rPr>
              <w:t>.</w:t>
            </w:r>
          </w:p>
          <w:p w14:paraId="6D8CF040" w14:textId="77777777" w:rsidR="001A2B81" w:rsidRPr="00AC0B77" w:rsidRDefault="001A2B81" w:rsidP="001A2B81">
            <w:pPr>
              <w:pStyle w:val="Tabletext"/>
              <w:rPr>
                <w:rFonts w:eastAsia="Calibri"/>
              </w:rPr>
            </w:pPr>
            <w:r w:rsidRPr="00AC0B77">
              <w:rPr>
                <w:rFonts w:eastAsia="Calibri"/>
              </w:rPr>
              <w:lastRenderedPageBreak/>
              <w:t xml:space="preserve">Within the study </w:t>
            </w:r>
            <w:proofErr w:type="spellStart"/>
            <w:r w:rsidRPr="00AC0B77">
              <w:rPr>
                <w:rFonts w:eastAsia="Calibri"/>
              </w:rPr>
              <w:t>thie</w:t>
            </w:r>
            <w:proofErr w:type="spellEnd"/>
            <w:r w:rsidRPr="00AC0B77">
              <w:rPr>
                <w:rFonts w:eastAsia="Calibri"/>
              </w:rPr>
              <w:t xml:space="preserve"> paragraph is included :</w:t>
            </w:r>
          </w:p>
          <w:p w14:paraId="52E9AC8D" w14:textId="193C9E32" w:rsidR="001A2B81" w:rsidRPr="00AC0B77" w:rsidRDefault="001A2B81" w:rsidP="001A2B81">
            <w:pPr>
              <w:pStyle w:val="Tabletext"/>
              <w:rPr>
                <w:rFonts w:eastAsia="Calibri"/>
              </w:rPr>
            </w:pPr>
            <w:r w:rsidRPr="00AC0B77">
              <w:rPr>
                <w:rFonts w:eastAsia="Calibri"/>
              </w:rPr>
              <w:t xml:space="preserve">Similarly, the promising results of another technology, perioperative neuromuscular electrical stimulation (NMES) requires further investigation (Spector et al. </w:t>
            </w:r>
            <w:hyperlink r:id="rId119" w:anchor="CR34" w:history="1">
              <w:r w:rsidRPr="005E425F">
                <w:rPr>
                  <w:rStyle w:val="Hyperlink"/>
                  <w:rFonts w:eastAsia="Calibri"/>
                </w:rPr>
                <w:t>2016</w:t>
              </w:r>
            </w:hyperlink>
            <w:r w:rsidRPr="00AC0B77">
              <w:rPr>
                <w:rFonts w:eastAsia="Calibri"/>
              </w:rPr>
              <w:t xml:space="preserve">) before recommendations can be provided. The potential role of NMES in accelerating the recovery of muscle function should be evaluated along with its effect using different setting parameters on symptoms such as pain and oedema. It’s use immediately post-surgery (before discharge) may also offer benefits, </w:t>
            </w:r>
            <w:proofErr w:type="gramStart"/>
            <w:r w:rsidRPr="00AC0B77">
              <w:rPr>
                <w:rFonts w:eastAsia="Calibri"/>
              </w:rPr>
              <w:t>where by</w:t>
            </w:r>
            <w:proofErr w:type="gramEnd"/>
            <w:r w:rsidRPr="00AC0B77">
              <w:rPr>
                <w:rFonts w:eastAsia="Calibri"/>
              </w:rPr>
              <w:t xml:space="preserve"> it can enable a high exercise volume, with little effort, at a time point where muscle inhibition is most pronounced. In addition, in post-discharge rehabilitation, its combination with exercise interventions (non-simultaneously) has also been argued as optimal (</w:t>
            </w:r>
            <w:proofErr w:type="spellStart"/>
            <w:r w:rsidRPr="00AC0B77">
              <w:rPr>
                <w:rFonts w:eastAsia="Calibri"/>
              </w:rPr>
              <w:t>Vanderthommen</w:t>
            </w:r>
            <w:proofErr w:type="spellEnd"/>
            <w:r w:rsidRPr="00AC0B77">
              <w:rPr>
                <w:rFonts w:eastAsia="Calibri"/>
              </w:rPr>
              <w:t xml:space="preserve"> and </w:t>
            </w:r>
            <w:proofErr w:type="spellStart"/>
            <w:r w:rsidRPr="00AC0B77">
              <w:rPr>
                <w:rFonts w:eastAsia="Calibri"/>
              </w:rPr>
              <w:t>Duchateau</w:t>
            </w:r>
            <w:proofErr w:type="spellEnd"/>
            <w:r w:rsidRPr="00AC0B77">
              <w:rPr>
                <w:rFonts w:eastAsia="Calibri"/>
              </w:rPr>
              <w:t xml:space="preserve"> </w:t>
            </w:r>
            <w:hyperlink r:id="rId120" w:anchor="CR36" w:history="1">
              <w:r w:rsidRPr="005E425F">
                <w:rPr>
                  <w:rStyle w:val="Hyperlink"/>
                  <w:rFonts w:eastAsia="Calibri"/>
                </w:rPr>
                <w:t>2007</w:t>
              </w:r>
            </w:hyperlink>
            <w:r w:rsidRPr="00AC0B77">
              <w:rPr>
                <w:rFonts w:eastAsia="Calibri"/>
              </w:rPr>
              <w:t>)</w:t>
            </w:r>
          </w:p>
          <w:p w14:paraId="76704C33" w14:textId="77777777" w:rsidR="001A2B81" w:rsidRPr="00AC0B77" w:rsidRDefault="001A2B81" w:rsidP="001A2B81">
            <w:pPr>
              <w:pStyle w:val="Tabletext"/>
              <w:rPr>
                <w:rFonts w:eastAsia="Calibri"/>
              </w:rPr>
            </w:pPr>
          </w:p>
          <w:p w14:paraId="4D284812" w14:textId="1FAF6BF5" w:rsidR="001A2B81" w:rsidRPr="006C2B8B" w:rsidRDefault="00751008" w:rsidP="001A2B81">
            <w:pPr>
              <w:pStyle w:val="Tabletext"/>
              <w:rPr>
                <w:rFonts w:eastAsia="Calibri"/>
              </w:rPr>
            </w:pPr>
            <w:hyperlink r:id="rId121" w:history="1">
              <w:r w:rsidR="001A2B81" w:rsidRPr="005E425F">
                <w:rPr>
                  <w:rStyle w:val="Hyperlink"/>
                  <w:rFonts w:eastAsia="Calibri"/>
                </w:rPr>
                <w:t xml:space="preserve">BMC </w:t>
              </w:r>
              <w:proofErr w:type="spellStart"/>
              <w:r w:rsidR="001A2B81" w:rsidRPr="005E425F">
                <w:rPr>
                  <w:rStyle w:val="Hyperlink"/>
                  <w:rFonts w:eastAsia="Calibri"/>
                </w:rPr>
                <w:t>Musculoskelet</w:t>
              </w:r>
              <w:proofErr w:type="spellEnd"/>
              <w:r w:rsidR="001A2B81" w:rsidRPr="005E425F">
                <w:rPr>
                  <w:rStyle w:val="Hyperlink"/>
                  <w:rFonts w:eastAsia="Calibri"/>
                </w:rPr>
                <w:t xml:space="preserve"> </w:t>
              </w:r>
              <w:proofErr w:type="spellStart"/>
              <w:r w:rsidR="001A2B81" w:rsidRPr="005E425F">
                <w:rPr>
                  <w:rStyle w:val="Hyperlink"/>
                  <w:rFonts w:eastAsia="Calibri"/>
                </w:rPr>
                <w:t>Disord</w:t>
              </w:r>
              <w:proofErr w:type="spellEnd"/>
            </w:hyperlink>
            <w:r w:rsidR="001A2B81" w:rsidRPr="006C2B8B">
              <w:rPr>
                <w:rFonts w:eastAsia="Calibri"/>
              </w:rPr>
              <w:t xml:space="preserve">. 2019 Jan 29;20(1):42. </w:t>
            </w:r>
            <w:proofErr w:type="spellStart"/>
            <w:r w:rsidR="001A2B81" w:rsidRPr="006C2B8B">
              <w:rPr>
                <w:rFonts w:eastAsia="Calibri"/>
              </w:rPr>
              <w:t>doi</w:t>
            </w:r>
            <w:proofErr w:type="spellEnd"/>
            <w:r w:rsidR="001A2B81" w:rsidRPr="006C2B8B">
              <w:rPr>
                <w:rFonts w:eastAsia="Calibri"/>
              </w:rPr>
              <w:t>: 10.1186/s12891-019-2415-5.</w:t>
            </w:r>
          </w:p>
          <w:p w14:paraId="1D61CB02" w14:textId="77777777" w:rsidR="001A2B81" w:rsidRPr="006C2B8B" w:rsidRDefault="001A2B81" w:rsidP="001A2B81">
            <w:pPr>
              <w:pStyle w:val="Tabletext"/>
              <w:rPr>
                <w:rFonts w:eastAsia="Calibri"/>
              </w:rPr>
            </w:pPr>
            <w:r w:rsidRPr="006C2B8B">
              <w:rPr>
                <w:rFonts w:eastAsia="Calibri"/>
              </w:rPr>
              <w:t>What is the evidence to support early supervised exercise therapy after primary total knee replacement? A systematic review and meta-analysis.</w:t>
            </w:r>
          </w:p>
          <w:p w14:paraId="212C82F7" w14:textId="0D7C11DF" w:rsidR="001A2B81" w:rsidRPr="00837B5A" w:rsidRDefault="001A2B81" w:rsidP="001A2B81">
            <w:pPr>
              <w:pStyle w:val="Tabletext"/>
              <w:rPr>
                <w:rFonts w:eastAsia="Calibri"/>
              </w:rPr>
            </w:pPr>
            <w:r w:rsidRPr="006C2B8B">
              <w:rPr>
                <w:rFonts w:eastAsia="Calibri"/>
              </w:rPr>
              <w:t>Sattler LN</w:t>
            </w:r>
            <w:hyperlink r:id="rId122" w:history="1">
              <w:r w:rsidRPr="005E425F">
                <w:rPr>
                  <w:rStyle w:val="Hyperlink"/>
                  <w:rFonts w:eastAsia="Calibri"/>
                  <w:vertAlign w:val="superscript"/>
                </w:rPr>
                <w:t>1,2,3</w:t>
              </w:r>
            </w:hyperlink>
            <w:r w:rsidRPr="006C2B8B">
              <w:rPr>
                <w:rFonts w:eastAsia="Calibri"/>
              </w:rPr>
              <w:t xml:space="preserve">, </w:t>
            </w:r>
            <w:hyperlink r:id="rId123" w:history="1">
              <w:r w:rsidRPr="005E425F">
                <w:rPr>
                  <w:rStyle w:val="Hyperlink"/>
                  <w:rFonts w:eastAsia="Calibri"/>
                </w:rPr>
                <w:t>Hing WA</w:t>
              </w:r>
              <w:r w:rsidRPr="005E425F">
                <w:rPr>
                  <w:rStyle w:val="Hyperlink"/>
                  <w:rFonts w:eastAsia="Calibri"/>
                  <w:vertAlign w:val="superscript"/>
                </w:rPr>
                <w:t>4</w:t>
              </w:r>
            </w:hyperlink>
            <w:r w:rsidRPr="006C2B8B">
              <w:rPr>
                <w:rFonts w:eastAsia="Calibri"/>
              </w:rPr>
              <w:t xml:space="preserve">, </w:t>
            </w:r>
            <w:hyperlink r:id="rId124" w:history="1">
              <w:proofErr w:type="spellStart"/>
              <w:r w:rsidRPr="005E425F">
                <w:rPr>
                  <w:rStyle w:val="Hyperlink"/>
                  <w:rFonts w:eastAsia="Calibri"/>
                </w:rPr>
                <w:t>Vertullo</w:t>
              </w:r>
              <w:proofErr w:type="spellEnd"/>
              <w:r w:rsidRPr="005E425F">
                <w:rPr>
                  <w:rStyle w:val="Hyperlink"/>
                  <w:rFonts w:eastAsia="Calibri"/>
                </w:rPr>
                <w:t xml:space="preserve"> CJ</w:t>
              </w:r>
              <w:r w:rsidRPr="005E425F">
                <w:rPr>
                  <w:rStyle w:val="Hyperlink"/>
                  <w:rFonts w:eastAsia="Calibri"/>
                  <w:vertAlign w:val="superscript"/>
                </w:rPr>
                <w:t>4,5,6</w:t>
              </w:r>
            </w:hyperlink>
            <w:r w:rsidRPr="005E425F">
              <w:rPr>
                <w:rFonts w:eastAsia="Calibri"/>
                <w:vertAlign w:val="superscript"/>
              </w:rPr>
              <w:t xml:space="preserve"> </w:t>
            </w:r>
            <w:r w:rsidRPr="006C2B8B">
              <w:rPr>
                <w:rFonts w:eastAsia="Calibri"/>
              </w:rPr>
              <w:t xml:space="preserve">The paucity and heterogeneity of existing studies that examine early supervised exercise therapy following TKR surgery makes it challenging for clinicians to deliver high-quality evidence-based exercise programs in the early postoperative period. Although superior knee flexion range was found across differing regimes, the meta-analysis showed no significant difference in this outcome between groups at 6 weeks. The results of this review show high quality randomized clinical </w:t>
            </w:r>
            <w:r w:rsidRPr="006C2B8B">
              <w:rPr>
                <w:rFonts w:eastAsia="Calibri"/>
              </w:rPr>
              <w:lastRenderedPageBreak/>
              <w:t>trials are urgently needed to evaluate the impact of early exercise following TKR surgery.</w:t>
            </w:r>
            <w:r w:rsidRPr="00AC0B77">
              <w:rPr>
                <w:rFonts w:eastAsia="Calibri"/>
              </w:rPr>
              <w:t xml:space="preserve"> </w:t>
            </w:r>
          </w:p>
        </w:tc>
      </w:tr>
      <w:tr w:rsidR="001A2B81" w:rsidRPr="00C92280" w14:paraId="64FAFFCB" w14:textId="77777777" w:rsidTr="00641E12">
        <w:trPr>
          <w:trHeight w:val="284"/>
        </w:trPr>
        <w:tc>
          <w:tcPr>
            <w:tcW w:w="313" w:type="pct"/>
          </w:tcPr>
          <w:p w14:paraId="2A9BA91C" w14:textId="42301557" w:rsidR="001A2B81" w:rsidRPr="005E425F" w:rsidRDefault="001A2B81" w:rsidP="001A2B81">
            <w:pPr>
              <w:pStyle w:val="Tabletext"/>
              <w:rPr>
                <w:highlight w:val="green"/>
                <w:lang w:eastAsia="en-GB"/>
              </w:rPr>
            </w:pPr>
            <w:r w:rsidRPr="00314744">
              <w:lastRenderedPageBreak/>
              <w:t>3</w:t>
            </w:r>
            <w:r w:rsidR="00765A68">
              <w:t>7</w:t>
            </w:r>
          </w:p>
        </w:tc>
        <w:tc>
          <w:tcPr>
            <w:tcW w:w="805" w:type="pct"/>
          </w:tcPr>
          <w:p w14:paraId="30B35DE8" w14:textId="10059DA9" w:rsidR="001A2B81" w:rsidRDefault="001A2B81" w:rsidP="001A2B81">
            <w:pPr>
              <w:pStyle w:val="Tabletext"/>
            </w:pPr>
            <w:r>
              <w:t>NeuroCare Europe</w:t>
            </w:r>
          </w:p>
        </w:tc>
        <w:tc>
          <w:tcPr>
            <w:tcW w:w="0" w:type="auto"/>
          </w:tcPr>
          <w:p w14:paraId="6C2652BD" w14:textId="387642EE" w:rsidR="001A2B81" w:rsidRDefault="001A2B81" w:rsidP="001A2B81">
            <w:pPr>
              <w:pStyle w:val="Tabletext"/>
              <w:rPr>
                <w:b/>
                <w:bCs/>
              </w:rPr>
            </w:pPr>
            <w:r>
              <w:rPr>
                <w:b/>
                <w:bCs/>
              </w:rPr>
              <w:t>Postoperative rehabilitation and long-term care:</w:t>
            </w:r>
            <w:r>
              <w:t xml:space="preserve"> </w:t>
            </w:r>
            <w:r w:rsidRPr="005E425F">
              <w:t>4 Earlier treatment post diagnosis</w:t>
            </w:r>
          </w:p>
        </w:tc>
        <w:tc>
          <w:tcPr>
            <w:tcW w:w="1155" w:type="pct"/>
          </w:tcPr>
          <w:p w14:paraId="78F47287" w14:textId="2822305C" w:rsidR="001A2B81" w:rsidRDefault="001A2B81" w:rsidP="001A2B81">
            <w:pPr>
              <w:pStyle w:val="Tabletext"/>
              <w:rPr>
                <w:rFonts w:cs="Arial"/>
                <w:szCs w:val="22"/>
              </w:rPr>
            </w:pPr>
            <w:r w:rsidRPr="005E425F">
              <w:rPr>
                <w:rFonts w:cs="Arial"/>
                <w:szCs w:val="22"/>
              </w:rPr>
              <w:t xml:space="preserve">Lack of adequate rehabilitation  causes/contributes to a growing dependency and rapidly rising social care costs </w:t>
            </w:r>
          </w:p>
          <w:p w14:paraId="54DA8C5E" w14:textId="77777777" w:rsidR="001A2B81" w:rsidRPr="0030499B" w:rsidRDefault="001A2B81" w:rsidP="001A2B81">
            <w:pPr>
              <w:pStyle w:val="Tabletext"/>
              <w:rPr>
                <w:rFonts w:cs="Arial"/>
                <w:szCs w:val="22"/>
              </w:rPr>
            </w:pPr>
          </w:p>
          <w:p w14:paraId="5F47DE91" w14:textId="43494C9B" w:rsidR="001A2B81" w:rsidRPr="005E425F" w:rsidRDefault="001A2B81" w:rsidP="001A2B81">
            <w:pPr>
              <w:pStyle w:val="Tabletext"/>
              <w:rPr>
                <w:rFonts w:cs="Arial"/>
                <w:b/>
                <w:bCs/>
                <w:szCs w:val="22"/>
              </w:rPr>
            </w:pPr>
            <w:r w:rsidRPr="0030499B">
              <w:rPr>
                <w:rFonts w:cs="Arial"/>
                <w:b/>
                <w:bCs/>
                <w:szCs w:val="22"/>
              </w:rPr>
              <w:t xml:space="preserve">Why is this important? </w:t>
            </w:r>
          </w:p>
          <w:p w14:paraId="1541051D" w14:textId="63325A82" w:rsidR="001A2B81" w:rsidRDefault="001A2B81" w:rsidP="001A2B81">
            <w:pPr>
              <w:pStyle w:val="Tabletext"/>
            </w:pPr>
            <w:r w:rsidRPr="005E425F">
              <w:rPr>
                <w:rFonts w:cs="Arial"/>
                <w:szCs w:val="22"/>
              </w:rPr>
              <w:t>Financial pressures are causing necessary treatment to be much delayed  with the result that immobility and pain  become more  pronounced. This makes subsequent full recovery much more problematic and  unlikely and contributes to growing lack of self-sufficiency and rising social care costs</w:t>
            </w:r>
          </w:p>
        </w:tc>
        <w:tc>
          <w:tcPr>
            <w:tcW w:w="2035" w:type="pct"/>
          </w:tcPr>
          <w:p w14:paraId="7A6DE51A" w14:textId="77777777" w:rsidR="001A2B81" w:rsidRDefault="001A2B81" w:rsidP="001A2B81">
            <w:pPr>
              <w:pStyle w:val="Tabletext"/>
            </w:pPr>
          </w:p>
        </w:tc>
      </w:tr>
      <w:tr w:rsidR="001A2B81" w:rsidRPr="00C92280" w14:paraId="2FC497AB" w14:textId="77777777" w:rsidTr="00641E12">
        <w:trPr>
          <w:trHeight w:val="284"/>
        </w:trPr>
        <w:tc>
          <w:tcPr>
            <w:tcW w:w="313" w:type="pct"/>
          </w:tcPr>
          <w:p w14:paraId="6BFA2FF8" w14:textId="27128ED4" w:rsidR="001A2B81" w:rsidRPr="00837B5A" w:rsidRDefault="00765A68" w:rsidP="001A2B81">
            <w:pPr>
              <w:pStyle w:val="Tabletext"/>
              <w:rPr>
                <w:lang w:eastAsia="en-GB"/>
              </w:rPr>
            </w:pPr>
            <w:r>
              <w:rPr>
                <w:lang w:eastAsia="en-GB"/>
              </w:rPr>
              <w:t>38</w:t>
            </w:r>
          </w:p>
        </w:tc>
        <w:tc>
          <w:tcPr>
            <w:tcW w:w="805" w:type="pct"/>
          </w:tcPr>
          <w:p w14:paraId="780F3799" w14:textId="1D82EFA2" w:rsidR="001A2B81" w:rsidRDefault="001A2B81" w:rsidP="001A2B81">
            <w:pPr>
              <w:pStyle w:val="Tabletext"/>
            </w:pPr>
            <w:r>
              <w:t>SCM1</w:t>
            </w:r>
          </w:p>
        </w:tc>
        <w:tc>
          <w:tcPr>
            <w:tcW w:w="0" w:type="auto"/>
          </w:tcPr>
          <w:p w14:paraId="432FCAB4" w14:textId="621E2C68" w:rsidR="001A2B81" w:rsidRPr="00563FFF" w:rsidRDefault="001A2B81" w:rsidP="001A2B81">
            <w:pPr>
              <w:pStyle w:val="Tabletext"/>
            </w:pPr>
            <w:r>
              <w:rPr>
                <w:b/>
                <w:bCs/>
              </w:rPr>
              <w:t xml:space="preserve">Postoperative rehabilitation and long-term care: </w:t>
            </w:r>
            <w:r w:rsidRPr="00563FFF">
              <w:t>2</w:t>
            </w:r>
            <w:r>
              <w:t xml:space="preserve"> </w:t>
            </w:r>
          </w:p>
          <w:p w14:paraId="7AD4E82F" w14:textId="1B8045B7" w:rsidR="001A2B81" w:rsidRDefault="001A2B81" w:rsidP="001A2B81">
            <w:pPr>
              <w:pStyle w:val="Tabletext"/>
              <w:rPr>
                <w:b/>
                <w:bCs/>
              </w:rPr>
            </w:pPr>
            <w:r w:rsidRPr="00563FFF">
              <w:t>Provision of physiotherapy within 24 hours of surgery</w:t>
            </w:r>
          </w:p>
        </w:tc>
        <w:tc>
          <w:tcPr>
            <w:tcW w:w="1155" w:type="pct"/>
          </w:tcPr>
          <w:p w14:paraId="22FF4DA8" w14:textId="77777777" w:rsidR="001A2B81" w:rsidRDefault="001A2B81" w:rsidP="001A2B81">
            <w:pPr>
              <w:pStyle w:val="Tabletext"/>
            </w:pPr>
            <w:r>
              <w:t xml:space="preserve">GIRFT national audit has found variation in the provision of physiotherapy resources available to support patients in the immediate post-operative period. This has led to variation in care dependent upon day of surgery (e.g. patients operated on a Friday may not see a physio until a Monday is there is no weekend cover). </w:t>
            </w:r>
          </w:p>
          <w:p w14:paraId="54DC39CD" w14:textId="3752E725" w:rsidR="001A2B81" w:rsidRPr="00F44F06" w:rsidRDefault="001A2B81" w:rsidP="001A2B81">
            <w:pPr>
              <w:pStyle w:val="Tabletext"/>
            </w:pPr>
            <w:r>
              <w:lastRenderedPageBreak/>
              <w:t xml:space="preserve">Provision should be 7 days a week and protected for elective orthopaedic patients (ie not shared with other areas of the hospital that might draw resource) </w:t>
            </w:r>
          </w:p>
        </w:tc>
        <w:tc>
          <w:tcPr>
            <w:tcW w:w="2035" w:type="pct"/>
          </w:tcPr>
          <w:p w14:paraId="1FA24883" w14:textId="027A4A5D" w:rsidR="001A2B81" w:rsidRPr="00F44F06" w:rsidRDefault="001A2B81" w:rsidP="001A2B81">
            <w:pPr>
              <w:pStyle w:val="Tabletext"/>
            </w:pPr>
            <w:r>
              <w:lastRenderedPageBreak/>
              <w:t>Examples in the GIRFT orthopaedic where the audit and GIRFT approach has helped Trusts drive change and improve physio resource within units (e.g. good example of case report for Freeman Hospital, Newcastle)</w:t>
            </w:r>
          </w:p>
        </w:tc>
      </w:tr>
      <w:tr w:rsidR="001A2B81" w:rsidRPr="00C92280" w14:paraId="6DF40506" w14:textId="77777777" w:rsidTr="00641E12">
        <w:trPr>
          <w:trHeight w:val="284"/>
        </w:trPr>
        <w:tc>
          <w:tcPr>
            <w:tcW w:w="313" w:type="pct"/>
          </w:tcPr>
          <w:p w14:paraId="6FC82115" w14:textId="7C26E0FB" w:rsidR="001A2B81" w:rsidRPr="00837B5A" w:rsidRDefault="00765A68" w:rsidP="001A2B81">
            <w:pPr>
              <w:pStyle w:val="Tabletext"/>
              <w:rPr>
                <w:lang w:eastAsia="en-GB"/>
              </w:rPr>
            </w:pPr>
            <w:r>
              <w:rPr>
                <w:lang w:eastAsia="en-GB"/>
              </w:rPr>
              <w:t>39</w:t>
            </w:r>
          </w:p>
        </w:tc>
        <w:tc>
          <w:tcPr>
            <w:tcW w:w="805" w:type="pct"/>
          </w:tcPr>
          <w:p w14:paraId="6BAA0814" w14:textId="7E367B61" w:rsidR="001A2B81" w:rsidRDefault="001A2B81" w:rsidP="001A2B81">
            <w:pPr>
              <w:pStyle w:val="Tabletext"/>
            </w:pPr>
            <w:r>
              <w:t>SCM2</w:t>
            </w:r>
          </w:p>
        </w:tc>
        <w:tc>
          <w:tcPr>
            <w:tcW w:w="0" w:type="auto"/>
          </w:tcPr>
          <w:p w14:paraId="0B2830BA" w14:textId="39F41F15" w:rsidR="001A2B81" w:rsidRDefault="001A2B81" w:rsidP="001A2B81">
            <w:pPr>
              <w:pStyle w:val="Tabletext"/>
              <w:rPr>
                <w:b/>
                <w:bCs/>
              </w:rPr>
            </w:pPr>
            <w:r>
              <w:rPr>
                <w:b/>
                <w:bCs/>
              </w:rPr>
              <w:t>Post-operative rehabilitation and long-term care:</w:t>
            </w:r>
          </w:p>
          <w:p w14:paraId="1FE2060C" w14:textId="6A2DF6E4" w:rsidR="001A2B81" w:rsidRPr="00970AE1" w:rsidRDefault="001A2B81" w:rsidP="001A2B81">
            <w:pPr>
              <w:pStyle w:val="Tabletext"/>
            </w:pPr>
            <w:r w:rsidRPr="00970AE1">
              <w:t>2</w:t>
            </w:r>
          </w:p>
          <w:p w14:paraId="3D0EAFDC" w14:textId="77777777" w:rsidR="001A2B81" w:rsidRDefault="001A2B81" w:rsidP="001A2B81">
            <w:pPr>
              <w:pStyle w:val="Tabletext"/>
              <w:rPr>
                <w:b/>
                <w:bCs/>
              </w:rPr>
            </w:pPr>
          </w:p>
          <w:p w14:paraId="7504E55E" w14:textId="77777777" w:rsidR="001A2B81" w:rsidRDefault="001A2B81" w:rsidP="001A2B81">
            <w:pPr>
              <w:pStyle w:val="Tabletext"/>
              <w:rPr>
                <w:b/>
                <w:bCs/>
              </w:rPr>
            </w:pPr>
          </w:p>
        </w:tc>
        <w:tc>
          <w:tcPr>
            <w:tcW w:w="1155" w:type="pct"/>
          </w:tcPr>
          <w:p w14:paraId="57E03BF6" w14:textId="777D58EB" w:rsidR="001A2B81" w:rsidRDefault="001A2B81" w:rsidP="001A2B81">
            <w:pPr>
              <w:pStyle w:val="Tabletext"/>
            </w:pPr>
            <w:r w:rsidRPr="00970AE1">
              <w:t>Postoperative rehabilitation – although a more developed area as process starts before discharge, there is still variation in provision of self-directed rehabilitation versus supervised group rehabilitation post-discharge. Duration of postoperative rehabilitation should, ideally, also be included. NG157 includes recommendations for postoperative rehabilitation for shoulder replacement</w:t>
            </w:r>
            <w:proofErr w:type="gramStart"/>
            <w:r w:rsidRPr="00970AE1">
              <w:t xml:space="preserve">.  </w:t>
            </w:r>
            <w:proofErr w:type="gramEnd"/>
            <w:r w:rsidRPr="00970AE1">
              <w:t>Would need to cover those with cognitive impairment.</w:t>
            </w:r>
          </w:p>
        </w:tc>
        <w:tc>
          <w:tcPr>
            <w:tcW w:w="2035" w:type="pct"/>
          </w:tcPr>
          <w:p w14:paraId="50692D19" w14:textId="7863ECC0" w:rsidR="001A2B81" w:rsidRDefault="001A2B81" w:rsidP="001A2B81">
            <w:pPr>
              <w:pStyle w:val="Tabletext"/>
            </w:pPr>
            <w:r w:rsidRPr="005E425F">
              <w:t xml:space="preserve">As above </w:t>
            </w:r>
          </w:p>
        </w:tc>
      </w:tr>
      <w:tr w:rsidR="001A2B81" w:rsidRPr="00C92280" w14:paraId="34695CCC" w14:textId="77777777" w:rsidTr="00641E12">
        <w:trPr>
          <w:trHeight w:val="284"/>
        </w:trPr>
        <w:tc>
          <w:tcPr>
            <w:tcW w:w="313" w:type="pct"/>
          </w:tcPr>
          <w:p w14:paraId="795174D6" w14:textId="4C862E43" w:rsidR="001A2B81" w:rsidRPr="00837B5A" w:rsidRDefault="001A2B81" w:rsidP="001A2B81">
            <w:pPr>
              <w:pStyle w:val="Tabletext"/>
              <w:rPr>
                <w:lang w:eastAsia="en-GB"/>
              </w:rPr>
            </w:pPr>
            <w:r>
              <w:rPr>
                <w:lang w:eastAsia="en-GB"/>
              </w:rPr>
              <w:t>4</w:t>
            </w:r>
            <w:r w:rsidR="00765A68">
              <w:rPr>
                <w:lang w:eastAsia="en-GB"/>
              </w:rPr>
              <w:t>0</w:t>
            </w:r>
          </w:p>
        </w:tc>
        <w:tc>
          <w:tcPr>
            <w:tcW w:w="805" w:type="pct"/>
          </w:tcPr>
          <w:p w14:paraId="44FC2157" w14:textId="671ACE2A" w:rsidR="001A2B81" w:rsidRDefault="001A2B81" w:rsidP="001A2B81">
            <w:pPr>
              <w:pStyle w:val="Tabletext"/>
            </w:pPr>
            <w:r>
              <w:t>SCM3</w:t>
            </w:r>
          </w:p>
        </w:tc>
        <w:tc>
          <w:tcPr>
            <w:tcW w:w="0" w:type="auto"/>
          </w:tcPr>
          <w:p w14:paraId="0A6420A4" w14:textId="2D4C7B96" w:rsidR="001A2B81" w:rsidRPr="00A7539E" w:rsidRDefault="001A2B81" w:rsidP="001A2B81">
            <w:pPr>
              <w:pStyle w:val="Tabletext"/>
              <w:rPr>
                <w:b/>
                <w:bCs/>
              </w:rPr>
            </w:pPr>
            <w:r>
              <w:rPr>
                <w:b/>
                <w:bCs/>
              </w:rPr>
              <w:t xml:space="preserve">Post-operative rehabilitation and long-term care: </w:t>
            </w:r>
            <w:r>
              <w:t>2</w:t>
            </w:r>
          </w:p>
          <w:p w14:paraId="1797DA27" w14:textId="3E44DEF6" w:rsidR="001A2B81" w:rsidRDefault="001A2B81" w:rsidP="001A2B81">
            <w:pPr>
              <w:pStyle w:val="Tabletext"/>
              <w:rPr>
                <w:b/>
                <w:bCs/>
              </w:rPr>
            </w:pPr>
            <w:r w:rsidRPr="00970AE1">
              <w:t xml:space="preserve">Post-operative rehabilitation, spanning inpatient to community settings, is personalised and </w:t>
            </w:r>
            <w:r w:rsidRPr="00970AE1">
              <w:lastRenderedPageBreak/>
              <w:t>holistic, delivered by a multi-disciplinary team to meet the physical, social and mental health needs of patients</w:t>
            </w:r>
            <w:r w:rsidRPr="00970AE1">
              <w:rPr>
                <w:b/>
                <w:bCs/>
              </w:rPr>
              <w:t xml:space="preserve"> </w:t>
            </w:r>
          </w:p>
        </w:tc>
        <w:tc>
          <w:tcPr>
            <w:tcW w:w="1155" w:type="pct"/>
          </w:tcPr>
          <w:p w14:paraId="3798D1F3" w14:textId="732A63B9" w:rsidR="001A2B81" w:rsidRPr="00F44F06" w:rsidRDefault="001A2B81" w:rsidP="001A2B81">
            <w:pPr>
              <w:pStyle w:val="Tabletext"/>
            </w:pPr>
            <w:r w:rsidRPr="00970AE1">
              <w:lastRenderedPageBreak/>
              <w:t xml:space="preserve">Inpatient, outpatient and community rehabilitation services are often fragmented and delivered by different teams/ services. There is variability in the availability of therapy on weekends and access to different the MDT members involved in rehabilitation. There is also </w:t>
            </w:r>
            <w:r w:rsidRPr="00970AE1">
              <w:lastRenderedPageBreak/>
              <w:t>variability in practice across the country.</w:t>
            </w:r>
          </w:p>
        </w:tc>
        <w:tc>
          <w:tcPr>
            <w:tcW w:w="2035" w:type="pct"/>
          </w:tcPr>
          <w:p w14:paraId="3C40A0AD" w14:textId="77777777" w:rsidR="001A2B81" w:rsidRDefault="001A2B81" w:rsidP="001A2B81">
            <w:pPr>
              <w:pStyle w:val="Tabletext"/>
            </w:pPr>
            <w:r>
              <w:lastRenderedPageBreak/>
              <w:t xml:space="preserve">The follow up GIRFT report highlights the variability in service provision, particularly for physiotherapy in the immediate inpatient post-op period as well as outpatient/ community based follow up. </w:t>
            </w:r>
          </w:p>
          <w:p w14:paraId="1660D90D" w14:textId="4F433895" w:rsidR="001A2B81" w:rsidRDefault="001A2B81" w:rsidP="001A2B81">
            <w:pPr>
              <w:pStyle w:val="Tabletext"/>
            </w:pPr>
            <w:r>
              <w:t xml:space="preserve">Getting it Right First Time (2020) </w:t>
            </w:r>
            <w:hyperlink r:id="rId125" w:history="1">
              <w:r w:rsidRPr="005E425F">
                <w:rPr>
                  <w:rStyle w:val="Hyperlink"/>
                </w:rPr>
                <w:t>Getting It Right in Orthopaedics: reflecting on success and reinforcing improvement - a follow-up on the GIRFT national specialty report on orthopaedics</w:t>
              </w:r>
            </w:hyperlink>
          </w:p>
          <w:p w14:paraId="1C739726" w14:textId="77777777" w:rsidR="001A2B81" w:rsidRDefault="001A2B81" w:rsidP="001A2B81">
            <w:pPr>
              <w:pStyle w:val="Tabletext"/>
            </w:pPr>
            <w:r>
              <w:lastRenderedPageBreak/>
              <w:t xml:space="preserve">Drummond et al (2012) and Smith and Sackley (2016)  (references below) suggested that there was variability in occupational therapy practice in terms of supporting patients to maintain hip precautions following THR. Some work has been done since this was published to evaluate to use of/ compliance with hip precautions and many units no longer standardly apply these, however, further exploration / evaluation of practice at a national level would be of benefit. </w:t>
            </w:r>
          </w:p>
          <w:p w14:paraId="197A54F7" w14:textId="77777777" w:rsidR="001A2B81" w:rsidRDefault="001A2B81" w:rsidP="001A2B81">
            <w:pPr>
              <w:pStyle w:val="Tabletext"/>
            </w:pPr>
            <w:r>
              <w:t xml:space="preserve">Drummond A, </w:t>
            </w:r>
            <w:proofErr w:type="spellStart"/>
            <w:r>
              <w:t>Coole</w:t>
            </w:r>
            <w:proofErr w:type="spellEnd"/>
            <w:r>
              <w:t xml:space="preserve"> C, Brewin C, Sinclair E. Hip Precautions following Primary Total Hip Replacement: A National Survey of Current Occupational Therapy Practice. British Journal of Occupational Therapy. 2012;75(4):164-170. doi:10.4276/030802212X13336366278059 </w:t>
            </w:r>
          </w:p>
          <w:p w14:paraId="7CBB3190" w14:textId="6B92FBFA" w:rsidR="001A2B81" w:rsidRPr="00F44F06" w:rsidRDefault="001A2B81" w:rsidP="001A2B81">
            <w:pPr>
              <w:pStyle w:val="Tabletext"/>
            </w:pPr>
            <w:r>
              <w:t>Smith, T.O., Sackley, C.M. (2016)</w:t>
            </w:r>
            <w:proofErr w:type="spellStart"/>
            <w:r>
              <w:t>bUK</w:t>
            </w:r>
            <w:proofErr w:type="spellEnd"/>
            <w:r>
              <w:t xml:space="preserve"> survey of occupational </w:t>
            </w:r>
            <w:proofErr w:type="spellStart"/>
            <w:r>
              <w:t>therapist’s</w:t>
            </w:r>
            <w:proofErr w:type="spellEnd"/>
            <w:r>
              <w:t xml:space="preserve"> and physiotherapist’s experiences and attitudes towards hip replacement precautions and equipment. BMC </w:t>
            </w:r>
            <w:proofErr w:type="spellStart"/>
            <w:r>
              <w:t>Musculoskelet</w:t>
            </w:r>
            <w:proofErr w:type="spellEnd"/>
            <w:r>
              <w:t xml:space="preserve"> </w:t>
            </w:r>
            <w:proofErr w:type="spellStart"/>
            <w:r>
              <w:t>Disord</w:t>
            </w:r>
            <w:proofErr w:type="spellEnd"/>
            <w:r>
              <w:t xml:space="preserve"> 17, 228. </w:t>
            </w:r>
            <w:hyperlink r:id="rId126" w:history="1">
              <w:r w:rsidRPr="005E425F">
                <w:rPr>
                  <w:rStyle w:val="Hyperlink"/>
                </w:rPr>
                <w:t>https://doi.org/10.1186/s12891-016-1092-x</w:t>
              </w:r>
            </w:hyperlink>
          </w:p>
        </w:tc>
      </w:tr>
      <w:tr w:rsidR="001A2B81" w:rsidRPr="00C92280" w14:paraId="4556260E" w14:textId="77777777" w:rsidTr="00641E12">
        <w:trPr>
          <w:trHeight w:val="284"/>
        </w:trPr>
        <w:tc>
          <w:tcPr>
            <w:tcW w:w="313" w:type="pct"/>
          </w:tcPr>
          <w:p w14:paraId="2C78F244" w14:textId="525B480D" w:rsidR="001A2B81" w:rsidRPr="00837B5A" w:rsidRDefault="001A2B81" w:rsidP="001A2B81">
            <w:pPr>
              <w:pStyle w:val="Tabletext"/>
              <w:rPr>
                <w:lang w:eastAsia="en-GB"/>
              </w:rPr>
            </w:pPr>
            <w:r>
              <w:rPr>
                <w:lang w:eastAsia="en-GB"/>
              </w:rPr>
              <w:lastRenderedPageBreak/>
              <w:t>4</w:t>
            </w:r>
            <w:r w:rsidR="00765A68">
              <w:rPr>
                <w:lang w:eastAsia="en-GB"/>
              </w:rPr>
              <w:t>1</w:t>
            </w:r>
          </w:p>
        </w:tc>
        <w:tc>
          <w:tcPr>
            <w:tcW w:w="805" w:type="pct"/>
          </w:tcPr>
          <w:p w14:paraId="36F2EF39" w14:textId="11B3EF02" w:rsidR="001A2B81" w:rsidRDefault="001A2B81" w:rsidP="001A2B81">
            <w:pPr>
              <w:pStyle w:val="Tabletext"/>
            </w:pPr>
            <w:r>
              <w:t>SCM4</w:t>
            </w:r>
          </w:p>
        </w:tc>
        <w:tc>
          <w:tcPr>
            <w:tcW w:w="0" w:type="auto"/>
          </w:tcPr>
          <w:p w14:paraId="20D0335A" w14:textId="16354E69" w:rsidR="001A2B81" w:rsidRPr="002A495A" w:rsidRDefault="001A2B81" w:rsidP="001A2B81">
            <w:pPr>
              <w:pStyle w:val="Tabletext"/>
            </w:pPr>
            <w:r>
              <w:rPr>
                <w:b/>
                <w:bCs/>
              </w:rPr>
              <w:t xml:space="preserve">Postoperative rehabilitation and long-term care: </w:t>
            </w:r>
            <w:r>
              <w:t>2</w:t>
            </w:r>
          </w:p>
        </w:tc>
        <w:tc>
          <w:tcPr>
            <w:tcW w:w="1155" w:type="pct"/>
          </w:tcPr>
          <w:p w14:paraId="6E4ECEC5" w14:textId="4221D8A0" w:rsidR="001A2B81" w:rsidRPr="004618D4" w:rsidRDefault="001A2B81" w:rsidP="001A2B81">
            <w:pPr>
              <w:pStyle w:val="Tabletext"/>
            </w:pPr>
            <w:r w:rsidRPr="002A495A">
              <w:t>Post Operative Rehabilitation for arthroplasty: hip/knee/shoulder</w:t>
            </w:r>
          </w:p>
        </w:tc>
        <w:tc>
          <w:tcPr>
            <w:tcW w:w="2035" w:type="pct"/>
          </w:tcPr>
          <w:p w14:paraId="605F5BEB" w14:textId="78002A21" w:rsidR="001A2B81" w:rsidRPr="004618D4" w:rsidRDefault="001A2B81" w:rsidP="001A2B81">
            <w:pPr>
              <w:pStyle w:val="Tabletext"/>
            </w:pPr>
            <w:r w:rsidRPr="00F44F06">
              <w:t>There is geographical variability in outcome for hip and knee arthroplasty this may be related to access to post-operative care. In light of the COVID pandemic there may be further inequalities in access to services</w:t>
            </w:r>
          </w:p>
        </w:tc>
      </w:tr>
      <w:tr w:rsidR="001A2B81" w:rsidRPr="00C92280" w14:paraId="2B2EDB5D" w14:textId="77777777" w:rsidTr="00641E12">
        <w:trPr>
          <w:trHeight w:val="284"/>
        </w:trPr>
        <w:tc>
          <w:tcPr>
            <w:tcW w:w="313" w:type="pct"/>
          </w:tcPr>
          <w:p w14:paraId="7A7B9BD7" w14:textId="68618130" w:rsidR="001A2B81" w:rsidRPr="00837B5A" w:rsidRDefault="001A2B81" w:rsidP="001A2B81">
            <w:pPr>
              <w:pStyle w:val="Tabletext"/>
              <w:rPr>
                <w:lang w:eastAsia="en-GB"/>
              </w:rPr>
            </w:pPr>
            <w:r>
              <w:rPr>
                <w:lang w:eastAsia="en-GB"/>
              </w:rPr>
              <w:t>4</w:t>
            </w:r>
            <w:r w:rsidR="00765A68">
              <w:rPr>
                <w:lang w:eastAsia="en-GB"/>
              </w:rPr>
              <w:t>2</w:t>
            </w:r>
          </w:p>
        </w:tc>
        <w:tc>
          <w:tcPr>
            <w:tcW w:w="805" w:type="pct"/>
          </w:tcPr>
          <w:p w14:paraId="73168342" w14:textId="2DE3D46B" w:rsidR="001A2B81" w:rsidRDefault="001A2B81" w:rsidP="001A2B81">
            <w:pPr>
              <w:pStyle w:val="Tabletext"/>
            </w:pPr>
            <w:r>
              <w:t>SCM4</w:t>
            </w:r>
          </w:p>
        </w:tc>
        <w:tc>
          <w:tcPr>
            <w:tcW w:w="0" w:type="auto"/>
          </w:tcPr>
          <w:p w14:paraId="41B67A6E" w14:textId="3317A3C4" w:rsidR="001A2B81" w:rsidRDefault="001A2B81" w:rsidP="001A2B81">
            <w:pPr>
              <w:pStyle w:val="Tabletext"/>
            </w:pPr>
            <w:r>
              <w:rPr>
                <w:b/>
                <w:bCs/>
              </w:rPr>
              <w:t xml:space="preserve">Postoperative rehabilitation and long-term care: </w:t>
            </w:r>
            <w:r w:rsidRPr="005E425F">
              <w:t>3</w:t>
            </w:r>
          </w:p>
        </w:tc>
        <w:tc>
          <w:tcPr>
            <w:tcW w:w="1155" w:type="pct"/>
          </w:tcPr>
          <w:p w14:paraId="1083A6C1" w14:textId="574F13E2" w:rsidR="001A2B81" w:rsidRPr="002A495A" w:rsidRDefault="001A2B81" w:rsidP="001A2B81">
            <w:pPr>
              <w:pStyle w:val="Tabletext"/>
            </w:pPr>
            <w:r w:rsidRPr="005E425F">
              <w:t>Long term monitoring</w:t>
            </w:r>
          </w:p>
        </w:tc>
        <w:tc>
          <w:tcPr>
            <w:tcW w:w="2035" w:type="pct"/>
          </w:tcPr>
          <w:p w14:paraId="51EDDB96" w14:textId="09BCFB35" w:rsidR="001A2B81" w:rsidRDefault="001A2B81" w:rsidP="001A2B81">
            <w:pPr>
              <w:pStyle w:val="Tabletext"/>
            </w:pPr>
            <w:r>
              <w:t>There is geographical variability in outcome for hip and knee arthroplasty this may be related to access to post-operative care. In light of the COVID pandemic there may be further inequalities in access to services</w:t>
            </w:r>
          </w:p>
          <w:p w14:paraId="31FDE2DE" w14:textId="77777777" w:rsidR="001A2B81" w:rsidRDefault="001A2B81" w:rsidP="001A2B81">
            <w:pPr>
              <w:pStyle w:val="Tabletext"/>
            </w:pPr>
          </w:p>
          <w:p w14:paraId="25A0F6F5" w14:textId="2D0DE954" w:rsidR="001A2B81" w:rsidRPr="00F44F06" w:rsidRDefault="001A2B81" w:rsidP="001A2B81">
            <w:pPr>
              <w:pStyle w:val="Tabletext"/>
            </w:pPr>
            <w:r>
              <w:t xml:space="preserve">Routine </w:t>
            </w:r>
            <w:proofErr w:type="gramStart"/>
            <w:r>
              <w:t>arthroplasty</w:t>
            </w:r>
            <w:proofErr w:type="gramEnd"/>
            <w:r>
              <w:t xml:space="preserve"> follow up long term is costly and requires considerable clinical time.</w:t>
            </w:r>
          </w:p>
        </w:tc>
      </w:tr>
      <w:tr w:rsidR="001A2B81" w:rsidRPr="00C92280" w14:paraId="288064B6" w14:textId="77777777" w:rsidTr="00641E12">
        <w:trPr>
          <w:trHeight w:val="284"/>
        </w:trPr>
        <w:tc>
          <w:tcPr>
            <w:tcW w:w="313" w:type="pct"/>
          </w:tcPr>
          <w:p w14:paraId="6028A932" w14:textId="39B3570A" w:rsidR="001A2B81" w:rsidRPr="00837B5A" w:rsidRDefault="001A2B81" w:rsidP="001A2B81">
            <w:pPr>
              <w:pStyle w:val="Tabletext"/>
              <w:rPr>
                <w:lang w:eastAsia="en-GB"/>
              </w:rPr>
            </w:pPr>
            <w:r>
              <w:rPr>
                <w:lang w:eastAsia="en-GB"/>
              </w:rPr>
              <w:lastRenderedPageBreak/>
              <w:t>4</w:t>
            </w:r>
            <w:r w:rsidR="00E502D3">
              <w:rPr>
                <w:lang w:eastAsia="en-GB"/>
              </w:rPr>
              <w:t>3</w:t>
            </w:r>
          </w:p>
        </w:tc>
        <w:tc>
          <w:tcPr>
            <w:tcW w:w="805" w:type="pct"/>
          </w:tcPr>
          <w:p w14:paraId="12EFC865" w14:textId="0DDC4262" w:rsidR="001A2B81" w:rsidRPr="00837B5A" w:rsidRDefault="001A2B81" w:rsidP="001A2B81">
            <w:pPr>
              <w:pStyle w:val="Tabletext"/>
            </w:pPr>
            <w:r>
              <w:t>SCM6</w:t>
            </w:r>
          </w:p>
        </w:tc>
        <w:tc>
          <w:tcPr>
            <w:tcW w:w="0" w:type="auto"/>
          </w:tcPr>
          <w:p w14:paraId="1E0B65FD" w14:textId="047D1668" w:rsidR="001A2B81" w:rsidRPr="005A0BA7" w:rsidRDefault="001A2B81" w:rsidP="001A2B81">
            <w:pPr>
              <w:pStyle w:val="Tabletext"/>
              <w:rPr>
                <w:b/>
                <w:bCs/>
              </w:rPr>
            </w:pPr>
            <w:r w:rsidRPr="004618D4">
              <w:rPr>
                <w:b/>
                <w:bCs/>
              </w:rPr>
              <w:t>Postoperative rehabilitation</w:t>
            </w:r>
            <w:r>
              <w:rPr>
                <w:b/>
                <w:bCs/>
              </w:rPr>
              <w:t xml:space="preserve"> and long-term care: </w:t>
            </w:r>
            <w:r w:rsidRPr="004618D4">
              <w:rPr>
                <w:b/>
                <w:bCs/>
              </w:rPr>
              <w:t xml:space="preserve"> </w:t>
            </w:r>
            <w:r>
              <w:t>2 -</w:t>
            </w:r>
            <w:r w:rsidR="005A0BA7">
              <w:rPr>
                <w:b/>
              </w:rPr>
              <w:t xml:space="preserve"> </w:t>
            </w:r>
            <w:r w:rsidRPr="00C6212D">
              <w:rPr>
                <w:u w:val="single"/>
              </w:rPr>
              <w:t>Hip, knee and shoulder replacement</w:t>
            </w:r>
          </w:p>
          <w:p w14:paraId="13E78D61" w14:textId="0EDCE4E7" w:rsidR="001A2B81" w:rsidRPr="00837B5A" w:rsidRDefault="001A2B81" w:rsidP="001A2B81">
            <w:pPr>
              <w:pStyle w:val="Tabletext"/>
            </w:pPr>
            <w:r>
              <w:t>Provide patients with post-operative advice and rehabilitation within 24 hours of joint replacement surgery</w:t>
            </w:r>
          </w:p>
        </w:tc>
        <w:tc>
          <w:tcPr>
            <w:tcW w:w="1155" w:type="pct"/>
          </w:tcPr>
          <w:p w14:paraId="49A75371" w14:textId="5225A28B" w:rsidR="001A2B81" w:rsidRPr="00837B5A" w:rsidRDefault="001A2B81" w:rsidP="001A2B81">
            <w:pPr>
              <w:pStyle w:val="Tabletext"/>
            </w:pPr>
            <w:r w:rsidRPr="004618D4">
              <w:t>Early guidance and mobilisation from bed by a therapist leads to earlier discharge and less complications associated with immobility, leading to better outcomes from the joint replacement operation. There is likely variation in practice and availability throughout the NHS, including access at weekends if surgery takes place on Friday or Saturday.</w:t>
            </w:r>
          </w:p>
        </w:tc>
        <w:tc>
          <w:tcPr>
            <w:tcW w:w="2035" w:type="pct"/>
          </w:tcPr>
          <w:p w14:paraId="3338E39A" w14:textId="6CD961D0" w:rsidR="001A2B81" w:rsidRPr="00837B5A" w:rsidRDefault="001A2B81" w:rsidP="001A2B81">
            <w:pPr>
              <w:pStyle w:val="Tabletext"/>
            </w:pPr>
            <w:r w:rsidRPr="004618D4">
              <w:t>The new NICE joint replacement guideline has identified this as an important requirement and need. See NICE Guideline on hip, knee and shoulder replacements.</w:t>
            </w:r>
          </w:p>
        </w:tc>
      </w:tr>
      <w:tr w:rsidR="001A2B81" w:rsidRPr="00C92280" w14:paraId="1602CBF9" w14:textId="77777777" w:rsidTr="00641E12">
        <w:trPr>
          <w:trHeight w:val="284"/>
        </w:trPr>
        <w:tc>
          <w:tcPr>
            <w:tcW w:w="313" w:type="pct"/>
          </w:tcPr>
          <w:p w14:paraId="60A464D2" w14:textId="2CEF0AA4" w:rsidR="001A2B81" w:rsidRPr="0088696C" w:rsidRDefault="001A2B81" w:rsidP="001A2B81">
            <w:pPr>
              <w:pStyle w:val="Tabletext"/>
              <w:rPr>
                <w:lang w:eastAsia="en-GB"/>
              </w:rPr>
            </w:pPr>
            <w:r>
              <w:rPr>
                <w:lang w:eastAsia="en-GB"/>
              </w:rPr>
              <w:t>4</w:t>
            </w:r>
            <w:r w:rsidR="00E502D3">
              <w:rPr>
                <w:lang w:eastAsia="en-GB"/>
              </w:rPr>
              <w:t>4</w:t>
            </w:r>
          </w:p>
        </w:tc>
        <w:tc>
          <w:tcPr>
            <w:tcW w:w="805" w:type="pct"/>
          </w:tcPr>
          <w:p w14:paraId="1DBCA9CD" w14:textId="55E653AC" w:rsidR="001A2B81" w:rsidRPr="0088696C" w:rsidRDefault="001A2B81" w:rsidP="001A2B81">
            <w:pPr>
              <w:pStyle w:val="Tabletext"/>
            </w:pPr>
            <w:r>
              <w:t>SCM7</w:t>
            </w:r>
          </w:p>
        </w:tc>
        <w:tc>
          <w:tcPr>
            <w:tcW w:w="0" w:type="auto"/>
          </w:tcPr>
          <w:p w14:paraId="6F59BDD3" w14:textId="77777777" w:rsidR="001A2B81" w:rsidRDefault="001A2B81" w:rsidP="001A2B81">
            <w:pPr>
              <w:pStyle w:val="Tabletext"/>
              <w:rPr>
                <w:b/>
                <w:bCs/>
              </w:rPr>
            </w:pPr>
            <w:r>
              <w:rPr>
                <w:b/>
                <w:bCs/>
              </w:rPr>
              <w:t xml:space="preserve">Post-operative rehabilitation and long-term care: </w:t>
            </w:r>
          </w:p>
          <w:p w14:paraId="69CAEB52" w14:textId="2AD563FC" w:rsidR="001A2B81" w:rsidRPr="0053637B" w:rsidRDefault="001A2B81" w:rsidP="001A2B81">
            <w:pPr>
              <w:pStyle w:val="Tabletext"/>
              <w:rPr>
                <w:b/>
                <w:bCs/>
              </w:rPr>
            </w:pPr>
            <w:r>
              <w:t xml:space="preserve">5 </w:t>
            </w:r>
            <w:r w:rsidRPr="0053637B">
              <w:t>Provide patients following hip and knee replacement a self-directed supervised physiotherapy programme rather than routine referral to physiotherapy</w:t>
            </w:r>
          </w:p>
        </w:tc>
        <w:tc>
          <w:tcPr>
            <w:tcW w:w="1155" w:type="pct"/>
          </w:tcPr>
          <w:p w14:paraId="5906C0A6" w14:textId="21ACF9E7" w:rsidR="001A2B81" w:rsidRPr="0053637B" w:rsidRDefault="001A2B81" w:rsidP="001A2B81">
            <w:pPr>
              <w:pStyle w:val="Tabletext"/>
            </w:pPr>
            <w:r w:rsidRPr="0053637B">
              <w:t xml:space="preserve">Not all patients require physiotherapy. Those who need physiotherapy, do not always receive them due to resources and waiting lists. This recommendation means that only those who need to see a physiotherapist as an outpatient will be referred whilst those who can self-managed with be provided with correct materials and support to do so. This is a more efficient use of resources for patients and physiotherapy team. Changing some services practice from routine to individualised referral patterns may require some support. </w:t>
            </w:r>
            <w:r w:rsidRPr="0053637B">
              <w:lastRenderedPageBreak/>
              <w:t xml:space="preserve">These guidelines will help this transition. </w:t>
            </w:r>
          </w:p>
          <w:p w14:paraId="73198E72" w14:textId="77777777" w:rsidR="001A2B81" w:rsidRPr="0053637B" w:rsidRDefault="001A2B81" w:rsidP="001A2B81">
            <w:pPr>
              <w:pStyle w:val="Tabletext"/>
            </w:pPr>
          </w:p>
          <w:p w14:paraId="367AAC11" w14:textId="08E266B5" w:rsidR="001A2B81" w:rsidRPr="0053637B" w:rsidRDefault="001A2B81" w:rsidP="001A2B81">
            <w:pPr>
              <w:pStyle w:val="Tabletext"/>
              <w:rPr>
                <w:b/>
                <w:bCs/>
              </w:rPr>
            </w:pPr>
            <w:r w:rsidRPr="0053637B">
              <w:rPr>
                <w:b/>
                <w:bCs/>
              </w:rPr>
              <w:t>Why is this important</w:t>
            </w:r>
            <w:r>
              <w:rPr>
                <w:b/>
                <w:bCs/>
              </w:rPr>
              <w:t>?</w:t>
            </w:r>
          </w:p>
          <w:p w14:paraId="67749C2E" w14:textId="480A48EE" w:rsidR="001A2B81" w:rsidRPr="0088696C" w:rsidRDefault="001A2B81" w:rsidP="001A2B81">
            <w:pPr>
              <w:pStyle w:val="Tabletext"/>
              <w:rPr>
                <w:rFonts w:cs="Arial"/>
                <w:szCs w:val="22"/>
              </w:rPr>
            </w:pPr>
            <w:r w:rsidRPr="0053637B">
              <w:t>Patients are frequently referred to physiotherapy following knee replacement with a large number of patients referred to physiotherapy following hip replacement. Whilst this is important for some, it is not for all. The recommendation for self-directed physiotherapy as routinely and those who require outpatient physiotherapy as optional is important to ensure that patients receive the correct level of rehabilitation rather than a ‘blanket referral’  - this would be more in-line with the evidence-base and more appropriate for physiotherapy resources</w:t>
            </w:r>
          </w:p>
        </w:tc>
        <w:tc>
          <w:tcPr>
            <w:tcW w:w="2035" w:type="pct"/>
          </w:tcPr>
          <w:p w14:paraId="7634CDDF" w14:textId="080BEAAB" w:rsidR="001A2B81" w:rsidRPr="005A1F91" w:rsidRDefault="001A2B81" w:rsidP="001A2B81">
            <w:pPr>
              <w:pStyle w:val="TableText1"/>
              <w:rPr>
                <w:rStyle w:val="Hyperlink"/>
                <w:rFonts w:cs="Arial"/>
                <w:color w:val="auto"/>
                <w:sz w:val="22"/>
                <w:szCs w:val="22"/>
                <w:u w:val="none"/>
              </w:rPr>
            </w:pPr>
            <w:r w:rsidRPr="005A1F91">
              <w:rPr>
                <w:rFonts w:cs="Arial"/>
                <w:sz w:val="22"/>
                <w:szCs w:val="22"/>
              </w:rPr>
              <w:lastRenderedPageBreak/>
              <w:t>National variability in physiotherapy needs support to be addressed for equality in service</w:t>
            </w:r>
            <w:r w:rsidRPr="005A1F91">
              <w:rPr>
                <w:sz w:val="22"/>
                <w:szCs w:val="22"/>
              </w:rPr>
              <w:br/>
            </w:r>
            <w:r w:rsidRPr="005A1F91">
              <w:rPr>
                <w:rStyle w:val="Hyperlink"/>
                <w:sz w:val="22"/>
                <w:szCs w:val="22"/>
              </w:rPr>
              <w:t>https://www.sciencedirect.com/science/</w:t>
            </w:r>
          </w:p>
          <w:p w14:paraId="66D3428D" w14:textId="56BA0FBA" w:rsidR="001A2B81" w:rsidRPr="005A1F91" w:rsidRDefault="001A2B81" w:rsidP="001A2B81">
            <w:pPr>
              <w:pStyle w:val="Tabletext"/>
              <w:rPr>
                <w:rStyle w:val="Hyperlink"/>
                <w:szCs w:val="22"/>
              </w:rPr>
            </w:pPr>
            <w:r w:rsidRPr="005A1F91">
              <w:rPr>
                <w:rStyle w:val="Hyperlink"/>
                <w:szCs w:val="22"/>
              </w:rPr>
              <w:t>article/</w:t>
            </w:r>
            <w:proofErr w:type="spellStart"/>
            <w:r w:rsidRPr="005A1F91">
              <w:rPr>
                <w:rStyle w:val="Hyperlink"/>
                <w:szCs w:val="22"/>
              </w:rPr>
              <w:t>pii</w:t>
            </w:r>
            <w:proofErr w:type="spellEnd"/>
            <w:r w:rsidRPr="005A1F91">
              <w:rPr>
                <w:rStyle w:val="Hyperlink"/>
                <w:szCs w:val="22"/>
              </w:rPr>
              <w:t xml:space="preserve">/S0031940619301257?via%3Dihub </w:t>
            </w:r>
          </w:p>
          <w:p w14:paraId="7F986FB7" w14:textId="0CF3D957" w:rsidR="001A2B81" w:rsidRPr="0088696C" w:rsidRDefault="001A2B81" w:rsidP="001A2B81">
            <w:pPr>
              <w:pStyle w:val="Tabletext"/>
              <w:rPr>
                <w:rFonts w:cs="Arial"/>
                <w:szCs w:val="22"/>
              </w:rPr>
            </w:pPr>
          </w:p>
        </w:tc>
      </w:tr>
      <w:tr w:rsidR="001A2B81" w:rsidRPr="00C92280" w14:paraId="5E3C7D8A" w14:textId="77777777" w:rsidTr="00641E12">
        <w:trPr>
          <w:trHeight w:val="284"/>
        </w:trPr>
        <w:tc>
          <w:tcPr>
            <w:tcW w:w="313" w:type="pct"/>
          </w:tcPr>
          <w:p w14:paraId="25864122" w14:textId="3CAF7C28" w:rsidR="001A2B81" w:rsidRPr="0088696C" w:rsidRDefault="001A2B81" w:rsidP="001A2B81">
            <w:pPr>
              <w:pStyle w:val="Tabletext"/>
            </w:pPr>
            <w:r>
              <w:t>4</w:t>
            </w:r>
            <w:r w:rsidR="00E502D3">
              <w:t>5</w:t>
            </w:r>
          </w:p>
        </w:tc>
        <w:tc>
          <w:tcPr>
            <w:tcW w:w="805" w:type="pct"/>
          </w:tcPr>
          <w:p w14:paraId="2A7D738B" w14:textId="2DC28F69" w:rsidR="001A2B81" w:rsidRDefault="001A2B81" w:rsidP="001A2B81">
            <w:pPr>
              <w:pStyle w:val="Tabletext"/>
            </w:pPr>
            <w:r>
              <w:t>Versus Arthritis</w:t>
            </w:r>
          </w:p>
        </w:tc>
        <w:tc>
          <w:tcPr>
            <w:tcW w:w="0" w:type="auto"/>
          </w:tcPr>
          <w:p w14:paraId="500C12EB" w14:textId="2DFA94D2" w:rsidR="001A2B81" w:rsidRPr="006B71F4" w:rsidRDefault="001A2B81" w:rsidP="001A2B81">
            <w:pPr>
              <w:pStyle w:val="Tabletext"/>
            </w:pPr>
            <w:r>
              <w:rPr>
                <w:b/>
                <w:bCs/>
              </w:rPr>
              <w:t xml:space="preserve">Postoperative rehabilitation and long-term care: </w:t>
            </w:r>
            <w:r w:rsidRPr="006B71F4">
              <w:t>5</w:t>
            </w:r>
          </w:p>
          <w:p w14:paraId="29C66C32" w14:textId="4F45533F" w:rsidR="001A2B81" w:rsidRDefault="001A2B81" w:rsidP="001A2B81">
            <w:pPr>
              <w:pStyle w:val="Tabletext"/>
            </w:pPr>
            <w:r w:rsidRPr="006B71F4">
              <w:t>Rehabilitation and post-surgery</w:t>
            </w:r>
          </w:p>
        </w:tc>
        <w:tc>
          <w:tcPr>
            <w:tcW w:w="1155" w:type="pct"/>
          </w:tcPr>
          <w:p w14:paraId="3C3185B1" w14:textId="335587F4" w:rsidR="001A2B81" w:rsidRPr="0053637B" w:rsidRDefault="001A2B81" w:rsidP="001A2B81">
            <w:pPr>
              <w:pStyle w:val="Tabletext"/>
            </w:pPr>
            <w:r w:rsidRPr="006B71F4">
              <w:t>Following joint replacement surgery, people should be offered a rehabilitation package that includes peer support, physical activity support and mental health support where needed.</w:t>
            </w:r>
          </w:p>
        </w:tc>
        <w:tc>
          <w:tcPr>
            <w:tcW w:w="2035" w:type="pct"/>
          </w:tcPr>
          <w:p w14:paraId="7F229E3F" w14:textId="0D1387B9" w:rsidR="001A2B81" w:rsidRDefault="001A2B81" w:rsidP="001A2B81">
            <w:pPr>
              <w:pStyle w:val="Tabletext"/>
            </w:pPr>
            <w:r>
              <w:t xml:space="preserve">The updated NICE Guideline on Osteoarthritis (CG177) recommends that “When discussing the possibility of joint surgery, check that the person has been offered at least the core treatments for osteoarthritis… and give them information about… recovery and rehabilitation after surgery.” </w:t>
            </w:r>
          </w:p>
          <w:p w14:paraId="6E1DD523" w14:textId="213E1629" w:rsidR="001A2B81" w:rsidRDefault="001A2B81" w:rsidP="001A2B81">
            <w:pPr>
              <w:pStyle w:val="Tabletext"/>
            </w:pPr>
            <w:r>
              <w:t xml:space="preserve">A recent report which Versus Arthritis endorsed, </w:t>
            </w:r>
            <w:hyperlink r:id="rId127" w:history="1">
              <w:r w:rsidRPr="005E425F">
                <w:rPr>
                  <w:rStyle w:val="Hyperlink"/>
                </w:rPr>
                <w:t xml:space="preserve">Moving Forward Stronger: addressing deterioration in people with </w:t>
              </w:r>
              <w:r w:rsidRPr="005E425F">
                <w:rPr>
                  <w:rStyle w:val="Hyperlink"/>
                </w:rPr>
                <w:lastRenderedPageBreak/>
                <w:t>long-term conditions during the pandemic</w:t>
              </w:r>
            </w:hyperlink>
            <w:r>
              <w:t>, calls for a two-year national rehabilitation and recovery strategy embedded in local ICSs for those with long-term conditions who have seen their conditions deteriorate during the pandemic.</w:t>
            </w:r>
          </w:p>
          <w:p w14:paraId="52E2B4BC" w14:textId="414A8B8A" w:rsidR="001A2B81" w:rsidRPr="0053637B" w:rsidRDefault="001A2B81" w:rsidP="001A2B81">
            <w:pPr>
              <w:pStyle w:val="Tabletext"/>
            </w:pPr>
            <w:r>
              <w:t>More broadly, there have been many recent pressures on access to rehabilitation services, including through longer surgery and treatment waiting lists caused by the pandemic. Furthermore, new pressures could arise as a result of Long Covid and its impact of mobility. It is important that rehabilitation following joint replacement surgery is not deprioritised in any way as it is key to making a good and sustained recovery.</w:t>
            </w:r>
          </w:p>
        </w:tc>
      </w:tr>
      <w:tr w:rsidR="001A2B81" w:rsidRPr="00C92280" w14:paraId="18EDCCE1" w14:textId="77777777" w:rsidTr="00641E12">
        <w:trPr>
          <w:trHeight w:val="284"/>
        </w:trPr>
        <w:tc>
          <w:tcPr>
            <w:tcW w:w="313" w:type="pct"/>
          </w:tcPr>
          <w:p w14:paraId="45DD873B" w14:textId="7612B9C6" w:rsidR="001A2B81" w:rsidRPr="0088696C" w:rsidRDefault="001A2B81" w:rsidP="001A2B81">
            <w:pPr>
              <w:pStyle w:val="Tabletext"/>
            </w:pPr>
            <w:r>
              <w:lastRenderedPageBreak/>
              <w:t>4</w:t>
            </w:r>
            <w:r w:rsidR="00E502D3">
              <w:t>6</w:t>
            </w:r>
          </w:p>
        </w:tc>
        <w:tc>
          <w:tcPr>
            <w:tcW w:w="805" w:type="pct"/>
          </w:tcPr>
          <w:p w14:paraId="5E99C6D6" w14:textId="670A13A9" w:rsidR="001A2B81" w:rsidRPr="0088696C" w:rsidRDefault="001A2B81" w:rsidP="001A2B81">
            <w:pPr>
              <w:pStyle w:val="Tabletext"/>
            </w:pPr>
            <w:r>
              <w:t>British Elbow &amp; Shoulder Society</w:t>
            </w:r>
          </w:p>
        </w:tc>
        <w:tc>
          <w:tcPr>
            <w:tcW w:w="0" w:type="auto"/>
          </w:tcPr>
          <w:p w14:paraId="6547C3B9" w14:textId="4E43264B" w:rsidR="001A2B81" w:rsidRDefault="001A2B81" w:rsidP="001A2B81">
            <w:pPr>
              <w:pStyle w:val="Tabletext"/>
              <w:rPr>
                <w:b/>
                <w:bCs/>
              </w:rPr>
            </w:pPr>
            <w:r>
              <w:rPr>
                <w:b/>
                <w:bCs/>
              </w:rPr>
              <w:t>Additional areas – audits and registries</w:t>
            </w:r>
          </w:p>
          <w:p w14:paraId="4C6DE8DE" w14:textId="7A04E199" w:rsidR="001A2B81" w:rsidRPr="0088696C" w:rsidRDefault="001A2B81" w:rsidP="001A2B81">
            <w:pPr>
              <w:pStyle w:val="Tabletext"/>
            </w:pPr>
            <w:r>
              <w:t>1</w:t>
            </w:r>
            <w:r w:rsidR="00E81334">
              <w:t xml:space="preserve"> </w:t>
            </w:r>
            <w:r>
              <w:t>Improve compliance with collection of pre-operative Patient Reported Outcome Measures (PROMs) by healthcare providers.</w:t>
            </w:r>
          </w:p>
        </w:tc>
        <w:tc>
          <w:tcPr>
            <w:tcW w:w="1155" w:type="pct"/>
          </w:tcPr>
          <w:p w14:paraId="61CE325A" w14:textId="4EA00DE3" w:rsidR="001A2B81" w:rsidRDefault="001A2B81" w:rsidP="001A2B81">
            <w:pPr>
              <w:pStyle w:val="Tabletext"/>
              <w:rPr>
                <w:rFonts w:cs="Arial"/>
                <w:szCs w:val="22"/>
              </w:rPr>
            </w:pPr>
            <w:r w:rsidRPr="005E425F">
              <w:rPr>
                <w:rFonts w:cs="Arial"/>
                <w:szCs w:val="22"/>
              </w:rPr>
              <w:t>Evidence from the National Joint Registry confirms compliance with collection of pre-operative OSS by providers of shoulder replacements remains low and identifying this as a quality standard will help improve organisational compliance.</w:t>
            </w:r>
          </w:p>
          <w:p w14:paraId="6D419594" w14:textId="08143FFC" w:rsidR="001A2B81" w:rsidRDefault="001A2B81" w:rsidP="001A2B81">
            <w:pPr>
              <w:pStyle w:val="Tabletext"/>
              <w:rPr>
                <w:rFonts w:cs="Arial"/>
                <w:szCs w:val="22"/>
              </w:rPr>
            </w:pPr>
          </w:p>
          <w:p w14:paraId="0BE76BB6" w14:textId="19EF919E" w:rsidR="001A2B81" w:rsidRPr="005E425F" w:rsidRDefault="001A2B81" w:rsidP="001A2B81">
            <w:pPr>
              <w:pStyle w:val="Tabletext"/>
              <w:rPr>
                <w:rFonts w:cs="Arial"/>
                <w:b/>
                <w:bCs/>
                <w:szCs w:val="22"/>
              </w:rPr>
            </w:pPr>
            <w:r>
              <w:rPr>
                <w:rFonts w:cs="Arial"/>
                <w:b/>
                <w:bCs/>
                <w:szCs w:val="22"/>
              </w:rPr>
              <w:t>Why is this important?</w:t>
            </w:r>
          </w:p>
          <w:p w14:paraId="2F8B606B" w14:textId="5E219E13" w:rsidR="001A2B81" w:rsidRPr="0088696C" w:rsidRDefault="001A2B81" w:rsidP="001A2B81">
            <w:pPr>
              <w:pStyle w:val="Tabletext"/>
            </w:pPr>
            <w:r w:rsidRPr="005F1552">
              <w:rPr>
                <w:rFonts w:cs="Arial"/>
                <w:szCs w:val="22"/>
              </w:rPr>
              <w:t>Provides good evidence of longitudinal improvement in patient reported Oxford Shoulder Score (OSS) to monitor provision and performance of shoulder replacements. Pre-operative OSS is an important aspect of this monitoring.</w:t>
            </w:r>
          </w:p>
        </w:tc>
        <w:tc>
          <w:tcPr>
            <w:tcW w:w="2035" w:type="pct"/>
          </w:tcPr>
          <w:p w14:paraId="10FEC590" w14:textId="40ACF6E9" w:rsidR="001A2B81" w:rsidRPr="0088696C" w:rsidRDefault="001A2B81" w:rsidP="001A2B81">
            <w:pPr>
              <w:pStyle w:val="Tabletext"/>
            </w:pPr>
            <w:r w:rsidRPr="005F1552">
              <w:t xml:space="preserve">The National Joint Registry routinely collects the Oxford Shoulder Score for monitoring of performance of shoulder replacements. PROMs form an important aspect of performance assessment within the annual reports: </w:t>
            </w:r>
            <w:hyperlink r:id="rId128" w:history="1">
              <w:r w:rsidRPr="00CD01D5">
                <w:rPr>
                  <w:rStyle w:val="Hyperlink"/>
                </w:rPr>
                <w:t>https://reports.njrcentre.org.uk</w:t>
              </w:r>
            </w:hyperlink>
            <w:r>
              <w:t xml:space="preserve"> </w:t>
            </w:r>
          </w:p>
        </w:tc>
      </w:tr>
      <w:tr w:rsidR="001A2B81" w:rsidRPr="00C92280" w14:paraId="335E82D6" w14:textId="77777777" w:rsidTr="00641E12">
        <w:trPr>
          <w:trHeight w:val="284"/>
        </w:trPr>
        <w:tc>
          <w:tcPr>
            <w:tcW w:w="313" w:type="pct"/>
          </w:tcPr>
          <w:p w14:paraId="2B040DD0" w14:textId="5D6B46C9" w:rsidR="001A2B81" w:rsidRPr="0088696C" w:rsidRDefault="001A2B81" w:rsidP="001A2B81">
            <w:pPr>
              <w:pStyle w:val="Tabletext"/>
            </w:pPr>
            <w:r>
              <w:lastRenderedPageBreak/>
              <w:t>4</w:t>
            </w:r>
            <w:r w:rsidR="00E502D3">
              <w:t>7</w:t>
            </w:r>
          </w:p>
        </w:tc>
        <w:tc>
          <w:tcPr>
            <w:tcW w:w="805" w:type="pct"/>
          </w:tcPr>
          <w:p w14:paraId="5592B2DD" w14:textId="373EA119" w:rsidR="001A2B81" w:rsidRDefault="001A2B81" w:rsidP="001A2B81">
            <w:pPr>
              <w:pStyle w:val="Tabletext"/>
            </w:pPr>
            <w:r>
              <w:t>British Orthopaedic Association (comments endorsed by the British Hip Society)</w:t>
            </w:r>
          </w:p>
        </w:tc>
        <w:tc>
          <w:tcPr>
            <w:tcW w:w="0" w:type="auto"/>
          </w:tcPr>
          <w:p w14:paraId="77E49B01" w14:textId="19DE6F49" w:rsidR="001A2B81" w:rsidRPr="00776158" w:rsidRDefault="001A2B81" w:rsidP="001A2B81">
            <w:pPr>
              <w:pStyle w:val="Tabletext"/>
              <w:rPr>
                <w:b/>
                <w:bCs/>
              </w:rPr>
            </w:pPr>
            <w:r>
              <w:rPr>
                <w:b/>
                <w:bCs/>
              </w:rPr>
              <w:t xml:space="preserve">Additional areas – audits and registries: </w:t>
            </w:r>
            <w:r>
              <w:t>2</w:t>
            </w:r>
            <w:r w:rsidRPr="0025406E">
              <w:tab/>
            </w:r>
          </w:p>
        </w:tc>
        <w:tc>
          <w:tcPr>
            <w:tcW w:w="1155" w:type="pct"/>
          </w:tcPr>
          <w:p w14:paraId="181B6396" w14:textId="3DED2D1F" w:rsidR="001A2B81" w:rsidRPr="00AD2BCD" w:rsidRDefault="001A2B81" w:rsidP="001A2B81">
            <w:pPr>
              <w:pStyle w:val="Tabletext"/>
              <w:rPr>
                <w:rFonts w:cs="Arial"/>
                <w:szCs w:val="22"/>
              </w:rPr>
            </w:pPr>
            <w:r w:rsidRPr="0025406E">
              <w:rPr>
                <w:rFonts w:cs="Arial"/>
                <w:szCs w:val="22"/>
              </w:rPr>
              <w:t>Patient reported outcomes</w:t>
            </w:r>
          </w:p>
        </w:tc>
        <w:tc>
          <w:tcPr>
            <w:tcW w:w="2035" w:type="pct"/>
          </w:tcPr>
          <w:p w14:paraId="6FEF0B01" w14:textId="363973FE" w:rsidR="001A2B81" w:rsidRDefault="001A2B81" w:rsidP="001A2B81">
            <w:pPr>
              <w:pStyle w:val="Tabletext"/>
            </w:pPr>
            <w:r>
              <w:t xml:space="preserve">To inform shared decision making it necessary that the patients and surgeon are aware of the potential benefits and harms of a proposed procedure. The information of benefits are best gathered from the reports of the patients who have undergone procedures themselves. As advised in the Cumberledge report such data should be collected in the form of PROMs. </w:t>
            </w:r>
          </w:p>
          <w:p w14:paraId="40861588" w14:textId="77777777" w:rsidR="001A2B81" w:rsidRDefault="001A2B81" w:rsidP="001A2B81">
            <w:pPr>
              <w:pStyle w:val="Tabletext"/>
            </w:pPr>
          </w:p>
          <w:p w14:paraId="6DC82C75" w14:textId="55239DEE" w:rsidR="001A2B81" w:rsidRPr="005F1552" w:rsidRDefault="001A2B81" w:rsidP="001A2B81">
            <w:pPr>
              <w:pStyle w:val="Tabletext"/>
            </w:pPr>
            <w:r>
              <w:t xml:space="preserve">The </w:t>
            </w:r>
            <w:proofErr w:type="spellStart"/>
            <w:r>
              <w:t>Cumberlege</w:t>
            </w:r>
            <w:proofErr w:type="spellEnd"/>
            <w:r>
              <w:t xml:space="preserve"> Report of the Independent Medicines and Medical Devices Safety Review </w:t>
            </w:r>
            <w:proofErr w:type="gramStart"/>
            <w:r>
              <w:t>makes reference</w:t>
            </w:r>
            <w:proofErr w:type="gramEnd"/>
            <w:r>
              <w:t xml:space="preserve"> to patient reported outcomes (PROMs) in 2 of its 9 recommendations. The first is that the Regulator (MHRA) needs to reform and ensure that in monitoring Implanted devices such as joint replacements, it should engage more with patients and their outcomes. Nationally collected PROMs would fulfil this need.</w:t>
            </w:r>
          </w:p>
        </w:tc>
      </w:tr>
      <w:tr w:rsidR="001A2B81" w:rsidRPr="00C92280" w14:paraId="50DE97E4" w14:textId="77777777" w:rsidTr="00641E12">
        <w:trPr>
          <w:trHeight w:val="284"/>
        </w:trPr>
        <w:tc>
          <w:tcPr>
            <w:tcW w:w="313" w:type="pct"/>
          </w:tcPr>
          <w:p w14:paraId="41B43D78" w14:textId="20ACF5A8" w:rsidR="001A2B81" w:rsidRPr="0088696C" w:rsidRDefault="001A2B81" w:rsidP="001A2B81">
            <w:pPr>
              <w:pStyle w:val="Tabletext"/>
            </w:pPr>
            <w:r>
              <w:t>4</w:t>
            </w:r>
            <w:r w:rsidR="00E502D3">
              <w:t>8</w:t>
            </w:r>
          </w:p>
        </w:tc>
        <w:tc>
          <w:tcPr>
            <w:tcW w:w="805" w:type="pct"/>
          </w:tcPr>
          <w:p w14:paraId="3AA6FD89" w14:textId="448F7459" w:rsidR="001A2B81" w:rsidRDefault="001A2B81" w:rsidP="001A2B81">
            <w:pPr>
              <w:pStyle w:val="Tabletext"/>
            </w:pPr>
            <w:r>
              <w:t>National Joint Registry</w:t>
            </w:r>
          </w:p>
        </w:tc>
        <w:tc>
          <w:tcPr>
            <w:tcW w:w="0" w:type="auto"/>
          </w:tcPr>
          <w:p w14:paraId="4FB94BBA" w14:textId="2660A403" w:rsidR="001A2B81" w:rsidRPr="006C2B8B" w:rsidRDefault="001A2B81" w:rsidP="001A2B81">
            <w:pPr>
              <w:pStyle w:val="Tabletext"/>
              <w:rPr>
                <w:b/>
                <w:bCs/>
              </w:rPr>
            </w:pPr>
            <w:r w:rsidRPr="006636B3">
              <w:rPr>
                <w:b/>
                <w:bCs/>
              </w:rPr>
              <w:t>Additional areas – audits and registries</w:t>
            </w:r>
          </w:p>
          <w:p w14:paraId="33593B8D" w14:textId="137D1103" w:rsidR="001A2B81" w:rsidRDefault="001A2B81" w:rsidP="001A2B81">
            <w:pPr>
              <w:pStyle w:val="Tabletext"/>
            </w:pPr>
            <w:r>
              <w:t>1 Improve compliance with collection of pre- and post-operative Patient Reported Outcome Measures (PROMs) by healthcare providers.</w:t>
            </w:r>
          </w:p>
        </w:tc>
        <w:tc>
          <w:tcPr>
            <w:tcW w:w="1155" w:type="pct"/>
          </w:tcPr>
          <w:p w14:paraId="1E7CB99F" w14:textId="77777777" w:rsidR="001A2B81" w:rsidRDefault="001A2B81" w:rsidP="001A2B81">
            <w:pPr>
              <w:pStyle w:val="Tabletext"/>
              <w:rPr>
                <w:rFonts w:cs="Arial"/>
                <w:szCs w:val="22"/>
              </w:rPr>
            </w:pPr>
            <w:r w:rsidRPr="00AD2BCD">
              <w:rPr>
                <w:rFonts w:cs="Arial"/>
                <w:szCs w:val="22"/>
              </w:rPr>
              <w:t>Evidence from the National Joint Registry and National PROMs confirms compliance with collection of pre-operative OSS by providers of shoulder replacements remains low and identifying this as a quality standard will help improve organisational compliance. Follow up rates (6 months and 12 months) for hip and knees PROMS are also relatively low.</w:t>
            </w:r>
          </w:p>
          <w:p w14:paraId="4884731A" w14:textId="77777777" w:rsidR="001A2B81" w:rsidRDefault="001A2B81" w:rsidP="001A2B81">
            <w:pPr>
              <w:pStyle w:val="Tabletext"/>
              <w:rPr>
                <w:rFonts w:cs="Arial"/>
                <w:szCs w:val="22"/>
              </w:rPr>
            </w:pPr>
          </w:p>
          <w:p w14:paraId="71E34A74" w14:textId="4AF5B794" w:rsidR="001A2B81" w:rsidRDefault="001A2B81" w:rsidP="001A2B81">
            <w:pPr>
              <w:pStyle w:val="Tabletext"/>
              <w:rPr>
                <w:rFonts w:cs="Arial"/>
                <w:b/>
                <w:bCs/>
                <w:szCs w:val="22"/>
              </w:rPr>
            </w:pPr>
            <w:r w:rsidRPr="00AD2BCD">
              <w:rPr>
                <w:rFonts w:cs="Arial"/>
                <w:b/>
                <w:bCs/>
                <w:szCs w:val="22"/>
              </w:rPr>
              <w:t>Why is this important?</w:t>
            </w:r>
          </w:p>
          <w:p w14:paraId="014E4E58" w14:textId="6C9A5BA3" w:rsidR="001A2B81" w:rsidRPr="005F1552" w:rsidRDefault="001A2B81" w:rsidP="001A2B81">
            <w:pPr>
              <w:pStyle w:val="Tabletext"/>
              <w:rPr>
                <w:rFonts w:cs="Arial"/>
                <w:szCs w:val="22"/>
              </w:rPr>
            </w:pPr>
            <w:r w:rsidRPr="005E425F">
              <w:rPr>
                <w:rFonts w:cs="Arial"/>
                <w:szCs w:val="22"/>
              </w:rPr>
              <w:lastRenderedPageBreak/>
              <w:t>Provides good evidence of longitudinal improvement in patient reported functional scores to monitor provision and performance of joint replacements. Pre-operative PROMS is an important aspect of this monitoring.</w:t>
            </w:r>
          </w:p>
        </w:tc>
        <w:tc>
          <w:tcPr>
            <w:tcW w:w="2035" w:type="pct"/>
          </w:tcPr>
          <w:p w14:paraId="34202956" w14:textId="77777777" w:rsidR="001A2B81" w:rsidRPr="005F1552" w:rsidRDefault="001A2B81" w:rsidP="001A2B81">
            <w:pPr>
              <w:pStyle w:val="Tabletext"/>
            </w:pPr>
          </w:p>
        </w:tc>
      </w:tr>
      <w:tr w:rsidR="001A2B81" w:rsidRPr="00C92280" w14:paraId="2D54619E" w14:textId="77777777" w:rsidTr="00641E12">
        <w:trPr>
          <w:trHeight w:val="284"/>
        </w:trPr>
        <w:tc>
          <w:tcPr>
            <w:tcW w:w="313" w:type="pct"/>
          </w:tcPr>
          <w:p w14:paraId="6C48D4F7" w14:textId="7C11FA79" w:rsidR="001A2B81" w:rsidRPr="0088696C" w:rsidRDefault="00E502D3" w:rsidP="001A2B81">
            <w:pPr>
              <w:pStyle w:val="Tabletext"/>
            </w:pPr>
            <w:r>
              <w:t>49</w:t>
            </w:r>
          </w:p>
        </w:tc>
        <w:tc>
          <w:tcPr>
            <w:tcW w:w="805" w:type="pct"/>
          </w:tcPr>
          <w:p w14:paraId="411F0ADB" w14:textId="7B4BD44A" w:rsidR="001A2B81" w:rsidRDefault="001A2B81" w:rsidP="001A2B81">
            <w:pPr>
              <w:pStyle w:val="Tabletext"/>
            </w:pPr>
            <w:r>
              <w:t>National Joint Registry</w:t>
            </w:r>
          </w:p>
        </w:tc>
        <w:tc>
          <w:tcPr>
            <w:tcW w:w="0" w:type="auto"/>
          </w:tcPr>
          <w:p w14:paraId="69282C4C" w14:textId="45385C84" w:rsidR="001A2B81" w:rsidRPr="006636B3" w:rsidRDefault="001A2B81" w:rsidP="001A2B81">
            <w:pPr>
              <w:pStyle w:val="Tabletext"/>
              <w:rPr>
                <w:b/>
                <w:bCs/>
              </w:rPr>
            </w:pPr>
            <w:r w:rsidRPr="006636B3">
              <w:rPr>
                <w:b/>
                <w:bCs/>
              </w:rPr>
              <w:t>Additional areas – audits and registries</w:t>
            </w:r>
          </w:p>
          <w:p w14:paraId="3A99EEE1" w14:textId="77777777" w:rsidR="001A2B81" w:rsidRDefault="001A2B81" w:rsidP="001A2B81">
            <w:pPr>
              <w:pStyle w:val="Tabletext"/>
            </w:pPr>
          </w:p>
          <w:p w14:paraId="5EF0489A" w14:textId="37B3AC2A" w:rsidR="001A2B81" w:rsidRDefault="001A2B81" w:rsidP="001A2B81">
            <w:pPr>
              <w:pStyle w:val="Tabletext"/>
            </w:pPr>
            <w:r>
              <w:t xml:space="preserve">3 </w:t>
            </w:r>
            <w:r w:rsidRPr="00BE61F9">
              <w:t>An independent and functional system for monitoring joint replacement performance should be maintained.</w:t>
            </w:r>
          </w:p>
        </w:tc>
        <w:tc>
          <w:tcPr>
            <w:tcW w:w="1155" w:type="pct"/>
          </w:tcPr>
          <w:p w14:paraId="7CA0C69B" w14:textId="77777777" w:rsidR="001A2B81" w:rsidRDefault="001A2B81" w:rsidP="001A2B81">
            <w:pPr>
              <w:pStyle w:val="Tabletext"/>
              <w:rPr>
                <w:rFonts w:cs="Arial"/>
                <w:szCs w:val="22"/>
              </w:rPr>
            </w:pPr>
            <w:r w:rsidRPr="005E425F">
              <w:rPr>
                <w:rFonts w:cs="Arial"/>
                <w:szCs w:val="22"/>
              </w:rPr>
              <w:t>Engagement with the national registry, although good overall, des vary between units with some units able to consent close to 100% of patients while other struggle with this. Quality improvement to improve rates of consent and compliance to the NJR would benefit the overall picture of joint replacement surgery, as well as data sources for future evidence.</w:t>
            </w:r>
          </w:p>
          <w:p w14:paraId="0E7256B0" w14:textId="77777777" w:rsidR="001A2B81" w:rsidRDefault="001A2B81" w:rsidP="001A2B81">
            <w:pPr>
              <w:pStyle w:val="Tabletext"/>
              <w:rPr>
                <w:rFonts w:cs="Arial"/>
                <w:szCs w:val="22"/>
              </w:rPr>
            </w:pPr>
          </w:p>
          <w:p w14:paraId="362FB01B" w14:textId="742EDA27" w:rsidR="001A2B81" w:rsidRPr="005E425F" w:rsidRDefault="001A2B81" w:rsidP="001A2B81">
            <w:pPr>
              <w:pStyle w:val="Tabletext"/>
              <w:rPr>
                <w:rFonts w:cs="Arial"/>
                <w:b/>
                <w:bCs/>
                <w:szCs w:val="22"/>
              </w:rPr>
            </w:pPr>
            <w:r w:rsidRPr="00AD2BCD">
              <w:rPr>
                <w:rFonts w:cs="Arial"/>
                <w:b/>
                <w:bCs/>
                <w:szCs w:val="22"/>
              </w:rPr>
              <w:t>Why is this important</w:t>
            </w:r>
          </w:p>
          <w:p w14:paraId="431E1C01" w14:textId="02D8F0C8" w:rsidR="001A2B81" w:rsidRPr="00AD2BCD" w:rsidRDefault="001A2B81" w:rsidP="001A2B81">
            <w:pPr>
              <w:pStyle w:val="Tabletext"/>
              <w:rPr>
                <w:rFonts w:cs="Arial"/>
                <w:szCs w:val="22"/>
              </w:rPr>
            </w:pPr>
            <w:r w:rsidRPr="00AD2BCD">
              <w:rPr>
                <w:rFonts w:cs="Arial"/>
                <w:szCs w:val="22"/>
              </w:rPr>
              <w:t xml:space="preserve">Safety and performance of medical devices is a hot topic with the </w:t>
            </w:r>
            <w:proofErr w:type="spellStart"/>
            <w:r w:rsidRPr="00AD2BCD">
              <w:rPr>
                <w:rFonts w:cs="Arial"/>
                <w:szCs w:val="22"/>
              </w:rPr>
              <w:t>Cumberlege</w:t>
            </w:r>
            <w:proofErr w:type="spellEnd"/>
            <w:r w:rsidRPr="00AD2BCD">
              <w:rPr>
                <w:rFonts w:cs="Arial"/>
                <w:szCs w:val="22"/>
              </w:rPr>
              <w:t xml:space="preserve"> report, but NJR has a nearly </w:t>
            </w:r>
            <w:proofErr w:type="gramStart"/>
            <w:r w:rsidRPr="00AD2BCD">
              <w:rPr>
                <w:rFonts w:cs="Arial"/>
                <w:szCs w:val="22"/>
              </w:rPr>
              <w:t>15 year</w:t>
            </w:r>
            <w:proofErr w:type="gramEnd"/>
            <w:r w:rsidRPr="00AD2BCD">
              <w:rPr>
                <w:rFonts w:cs="Arial"/>
                <w:szCs w:val="22"/>
              </w:rPr>
              <w:t xml:space="preserve"> history of delivering this for arthroplasty surgery. A well-resourced, independent registry with high-quality data in terms of consent and completeness is crucial to </w:t>
            </w:r>
            <w:r w:rsidRPr="00AD2BCD">
              <w:rPr>
                <w:rFonts w:cs="Arial"/>
                <w:szCs w:val="22"/>
              </w:rPr>
              <w:lastRenderedPageBreak/>
              <w:t>the measurement of standards and the driving up of quality.</w:t>
            </w:r>
          </w:p>
        </w:tc>
        <w:tc>
          <w:tcPr>
            <w:tcW w:w="2035" w:type="pct"/>
          </w:tcPr>
          <w:p w14:paraId="752526F4" w14:textId="77777777" w:rsidR="001A2B81" w:rsidRPr="005F1552" w:rsidRDefault="001A2B81" w:rsidP="001A2B81">
            <w:pPr>
              <w:pStyle w:val="Tabletext"/>
            </w:pPr>
          </w:p>
        </w:tc>
      </w:tr>
      <w:tr w:rsidR="001A2B81" w:rsidRPr="00C92280" w14:paraId="48A64460" w14:textId="77777777" w:rsidTr="00641E12">
        <w:trPr>
          <w:trHeight w:val="284"/>
        </w:trPr>
        <w:tc>
          <w:tcPr>
            <w:tcW w:w="313" w:type="pct"/>
          </w:tcPr>
          <w:p w14:paraId="7942493A" w14:textId="4920A606" w:rsidR="001A2B81" w:rsidRPr="0088696C" w:rsidRDefault="001A2B81" w:rsidP="001A2B81">
            <w:pPr>
              <w:pStyle w:val="Tabletext"/>
            </w:pPr>
            <w:r>
              <w:t>5</w:t>
            </w:r>
            <w:r w:rsidR="00E502D3">
              <w:t>0</w:t>
            </w:r>
          </w:p>
        </w:tc>
        <w:tc>
          <w:tcPr>
            <w:tcW w:w="805" w:type="pct"/>
          </w:tcPr>
          <w:p w14:paraId="7F002A95" w14:textId="0DE23FF8" w:rsidR="001A2B81" w:rsidRDefault="001A2B81" w:rsidP="001A2B81">
            <w:pPr>
              <w:pStyle w:val="Tabletext"/>
            </w:pPr>
            <w:r>
              <w:t>SCM6</w:t>
            </w:r>
          </w:p>
        </w:tc>
        <w:tc>
          <w:tcPr>
            <w:tcW w:w="0" w:type="auto"/>
          </w:tcPr>
          <w:p w14:paraId="6273D1BD" w14:textId="6A6998CF" w:rsidR="001A2B81" w:rsidRPr="006636B3" w:rsidRDefault="001A2B81" w:rsidP="001A2B81">
            <w:pPr>
              <w:pStyle w:val="Tabletext"/>
              <w:rPr>
                <w:b/>
                <w:bCs/>
              </w:rPr>
            </w:pPr>
            <w:r w:rsidRPr="006636B3">
              <w:rPr>
                <w:b/>
                <w:bCs/>
              </w:rPr>
              <w:t>Additional areas – audits and registries</w:t>
            </w:r>
          </w:p>
          <w:p w14:paraId="0312A2AB" w14:textId="77777777" w:rsidR="001A2B81" w:rsidRDefault="001A2B81" w:rsidP="001A2B81">
            <w:pPr>
              <w:pStyle w:val="Tabletext"/>
            </w:pPr>
          </w:p>
          <w:p w14:paraId="453A00D3" w14:textId="721AA401" w:rsidR="001A2B81" w:rsidRPr="00F60567" w:rsidRDefault="001A2B81" w:rsidP="001A2B81">
            <w:pPr>
              <w:pStyle w:val="Tabletext"/>
            </w:pPr>
            <w:r>
              <w:t xml:space="preserve">1 - </w:t>
            </w:r>
            <w:r w:rsidRPr="00F60567">
              <w:rPr>
                <w:u w:val="single"/>
              </w:rPr>
              <w:t>Shoulder Specific.</w:t>
            </w:r>
          </w:p>
          <w:p w14:paraId="446E815A" w14:textId="685E644B" w:rsidR="001A2B81" w:rsidRPr="00AD2BCD" w:rsidRDefault="001A2B81" w:rsidP="001A2B81">
            <w:pPr>
              <w:pStyle w:val="Tabletext"/>
            </w:pPr>
            <w:r>
              <w:t>Collection of NJR Pre-operative Q1 PROM (Oxford Shoulder Score)</w:t>
            </w:r>
          </w:p>
        </w:tc>
        <w:tc>
          <w:tcPr>
            <w:tcW w:w="1155" w:type="pct"/>
          </w:tcPr>
          <w:p w14:paraId="028553D5" w14:textId="57526A2B" w:rsidR="001A2B81" w:rsidRPr="0025406E" w:rsidRDefault="001A2B81" w:rsidP="001A2B81">
            <w:pPr>
              <w:pStyle w:val="Tabletext"/>
              <w:rPr>
                <w:rFonts w:cs="Arial"/>
                <w:szCs w:val="22"/>
              </w:rPr>
            </w:pPr>
            <w:r w:rsidRPr="0025406E">
              <w:rPr>
                <w:rFonts w:cs="Arial"/>
                <w:szCs w:val="22"/>
              </w:rPr>
              <w:t>Q1 (pre-op) collection of PROMS for Hip and Knee replacement surgery is established. This is not the case for shoulder replacement patients and should be a key area for quality improvement in order to provide patients and clinicians information on the outcomes from the increasing number</w:t>
            </w:r>
            <w:r>
              <w:rPr>
                <w:rFonts w:cs="Arial"/>
                <w:szCs w:val="22"/>
              </w:rPr>
              <w:t xml:space="preserve"> </w:t>
            </w:r>
            <w:r w:rsidRPr="0025406E">
              <w:rPr>
                <w:rFonts w:cs="Arial"/>
                <w:szCs w:val="22"/>
              </w:rPr>
              <w:t xml:space="preserve">of shoulder replacements being performed with different types of implants. </w:t>
            </w:r>
          </w:p>
          <w:p w14:paraId="5E6530D6" w14:textId="15064065" w:rsidR="001A2B81" w:rsidRPr="00AD2BCD" w:rsidRDefault="001A2B81" w:rsidP="001A2B81">
            <w:pPr>
              <w:pStyle w:val="Tabletext"/>
              <w:rPr>
                <w:rFonts w:cs="Arial"/>
                <w:szCs w:val="22"/>
              </w:rPr>
            </w:pPr>
            <w:r w:rsidRPr="0025406E">
              <w:rPr>
                <w:rFonts w:cs="Arial"/>
                <w:szCs w:val="22"/>
              </w:rPr>
              <w:t>The average completion rates by Trusts are very poor and around 45% collection compliance with a national range of 0% to 79%. The main barrier in my view is shoulder PROMS are not mandated, there is no Tariff uplift and so Trusts do not support their clinical teams in collecting shoulder replacement pre-op PROMS.</w:t>
            </w:r>
          </w:p>
        </w:tc>
        <w:tc>
          <w:tcPr>
            <w:tcW w:w="2035" w:type="pct"/>
          </w:tcPr>
          <w:p w14:paraId="72265085" w14:textId="2F95E4E3" w:rsidR="001A2B81" w:rsidRDefault="001A2B81" w:rsidP="001A2B81">
            <w:pPr>
              <w:pStyle w:val="Tabletext"/>
            </w:pPr>
            <w:r>
              <w:t xml:space="preserve">NJR data from the limited PROMS returns in the 2016 report suggested that 8% of elective shoulder patients are worse after shoulder replacements. This would not have been detected with revision surgery alone and this % could be higher or lower as the data collection is incomplete. There is a pressing need to increase the Q1 compliance of Hospital Trusts. </w:t>
            </w:r>
          </w:p>
          <w:p w14:paraId="42EBE5B8" w14:textId="77777777" w:rsidR="001A2B81" w:rsidRDefault="001A2B81" w:rsidP="001A2B81">
            <w:pPr>
              <w:pStyle w:val="Tabletext"/>
            </w:pPr>
          </w:p>
          <w:p w14:paraId="6ED890CB" w14:textId="77777777" w:rsidR="001A2B81" w:rsidRDefault="001A2B81" w:rsidP="001A2B81">
            <w:pPr>
              <w:pStyle w:val="Tabletext"/>
            </w:pPr>
            <w:r>
              <w:t>The Cumberledge Report has also been published over the last 12 months further adding weight to PROMS collection after shoulder replacement surgery</w:t>
            </w:r>
          </w:p>
          <w:p w14:paraId="0537AA7E" w14:textId="77777777" w:rsidR="001A2B81" w:rsidRDefault="001A2B81" w:rsidP="001A2B81">
            <w:pPr>
              <w:pStyle w:val="Tabletext"/>
            </w:pPr>
          </w:p>
          <w:p w14:paraId="6B0F6518" w14:textId="247A93E3" w:rsidR="001A2B81" w:rsidRPr="005F1552" w:rsidRDefault="001A2B81" w:rsidP="001A2B81">
            <w:pPr>
              <w:pStyle w:val="Tabletext"/>
            </w:pPr>
            <w:r>
              <w:t xml:space="preserve">The NJR has now only agreed to collect post op shoulder PROMS if a pre-operative Q1 PROM is collected. The best timing of post operative PROMS is not known but the British Elbow and Shoulder Society agreed with the NJR that a </w:t>
            </w:r>
            <w:proofErr w:type="gramStart"/>
            <w:r>
              <w:t>6 month</w:t>
            </w:r>
            <w:proofErr w:type="gramEnd"/>
            <w:r>
              <w:t>, 3 year and 5 year post op PROM should be collected</w:t>
            </w:r>
          </w:p>
        </w:tc>
      </w:tr>
      <w:tr w:rsidR="001A2B81" w:rsidRPr="00C92280" w14:paraId="6B579C73" w14:textId="77777777" w:rsidTr="00641E12">
        <w:trPr>
          <w:trHeight w:val="284"/>
        </w:trPr>
        <w:tc>
          <w:tcPr>
            <w:tcW w:w="313" w:type="pct"/>
          </w:tcPr>
          <w:p w14:paraId="2721B601" w14:textId="5691E072" w:rsidR="001A2B81" w:rsidRPr="0088696C" w:rsidRDefault="001A2B81" w:rsidP="001A2B81">
            <w:pPr>
              <w:pStyle w:val="Tabletext"/>
            </w:pPr>
            <w:r>
              <w:t>5</w:t>
            </w:r>
            <w:r w:rsidR="00E502D3">
              <w:t>1</w:t>
            </w:r>
          </w:p>
        </w:tc>
        <w:tc>
          <w:tcPr>
            <w:tcW w:w="805" w:type="pct"/>
          </w:tcPr>
          <w:p w14:paraId="534FFDC2" w14:textId="48B801B3" w:rsidR="001A2B81" w:rsidRDefault="001A2B81" w:rsidP="001A2B81">
            <w:pPr>
              <w:pStyle w:val="Tabletext"/>
            </w:pPr>
            <w:r>
              <w:t>National Joint Registry</w:t>
            </w:r>
          </w:p>
        </w:tc>
        <w:tc>
          <w:tcPr>
            <w:tcW w:w="0" w:type="auto"/>
          </w:tcPr>
          <w:p w14:paraId="3EC6DA90" w14:textId="237915F9" w:rsidR="001A2B81" w:rsidRPr="00617F76" w:rsidRDefault="001A2B81" w:rsidP="001A2B81">
            <w:pPr>
              <w:pStyle w:val="Tabletext"/>
            </w:pPr>
            <w:r>
              <w:rPr>
                <w:b/>
                <w:bCs/>
              </w:rPr>
              <w:t xml:space="preserve">Additional areas -  implants: </w:t>
            </w:r>
            <w:r w:rsidRPr="00617F76">
              <w:t>4</w:t>
            </w:r>
            <w:r w:rsidR="00E81334">
              <w:t xml:space="preserve"> </w:t>
            </w:r>
            <w:r w:rsidRPr="00617F76">
              <w:t xml:space="preserve">Hospitals should consider the health economic benefit </w:t>
            </w:r>
            <w:r w:rsidRPr="00617F76">
              <w:lastRenderedPageBreak/>
              <w:t>of implants choices when procuring implants.</w:t>
            </w:r>
          </w:p>
        </w:tc>
        <w:tc>
          <w:tcPr>
            <w:tcW w:w="1155" w:type="pct"/>
          </w:tcPr>
          <w:p w14:paraId="02484BD0" w14:textId="70DA036B" w:rsidR="001A2B81" w:rsidRPr="00617F76" w:rsidRDefault="001A2B81" w:rsidP="001A2B81">
            <w:pPr>
              <w:pStyle w:val="Tabletext"/>
              <w:rPr>
                <w:rFonts w:cs="Arial"/>
                <w:szCs w:val="22"/>
              </w:rPr>
            </w:pPr>
            <w:r w:rsidRPr="00617F76">
              <w:rPr>
                <w:rFonts w:cs="Arial"/>
                <w:szCs w:val="22"/>
              </w:rPr>
              <w:lastRenderedPageBreak/>
              <w:t xml:space="preserve">There is substantial variation in both the prices paid for the same implants by different hospitals and the relative cost-effectiveness of those implants in </w:t>
            </w:r>
            <w:r w:rsidRPr="00617F76">
              <w:rPr>
                <w:rFonts w:cs="Arial"/>
                <w:szCs w:val="22"/>
              </w:rPr>
              <w:lastRenderedPageBreak/>
              <w:t>clinical practice. NJR provide feedback tools that allow units and surgeons to understand the performance of implants offset against the cost paid. Quality improvement in this area could be targeted about engagement with these data tools. We also feel that rationalisation to a discrete set of implant choices per hospital/Trust should form part of the quality standard.</w:t>
            </w:r>
          </w:p>
          <w:p w14:paraId="2A91131A" w14:textId="77777777" w:rsidR="001A2B81" w:rsidRPr="00617F76" w:rsidRDefault="001A2B81" w:rsidP="001A2B81">
            <w:pPr>
              <w:pStyle w:val="Tabletext"/>
              <w:rPr>
                <w:rFonts w:cs="Arial"/>
                <w:szCs w:val="22"/>
              </w:rPr>
            </w:pPr>
          </w:p>
          <w:p w14:paraId="1A968A31" w14:textId="31490112" w:rsidR="001A2B81" w:rsidRPr="00617F76" w:rsidRDefault="001A2B81" w:rsidP="001A2B81">
            <w:pPr>
              <w:pStyle w:val="Tabletext"/>
              <w:rPr>
                <w:rFonts w:cs="Arial"/>
                <w:b/>
                <w:bCs/>
                <w:szCs w:val="22"/>
              </w:rPr>
            </w:pPr>
            <w:r w:rsidRPr="00617F76">
              <w:rPr>
                <w:rFonts w:cs="Arial"/>
                <w:b/>
                <w:bCs/>
                <w:szCs w:val="22"/>
              </w:rPr>
              <w:t>Why is this important?</w:t>
            </w:r>
          </w:p>
          <w:p w14:paraId="6DBB8D0B" w14:textId="66A55C7D" w:rsidR="001A2B81" w:rsidRPr="0025406E" w:rsidRDefault="001A2B81" w:rsidP="001A2B81">
            <w:pPr>
              <w:pStyle w:val="Tabletext"/>
              <w:rPr>
                <w:rFonts w:cs="Arial"/>
                <w:szCs w:val="22"/>
              </w:rPr>
            </w:pPr>
            <w:r w:rsidRPr="00617F76">
              <w:rPr>
                <w:rFonts w:cs="Arial"/>
                <w:szCs w:val="22"/>
              </w:rPr>
              <w:t>There are many orthopaedic implants currently on the market – many of which have high rates of survival. However, the price of these implants to the NHS and independent sector hospitals varies enormously – both between implants and for the same implants procured by different customers. A clear picture of health economic performance should be established as part of a unit’s procurement policy.</w:t>
            </w:r>
          </w:p>
        </w:tc>
        <w:tc>
          <w:tcPr>
            <w:tcW w:w="2035" w:type="pct"/>
          </w:tcPr>
          <w:p w14:paraId="044203A5" w14:textId="73927222" w:rsidR="001A2B81" w:rsidRDefault="001A2B81" w:rsidP="001A2B81">
            <w:pPr>
              <w:pStyle w:val="Tabletext"/>
              <w:rPr>
                <w:rStyle w:val="Hyperlink"/>
              </w:rPr>
            </w:pPr>
          </w:p>
          <w:p w14:paraId="4F1ECAD1" w14:textId="2F8F0530" w:rsidR="001A2B81" w:rsidRPr="009711BF" w:rsidRDefault="001A2B81" w:rsidP="001A2B81">
            <w:pPr>
              <w:pStyle w:val="Tabletext"/>
              <w:rPr>
                <w:rStyle w:val="Hyperlink"/>
              </w:rPr>
            </w:pPr>
          </w:p>
        </w:tc>
      </w:tr>
      <w:tr w:rsidR="001A2B81" w:rsidRPr="00C92280" w14:paraId="5B885CB6" w14:textId="77777777" w:rsidTr="00641E12">
        <w:trPr>
          <w:trHeight w:val="284"/>
        </w:trPr>
        <w:tc>
          <w:tcPr>
            <w:tcW w:w="313" w:type="pct"/>
          </w:tcPr>
          <w:p w14:paraId="70F6604B" w14:textId="357DF291" w:rsidR="001A2B81" w:rsidRPr="0088696C" w:rsidRDefault="001A2B81" w:rsidP="001A2B81">
            <w:pPr>
              <w:pStyle w:val="Tabletext"/>
            </w:pPr>
            <w:r w:rsidRPr="00D20AFB">
              <w:t>5</w:t>
            </w:r>
            <w:r w:rsidR="00E502D3">
              <w:t>2</w:t>
            </w:r>
          </w:p>
        </w:tc>
        <w:tc>
          <w:tcPr>
            <w:tcW w:w="805" w:type="pct"/>
          </w:tcPr>
          <w:p w14:paraId="36D9217F" w14:textId="6D07645E" w:rsidR="001A2B81" w:rsidRDefault="001A2B81" w:rsidP="001A2B81">
            <w:pPr>
              <w:pStyle w:val="Tabletext"/>
            </w:pPr>
            <w:r>
              <w:t>National Joint Registry</w:t>
            </w:r>
          </w:p>
        </w:tc>
        <w:tc>
          <w:tcPr>
            <w:tcW w:w="0" w:type="auto"/>
          </w:tcPr>
          <w:p w14:paraId="34982438" w14:textId="57B2B932" w:rsidR="001A2B81" w:rsidRPr="001960ED" w:rsidRDefault="001A2B81" w:rsidP="001A2B81">
            <w:pPr>
              <w:pStyle w:val="Tabletext"/>
            </w:pPr>
            <w:r>
              <w:rPr>
                <w:b/>
                <w:bCs/>
              </w:rPr>
              <w:t xml:space="preserve">Additional areas – implants: </w:t>
            </w:r>
            <w:r w:rsidRPr="001960ED">
              <w:t>2</w:t>
            </w:r>
          </w:p>
          <w:p w14:paraId="42E6CF8A" w14:textId="4BB23CE7" w:rsidR="001A2B81" w:rsidRDefault="001A2B81" w:rsidP="001A2B81">
            <w:pPr>
              <w:pStyle w:val="Tabletext"/>
              <w:rPr>
                <w:b/>
                <w:bCs/>
              </w:rPr>
            </w:pPr>
            <w:r w:rsidRPr="001960ED">
              <w:lastRenderedPageBreak/>
              <w:t>ODEP rated prostheses should be chosen to ensure that implant survival rates are optimised.</w:t>
            </w:r>
          </w:p>
        </w:tc>
        <w:tc>
          <w:tcPr>
            <w:tcW w:w="1155" w:type="pct"/>
          </w:tcPr>
          <w:p w14:paraId="18F592A0" w14:textId="00FE3D25" w:rsidR="001A2B81" w:rsidRDefault="001A2B81" w:rsidP="001A2B81">
            <w:pPr>
              <w:pStyle w:val="Tabletext"/>
              <w:rPr>
                <w:rFonts w:cs="Arial"/>
                <w:szCs w:val="22"/>
              </w:rPr>
            </w:pPr>
            <w:r w:rsidRPr="005E425F">
              <w:rPr>
                <w:rFonts w:cs="Arial"/>
                <w:szCs w:val="22"/>
              </w:rPr>
              <w:lastRenderedPageBreak/>
              <w:t xml:space="preserve">Use of ODEP rated implants remains variable with some surgeons and units achieving this </w:t>
            </w:r>
            <w:r w:rsidRPr="005E425F">
              <w:rPr>
                <w:rFonts w:cs="Arial"/>
                <w:szCs w:val="22"/>
              </w:rPr>
              <w:lastRenderedPageBreak/>
              <w:t>for 100% of cases, and others demonstrating much lower results. Although reasons for implants not having a rating are various – including implants that are new to market or part of a clinical trial –it should be possible to identify and reduce variation through targeted quality improvement.</w:t>
            </w:r>
          </w:p>
          <w:p w14:paraId="347C6838" w14:textId="77777777" w:rsidR="001A2B81" w:rsidRDefault="001A2B81" w:rsidP="001A2B81">
            <w:pPr>
              <w:pStyle w:val="Tabletext"/>
              <w:rPr>
                <w:rFonts w:cs="Arial"/>
                <w:szCs w:val="22"/>
              </w:rPr>
            </w:pPr>
          </w:p>
          <w:p w14:paraId="55CF57BE" w14:textId="165E56FD" w:rsidR="001A2B81" w:rsidRPr="002615B3" w:rsidRDefault="001A2B81" w:rsidP="001A2B81">
            <w:pPr>
              <w:pStyle w:val="Tabletext"/>
              <w:rPr>
                <w:rFonts w:cs="Arial"/>
                <w:b/>
                <w:bCs/>
                <w:szCs w:val="22"/>
              </w:rPr>
            </w:pPr>
            <w:r w:rsidRPr="001960ED">
              <w:rPr>
                <w:rFonts w:cs="Arial"/>
                <w:b/>
                <w:bCs/>
                <w:szCs w:val="22"/>
              </w:rPr>
              <w:t>Why is this important?</w:t>
            </w:r>
          </w:p>
          <w:p w14:paraId="2BB4C923" w14:textId="6F7FFE09" w:rsidR="001A2B81" w:rsidRPr="00617F76" w:rsidRDefault="001A2B81" w:rsidP="001A2B81">
            <w:pPr>
              <w:pStyle w:val="Tabletext"/>
              <w:rPr>
                <w:rFonts w:cs="Arial"/>
                <w:szCs w:val="22"/>
              </w:rPr>
            </w:pPr>
            <w:r w:rsidRPr="005E425F">
              <w:rPr>
                <w:rFonts w:cs="Arial"/>
                <w:szCs w:val="22"/>
              </w:rPr>
              <w:t>Implant choice is a major factor in the outcome of joint replacement surgery. ODEP provides objective ratings of hip, knee and should replacement prostheses allowing surgeons and hospitals to make informed choices about the implants they use.</w:t>
            </w:r>
          </w:p>
        </w:tc>
        <w:tc>
          <w:tcPr>
            <w:tcW w:w="2035" w:type="pct"/>
          </w:tcPr>
          <w:p w14:paraId="5194FBAF" w14:textId="77777777" w:rsidR="001A2B81" w:rsidRDefault="001A2B81" w:rsidP="001A2B81">
            <w:pPr>
              <w:pStyle w:val="Tabletext"/>
            </w:pPr>
          </w:p>
        </w:tc>
      </w:tr>
      <w:tr w:rsidR="001A2B81" w:rsidRPr="00C92280" w14:paraId="4E134B64" w14:textId="77777777" w:rsidTr="00641E12">
        <w:trPr>
          <w:trHeight w:val="284"/>
        </w:trPr>
        <w:tc>
          <w:tcPr>
            <w:tcW w:w="313" w:type="pct"/>
          </w:tcPr>
          <w:p w14:paraId="378A9170" w14:textId="1E782AB1" w:rsidR="001A2B81" w:rsidRPr="0088696C" w:rsidRDefault="001A2B81" w:rsidP="001A2B81">
            <w:pPr>
              <w:pStyle w:val="Tabletext"/>
            </w:pPr>
            <w:r>
              <w:t>5</w:t>
            </w:r>
            <w:r w:rsidR="00E502D3">
              <w:t>3</w:t>
            </w:r>
          </w:p>
        </w:tc>
        <w:tc>
          <w:tcPr>
            <w:tcW w:w="805" w:type="pct"/>
          </w:tcPr>
          <w:p w14:paraId="59FA3E97" w14:textId="2661EE05" w:rsidR="001A2B81" w:rsidRPr="001960ED" w:rsidRDefault="001A2B81" w:rsidP="001A2B81">
            <w:pPr>
              <w:pStyle w:val="Tabletext"/>
            </w:pPr>
            <w:r w:rsidRPr="001960ED">
              <w:t>Arthroplasty Care Practitioners’ Association</w:t>
            </w:r>
          </w:p>
        </w:tc>
        <w:tc>
          <w:tcPr>
            <w:tcW w:w="0" w:type="auto"/>
          </w:tcPr>
          <w:p w14:paraId="70401CF1" w14:textId="2D36E327" w:rsidR="001A2B81" w:rsidRPr="00C2010A" w:rsidRDefault="001A2B81" w:rsidP="001A2B81">
            <w:pPr>
              <w:pStyle w:val="Tabletext"/>
            </w:pPr>
            <w:r w:rsidRPr="001960ED">
              <w:rPr>
                <w:b/>
                <w:bCs/>
              </w:rPr>
              <w:t>Additional areas – new guidance:</w:t>
            </w:r>
            <w:r>
              <w:rPr>
                <w:b/>
                <w:bCs/>
              </w:rPr>
              <w:t xml:space="preserve"> </w:t>
            </w:r>
            <w:r w:rsidRPr="001960ED">
              <w:t>1</w:t>
            </w:r>
            <w:r>
              <w:t xml:space="preserve"> </w:t>
            </w:r>
            <w:r w:rsidRPr="001960ED">
              <w:t>PROMS used in long-term care for those with hip and knee arthroplasty</w:t>
            </w:r>
          </w:p>
        </w:tc>
        <w:tc>
          <w:tcPr>
            <w:tcW w:w="1155" w:type="pct"/>
          </w:tcPr>
          <w:p w14:paraId="6EB6BEF1" w14:textId="48F9E9BB" w:rsidR="001A2B81" w:rsidRPr="001960ED" w:rsidRDefault="001A2B81" w:rsidP="001A2B81">
            <w:pPr>
              <w:pStyle w:val="Tabletext"/>
              <w:rPr>
                <w:rFonts w:cs="Arial"/>
                <w:szCs w:val="22"/>
              </w:rPr>
            </w:pPr>
            <w:r w:rsidRPr="001960ED">
              <w:rPr>
                <w:rFonts w:cs="Arial"/>
                <w:szCs w:val="22"/>
              </w:rPr>
              <w:t>In NG157 published in June 2020, it was acknowledged that uncertainty persists over the long-term care of patients with a hip or knee arthroplasty</w:t>
            </w:r>
            <w:proofErr w:type="gramStart"/>
            <w:r w:rsidRPr="001960ED">
              <w:rPr>
                <w:rFonts w:cs="Arial"/>
                <w:szCs w:val="22"/>
              </w:rPr>
              <w:t xml:space="preserve">.  </w:t>
            </w:r>
            <w:proofErr w:type="gramEnd"/>
            <w:r w:rsidRPr="001960ED">
              <w:rPr>
                <w:rFonts w:cs="Arial"/>
                <w:szCs w:val="22"/>
              </w:rPr>
              <w:t>Within that uncertainty, there is no standardisation of which PROMS are best suited to collecting long-term data to inform the quality care of arthroplasty patients</w:t>
            </w:r>
            <w:proofErr w:type="gramStart"/>
            <w:r w:rsidRPr="001960ED">
              <w:rPr>
                <w:rFonts w:cs="Arial"/>
                <w:szCs w:val="22"/>
              </w:rPr>
              <w:t xml:space="preserve">.  </w:t>
            </w:r>
            <w:proofErr w:type="gramEnd"/>
            <w:r w:rsidRPr="001960ED">
              <w:rPr>
                <w:rFonts w:cs="Arial"/>
                <w:szCs w:val="22"/>
              </w:rPr>
              <w:t xml:space="preserve">We </w:t>
            </w:r>
            <w:r w:rsidRPr="001960ED">
              <w:rPr>
                <w:rFonts w:cs="Arial"/>
                <w:szCs w:val="22"/>
              </w:rPr>
              <w:lastRenderedPageBreak/>
              <w:t>are concerned that patient burden (multiple requests to complete surveys and questionnaires) will lead to a decrease in response rates, a problem which is already of concern in collection of the PROMs data pre- and post-operatively and which threatens the quality of any data collected.</w:t>
            </w:r>
          </w:p>
          <w:p w14:paraId="73C8258C" w14:textId="77777777" w:rsidR="001A2B81" w:rsidRPr="001960ED" w:rsidRDefault="001A2B81" w:rsidP="001A2B81">
            <w:pPr>
              <w:pStyle w:val="Tabletext"/>
              <w:rPr>
                <w:rFonts w:cs="Arial"/>
                <w:szCs w:val="22"/>
              </w:rPr>
            </w:pPr>
          </w:p>
          <w:p w14:paraId="66A32D94" w14:textId="36888500" w:rsidR="001A2B81" w:rsidRPr="001960ED" w:rsidRDefault="001A2B81" w:rsidP="001A2B81">
            <w:pPr>
              <w:pStyle w:val="Tabletext"/>
              <w:rPr>
                <w:rFonts w:cs="Arial"/>
                <w:szCs w:val="22"/>
              </w:rPr>
            </w:pPr>
            <w:r w:rsidRPr="001960ED">
              <w:rPr>
                <w:rFonts w:cs="Arial"/>
                <w:szCs w:val="22"/>
              </w:rPr>
              <w:t>NICE guidance for the most effective, least burdensome PROMs for long-term care and recommendations of databases that could be accessed to aggregate the data, perhaps through orthopaedic societies.</w:t>
            </w:r>
          </w:p>
        </w:tc>
        <w:tc>
          <w:tcPr>
            <w:tcW w:w="2035" w:type="pct"/>
          </w:tcPr>
          <w:p w14:paraId="2395DDB4" w14:textId="0DE8DEB5" w:rsidR="001A2B81" w:rsidRDefault="001A2B81" w:rsidP="001A2B81">
            <w:pPr>
              <w:pStyle w:val="Tabletext"/>
            </w:pPr>
            <w:r>
              <w:lastRenderedPageBreak/>
              <w:t>Existing information of wide variety of use of PROMS and intervals at which they are collected can be found through the National PROMS network: audit of current practice – a small sample of orthopaedic units</w:t>
            </w:r>
            <w:proofErr w:type="gramStart"/>
            <w:r>
              <w:t xml:space="preserve">.  </w:t>
            </w:r>
            <w:proofErr w:type="gramEnd"/>
          </w:p>
          <w:p w14:paraId="1D18737D" w14:textId="5B735FEA" w:rsidR="001A2B81" w:rsidRPr="001960ED" w:rsidRDefault="001A2B81" w:rsidP="001A2B81">
            <w:pPr>
              <w:pStyle w:val="Tabletext"/>
            </w:pPr>
            <w:r>
              <w:t>https://promsnetwork.co.uk/working_group_2/</w:t>
            </w:r>
          </w:p>
        </w:tc>
      </w:tr>
      <w:tr w:rsidR="001A2B81" w:rsidRPr="00C92280" w14:paraId="13E46155" w14:textId="77777777" w:rsidTr="00641E12">
        <w:trPr>
          <w:trHeight w:val="284"/>
        </w:trPr>
        <w:tc>
          <w:tcPr>
            <w:tcW w:w="313" w:type="pct"/>
          </w:tcPr>
          <w:p w14:paraId="0C9D1AD1" w14:textId="489980A8" w:rsidR="001A2B81" w:rsidRPr="0088696C" w:rsidRDefault="001A2B81" w:rsidP="001A2B81">
            <w:pPr>
              <w:pStyle w:val="Tabletext"/>
            </w:pPr>
            <w:r>
              <w:t>5</w:t>
            </w:r>
            <w:r w:rsidR="00E502D3">
              <w:t>4</w:t>
            </w:r>
          </w:p>
        </w:tc>
        <w:tc>
          <w:tcPr>
            <w:tcW w:w="805" w:type="pct"/>
          </w:tcPr>
          <w:p w14:paraId="021A6E1D" w14:textId="05E2DE7E" w:rsidR="001A2B81" w:rsidRDefault="001A2B81" w:rsidP="001A2B81">
            <w:pPr>
              <w:pStyle w:val="Tabletext"/>
            </w:pPr>
            <w:r w:rsidRPr="001960ED">
              <w:t>Arthroplasty Care Practitioners’ Association</w:t>
            </w:r>
          </w:p>
        </w:tc>
        <w:tc>
          <w:tcPr>
            <w:tcW w:w="0" w:type="auto"/>
          </w:tcPr>
          <w:p w14:paraId="4AFF0C20" w14:textId="52760040" w:rsidR="001A2B81" w:rsidRPr="00C2010A" w:rsidRDefault="001A2B81" w:rsidP="001A2B81">
            <w:pPr>
              <w:pStyle w:val="Tabletext"/>
            </w:pPr>
            <w:r>
              <w:rPr>
                <w:b/>
                <w:bCs/>
              </w:rPr>
              <w:t>Additional areas – new guidance:</w:t>
            </w:r>
            <w:r>
              <w:t xml:space="preserve"> </w:t>
            </w:r>
            <w:r w:rsidRPr="001960ED">
              <w:t>2</w:t>
            </w:r>
            <w:r w:rsidR="00C2010A">
              <w:t xml:space="preserve"> </w:t>
            </w:r>
            <w:r w:rsidRPr="001960ED">
              <w:t>The routine application of a tourniquet in Total Knee Arthroplasty</w:t>
            </w:r>
            <w:r>
              <w:rPr>
                <w:b/>
                <w:bCs/>
              </w:rPr>
              <w:t xml:space="preserve"> </w:t>
            </w:r>
          </w:p>
        </w:tc>
        <w:tc>
          <w:tcPr>
            <w:tcW w:w="1155" w:type="pct"/>
          </w:tcPr>
          <w:p w14:paraId="0639B38A" w14:textId="76B28FF5" w:rsidR="001A2B81" w:rsidRPr="001960ED" w:rsidRDefault="001A2B81" w:rsidP="001A2B81">
            <w:pPr>
              <w:pStyle w:val="Tabletext"/>
              <w:rPr>
                <w:rFonts w:cs="Arial"/>
                <w:szCs w:val="22"/>
              </w:rPr>
            </w:pPr>
            <w:r w:rsidRPr="001960ED">
              <w:rPr>
                <w:rFonts w:cs="Arial"/>
                <w:szCs w:val="22"/>
              </w:rPr>
              <w:t>A recent Cochrane review found that the use of a tourniquet in total knee arthroplasty confers some benefit for the surgical procedure but is associated with an increase in adverse effects for the patient.</w:t>
            </w:r>
          </w:p>
          <w:p w14:paraId="6EA97B1D" w14:textId="550FD1E2" w:rsidR="001A2B81" w:rsidRPr="001960ED" w:rsidRDefault="00751008" w:rsidP="001A2B81">
            <w:pPr>
              <w:pStyle w:val="Tabletext"/>
              <w:rPr>
                <w:rFonts w:cs="Arial"/>
                <w:szCs w:val="22"/>
              </w:rPr>
            </w:pPr>
            <w:hyperlink r:id="rId129" w:history="1">
              <w:r w:rsidR="001A2B81" w:rsidRPr="00FE4DB7">
                <w:rPr>
                  <w:rStyle w:val="Hyperlink"/>
                  <w:rFonts w:cs="Arial"/>
                  <w:szCs w:val="22"/>
                </w:rPr>
                <w:t>Tourniquet use for knee replacement surgery - Ahmed, I - 2020 | Cochrane Library</w:t>
              </w:r>
            </w:hyperlink>
          </w:p>
          <w:p w14:paraId="76E4FA66" w14:textId="77777777" w:rsidR="001A2B81" w:rsidRPr="001960ED" w:rsidRDefault="001A2B81" w:rsidP="001A2B81">
            <w:pPr>
              <w:pStyle w:val="Tabletext"/>
              <w:rPr>
                <w:rFonts w:cs="Arial"/>
                <w:szCs w:val="22"/>
              </w:rPr>
            </w:pPr>
          </w:p>
          <w:p w14:paraId="35810D4E" w14:textId="106E68AE" w:rsidR="001A2B81" w:rsidRPr="00617F76" w:rsidRDefault="001A2B81" w:rsidP="001A2B81">
            <w:pPr>
              <w:pStyle w:val="Tabletext"/>
              <w:rPr>
                <w:rFonts w:cs="Arial"/>
                <w:szCs w:val="22"/>
              </w:rPr>
            </w:pPr>
            <w:r w:rsidRPr="001960ED">
              <w:rPr>
                <w:rFonts w:cs="Arial"/>
                <w:szCs w:val="22"/>
              </w:rPr>
              <w:lastRenderedPageBreak/>
              <w:t>Use of tourniquet in routine TKA continues to be debated and guidance for patient safety is needed.</w:t>
            </w:r>
          </w:p>
        </w:tc>
        <w:tc>
          <w:tcPr>
            <w:tcW w:w="2035" w:type="pct"/>
          </w:tcPr>
          <w:p w14:paraId="32E84679" w14:textId="2A448170" w:rsidR="001A2B81" w:rsidRDefault="001A2B81" w:rsidP="001A2B81">
            <w:pPr>
              <w:pStyle w:val="Tabletext"/>
            </w:pPr>
            <w:r w:rsidRPr="001960ED">
              <w:lastRenderedPageBreak/>
              <w:t>Supporting information: Possible use of NJR dataset linked with PROMS to explore early outcomes of tourniquet use.</w:t>
            </w:r>
          </w:p>
        </w:tc>
      </w:tr>
      <w:tr w:rsidR="00765A68" w:rsidRPr="00C92280" w14:paraId="11C821AB" w14:textId="77777777" w:rsidTr="00641E12">
        <w:trPr>
          <w:trHeight w:val="284"/>
        </w:trPr>
        <w:tc>
          <w:tcPr>
            <w:tcW w:w="313" w:type="pct"/>
          </w:tcPr>
          <w:p w14:paraId="783F365D" w14:textId="7210145D" w:rsidR="00765A68" w:rsidRDefault="00765A68" w:rsidP="00765A68">
            <w:pPr>
              <w:pStyle w:val="Tabletext"/>
            </w:pPr>
            <w:r>
              <w:t>5</w:t>
            </w:r>
            <w:r w:rsidR="00E502D3">
              <w:t>5</w:t>
            </w:r>
          </w:p>
        </w:tc>
        <w:tc>
          <w:tcPr>
            <w:tcW w:w="805" w:type="pct"/>
          </w:tcPr>
          <w:p w14:paraId="2C158D77" w14:textId="5336A08B" w:rsidR="00765A68" w:rsidRPr="00776158" w:rsidRDefault="00765A68" w:rsidP="00765A68">
            <w:pPr>
              <w:pStyle w:val="Tabletext"/>
            </w:pPr>
            <w:r>
              <w:t>Bristol Medical School (</w:t>
            </w:r>
            <w:r w:rsidRPr="00495F71">
              <w:t>Musculoskeletal Research Unit)</w:t>
            </w:r>
          </w:p>
        </w:tc>
        <w:tc>
          <w:tcPr>
            <w:tcW w:w="0" w:type="auto"/>
          </w:tcPr>
          <w:p w14:paraId="71B9D620" w14:textId="2D05E80C" w:rsidR="00765A68" w:rsidRPr="00495F71" w:rsidRDefault="00765A68" w:rsidP="00765A68">
            <w:pPr>
              <w:pStyle w:val="Tabletext"/>
            </w:pPr>
            <w:r>
              <w:rPr>
                <w:b/>
                <w:bCs/>
              </w:rPr>
              <w:t>Additional areas -  new guidance:</w:t>
            </w:r>
            <w:r w:rsidRPr="003917AA">
              <w:rPr>
                <w:b/>
                <w:bCs/>
              </w:rPr>
              <w:t xml:space="preserve"> </w:t>
            </w:r>
            <w:r w:rsidRPr="00495F71">
              <w:t>1</w:t>
            </w:r>
          </w:p>
          <w:p w14:paraId="3AD2112D" w14:textId="77777777" w:rsidR="00765A68" w:rsidRPr="00495F71" w:rsidRDefault="00765A68" w:rsidP="00765A68">
            <w:pPr>
              <w:pStyle w:val="Tabletext"/>
            </w:pPr>
            <w:r w:rsidRPr="00495F71">
              <w:t>Pre-surgical preparation for patients</w:t>
            </w:r>
          </w:p>
          <w:p w14:paraId="51E0D57D" w14:textId="77777777" w:rsidR="00765A68" w:rsidRDefault="00765A68" w:rsidP="00765A68">
            <w:pPr>
              <w:pStyle w:val="Tabletext"/>
              <w:rPr>
                <w:b/>
                <w:bCs/>
              </w:rPr>
            </w:pPr>
          </w:p>
        </w:tc>
        <w:tc>
          <w:tcPr>
            <w:tcW w:w="1155" w:type="pct"/>
          </w:tcPr>
          <w:p w14:paraId="27E9C81D" w14:textId="77777777" w:rsidR="00765A68" w:rsidRDefault="00765A68" w:rsidP="00765A68">
            <w:pPr>
              <w:pStyle w:val="Tabletext"/>
            </w:pPr>
            <w:r>
              <w:t>Nearly 100,000 people receive a primary total knee replacement in the UK each year. Although knee replacement provides a good outcome for many people, around 10-34% of people experience problematic long-term pain afterwards.</w:t>
            </w:r>
          </w:p>
          <w:p w14:paraId="4EAEBA87" w14:textId="77777777" w:rsidR="00765A68" w:rsidRPr="00D20AFB" w:rsidRDefault="00765A68" w:rsidP="00765A68">
            <w:pPr>
              <w:pStyle w:val="Tabletext"/>
              <w:rPr>
                <w:b/>
                <w:bCs/>
              </w:rPr>
            </w:pPr>
            <w:r>
              <w:rPr>
                <w:b/>
                <w:bCs/>
              </w:rPr>
              <w:t>Why is this important?</w:t>
            </w:r>
            <w:r w:rsidDel="00106FA0">
              <w:rPr>
                <w:b/>
                <w:bCs/>
              </w:rPr>
              <w:t xml:space="preserve"> </w:t>
            </w:r>
          </w:p>
          <w:p w14:paraId="396AEC49" w14:textId="2036BD83" w:rsidR="00765A68" w:rsidRPr="00D20AFB" w:rsidRDefault="00765A68" w:rsidP="00765A68">
            <w:pPr>
              <w:pStyle w:val="Tabletext"/>
              <w:rPr>
                <w:rFonts w:cs="Arial"/>
                <w:szCs w:val="22"/>
              </w:rPr>
            </w:pPr>
            <w:r>
              <w:t xml:space="preserve">In knee replacement, prehabilitation that only includes physiotherapy has not provided long-term ‘clinically-important’ benefit after surgery in randomised controlled trials. More general prehabilitation is included within care pathways called ‘Enhanced Recovery After Surgery’ (ERAS). In the UK, ERAS was implemented for knee replacement in 2009 and focuses on elements of care such as patient education, attention to fluid intake and intra-operative analgesia, and early postoperative mobilisation. Despite its value in care </w:t>
            </w:r>
            <w:r>
              <w:lastRenderedPageBreak/>
              <w:t>optimisation, ERAS does not target known psychological and behavioural risk factors, associated with post-operative pain and distress. There is a lack of evaluations of other preoperative interventions, such as multimodal pain management, which may improve long-term pain outcomes after TKR.</w:t>
            </w:r>
          </w:p>
        </w:tc>
        <w:tc>
          <w:tcPr>
            <w:tcW w:w="2035" w:type="pct"/>
          </w:tcPr>
          <w:p w14:paraId="6F1116B7" w14:textId="77777777" w:rsidR="00765A68" w:rsidRDefault="00765A68" w:rsidP="00765A68">
            <w:pPr>
              <w:pStyle w:val="Tabletext"/>
            </w:pPr>
            <w:r>
              <w:lastRenderedPageBreak/>
              <w:t>Supporting information</w:t>
            </w:r>
          </w:p>
          <w:p w14:paraId="7DA1594C" w14:textId="77777777" w:rsidR="00765A68" w:rsidRDefault="00765A68" w:rsidP="00765A68">
            <w:pPr>
              <w:pStyle w:val="Tabletext"/>
            </w:pPr>
            <w:r>
              <w:t xml:space="preserve">Dennis J, </w:t>
            </w:r>
            <w:proofErr w:type="spellStart"/>
            <w:r>
              <w:t>Wylde</w:t>
            </w:r>
            <w:proofErr w:type="spellEnd"/>
            <w:r>
              <w:t xml:space="preserve"> V, </w:t>
            </w:r>
            <w:proofErr w:type="spellStart"/>
            <w:r>
              <w:t>Gooberman</w:t>
            </w:r>
            <w:proofErr w:type="spellEnd"/>
            <w:r>
              <w:t xml:space="preserve">-Hill R, </w:t>
            </w:r>
            <w:proofErr w:type="spellStart"/>
            <w:r>
              <w:t>Blom</w:t>
            </w:r>
            <w:proofErr w:type="spellEnd"/>
            <w:r>
              <w:t xml:space="preserve"> AW, Beswick AD. Effects of presurgical interventions on chronic pain after total knee replacement: a systematic review and meta-analysis of randomised controlled trials. BMJ Open. 2020;10(1):e033248.</w:t>
            </w:r>
          </w:p>
          <w:p w14:paraId="31EBAB53" w14:textId="77777777" w:rsidR="00765A68" w:rsidRDefault="00765A68" w:rsidP="00765A68">
            <w:pPr>
              <w:pStyle w:val="Tabletext"/>
            </w:pPr>
          </w:p>
          <w:p w14:paraId="55F7781F" w14:textId="39186C97" w:rsidR="00765A68" w:rsidRPr="0088215F" w:rsidRDefault="00765A68" w:rsidP="00765A68">
            <w:pPr>
              <w:pStyle w:val="Tabletext"/>
            </w:pPr>
            <w:r>
              <w:t xml:space="preserve">Whale K, </w:t>
            </w:r>
            <w:proofErr w:type="spellStart"/>
            <w:r>
              <w:t>Wylde</w:t>
            </w:r>
            <w:proofErr w:type="spellEnd"/>
            <w:r>
              <w:t xml:space="preserve"> V, Beswick A, Rathbone J, </w:t>
            </w:r>
            <w:proofErr w:type="spellStart"/>
            <w:r>
              <w:t>Vedhara</w:t>
            </w:r>
            <w:proofErr w:type="spellEnd"/>
            <w:r>
              <w:t xml:space="preserve"> K, </w:t>
            </w:r>
            <w:proofErr w:type="spellStart"/>
            <w:r>
              <w:t>Gooberman</w:t>
            </w:r>
            <w:proofErr w:type="spellEnd"/>
            <w:r>
              <w:t>-Hill R. The effectiveness and reporting standards of psychological interventions for improving short and long-term pain outcomes after total knee replacement: a systematic review. BMJ Open, 2019; 9(12):e029742.</w:t>
            </w:r>
          </w:p>
        </w:tc>
      </w:tr>
      <w:tr w:rsidR="00765A68" w:rsidRPr="00C92280" w14:paraId="35BE339F" w14:textId="77777777" w:rsidTr="00641E12">
        <w:trPr>
          <w:trHeight w:val="284"/>
        </w:trPr>
        <w:tc>
          <w:tcPr>
            <w:tcW w:w="313" w:type="pct"/>
          </w:tcPr>
          <w:p w14:paraId="6E9B213E" w14:textId="4B0D5759" w:rsidR="00765A68" w:rsidRPr="0088696C" w:rsidRDefault="00765A68" w:rsidP="00765A68">
            <w:pPr>
              <w:pStyle w:val="Tabletext"/>
            </w:pPr>
            <w:r>
              <w:t>5</w:t>
            </w:r>
            <w:r w:rsidR="00E502D3">
              <w:t>6</w:t>
            </w:r>
          </w:p>
        </w:tc>
        <w:tc>
          <w:tcPr>
            <w:tcW w:w="805" w:type="pct"/>
          </w:tcPr>
          <w:p w14:paraId="505736A4" w14:textId="5E230E45" w:rsidR="00765A68" w:rsidRDefault="00765A68" w:rsidP="00765A68">
            <w:pPr>
              <w:pStyle w:val="Tabletext"/>
            </w:pPr>
            <w:r w:rsidRPr="00776158">
              <w:t>Bristol Medical School (Musculoskeletal Research Unit)</w:t>
            </w:r>
          </w:p>
        </w:tc>
        <w:tc>
          <w:tcPr>
            <w:tcW w:w="0" w:type="auto"/>
          </w:tcPr>
          <w:p w14:paraId="3CD819CE" w14:textId="6E1B5544" w:rsidR="00765A68" w:rsidRPr="00CE246C" w:rsidRDefault="00765A68" w:rsidP="00765A68">
            <w:pPr>
              <w:pStyle w:val="Tabletext"/>
              <w:rPr>
                <w:b/>
                <w:bCs/>
              </w:rPr>
            </w:pPr>
            <w:r>
              <w:rPr>
                <w:b/>
                <w:bCs/>
              </w:rPr>
              <w:t xml:space="preserve">Additional areas – new guidance: </w:t>
            </w:r>
            <w:r w:rsidRPr="00CE246C">
              <w:t>3</w:t>
            </w:r>
            <w:r>
              <w:t xml:space="preserve"> </w:t>
            </w:r>
            <w:r w:rsidRPr="00CE246C">
              <w:t xml:space="preserve">Utility of fracture risk assessment at the time of elective joint replacement to reduce risk of peri-prosthetic fracture (&gt;12 months) </w:t>
            </w:r>
            <w:proofErr w:type="spellStart"/>
            <w:r w:rsidRPr="00CE246C">
              <w:t>post surgery</w:t>
            </w:r>
            <w:proofErr w:type="spellEnd"/>
          </w:p>
        </w:tc>
        <w:tc>
          <w:tcPr>
            <w:tcW w:w="1155" w:type="pct"/>
          </w:tcPr>
          <w:p w14:paraId="666D8C23" w14:textId="72061F70" w:rsidR="00765A68" w:rsidRPr="00D20AFB" w:rsidRDefault="00765A68" w:rsidP="00765A68">
            <w:pPr>
              <w:pStyle w:val="Tabletext"/>
              <w:rPr>
                <w:rFonts w:cs="Arial"/>
                <w:szCs w:val="22"/>
              </w:rPr>
            </w:pPr>
            <w:r w:rsidRPr="00D20AFB">
              <w:rPr>
                <w:rFonts w:cs="Arial"/>
                <w:szCs w:val="22"/>
              </w:rPr>
              <w:t xml:space="preserve">To reduce fracture risk. </w:t>
            </w:r>
            <w:r>
              <w:rPr>
                <w:rFonts w:cs="Arial"/>
                <w:szCs w:val="22"/>
              </w:rPr>
              <w:br/>
            </w:r>
          </w:p>
          <w:p w14:paraId="73364169" w14:textId="64585294" w:rsidR="00765A68" w:rsidRDefault="00765A68" w:rsidP="00765A68">
            <w:pPr>
              <w:pStyle w:val="Tabletext"/>
              <w:rPr>
                <w:rFonts w:cs="Arial"/>
                <w:szCs w:val="22"/>
              </w:rPr>
            </w:pPr>
            <w:r w:rsidRPr="00D20AFB">
              <w:rPr>
                <w:rFonts w:cs="Arial"/>
                <w:szCs w:val="22"/>
              </w:rPr>
              <w:t>Hip fractures account for greatest spend for NHS after stroke care, so they are worth stopping</w:t>
            </w:r>
          </w:p>
          <w:p w14:paraId="2B64E649" w14:textId="58E35549" w:rsidR="00765A68" w:rsidRDefault="00765A68" w:rsidP="00765A68">
            <w:pPr>
              <w:pStyle w:val="Tabletext"/>
              <w:rPr>
                <w:rFonts w:cs="Arial"/>
                <w:szCs w:val="22"/>
              </w:rPr>
            </w:pPr>
          </w:p>
          <w:p w14:paraId="244BB866" w14:textId="62AC307C" w:rsidR="00765A68" w:rsidRPr="00D20AFB" w:rsidRDefault="00765A68" w:rsidP="00765A68">
            <w:pPr>
              <w:pStyle w:val="Tabletext"/>
              <w:rPr>
                <w:rFonts w:cs="Arial"/>
                <w:b/>
                <w:bCs/>
                <w:szCs w:val="22"/>
              </w:rPr>
            </w:pPr>
            <w:r>
              <w:rPr>
                <w:rFonts w:cs="Arial"/>
                <w:b/>
                <w:bCs/>
                <w:szCs w:val="22"/>
              </w:rPr>
              <w:t>Why is this important?</w:t>
            </w:r>
          </w:p>
          <w:p w14:paraId="4962C0B6" w14:textId="241741CE" w:rsidR="00765A68" w:rsidRPr="001960ED" w:rsidRDefault="00765A68" w:rsidP="00765A68">
            <w:pPr>
              <w:pStyle w:val="Tabletext"/>
              <w:rPr>
                <w:rFonts w:cs="Arial"/>
                <w:szCs w:val="22"/>
              </w:rPr>
            </w:pPr>
            <w:r w:rsidRPr="0088215F">
              <w:rPr>
                <w:rFonts w:cs="Arial"/>
                <w:szCs w:val="22"/>
              </w:rPr>
              <w:t>Because many people have total hip replacement and total knee replacement, and these are the same population who have fractures 10 years later, and so it is a good time to assess fracture risk. and there are tools eg FRAX (endorsed by NICE) for doing just that</w:t>
            </w:r>
          </w:p>
        </w:tc>
        <w:tc>
          <w:tcPr>
            <w:tcW w:w="2035" w:type="pct"/>
          </w:tcPr>
          <w:p w14:paraId="6C87EDE4" w14:textId="217DB7A3" w:rsidR="00765A68" w:rsidRPr="001960ED" w:rsidRDefault="00765A68" w:rsidP="00765A68">
            <w:pPr>
              <w:pStyle w:val="Tabletext"/>
            </w:pPr>
            <w:r w:rsidRPr="0088215F">
              <w:t>FRAX</w:t>
            </w:r>
          </w:p>
        </w:tc>
      </w:tr>
      <w:tr w:rsidR="00765A68" w:rsidRPr="00C92280" w14:paraId="5CF2BD29" w14:textId="77777777" w:rsidTr="00641E12">
        <w:trPr>
          <w:trHeight w:val="284"/>
        </w:trPr>
        <w:tc>
          <w:tcPr>
            <w:tcW w:w="313" w:type="pct"/>
          </w:tcPr>
          <w:p w14:paraId="65F00B74" w14:textId="087C10DD" w:rsidR="00765A68" w:rsidRPr="00D20AFB" w:rsidRDefault="00765A68" w:rsidP="00765A68">
            <w:pPr>
              <w:pStyle w:val="Tabletext"/>
            </w:pPr>
            <w:r w:rsidRPr="00D20AFB">
              <w:t>5</w:t>
            </w:r>
            <w:r w:rsidR="00E502D3">
              <w:t>7</w:t>
            </w:r>
          </w:p>
        </w:tc>
        <w:tc>
          <w:tcPr>
            <w:tcW w:w="805" w:type="pct"/>
          </w:tcPr>
          <w:p w14:paraId="44F44E9C" w14:textId="641B6207" w:rsidR="00765A68" w:rsidRDefault="00765A68" w:rsidP="00765A68">
            <w:pPr>
              <w:pStyle w:val="Tabletext"/>
            </w:pPr>
            <w:r>
              <w:t>Connect Health</w:t>
            </w:r>
          </w:p>
        </w:tc>
        <w:tc>
          <w:tcPr>
            <w:tcW w:w="0" w:type="auto"/>
          </w:tcPr>
          <w:p w14:paraId="6B789EF8" w14:textId="58ACBF08" w:rsidR="00765A68" w:rsidRDefault="00765A68" w:rsidP="00765A68">
            <w:pPr>
              <w:pStyle w:val="Tabletext"/>
              <w:rPr>
                <w:b/>
                <w:bCs/>
              </w:rPr>
            </w:pPr>
            <w:r w:rsidRPr="001960ED">
              <w:rPr>
                <w:b/>
                <w:bCs/>
              </w:rPr>
              <w:t>Additional areas – new guidance:</w:t>
            </w:r>
            <w:r>
              <w:rPr>
                <w:b/>
                <w:bCs/>
              </w:rPr>
              <w:t xml:space="preserve"> </w:t>
            </w:r>
            <w:r w:rsidRPr="001960ED">
              <w:t>4</w:t>
            </w:r>
          </w:p>
        </w:tc>
        <w:tc>
          <w:tcPr>
            <w:tcW w:w="1155" w:type="pct"/>
          </w:tcPr>
          <w:p w14:paraId="0D778A4E" w14:textId="46C2252F" w:rsidR="00765A68" w:rsidRPr="00617F76" w:rsidRDefault="00765A68" w:rsidP="00765A68">
            <w:pPr>
              <w:pStyle w:val="Tabletext"/>
              <w:rPr>
                <w:rFonts w:cs="Arial"/>
                <w:szCs w:val="22"/>
              </w:rPr>
            </w:pPr>
            <w:r w:rsidRPr="001960ED">
              <w:rPr>
                <w:rFonts w:cs="Arial"/>
                <w:szCs w:val="22"/>
              </w:rPr>
              <w:t>Guidance on how post-operative rehabilitation should be virtual by default</w:t>
            </w:r>
          </w:p>
        </w:tc>
        <w:tc>
          <w:tcPr>
            <w:tcW w:w="2035" w:type="pct"/>
          </w:tcPr>
          <w:p w14:paraId="3E018FB4" w14:textId="1772E305" w:rsidR="00765A68" w:rsidRDefault="00765A68" w:rsidP="00765A68">
            <w:pPr>
              <w:pStyle w:val="Tabletext"/>
            </w:pPr>
            <w:r w:rsidRPr="001960ED">
              <w:t xml:space="preserve">COVID has seen an increase in virtual rehab options however, the pandemic experience has the opportunity to continue digital use but also the risk to default to previous care models. This previous recommendation has been hard </w:t>
            </w:r>
            <w:r w:rsidRPr="001960ED">
              <w:lastRenderedPageBreak/>
              <w:t>to implement due to stakeholder perception that face-to-face is the gold standard, further support from NICE to aid implementation will be welcomed.</w:t>
            </w:r>
          </w:p>
        </w:tc>
      </w:tr>
      <w:tr w:rsidR="00765A68" w:rsidRPr="00C92280" w14:paraId="05C7B98B" w14:textId="77777777" w:rsidTr="00641E12">
        <w:trPr>
          <w:trHeight w:val="284"/>
        </w:trPr>
        <w:tc>
          <w:tcPr>
            <w:tcW w:w="313" w:type="pct"/>
          </w:tcPr>
          <w:p w14:paraId="03A4746E" w14:textId="7A5538C4" w:rsidR="00765A68" w:rsidRPr="00D20AFB" w:rsidRDefault="00765A68" w:rsidP="00765A68">
            <w:pPr>
              <w:pStyle w:val="Tabletext"/>
            </w:pPr>
            <w:r w:rsidRPr="00D20AFB">
              <w:lastRenderedPageBreak/>
              <w:t>5</w:t>
            </w:r>
            <w:r w:rsidR="00E502D3">
              <w:t>8</w:t>
            </w:r>
          </w:p>
        </w:tc>
        <w:tc>
          <w:tcPr>
            <w:tcW w:w="805" w:type="pct"/>
          </w:tcPr>
          <w:p w14:paraId="57134786" w14:textId="28E451F1" w:rsidR="00765A68" w:rsidRDefault="00765A68" w:rsidP="00765A68">
            <w:pPr>
              <w:pStyle w:val="Tabletext"/>
            </w:pPr>
            <w:r>
              <w:t>Connect Health</w:t>
            </w:r>
          </w:p>
        </w:tc>
        <w:tc>
          <w:tcPr>
            <w:tcW w:w="0" w:type="auto"/>
          </w:tcPr>
          <w:p w14:paraId="19ABB5ED" w14:textId="47EB2317" w:rsidR="00765A68" w:rsidRDefault="00765A68" w:rsidP="00765A68">
            <w:pPr>
              <w:pStyle w:val="Tabletext"/>
              <w:rPr>
                <w:b/>
                <w:bCs/>
              </w:rPr>
            </w:pPr>
            <w:r w:rsidRPr="001960ED">
              <w:rPr>
                <w:b/>
                <w:bCs/>
              </w:rPr>
              <w:t>Additional areas – new guidance:</w:t>
            </w:r>
            <w:r>
              <w:rPr>
                <w:b/>
                <w:bCs/>
              </w:rPr>
              <w:t xml:space="preserve"> </w:t>
            </w:r>
            <w:r>
              <w:t xml:space="preserve">Additional areas of emergent practice </w:t>
            </w:r>
          </w:p>
        </w:tc>
        <w:tc>
          <w:tcPr>
            <w:tcW w:w="1155" w:type="pct"/>
          </w:tcPr>
          <w:p w14:paraId="6B6EFB32" w14:textId="44EB1E95" w:rsidR="00765A68" w:rsidRDefault="00765A68" w:rsidP="00765A68">
            <w:pPr>
              <w:pStyle w:val="Tabletext"/>
              <w:rPr>
                <w:rFonts w:cs="Arial"/>
                <w:szCs w:val="22"/>
              </w:rPr>
            </w:pPr>
            <w:r w:rsidRPr="0030499B">
              <w:rPr>
                <w:rFonts w:cs="Arial"/>
                <w:szCs w:val="22"/>
              </w:rPr>
              <w:t>Group consultations for pre-referral; post-operative rehabilitation.</w:t>
            </w:r>
          </w:p>
        </w:tc>
        <w:tc>
          <w:tcPr>
            <w:tcW w:w="2035" w:type="pct"/>
          </w:tcPr>
          <w:p w14:paraId="1BA78C8D" w14:textId="288E3709" w:rsidR="00765A68" w:rsidRDefault="00765A68" w:rsidP="00765A68">
            <w:pPr>
              <w:pStyle w:val="Tabletext"/>
            </w:pPr>
            <w:r w:rsidRPr="0030499B">
              <w:t>Evidence these work well in other LTCs, pilots and evaluations ongoing in pockets, a recommendation to support or challenge ongoing evaluation welcomed.</w:t>
            </w:r>
          </w:p>
        </w:tc>
      </w:tr>
      <w:tr w:rsidR="00765A68" w:rsidRPr="00C92280" w14:paraId="0353181F" w14:textId="77777777" w:rsidTr="00641E12">
        <w:trPr>
          <w:trHeight w:val="284"/>
        </w:trPr>
        <w:tc>
          <w:tcPr>
            <w:tcW w:w="313" w:type="pct"/>
          </w:tcPr>
          <w:p w14:paraId="42B6EB5C" w14:textId="5F4A1FC2" w:rsidR="00765A68" w:rsidRPr="00D20AFB" w:rsidRDefault="00E502D3" w:rsidP="00765A68">
            <w:pPr>
              <w:pStyle w:val="Tabletext"/>
            </w:pPr>
            <w:r>
              <w:t>59</w:t>
            </w:r>
          </w:p>
        </w:tc>
        <w:tc>
          <w:tcPr>
            <w:tcW w:w="805" w:type="pct"/>
          </w:tcPr>
          <w:p w14:paraId="7E6FF97E" w14:textId="7C1318CE" w:rsidR="00765A68" w:rsidRDefault="00765A68" w:rsidP="00765A68">
            <w:pPr>
              <w:pStyle w:val="Tabletext"/>
            </w:pPr>
            <w:r>
              <w:t>NHS England/Improvement – Patient Safety Division</w:t>
            </w:r>
          </w:p>
        </w:tc>
        <w:tc>
          <w:tcPr>
            <w:tcW w:w="0" w:type="auto"/>
          </w:tcPr>
          <w:p w14:paraId="28C34525" w14:textId="29A3094A" w:rsidR="00765A68" w:rsidRPr="00B4515F" w:rsidRDefault="00765A68" w:rsidP="00765A68">
            <w:pPr>
              <w:pStyle w:val="Tabletext"/>
              <w:rPr>
                <w:b/>
                <w:bCs/>
              </w:rPr>
            </w:pPr>
            <w:r>
              <w:rPr>
                <w:b/>
                <w:bCs/>
              </w:rPr>
              <w:t xml:space="preserve">Additional areas – new guidance: </w:t>
            </w:r>
            <w:r w:rsidRPr="006C2B8B">
              <w:t>2</w:t>
            </w:r>
          </w:p>
        </w:tc>
        <w:tc>
          <w:tcPr>
            <w:tcW w:w="1155" w:type="pct"/>
          </w:tcPr>
          <w:p w14:paraId="66406558" w14:textId="7059AA85" w:rsidR="00765A68" w:rsidRPr="00617F76" w:rsidRDefault="00765A68" w:rsidP="00765A68">
            <w:pPr>
              <w:pStyle w:val="Tabletext"/>
              <w:rPr>
                <w:rFonts w:cs="Arial"/>
                <w:szCs w:val="22"/>
              </w:rPr>
            </w:pPr>
            <w:r w:rsidRPr="006C2B8B">
              <w:rPr>
                <w:rFonts w:cs="Arial"/>
                <w:szCs w:val="22"/>
              </w:rPr>
              <w:t>Use of hydrogen peroxide – difference in advice from MHRA and from BOA/BHS.</w:t>
            </w:r>
          </w:p>
        </w:tc>
        <w:tc>
          <w:tcPr>
            <w:tcW w:w="2035" w:type="pct"/>
          </w:tcPr>
          <w:p w14:paraId="15022C85" w14:textId="77777777" w:rsidR="00765A68" w:rsidRPr="006C2B8B" w:rsidRDefault="00765A68" w:rsidP="00765A68">
            <w:pPr>
              <w:pStyle w:val="Tabletext"/>
              <w:rPr>
                <w:rFonts w:cs="Arial"/>
              </w:rPr>
            </w:pPr>
            <w:r w:rsidRPr="006C2B8B">
              <w:rPr>
                <w:rFonts w:cs="Arial"/>
              </w:rPr>
              <w:t xml:space="preserve">MHRA </w:t>
            </w:r>
            <w:hyperlink r:id="rId130" w:history="1">
              <w:r w:rsidRPr="006C2B8B">
                <w:rPr>
                  <w:rStyle w:val="Hyperlink"/>
                  <w:rFonts w:cs="Arial"/>
                  <w:szCs w:val="22"/>
                </w:rPr>
                <w:t>guidance</w:t>
              </w:r>
            </w:hyperlink>
            <w:r w:rsidRPr="006C2B8B">
              <w:rPr>
                <w:rFonts w:cs="Arial"/>
              </w:rPr>
              <w:t xml:space="preserve"> states “Do not use [hydrogen peroxide] in closed body cavities or on deep or large wounds”.</w:t>
            </w:r>
          </w:p>
          <w:p w14:paraId="0F729C5F" w14:textId="77777777" w:rsidR="00765A68" w:rsidRPr="006C2B8B" w:rsidRDefault="00765A68" w:rsidP="00765A68">
            <w:pPr>
              <w:pStyle w:val="Tabletext"/>
              <w:rPr>
                <w:rFonts w:cs="Arial"/>
              </w:rPr>
            </w:pPr>
            <w:r w:rsidRPr="006C2B8B">
              <w:rPr>
                <w:rFonts w:cs="Arial"/>
              </w:rPr>
              <w:t>The British Hip Society (supported by the BOA) state that “In essence we are of the opinion that hydrogen peroxide can be used in the femoral canal during hip replacement surgery as long as it is vented appropriately</w:t>
            </w:r>
            <w:proofErr w:type="gramStart"/>
            <w:r w:rsidRPr="006C2B8B">
              <w:rPr>
                <w:rFonts w:cs="Arial"/>
              </w:rPr>
              <w:t xml:space="preserve">.  </w:t>
            </w:r>
            <w:proofErr w:type="gramEnd"/>
            <w:r w:rsidRPr="006C2B8B">
              <w:rPr>
                <w:rFonts w:cs="Arial"/>
              </w:rPr>
              <w:t>This has been standard practice of centres for many years.”</w:t>
            </w:r>
          </w:p>
          <w:p w14:paraId="4F7CD70E" w14:textId="3AE5A8E0" w:rsidR="00765A68" w:rsidRPr="006C2B8B" w:rsidRDefault="00765A68" w:rsidP="00765A68">
            <w:pPr>
              <w:pStyle w:val="Tabletext"/>
            </w:pPr>
            <w:r w:rsidRPr="006C2B8B">
              <w:rPr>
                <w:rFonts w:cs="Arial"/>
              </w:rPr>
              <w:t xml:space="preserve">The position of the use of hydrogen peroxide in joint replacement needs to be clarified and if it is to be used, then its use should be recorded in the National Joint Registry form. </w:t>
            </w:r>
          </w:p>
        </w:tc>
      </w:tr>
      <w:tr w:rsidR="00765A68" w:rsidRPr="00C92280" w14:paraId="1DB383E4" w14:textId="77777777" w:rsidTr="00641E12">
        <w:trPr>
          <w:trHeight w:val="867"/>
        </w:trPr>
        <w:tc>
          <w:tcPr>
            <w:tcW w:w="313" w:type="pct"/>
          </w:tcPr>
          <w:p w14:paraId="528A184D" w14:textId="5DCD03F5" w:rsidR="00765A68" w:rsidRPr="00D20AFB" w:rsidRDefault="00765A68" w:rsidP="00765A68">
            <w:pPr>
              <w:pStyle w:val="Tabletext"/>
            </w:pPr>
            <w:r>
              <w:t>6</w:t>
            </w:r>
            <w:r w:rsidR="00E502D3">
              <w:t>0</w:t>
            </w:r>
          </w:p>
        </w:tc>
        <w:tc>
          <w:tcPr>
            <w:tcW w:w="805" w:type="pct"/>
          </w:tcPr>
          <w:p w14:paraId="16D3319E" w14:textId="42F89471" w:rsidR="00765A68" w:rsidRDefault="00765A68" w:rsidP="00765A68">
            <w:pPr>
              <w:pStyle w:val="Tabletext"/>
            </w:pPr>
            <w:r>
              <w:t>Connect Health</w:t>
            </w:r>
          </w:p>
        </w:tc>
        <w:tc>
          <w:tcPr>
            <w:tcW w:w="0" w:type="auto"/>
          </w:tcPr>
          <w:p w14:paraId="3F23469A" w14:textId="2BE12E85" w:rsidR="00765A68" w:rsidRDefault="00765A68" w:rsidP="00765A68">
            <w:pPr>
              <w:pStyle w:val="Tabletext"/>
              <w:rPr>
                <w:b/>
                <w:bCs/>
              </w:rPr>
            </w:pPr>
            <w:r w:rsidRPr="00B4515F">
              <w:rPr>
                <w:b/>
                <w:bCs/>
              </w:rPr>
              <w:t xml:space="preserve">Additional areas – referral: </w:t>
            </w:r>
            <w:r>
              <w:t>1</w:t>
            </w:r>
          </w:p>
        </w:tc>
        <w:tc>
          <w:tcPr>
            <w:tcW w:w="1155" w:type="pct"/>
          </w:tcPr>
          <w:p w14:paraId="4758515F" w14:textId="2AA96D4E" w:rsidR="00765A68" w:rsidRPr="00B4515F" w:rsidRDefault="00765A68" w:rsidP="00765A68">
            <w:pPr>
              <w:pStyle w:val="Tabletext"/>
              <w:rPr>
                <w:rFonts w:cs="Arial"/>
                <w:szCs w:val="22"/>
              </w:rPr>
            </w:pPr>
            <w:r w:rsidRPr="00B4515F">
              <w:rPr>
                <w:rFonts w:cs="Arial"/>
                <w:szCs w:val="22"/>
              </w:rPr>
              <w:t>Agreement on criteria for when joint replacements should be considered.</w:t>
            </w:r>
          </w:p>
        </w:tc>
        <w:tc>
          <w:tcPr>
            <w:tcW w:w="2035" w:type="pct"/>
          </w:tcPr>
          <w:p w14:paraId="223671AB" w14:textId="6E0DFD2A" w:rsidR="00765A68" w:rsidRPr="00B4515F" w:rsidRDefault="00765A68" w:rsidP="00765A68">
            <w:pPr>
              <w:pStyle w:val="Tabletext"/>
            </w:pPr>
            <w:r w:rsidRPr="00B4515F">
              <w:t>Various ICSs are developing thresholds for surgical referral which are similar, but variation exists, a consistent steer will minimise a postcode lottery and aid implementation.</w:t>
            </w:r>
          </w:p>
        </w:tc>
      </w:tr>
      <w:tr w:rsidR="00765A68" w:rsidRPr="00C92280" w14:paraId="2459D3EA" w14:textId="77777777" w:rsidTr="00641E12">
        <w:trPr>
          <w:trHeight w:val="1275"/>
        </w:trPr>
        <w:tc>
          <w:tcPr>
            <w:tcW w:w="313" w:type="pct"/>
          </w:tcPr>
          <w:p w14:paraId="754EF7E8" w14:textId="18E776AC" w:rsidR="00765A68" w:rsidRPr="00D20AFB" w:rsidRDefault="00765A68" w:rsidP="00765A68">
            <w:pPr>
              <w:pStyle w:val="Tabletext"/>
            </w:pPr>
            <w:r>
              <w:t>6</w:t>
            </w:r>
            <w:r w:rsidR="00E502D3">
              <w:t>1</w:t>
            </w:r>
          </w:p>
        </w:tc>
        <w:tc>
          <w:tcPr>
            <w:tcW w:w="805" w:type="pct"/>
          </w:tcPr>
          <w:p w14:paraId="7189778A" w14:textId="6B684D11" w:rsidR="00765A68" w:rsidRDefault="00765A68" w:rsidP="00765A68">
            <w:pPr>
              <w:pStyle w:val="Tabletext"/>
            </w:pPr>
            <w:r>
              <w:t>Connect Health</w:t>
            </w:r>
          </w:p>
        </w:tc>
        <w:tc>
          <w:tcPr>
            <w:tcW w:w="0" w:type="auto"/>
          </w:tcPr>
          <w:p w14:paraId="41BBD781" w14:textId="757AED35" w:rsidR="00765A68" w:rsidRPr="00B4515F" w:rsidRDefault="00765A68" w:rsidP="00765A68">
            <w:pPr>
              <w:pStyle w:val="Tabletext"/>
            </w:pPr>
            <w:r>
              <w:rPr>
                <w:b/>
                <w:bCs/>
              </w:rPr>
              <w:t xml:space="preserve">Additional areas – referral: </w:t>
            </w:r>
            <w:r>
              <w:t>2</w:t>
            </w:r>
          </w:p>
        </w:tc>
        <w:tc>
          <w:tcPr>
            <w:tcW w:w="1155" w:type="pct"/>
          </w:tcPr>
          <w:p w14:paraId="5E4738C4" w14:textId="13A678E6" w:rsidR="00765A68" w:rsidRPr="0025406E" w:rsidRDefault="00765A68" w:rsidP="00765A68">
            <w:pPr>
              <w:pStyle w:val="Tabletext"/>
              <w:rPr>
                <w:rFonts w:cs="Arial"/>
                <w:szCs w:val="22"/>
              </w:rPr>
            </w:pPr>
            <w:r w:rsidRPr="00B4515F">
              <w:rPr>
                <w:rFonts w:cs="Arial"/>
                <w:szCs w:val="22"/>
              </w:rPr>
              <w:t>Agreement on where diagnostics should be undertaken in the pathway.</w:t>
            </w:r>
          </w:p>
        </w:tc>
        <w:tc>
          <w:tcPr>
            <w:tcW w:w="2035" w:type="pct"/>
          </w:tcPr>
          <w:p w14:paraId="6D59AD4A" w14:textId="55C8DB54" w:rsidR="00765A68" w:rsidRDefault="00765A68" w:rsidP="00765A68">
            <w:pPr>
              <w:pStyle w:val="Tabletext"/>
            </w:pPr>
            <w:r w:rsidRPr="00B4515F">
              <w:t>As above, diagnostic use in MSK is increasing for knee pain some of this driven by pathway variation – should up to date plain films be undertaken in the community prior to referral, or left with secondary care to arrange and referred without imaging?</w:t>
            </w:r>
          </w:p>
        </w:tc>
      </w:tr>
      <w:tr w:rsidR="00765A68" w:rsidRPr="00C92280" w14:paraId="5F30C479" w14:textId="77777777" w:rsidTr="00641E12">
        <w:trPr>
          <w:trHeight w:val="284"/>
        </w:trPr>
        <w:tc>
          <w:tcPr>
            <w:tcW w:w="313" w:type="pct"/>
          </w:tcPr>
          <w:p w14:paraId="0CD99F34" w14:textId="2BFA9C00" w:rsidR="00765A68" w:rsidRPr="00D20AFB" w:rsidRDefault="00765A68" w:rsidP="00765A68">
            <w:pPr>
              <w:pStyle w:val="Tabletext"/>
            </w:pPr>
            <w:r w:rsidRPr="00D20AFB">
              <w:t>6</w:t>
            </w:r>
            <w:r w:rsidR="00E502D3">
              <w:t>2</w:t>
            </w:r>
          </w:p>
        </w:tc>
        <w:tc>
          <w:tcPr>
            <w:tcW w:w="805" w:type="pct"/>
          </w:tcPr>
          <w:p w14:paraId="13BD53A7" w14:textId="35FBEB3A" w:rsidR="00765A68" w:rsidRDefault="00765A68" w:rsidP="00765A68">
            <w:pPr>
              <w:pStyle w:val="Tabletext"/>
            </w:pPr>
            <w:r>
              <w:t>Connect Health</w:t>
            </w:r>
          </w:p>
        </w:tc>
        <w:tc>
          <w:tcPr>
            <w:tcW w:w="0" w:type="auto"/>
          </w:tcPr>
          <w:p w14:paraId="574272E7" w14:textId="297E9F6F" w:rsidR="00765A68" w:rsidRPr="00B4515F" w:rsidRDefault="00765A68" w:rsidP="00765A68">
            <w:pPr>
              <w:pStyle w:val="Tabletext"/>
            </w:pPr>
            <w:r w:rsidRPr="00B4515F">
              <w:rPr>
                <w:b/>
                <w:bCs/>
              </w:rPr>
              <w:t xml:space="preserve">Additional areas – referral: </w:t>
            </w:r>
            <w:r>
              <w:t>3</w:t>
            </w:r>
          </w:p>
          <w:p w14:paraId="613EE543" w14:textId="77777777" w:rsidR="00765A68" w:rsidRDefault="00765A68" w:rsidP="00765A68">
            <w:pPr>
              <w:pStyle w:val="Tabletext"/>
            </w:pPr>
          </w:p>
        </w:tc>
        <w:tc>
          <w:tcPr>
            <w:tcW w:w="1155" w:type="pct"/>
          </w:tcPr>
          <w:p w14:paraId="44EE3300" w14:textId="08B1E613" w:rsidR="00765A68" w:rsidRPr="0025406E" w:rsidRDefault="00765A68" w:rsidP="00765A68">
            <w:pPr>
              <w:pStyle w:val="Tabletext"/>
              <w:rPr>
                <w:rFonts w:cs="Arial"/>
                <w:szCs w:val="22"/>
              </w:rPr>
            </w:pPr>
            <w:r w:rsidRPr="00B4515F">
              <w:rPr>
                <w:rFonts w:cs="Arial"/>
                <w:szCs w:val="22"/>
              </w:rPr>
              <w:t>Guidance on whether or not BMI of a certain level should or should not prevent referral or procedure.</w:t>
            </w:r>
          </w:p>
        </w:tc>
        <w:tc>
          <w:tcPr>
            <w:tcW w:w="2035" w:type="pct"/>
          </w:tcPr>
          <w:p w14:paraId="012763EA" w14:textId="66E1A07E" w:rsidR="00765A68" w:rsidRDefault="00765A68" w:rsidP="00765A68">
            <w:pPr>
              <w:pStyle w:val="Tabletext"/>
            </w:pPr>
            <w:r w:rsidRPr="00B4515F">
              <w:t>Various ICSs are developing thresholds for surgical referral which are similar, but variation exists, a consistent steer will minimise a postcode lottery and aid implementation as necessary.</w:t>
            </w:r>
          </w:p>
        </w:tc>
      </w:tr>
      <w:tr w:rsidR="00765A68" w:rsidRPr="00C92280" w14:paraId="24835157" w14:textId="77777777" w:rsidTr="00641E12">
        <w:trPr>
          <w:trHeight w:val="284"/>
        </w:trPr>
        <w:tc>
          <w:tcPr>
            <w:tcW w:w="313" w:type="pct"/>
          </w:tcPr>
          <w:p w14:paraId="6E4C7378" w14:textId="4688C298" w:rsidR="00765A68" w:rsidRPr="00D20AFB" w:rsidRDefault="00765A68" w:rsidP="00765A68">
            <w:pPr>
              <w:pStyle w:val="Tabletext"/>
            </w:pPr>
            <w:r w:rsidRPr="00D20AFB">
              <w:lastRenderedPageBreak/>
              <w:t>6</w:t>
            </w:r>
            <w:r w:rsidR="00E502D3">
              <w:t>3</w:t>
            </w:r>
          </w:p>
        </w:tc>
        <w:tc>
          <w:tcPr>
            <w:tcW w:w="805" w:type="pct"/>
          </w:tcPr>
          <w:p w14:paraId="05F6B89C" w14:textId="7571DE85" w:rsidR="00765A68" w:rsidRDefault="00765A68" w:rsidP="00765A68">
            <w:pPr>
              <w:pStyle w:val="Tabletext"/>
            </w:pPr>
            <w:r>
              <w:t>Versus Arthritis</w:t>
            </w:r>
          </w:p>
        </w:tc>
        <w:tc>
          <w:tcPr>
            <w:tcW w:w="0" w:type="auto"/>
          </w:tcPr>
          <w:p w14:paraId="631866C5" w14:textId="2722ED55" w:rsidR="00765A68" w:rsidRPr="009A3DA0" w:rsidRDefault="00765A68" w:rsidP="00765A68">
            <w:pPr>
              <w:pStyle w:val="Tabletext"/>
            </w:pPr>
            <w:r w:rsidRPr="00B4515F">
              <w:rPr>
                <w:b/>
                <w:bCs/>
              </w:rPr>
              <w:t>Additional areas – referral: Key area for quality improvement</w:t>
            </w:r>
            <w:r w:rsidR="009A3DA0">
              <w:rPr>
                <w:b/>
                <w:bCs/>
              </w:rPr>
              <w:t xml:space="preserve">: </w:t>
            </w:r>
            <w:r w:rsidR="009A3DA0">
              <w:t>2</w:t>
            </w:r>
          </w:p>
          <w:p w14:paraId="6514EF71" w14:textId="76A5D41A" w:rsidR="00765A68" w:rsidRPr="00B4515F" w:rsidRDefault="00765A68" w:rsidP="00765A68">
            <w:pPr>
              <w:pStyle w:val="Tabletext"/>
            </w:pPr>
            <w:r w:rsidRPr="00B4515F">
              <w:t>Shared Decision making prior to referral for Joint Replacement Surgery</w:t>
            </w:r>
          </w:p>
        </w:tc>
        <w:tc>
          <w:tcPr>
            <w:tcW w:w="1155" w:type="pct"/>
          </w:tcPr>
          <w:p w14:paraId="77F1810D" w14:textId="5BC232BF" w:rsidR="00765A68" w:rsidRPr="00B4515F" w:rsidRDefault="00765A68" w:rsidP="00765A68">
            <w:pPr>
              <w:pStyle w:val="Tabletext"/>
              <w:rPr>
                <w:rFonts w:cs="Arial"/>
                <w:szCs w:val="22"/>
              </w:rPr>
            </w:pPr>
            <w:r w:rsidRPr="00B4515F">
              <w:rPr>
                <w:rFonts w:cs="Arial"/>
                <w:szCs w:val="22"/>
              </w:rPr>
              <w:t xml:space="preserve">Prior to referral for consideration of joint replacement surgery, people should participate in an informed/shared </w:t>
            </w:r>
            <w:proofErr w:type="gramStart"/>
            <w:r w:rsidRPr="00B4515F">
              <w:rPr>
                <w:rFonts w:cs="Arial"/>
                <w:szCs w:val="22"/>
              </w:rPr>
              <w:t>decision making</w:t>
            </w:r>
            <w:proofErr w:type="gramEnd"/>
            <w:r w:rsidRPr="00B4515F">
              <w:rPr>
                <w:rFonts w:cs="Arial"/>
                <w:szCs w:val="22"/>
              </w:rPr>
              <w:t xml:space="preserve"> process, which is documented in their clinical record and shared at the point of referral.  </w:t>
            </w:r>
          </w:p>
          <w:p w14:paraId="6F32B9C9" w14:textId="4421A240" w:rsidR="00765A68" w:rsidRPr="00B4515F" w:rsidRDefault="00765A68" w:rsidP="00765A68">
            <w:pPr>
              <w:pStyle w:val="Tabletext"/>
              <w:rPr>
                <w:rFonts w:cs="Arial"/>
                <w:szCs w:val="22"/>
              </w:rPr>
            </w:pPr>
            <w:r w:rsidRPr="00B4515F">
              <w:rPr>
                <w:rFonts w:cs="Arial"/>
                <w:szCs w:val="22"/>
              </w:rPr>
              <w:t xml:space="preserve">Support should include local implementation of the Musculoskeletal Decision Support Tools developed by Versus Arthritis in 2020, with funding from NHS England. </w:t>
            </w:r>
          </w:p>
        </w:tc>
        <w:tc>
          <w:tcPr>
            <w:tcW w:w="2035" w:type="pct"/>
          </w:tcPr>
          <w:p w14:paraId="7873FE71" w14:textId="4A28D56E" w:rsidR="00765A68" w:rsidRDefault="00765A68" w:rsidP="00765A68">
            <w:pPr>
              <w:pStyle w:val="Tabletext"/>
            </w:pPr>
            <w:r>
              <w:t xml:space="preserve">The Musculoskeletal Decision Support Tools can be accessed here: </w:t>
            </w:r>
          </w:p>
          <w:p w14:paraId="14F51F01" w14:textId="1B22C39B" w:rsidR="00765A68" w:rsidRDefault="00751008" w:rsidP="00765A68">
            <w:pPr>
              <w:pStyle w:val="Tabletext"/>
            </w:pPr>
            <w:hyperlink r:id="rId131" w:history="1">
              <w:r w:rsidR="00765A68" w:rsidRPr="00CD01D5">
                <w:rPr>
                  <w:rStyle w:val="Hyperlink"/>
                </w:rPr>
                <w:t>https://www.versusarthritis.org/about-arthritis/healthcare-professionals/musculoskeletal-decision-support-tools/</w:t>
              </w:r>
            </w:hyperlink>
            <w:r w:rsidR="00765A68">
              <w:t xml:space="preserve">  </w:t>
            </w:r>
          </w:p>
          <w:p w14:paraId="1AB316D9" w14:textId="77777777" w:rsidR="00765A68" w:rsidRDefault="00765A68" w:rsidP="00765A68">
            <w:pPr>
              <w:pStyle w:val="Tabletext"/>
            </w:pPr>
            <w:r>
              <w:t>In December 2020, NICE provided endorsement of the Decision Support Tools in primary care by people with Musculoskeletal Conditions (Knee problems, Hip problems, Shoulder problems, Back problems and Sciatica):</w:t>
            </w:r>
          </w:p>
          <w:p w14:paraId="080E37E7" w14:textId="5FE919E0" w:rsidR="00765A68" w:rsidRPr="00B4515F" w:rsidRDefault="00765A68" w:rsidP="00765A68">
            <w:pPr>
              <w:pStyle w:val="Tabletext"/>
            </w:pPr>
            <w:r>
              <w:t>“These decision support tools accurately reflect recommendations in the NICE guidance on osteoarthritis and low back pain and sciatica in over 16s. They also support statements 1-7 in the NICE Quality Standard for osteoarthritis and statements 2-7 in the NICE Quality Standard for low back pain and sciatica in over 16s.”</w:t>
            </w:r>
          </w:p>
        </w:tc>
      </w:tr>
      <w:tr w:rsidR="00765A68" w:rsidRPr="00C92280" w14:paraId="722F09C2" w14:textId="77777777" w:rsidTr="00641E12">
        <w:trPr>
          <w:trHeight w:val="284"/>
        </w:trPr>
        <w:tc>
          <w:tcPr>
            <w:tcW w:w="313" w:type="pct"/>
          </w:tcPr>
          <w:p w14:paraId="1A88993A" w14:textId="55E012DF" w:rsidR="00765A68" w:rsidRDefault="00765A68" w:rsidP="00765A68">
            <w:pPr>
              <w:pStyle w:val="Tabletext"/>
            </w:pPr>
            <w:r w:rsidRPr="00D20AFB">
              <w:t>6</w:t>
            </w:r>
            <w:r w:rsidR="00E502D3">
              <w:t>4</w:t>
            </w:r>
          </w:p>
        </w:tc>
        <w:tc>
          <w:tcPr>
            <w:tcW w:w="805" w:type="pct"/>
          </w:tcPr>
          <w:p w14:paraId="056B0756" w14:textId="22EB12C6" w:rsidR="00765A68" w:rsidRDefault="00765A68" w:rsidP="00765A68">
            <w:pPr>
              <w:pStyle w:val="Tabletext"/>
            </w:pPr>
            <w:r>
              <w:t>Royal College of Nursing</w:t>
            </w:r>
          </w:p>
        </w:tc>
        <w:tc>
          <w:tcPr>
            <w:tcW w:w="0" w:type="auto"/>
          </w:tcPr>
          <w:p w14:paraId="636866C4" w14:textId="77777777" w:rsidR="00765A68" w:rsidRDefault="00765A68" w:rsidP="00765A68">
            <w:pPr>
              <w:pStyle w:val="Tabletext"/>
            </w:pPr>
            <w:r>
              <w:t xml:space="preserve">Nothing to add on this occasion. </w:t>
            </w:r>
          </w:p>
          <w:p w14:paraId="760529BB" w14:textId="5ED7B42D" w:rsidR="00765A68" w:rsidRPr="00776158" w:rsidRDefault="00765A68" w:rsidP="00765A68">
            <w:pPr>
              <w:pStyle w:val="Tabletext"/>
            </w:pPr>
            <w:r>
              <w:t>Responded 2020</w:t>
            </w:r>
            <w:r w:rsidR="00C2010A">
              <w:t xml:space="preserve">; </w:t>
            </w:r>
            <w:r>
              <w:t>did not suggest any areas.</w:t>
            </w:r>
          </w:p>
        </w:tc>
        <w:tc>
          <w:tcPr>
            <w:tcW w:w="1155" w:type="pct"/>
          </w:tcPr>
          <w:p w14:paraId="3F1EF3AE" w14:textId="6B7B82EE" w:rsidR="00765A68" w:rsidRPr="00B4515F" w:rsidRDefault="00765A68" w:rsidP="00765A68">
            <w:pPr>
              <w:pStyle w:val="Tabletext"/>
              <w:rPr>
                <w:rFonts w:cs="Arial"/>
                <w:szCs w:val="22"/>
              </w:rPr>
            </w:pPr>
            <w:r>
              <w:rPr>
                <w:rFonts w:cs="Arial"/>
                <w:szCs w:val="22"/>
              </w:rPr>
              <w:t>N/A</w:t>
            </w:r>
          </w:p>
        </w:tc>
        <w:tc>
          <w:tcPr>
            <w:tcW w:w="2035" w:type="pct"/>
          </w:tcPr>
          <w:p w14:paraId="217720B8" w14:textId="47E4CDB6" w:rsidR="00765A68" w:rsidRDefault="00765A68" w:rsidP="00765A68">
            <w:pPr>
              <w:pStyle w:val="Tabletext"/>
            </w:pPr>
            <w:r>
              <w:t>N/A</w:t>
            </w:r>
          </w:p>
        </w:tc>
      </w:tr>
    </w:tbl>
    <w:p w14:paraId="5ABC7BD7" w14:textId="77777777" w:rsidR="00567DAA" w:rsidRDefault="00567DAA" w:rsidP="00567DAA">
      <w:pPr>
        <w:pStyle w:val="Paragraph"/>
      </w:pPr>
    </w:p>
    <w:sectPr w:rsidR="00567DAA"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7AA1A" w14:textId="77777777" w:rsidR="00245235" w:rsidRDefault="00245235" w:rsidP="00446BEE">
      <w:r>
        <w:separator/>
      </w:r>
    </w:p>
    <w:p w14:paraId="6415AD91" w14:textId="77777777" w:rsidR="00245235" w:rsidRDefault="00245235"/>
  </w:endnote>
  <w:endnote w:type="continuationSeparator" w:id="0">
    <w:p w14:paraId="42352950" w14:textId="77777777" w:rsidR="00245235" w:rsidRDefault="00245235" w:rsidP="00446BEE">
      <w:r>
        <w:continuationSeparator/>
      </w:r>
    </w:p>
    <w:p w14:paraId="0C7EC5A5" w14:textId="77777777" w:rsidR="00245235" w:rsidRDefault="00245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6607"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E521"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10E3F1BE"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2BF0" w14:textId="77777777" w:rsidR="00245235" w:rsidRDefault="00245235" w:rsidP="00446BEE">
      <w:r>
        <w:separator/>
      </w:r>
    </w:p>
    <w:p w14:paraId="4E5A647D" w14:textId="77777777" w:rsidR="00245235" w:rsidRDefault="00245235"/>
  </w:footnote>
  <w:footnote w:type="continuationSeparator" w:id="0">
    <w:p w14:paraId="04DB7282" w14:textId="77777777" w:rsidR="00245235" w:rsidRDefault="00245235" w:rsidP="00446BEE">
      <w:r>
        <w:continuationSeparator/>
      </w:r>
    </w:p>
    <w:p w14:paraId="71C4A117" w14:textId="77777777" w:rsidR="00245235" w:rsidRDefault="00245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346"/>
    <w:multiLevelType w:val="hybridMultilevel"/>
    <w:tmpl w:val="46FED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62D03"/>
    <w:multiLevelType w:val="hybridMultilevel"/>
    <w:tmpl w:val="0EA2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C0EFF"/>
    <w:multiLevelType w:val="hybridMultilevel"/>
    <w:tmpl w:val="F9829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73456A"/>
    <w:multiLevelType w:val="hybridMultilevel"/>
    <w:tmpl w:val="87369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BC7BA9"/>
    <w:multiLevelType w:val="hybridMultilevel"/>
    <w:tmpl w:val="B394B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9744F8"/>
    <w:multiLevelType w:val="hybridMultilevel"/>
    <w:tmpl w:val="A5D467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435ACE"/>
    <w:multiLevelType w:val="multilevel"/>
    <w:tmpl w:val="B8D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C0186"/>
    <w:multiLevelType w:val="hybridMultilevel"/>
    <w:tmpl w:val="17B85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9" w15:restartNumberingAfterBreak="0">
    <w:nsid w:val="1552218C"/>
    <w:multiLevelType w:val="hybridMultilevel"/>
    <w:tmpl w:val="9BF6C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B350AD"/>
    <w:multiLevelType w:val="multilevel"/>
    <w:tmpl w:val="9F88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D27B89"/>
    <w:multiLevelType w:val="hybridMultilevel"/>
    <w:tmpl w:val="28D03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3958E1"/>
    <w:multiLevelType w:val="hybridMultilevel"/>
    <w:tmpl w:val="DEB0B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31E72"/>
    <w:multiLevelType w:val="hybridMultilevel"/>
    <w:tmpl w:val="4280A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046D8B"/>
    <w:multiLevelType w:val="hybridMultilevel"/>
    <w:tmpl w:val="7E200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252D7F"/>
    <w:multiLevelType w:val="hybridMultilevel"/>
    <w:tmpl w:val="54E64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151B8D"/>
    <w:multiLevelType w:val="hybridMultilevel"/>
    <w:tmpl w:val="36604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73774F"/>
    <w:multiLevelType w:val="hybridMultilevel"/>
    <w:tmpl w:val="053C2F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2AA12325"/>
    <w:multiLevelType w:val="hybridMultilevel"/>
    <w:tmpl w:val="F89E8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DE05E8"/>
    <w:multiLevelType w:val="hybridMultilevel"/>
    <w:tmpl w:val="A6964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AA6CF6"/>
    <w:multiLevelType w:val="hybridMultilevel"/>
    <w:tmpl w:val="5C3854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93026B"/>
    <w:multiLevelType w:val="hybridMultilevel"/>
    <w:tmpl w:val="EE12B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A42674"/>
    <w:multiLevelType w:val="hybridMultilevel"/>
    <w:tmpl w:val="9038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0D24D4"/>
    <w:multiLevelType w:val="hybridMultilevel"/>
    <w:tmpl w:val="E8824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833F42"/>
    <w:multiLevelType w:val="hybridMultilevel"/>
    <w:tmpl w:val="0CEC0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1E3323"/>
    <w:multiLevelType w:val="hybridMultilevel"/>
    <w:tmpl w:val="F2F2D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B83DD5"/>
    <w:multiLevelType w:val="hybridMultilevel"/>
    <w:tmpl w:val="B6A09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345F9D"/>
    <w:multiLevelType w:val="hybridMultilevel"/>
    <w:tmpl w:val="9710C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F4E4A08"/>
    <w:multiLevelType w:val="hybridMultilevel"/>
    <w:tmpl w:val="99C21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249200D"/>
    <w:multiLevelType w:val="hybridMultilevel"/>
    <w:tmpl w:val="7F0A3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6777E3E"/>
    <w:multiLevelType w:val="hybridMultilevel"/>
    <w:tmpl w:val="E16EF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BE7EC5"/>
    <w:multiLevelType w:val="hybridMultilevel"/>
    <w:tmpl w:val="39C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CE590C"/>
    <w:multiLevelType w:val="hybridMultilevel"/>
    <w:tmpl w:val="D9FAD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0AA49D5"/>
    <w:multiLevelType w:val="hybridMultilevel"/>
    <w:tmpl w:val="6BA4E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B240FA"/>
    <w:multiLevelType w:val="hybridMultilevel"/>
    <w:tmpl w:val="4A62F3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9E86F36"/>
    <w:multiLevelType w:val="hybridMultilevel"/>
    <w:tmpl w:val="557A8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286DA3"/>
    <w:multiLevelType w:val="hybridMultilevel"/>
    <w:tmpl w:val="AA725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EA9458A"/>
    <w:multiLevelType w:val="hybridMultilevel"/>
    <w:tmpl w:val="FD3EC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2B4595E"/>
    <w:multiLevelType w:val="hybridMultilevel"/>
    <w:tmpl w:val="4C6894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6F2189"/>
    <w:multiLevelType w:val="hybridMultilevel"/>
    <w:tmpl w:val="65E0B53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44" w15:restartNumberingAfterBreak="0">
    <w:nsid w:val="6D854901"/>
    <w:multiLevelType w:val="hybridMultilevel"/>
    <w:tmpl w:val="FA60E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D80C57"/>
    <w:multiLevelType w:val="hybridMultilevel"/>
    <w:tmpl w:val="50842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3"/>
  </w:num>
  <w:num w:numId="2">
    <w:abstractNumId w:val="29"/>
  </w:num>
  <w:num w:numId="3">
    <w:abstractNumId w:val="19"/>
  </w:num>
  <w:num w:numId="4">
    <w:abstractNumId w:val="8"/>
  </w:num>
  <w:num w:numId="5">
    <w:abstractNumId w:val="11"/>
  </w:num>
  <w:num w:numId="6">
    <w:abstractNumId w:val="39"/>
  </w:num>
  <w:num w:numId="7">
    <w:abstractNumId w:val="40"/>
  </w:num>
  <w:num w:numId="8">
    <w:abstractNumId w:val="20"/>
  </w:num>
  <w:num w:numId="9">
    <w:abstractNumId w:val="3"/>
  </w:num>
  <w:num w:numId="10">
    <w:abstractNumId w:val="23"/>
  </w:num>
  <w:num w:numId="11">
    <w:abstractNumId w:val="4"/>
  </w:num>
  <w:num w:numId="12">
    <w:abstractNumId w:val="28"/>
  </w:num>
  <w:num w:numId="13">
    <w:abstractNumId w:val="18"/>
  </w:num>
  <w:num w:numId="14">
    <w:abstractNumId w:val="25"/>
  </w:num>
  <w:num w:numId="15">
    <w:abstractNumId w:val="2"/>
  </w:num>
  <w:num w:numId="16">
    <w:abstractNumId w:val="13"/>
  </w:num>
  <w:num w:numId="17">
    <w:abstractNumId w:val="5"/>
  </w:num>
  <w:num w:numId="18">
    <w:abstractNumId w:val="17"/>
  </w:num>
  <w:num w:numId="19">
    <w:abstractNumId w:val="15"/>
  </w:num>
  <w:num w:numId="20">
    <w:abstractNumId w:val="30"/>
  </w:num>
  <w:num w:numId="21">
    <w:abstractNumId w:val="12"/>
  </w:num>
  <w:num w:numId="22">
    <w:abstractNumId w:val="7"/>
  </w:num>
  <w:num w:numId="23">
    <w:abstractNumId w:val="38"/>
  </w:num>
  <w:num w:numId="24">
    <w:abstractNumId w:val="33"/>
  </w:num>
  <w:num w:numId="25">
    <w:abstractNumId w:val="16"/>
  </w:num>
  <w:num w:numId="26">
    <w:abstractNumId w:val="32"/>
  </w:num>
  <w:num w:numId="27">
    <w:abstractNumId w:val="1"/>
  </w:num>
  <w:num w:numId="28">
    <w:abstractNumId w:val="9"/>
  </w:num>
  <w:num w:numId="29">
    <w:abstractNumId w:val="44"/>
  </w:num>
  <w:num w:numId="30">
    <w:abstractNumId w:val="34"/>
  </w:num>
  <w:num w:numId="31">
    <w:abstractNumId w:val="31"/>
  </w:num>
  <w:num w:numId="32">
    <w:abstractNumId w:val="37"/>
  </w:num>
  <w:num w:numId="33">
    <w:abstractNumId w:val="0"/>
  </w:num>
  <w:num w:numId="34">
    <w:abstractNumId w:val="26"/>
  </w:num>
  <w:num w:numId="35">
    <w:abstractNumId w:val="22"/>
  </w:num>
  <w:num w:numId="36">
    <w:abstractNumId w:val="27"/>
  </w:num>
  <w:num w:numId="37">
    <w:abstractNumId w:val="45"/>
  </w:num>
  <w:num w:numId="38">
    <w:abstractNumId w:val="36"/>
  </w:num>
  <w:num w:numId="39">
    <w:abstractNumId w:val="24"/>
  </w:num>
  <w:num w:numId="40">
    <w:abstractNumId w:val="21"/>
  </w:num>
  <w:num w:numId="41">
    <w:abstractNumId w:val="41"/>
  </w:num>
  <w:num w:numId="42">
    <w:abstractNumId w:val="42"/>
  </w:num>
  <w:num w:numId="43">
    <w:abstractNumId w:val="14"/>
  </w:num>
  <w:num w:numId="44">
    <w:abstractNumId w:val="35"/>
  </w:num>
  <w:num w:numId="45">
    <w:abstractNumId w:val="19"/>
  </w:num>
  <w:num w:numId="46">
    <w:abstractNumId w:val="19"/>
  </w:num>
  <w:num w:numId="47">
    <w:abstractNumId w:val="6"/>
  </w:num>
  <w:num w:numId="48">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245235"/>
    <w:rsid w:val="000001B8"/>
    <w:rsid w:val="00001AD6"/>
    <w:rsid w:val="00003FCC"/>
    <w:rsid w:val="00004174"/>
    <w:rsid w:val="0000482A"/>
    <w:rsid w:val="00006509"/>
    <w:rsid w:val="0001067F"/>
    <w:rsid w:val="000109F1"/>
    <w:rsid w:val="00011EBF"/>
    <w:rsid w:val="00012958"/>
    <w:rsid w:val="0001392D"/>
    <w:rsid w:val="00013D78"/>
    <w:rsid w:val="00014695"/>
    <w:rsid w:val="00014ECB"/>
    <w:rsid w:val="000153FA"/>
    <w:rsid w:val="000157D6"/>
    <w:rsid w:val="000158CB"/>
    <w:rsid w:val="00016661"/>
    <w:rsid w:val="0002020D"/>
    <w:rsid w:val="00020E68"/>
    <w:rsid w:val="00021BF3"/>
    <w:rsid w:val="0002270A"/>
    <w:rsid w:val="000227E2"/>
    <w:rsid w:val="000241C3"/>
    <w:rsid w:val="000243AA"/>
    <w:rsid w:val="0002445C"/>
    <w:rsid w:val="00024CDB"/>
    <w:rsid w:val="00024D0A"/>
    <w:rsid w:val="0002613A"/>
    <w:rsid w:val="00026B56"/>
    <w:rsid w:val="00026CF0"/>
    <w:rsid w:val="00030098"/>
    <w:rsid w:val="00030444"/>
    <w:rsid w:val="000304D4"/>
    <w:rsid w:val="00031277"/>
    <w:rsid w:val="0003252C"/>
    <w:rsid w:val="00034DC6"/>
    <w:rsid w:val="00034E59"/>
    <w:rsid w:val="0003685F"/>
    <w:rsid w:val="0004009D"/>
    <w:rsid w:val="00040A87"/>
    <w:rsid w:val="00040B71"/>
    <w:rsid w:val="00040E52"/>
    <w:rsid w:val="000427B2"/>
    <w:rsid w:val="00043B49"/>
    <w:rsid w:val="00043F74"/>
    <w:rsid w:val="000447EC"/>
    <w:rsid w:val="00045207"/>
    <w:rsid w:val="000460F1"/>
    <w:rsid w:val="0004650A"/>
    <w:rsid w:val="00046804"/>
    <w:rsid w:val="000470FE"/>
    <w:rsid w:val="000478F6"/>
    <w:rsid w:val="000507C5"/>
    <w:rsid w:val="0005134D"/>
    <w:rsid w:val="0005195E"/>
    <w:rsid w:val="00053CB8"/>
    <w:rsid w:val="00054006"/>
    <w:rsid w:val="000549EA"/>
    <w:rsid w:val="00055399"/>
    <w:rsid w:val="00055683"/>
    <w:rsid w:val="00055C81"/>
    <w:rsid w:val="00056D75"/>
    <w:rsid w:val="000604CD"/>
    <w:rsid w:val="00060C31"/>
    <w:rsid w:val="00060C7D"/>
    <w:rsid w:val="0006134B"/>
    <w:rsid w:val="000638D2"/>
    <w:rsid w:val="00063ADA"/>
    <w:rsid w:val="00063E76"/>
    <w:rsid w:val="00064819"/>
    <w:rsid w:val="00064E7D"/>
    <w:rsid w:val="00065914"/>
    <w:rsid w:val="000664A0"/>
    <w:rsid w:val="000664E2"/>
    <w:rsid w:val="00070065"/>
    <w:rsid w:val="0007014E"/>
    <w:rsid w:val="00070F91"/>
    <w:rsid w:val="00070FFC"/>
    <w:rsid w:val="00071612"/>
    <w:rsid w:val="000750FD"/>
    <w:rsid w:val="00075A7E"/>
    <w:rsid w:val="00076D51"/>
    <w:rsid w:val="0007740A"/>
    <w:rsid w:val="00077628"/>
    <w:rsid w:val="000806D1"/>
    <w:rsid w:val="00080C6E"/>
    <w:rsid w:val="00080ED4"/>
    <w:rsid w:val="000816B2"/>
    <w:rsid w:val="00081716"/>
    <w:rsid w:val="00081B14"/>
    <w:rsid w:val="000825D2"/>
    <w:rsid w:val="00085C93"/>
    <w:rsid w:val="000868F8"/>
    <w:rsid w:val="00086C0D"/>
    <w:rsid w:val="00090322"/>
    <w:rsid w:val="00091A44"/>
    <w:rsid w:val="00091BE3"/>
    <w:rsid w:val="00092034"/>
    <w:rsid w:val="00092641"/>
    <w:rsid w:val="00093001"/>
    <w:rsid w:val="00095B40"/>
    <w:rsid w:val="0009709D"/>
    <w:rsid w:val="000A007F"/>
    <w:rsid w:val="000A03CC"/>
    <w:rsid w:val="000A085C"/>
    <w:rsid w:val="000A1D82"/>
    <w:rsid w:val="000A1F76"/>
    <w:rsid w:val="000A2859"/>
    <w:rsid w:val="000A2F07"/>
    <w:rsid w:val="000A4BDB"/>
    <w:rsid w:val="000A6728"/>
    <w:rsid w:val="000B2256"/>
    <w:rsid w:val="000B258C"/>
    <w:rsid w:val="000B32CB"/>
    <w:rsid w:val="000B588C"/>
    <w:rsid w:val="000B5939"/>
    <w:rsid w:val="000B6666"/>
    <w:rsid w:val="000B6F12"/>
    <w:rsid w:val="000B76F8"/>
    <w:rsid w:val="000C01C6"/>
    <w:rsid w:val="000C135B"/>
    <w:rsid w:val="000C2336"/>
    <w:rsid w:val="000C29CE"/>
    <w:rsid w:val="000C389A"/>
    <w:rsid w:val="000C3BD7"/>
    <w:rsid w:val="000C5484"/>
    <w:rsid w:val="000C6195"/>
    <w:rsid w:val="000C658C"/>
    <w:rsid w:val="000D09A9"/>
    <w:rsid w:val="000D0C98"/>
    <w:rsid w:val="000D23C9"/>
    <w:rsid w:val="000D3561"/>
    <w:rsid w:val="000D48CF"/>
    <w:rsid w:val="000D4940"/>
    <w:rsid w:val="000D517F"/>
    <w:rsid w:val="000D5E8C"/>
    <w:rsid w:val="000D6F9B"/>
    <w:rsid w:val="000D7F66"/>
    <w:rsid w:val="000E0B99"/>
    <w:rsid w:val="000E0ECE"/>
    <w:rsid w:val="000E11B2"/>
    <w:rsid w:val="000E1203"/>
    <w:rsid w:val="000E34F7"/>
    <w:rsid w:val="000E401D"/>
    <w:rsid w:val="000E44DF"/>
    <w:rsid w:val="000E47E9"/>
    <w:rsid w:val="000E52DC"/>
    <w:rsid w:val="000E6AF0"/>
    <w:rsid w:val="000E7129"/>
    <w:rsid w:val="000F03DD"/>
    <w:rsid w:val="000F2919"/>
    <w:rsid w:val="000F2B40"/>
    <w:rsid w:val="000F2E75"/>
    <w:rsid w:val="000F32F7"/>
    <w:rsid w:val="000F3BFD"/>
    <w:rsid w:val="000F5213"/>
    <w:rsid w:val="000F5893"/>
    <w:rsid w:val="000F6283"/>
    <w:rsid w:val="000F642C"/>
    <w:rsid w:val="000F77C9"/>
    <w:rsid w:val="000F7811"/>
    <w:rsid w:val="0010168A"/>
    <w:rsid w:val="00101E29"/>
    <w:rsid w:val="0010218E"/>
    <w:rsid w:val="00104176"/>
    <w:rsid w:val="001044F8"/>
    <w:rsid w:val="00106FA0"/>
    <w:rsid w:val="001078C7"/>
    <w:rsid w:val="00111379"/>
    <w:rsid w:val="00111DC4"/>
    <w:rsid w:val="00112B2A"/>
    <w:rsid w:val="001134E7"/>
    <w:rsid w:val="00113A6F"/>
    <w:rsid w:val="00113D4E"/>
    <w:rsid w:val="00114F2A"/>
    <w:rsid w:val="00120936"/>
    <w:rsid w:val="0012215D"/>
    <w:rsid w:val="00122677"/>
    <w:rsid w:val="0012302C"/>
    <w:rsid w:val="00123A4A"/>
    <w:rsid w:val="0012414A"/>
    <w:rsid w:val="00124A83"/>
    <w:rsid w:val="00124CBA"/>
    <w:rsid w:val="00125E6B"/>
    <w:rsid w:val="0012636D"/>
    <w:rsid w:val="001269DD"/>
    <w:rsid w:val="00127583"/>
    <w:rsid w:val="00127D40"/>
    <w:rsid w:val="001304F2"/>
    <w:rsid w:val="00130B79"/>
    <w:rsid w:val="00130DF7"/>
    <w:rsid w:val="0013205D"/>
    <w:rsid w:val="00132C51"/>
    <w:rsid w:val="0013437C"/>
    <w:rsid w:val="00134FDA"/>
    <w:rsid w:val="0013658C"/>
    <w:rsid w:val="00136B48"/>
    <w:rsid w:val="00137DE8"/>
    <w:rsid w:val="00137F31"/>
    <w:rsid w:val="001406AD"/>
    <w:rsid w:val="00140C3A"/>
    <w:rsid w:val="00141CA0"/>
    <w:rsid w:val="00141D9C"/>
    <w:rsid w:val="00141FF3"/>
    <w:rsid w:val="00142197"/>
    <w:rsid w:val="001431DF"/>
    <w:rsid w:val="00144E0A"/>
    <w:rsid w:val="001450FF"/>
    <w:rsid w:val="00145BDB"/>
    <w:rsid w:val="00146394"/>
    <w:rsid w:val="00146A1D"/>
    <w:rsid w:val="00147674"/>
    <w:rsid w:val="00147948"/>
    <w:rsid w:val="00150114"/>
    <w:rsid w:val="00150F55"/>
    <w:rsid w:val="00151986"/>
    <w:rsid w:val="00151A94"/>
    <w:rsid w:val="001524B1"/>
    <w:rsid w:val="00153211"/>
    <w:rsid w:val="00153DAC"/>
    <w:rsid w:val="00154BEC"/>
    <w:rsid w:val="00154CF9"/>
    <w:rsid w:val="00154D5B"/>
    <w:rsid w:val="00155CA1"/>
    <w:rsid w:val="0015610B"/>
    <w:rsid w:val="00157744"/>
    <w:rsid w:val="001614BA"/>
    <w:rsid w:val="00162C24"/>
    <w:rsid w:val="0016506B"/>
    <w:rsid w:val="00165C83"/>
    <w:rsid w:val="001660D1"/>
    <w:rsid w:val="001679A4"/>
    <w:rsid w:val="00171399"/>
    <w:rsid w:val="001714C9"/>
    <w:rsid w:val="0017169E"/>
    <w:rsid w:val="00171A41"/>
    <w:rsid w:val="00173911"/>
    <w:rsid w:val="00173C82"/>
    <w:rsid w:val="001745A5"/>
    <w:rsid w:val="001745B6"/>
    <w:rsid w:val="001753FE"/>
    <w:rsid w:val="00176C76"/>
    <w:rsid w:val="00180E49"/>
    <w:rsid w:val="001816A8"/>
    <w:rsid w:val="001826C9"/>
    <w:rsid w:val="00184409"/>
    <w:rsid w:val="001852B4"/>
    <w:rsid w:val="00185BB8"/>
    <w:rsid w:val="00185C85"/>
    <w:rsid w:val="00186CA8"/>
    <w:rsid w:val="001901BB"/>
    <w:rsid w:val="001902D3"/>
    <w:rsid w:val="00190C0B"/>
    <w:rsid w:val="00191FE3"/>
    <w:rsid w:val="00194435"/>
    <w:rsid w:val="001960ED"/>
    <w:rsid w:val="001A0354"/>
    <w:rsid w:val="001A160B"/>
    <w:rsid w:val="001A199A"/>
    <w:rsid w:val="001A2072"/>
    <w:rsid w:val="001A213B"/>
    <w:rsid w:val="001A230A"/>
    <w:rsid w:val="001A23E4"/>
    <w:rsid w:val="001A29B5"/>
    <w:rsid w:val="001A2B81"/>
    <w:rsid w:val="001A481C"/>
    <w:rsid w:val="001A528A"/>
    <w:rsid w:val="001A542E"/>
    <w:rsid w:val="001A5435"/>
    <w:rsid w:val="001A56EC"/>
    <w:rsid w:val="001A5F04"/>
    <w:rsid w:val="001A6EEA"/>
    <w:rsid w:val="001A6F0E"/>
    <w:rsid w:val="001A719F"/>
    <w:rsid w:val="001A7E1A"/>
    <w:rsid w:val="001B0B96"/>
    <w:rsid w:val="001B10FA"/>
    <w:rsid w:val="001B1DCB"/>
    <w:rsid w:val="001B2957"/>
    <w:rsid w:val="001B3F81"/>
    <w:rsid w:val="001B4362"/>
    <w:rsid w:val="001B65B3"/>
    <w:rsid w:val="001B6602"/>
    <w:rsid w:val="001B69FF"/>
    <w:rsid w:val="001B7CB4"/>
    <w:rsid w:val="001C01A1"/>
    <w:rsid w:val="001C0520"/>
    <w:rsid w:val="001C191F"/>
    <w:rsid w:val="001C217D"/>
    <w:rsid w:val="001C2436"/>
    <w:rsid w:val="001C3ED9"/>
    <w:rsid w:val="001C4222"/>
    <w:rsid w:val="001C7AC5"/>
    <w:rsid w:val="001C7B72"/>
    <w:rsid w:val="001D13AE"/>
    <w:rsid w:val="001D2208"/>
    <w:rsid w:val="001D256F"/>
    <w:rsid w:val="001D351D"/>
    <w:rsid w:val="001D3BAE"/>
    <w:rsid w:val="001D510F"/>
    <w:rsid w:val="001D5983"/>
    <w:rsid w:val="001D59D1"/>
    <w:rsid w:val="001D634D"/>
    <w:rsid w:val="001D7170"/>
    <w:rsid w:val="001E0345"/>
    <w:rsid w:val="001E076A"/>
    <w:rsid w:val="001E3574"/>
    <w:rsid w:val="001E58B9"/>
    <w:rsid w:val="001E6DD4"/>
    <w:rsid w:val="001E7267"/>
    <w:rsid w:val="001F060B"/>
    <w:rsid w:val="001F16E9"/>
    <w:rsid w:val="001F2FA2"/>
    <w:rsid w:val="001F3DAC"/>
    <w:rsid w:val="001F4FA4"/>
    <w:rsid w:val="001F50A4"/>
    <w:rsid w:val="001F5655"/>
    <w:rsid w:val="001F56AF"/>
    <w:rsid w:val="001F677F"/>
    <w:rsid w:val="001F67E7"/>
    <w:rsid w:val="00202A49"/>
    <w:rsid w:val="00202B9D"/>
    <w:rsid w:val="00202BA2"/>
    <w:rsid w:val="00203B2D"/>
    <w:rsid w:val="00203D17"/>
    <w:rsid w:val="00204AD5"/>
    <w:rsid w:val="0020663C"/>
    <w:rsid w:val="0020691A"/>
    <w:rsid w:val="00211174"/>
    <w:rsid w:val="00211313"/>
    <w:rsid w:val="00212FBE"/>
    <w:rsid w:val="002153AE"/>
    <w:rsid w:val="00215A7F"/>
    <w:rsid w:val="00216965"/>
    <w:rsid w:val="00216C63"/>
    <w:rsid w:val="002201AF"/>
    <w:rsid w:val="00221E2F"/>
    <w:rsid w:val="00222D0F"/>
    <w:rsid w:val="00222E4F"/>
    <w:rsid w:val="002235F1"/>
    <w:rsid w:val="00223E15"/>
    <w:rsid w:val="00224F08"/>
    <w:rsid w:val="00225730"/>
    <w:rsid w:val="00225A40"/>
    <w:rsid w:val="00227423"/>
    <w:rsid w:val="00227E7D"/>
    <w:rsid w:val="00230249"/>
    <w:rsid w:val="002321B3"/>
    <w:rsid w:val="002324DE"/>
    <w:rsid w:val="0023376A"/>
    <w:rsid w:val="00234A92"/>
    <w:rsid w:val="00235927"/>
    <w:rsid w:val="00237E01"/>
    <w:rsid w:val="0024000F"/>
    <w:rsid w:val="002408EA"/>
    <w:rsid w:val="00240D25"/>
    <w:rsid w:val="002417B3"/>
    <w:rsid w:val="0024462C"/>
    <w:rsid w:val="00244D8F"/>
    <w:rsid w:val="00245103"/>
    <w:rsid w:val="00245235"/>
    <w:rsid w:val="0025101F"/>
    <w:rsid w:val="0025206D"/>
    <w:rsid w:val="00252C62"/>
    <w:rsid w:val="00253C8D"/>
    <w:rsid w:val="0025406E"/>
    <w:rsid w:val="00254C0B"/>
    <w:rsid w:val="00255F77"/>
    <w:rsid w:val="00256E7D"/>
    <w:rsid w:val="002578E4"/>
    <w:rsid w:val="00260CE4"/>
    <w:rsid w:val="002615B3"/>
    <w:rsid w:val="0026302E"/>
    <w:rsid w:val="00263614"/>
    <w:rsid w:val="002639F5"/>
    <w:rsid w:val="00263A98"/>
    <w:rsid w:val="002641FE"/>
    <w:rsid w:val="00265A34"/>
    <w:rsid w:val="00265A35"/>
    <w:rsid w:val="00266708"/>
    <w:rsid w:val="00266868"/>
    <w:rsid w:val="00266AD4"/>
    <w:rsid w:val="00267D60"/>
    <w:rsid w:val="002703B8"/>
    <w:rsid w:val="00270605"/>
    <w:rsid w:val="00270E94"/>
    <w:rsid w:val="0027103E"/>
    <w:rsid w:val="002719AD"/>
    <w:rsid w:val="002749C0"/>
    <w:rsid w:val="00275425"/>
    <w:rsid w:val="00275635"/>
    <w:rsid w:val="00276267"/>
    <w:rsid w:val="00276A95"/>
    <w:rsid w:val="00276CD7"/>
    <w:rsid w:val="00277952"/>
    <w:rsid w:val="00277A2D"/>
    <w:rsid w:val="00281DF3"/>
    <w:rsid w:val="00282250"/>
    <w:rsid w:val="00282C5B"/>
    <w:rsid w:val="00285183"/>
    <w:rsid w:val="00285404"/>
    <w:rsid w:val="00285DCC"/>
    <w:rsid w:val="00290B5B"/>
    <w:rsid w:val="002918E6"/>
    <w:rsid w:val="0029335E"/>
    <w:rsid w:val="00293B5A"/>
    <w:rsid w:val="002943DE"/>
    <w:rsid w:val="00296096"/>
    <w:rsid w:val="00296372"/>
    <w:rsid w:val="002968AC"/>
    <w:rsid w:val="002970C5"/>
    <w:rsid w:val="00297BC5"/>
    <w:rsid w:val="002A0E3E"/>
    <w:rsid w:val="002A2D00"/>
    <w:rsid w:val="002A495A"/>
    <w:rsid w:val="002A511E"/>
    <w:rsid w:val="002A52EE"/>
    <w:rsid w:val="002A5BF4"/>
    <w:rsid w:val="002A665B"/>
    <w:rsid w:val="002A6CFB"/>
    <w:rsid w:val="002A77D6"/>
    <w:rsid w:val="002A7F85"/>
    <w:rsid w:val="002B019F"/>
    <w:rsid w:val="002B06A9"/>
    <w:rsid w:val="002B0CA5"/>
    <w:rsid w:val="002B1093"/>
    <w:rsid w:val="002B28FB"/>
    <w:rsid w:val="002B3D49"/>
    <w:rsid w:val="002B4785"/>
    <w:rsid w:val="002B4D39"/>
    <w:rsid w:val="002B5A6E"/>
    <w:rsid w:val="002B6109"/>
    <w:rsid w:val="002B61C4"/>
    <w:rsid w:val="002B6862"/>
    <w:rsid w:val="002B6A12"/>
    <w:rsid w:val="002B7FC7"/>
    <w:rsid w:val="002C0308"/>
    <w:rsid w:val="002C0587"/>
    <w:rsid w:val="002C0CCC"/>
    <w:rsid w:val="002C0EDF"/>
    <w:rsid w:val="002C13B0"/>
    <w:rsid w:val="002C1A7E"/>
    <w:rsid w:val="002C2447"/>
    <w:rsid w:val="002C296A"/>
    <w:rsid w:val="002C3AFC"/>
    <w:rsid w:val="002C3D33"/>
    <w:rsid w:val="002C5633"/>
    <w:rsid w:val="002C783B"/>
    <w:rsid w:val="002C7BF6"/>
    <w:rsid w:val="002D0382"/>
    <w:rsid w:val="002D06B9"/>
    <w:rsid w:val="002D09BA"/>
    <w:rsid w:val="002D0A3B"/>
    <w:rsid w:val="002D11BA"/>
    <w:rsid w:val="002D1955"/>
    <w:rsid w:val="002D1A12"/>
    <w:rsid w:val="002D22B1"/>
    <w:rsid w:val="002D2A81"/>
    <w:rsid w:val="002D4236"/>
    <w:rsid w:val="002D6FAA"/>
    <w:rsid w:val="002E0243"/>
    <w:rsid w:val="002E0F65"/>
    <w:rsid w:val="002E1493"/>
    <w:rsid w:val="002E2411"/>
    <w:rsid w:val="002E4721"/>
    <w:rsid w:val="002E7460"/>
    <w:rsid w:val="002E74A3"/>
    <w:rsid w:val="002F0519"/>
    <w:rsid w:val="002F2797"/>
    <w:rsid w:val="002F2EA1"/>
    <w:rsid w:val="002F2EEF"/>
    <w:rsid w:val="002F3295"/>
    <w:rsid w:val="002F49B1"/>
    <w:rsid w:val="002F4E93"/>
    <w:rsid w:val="002F52FB"/>
    <w:rsid w:val="002F64BD"/>
    <w:rsid w:val="002F68C2"/>
    <w:rsid w:val="002F6C0D"/>
    <w:rsid w:val="002F6DF6"/>
    <w:rsid w:val="002F7E53"/>
    <w:rsid w:val="00302664"/>
    <w:rsid w:val="00302BE7"/>
    <w:rsid w:val="0030499B"/>
    <w:rsid w:val="00304C30"/>
    <w:rsid w:val="00305039"/>
    <w:rsid w:val="0030560A"/>
    <w:rsid w:val="00305C6E"/>
    <w:rsid w:val="00306008"/>
    <w:rsid w:val="003065DB"/>
    <w:rsid w:val="00306E17"/>
    <w:rsid w:val="00306EE5"/>
    <w:rsid w:val="00307736"/>
    <w:rsid w:val="00307AD6"/>
    <w:rsid w:val="00307DA5"/>
    <w:rsid w:val="003116A1"/>
    <w:rsid w:val="00311ED0"/>
    <w:rsid w:val="0031416A"/>
    <w:rsid w:val="00314744"/>
    <w:rsid w:val="00314E28"/>
    <w:rsid w:val="003153CB"/>
    <w:rsid w:val="003153EB"/>
    <w:rsid w:val="00315638"/>
    <w:rsid w:val="003167EB"/>
    <w:rsid w:val="00316C16"/>
    <w:rsid w:val="00320158"/>
    <w:rsid w:val="00322631"/>
    <w:rsid w:val="0032263A"/>
    <w:rsid w:val="00322954"/>
    <w:rsid w:val="00322C86"/>
    <w:rsid w:val="003240F0"/>
    <w:rsid w:val="00324607"/>
    <w:rsid w:val="00324CC5"/>
    <w:rsid w:val="00330488"/>
    <w:rsid w:val="00330692"/>
    <w:rsid w:val="00330A83"/>
    <w:rsid w:val="00330A91"/>
    <w:rsid w:val="00332D46"/>
    <w:rsid w:val="00333357"/>
    <w:rsid w:val="00334132"/>
    <w:rsid w:val="003341C8"/>
    <w:rsid w:val="003347DA"/>
    <w:rsid w:val="00334C73"/>
    <w:rsid w:val="00334FF0"/>
    <w:rsid w:val="00340413"/>
    <w:rsid w:val="0034067D"/>
    <w:rsid w:val="00340839"/>
    <w:rsid w:val="003408D2"/>
    <w:rsid w:val="00342FA2"/>
    <w:rsid w:val="003441F7"/>
    <w:rsid w:val="00344503"/>
    <w:rsid w:val="0034559F"/>
    <w:rsid w:val="00346023"/>
    <w:rsid w:val="00346DBA"/>
    <w:rsid w:val="00347E42"/>
    <w:rsid w:val="00350167"/>
    <w:rsid w:val="00351C1C"/>
    <w:rsid w:val="00353C45"/>
    <w:rsid w:val="00354C5D"/>
    <w:rsid w:val="00356078"/>
    <w:rsid w:val="0036060D"/>
    <w:rsid w:val="0036152E"/>
    <w:rsid w:val="00362D0C"/>
    <w:rsid w:val="00363872"/>
    <w:rsid w:val="00363F9C"/>
    <w:rsid w:val="003648BE"/>
    <w:rsid w:val="00364E15"/>
    <w:rsid w:val="00364FBA"/>
    <w:rsid w:val="00366B42"/>
    <w:rsid w:val="00367A04"/>
    <w:rsid w:val="003708C8"/>
    <w:rsid w:val="00370B6D"/>
    <w:rsid w:val="003713FB"/>
    <w:rsid w:val="003718A8"/>
    <w:rsid w:val="00371C16"/>
    <w:rsid w:val="0037224D"/>
    <w:rsid w:val="003722FA"/>
    <w:rsid w:val="0037339D"/>
    <w:rsid w:val="003750B9"/>
    <w:rsid w:val="00375903"/>
    <w:rsid w:val="00376A93"/>
    <w:rsid w:val="00377277"/>
    <w:rsid w:val="00380D85"/>
    <w:rsid w:val="00381592"/>
    <w:rsid w:val="003816D1"/>
    <w:rsid w:val="00382AFE"/>
    <w:rsid w:val="003845FA"/>
    <w:rsid w:val="0038465F"/>
    <w:rsid w:val="00384CFD"/>
    <w:rsid w:val="0038506C"/>
    <w:rsid w:val="003869B0"/>
    <w:rsid w:val="00386AFA"/>
    <w:rsid w:val="003906D7"/>
    <w:rsid w:val="0039079F"/>
    <w:rsid w:val="003917AA"/>
    <w:rsid w:val="00391B7E"/>
    <w:rsid w:val="00391E95"/>
    <w:rsid w:val="00391E9F"/>
    <w:rsid w:val="003926B7"/>
    <w:rsid w:val="00394408"/>
    <w:rsid w:val="00394F8D"/>
    <w:rsid w:val="00395ACE"/>
    <w:rsid w:val="003A093D"/>
    <w:rsid w:val="003A09D5"/>
    <w:rsid w:val="003A11CE"/>
    <w:rsid w:val="003A1825"/>
    <w:rsid w:val="003A27D7"/>
    <w:rsid w:val="003A57C1"/>
    <w:rsid w:val="003A6AA8"/>
    <w:rsid w:val="003A6FF6"/>
    <w:rsid w:val="003A746A"/>
    <w:rsid w:val="003A7EF8"/>
    <w:rsid w:val="003A7F32"/>
    <w:rsid w:val="003B109E"/>
    <w:rsid w:val="003B1464"/>
    <w:rsid w:val="003B1747"/>
    <w:rsid w:val="003B1C33"/>
    <w:rsid w:val="003B2E49"/>
    <w:rsid w:val="003B49F8"/>
    <w:rsid w:val="003B5177"/>
    <w:rsid w:val="003B6908"/>
    <w:rsid w:val="003B6DDC"/>
    <w:rsid w:val="003B7567"/>
    <w:rsid w:val="003B75B7"/>
    <w:rsid w:val="003C50D4"/>
    <w:rsid w:val="003C527B"/>
    <w:rsid w:val="003C6E82"/>
    <w:rsid w:val="003C6FAD"/>
    <w:rsid w:val="003C7A4E"/>
    <w:rsid w:val="003C7AAF"/>
    <w:rsid w:val="003D049F"/>
    <w:rsid w:val="003D15BF"/>
    <w:rsid w:val="003D3532"/>
    <w:rsid w:val="003D4585"/>
    <w:rsid w:val="003D5F7B"/>
    <w:rsid w:val="003D628C"/>
    <w:rsid w:val="003D6F5F"/>
    <w:rsid w:val="003E073D"/>
    <w:rsid w:val="003E1126"/>
    <w:rsid w:val="003E12B1"/>
    <w:rsid w:val="003E1523"/>
    <w:rsid w:val="003E1C13"/>
    <w:rsid w:val="003E1FE5"/>
    <w:rsid w:val="003E24B7"/>
    <w:rsid w:val="003E366A"/>
    <w:rsid w:val="003E4281"/>
    <w:rsid w:val="003E436E"/>
    <w:rsid w:val="003E4BA1"/>
    <w:rsid w:val="003E4C4B"/>
    <w:rsid w:val="003E5053"/>
    <w:rsid w:val="003E575D"/>
    <w:rsid w:val="003E58F8"/>
    <w:rsid w:val="003E5928"/>
    <w:rsid w:val="003E5F2B"/>
    <w:rsid w:val="003E721A"/>
    <w:rsid w:val="003F0523"/>
    <w:rsid w:val="003F0552"/>
    <w:rsid w:val="003F130E"/>
    <w:rsid w:val="003F14F7"/>
    <w:rsid w:val="003F18BC"/>
    <w:rsid w:val="003F2EC0"/>
    <w:rsid w:val="003F2EE9"/>
    <w:rsid w:val="003F3C8E"/>
    <w:rsid w:val="003F4027"/>
    <w:rsid w:val="003F41A3"/>
    <w:rsid w:val="003F4508"/>
    <w:rsid w:val="003F534F"/>
    <w:rsid w:val="003F542C"/>
    <w:rsid w:val="003F6759"/>
    <w:rsid w:val="003F6FE9"/>
    <w:rsid w:val="003F70B8"/>
    <w:rsid w:val="003F7F4C"/>
    <w:rsid w:val="00400016"/>
    <w:rsid w:val="00400854"/>
    <w:rsid w:val="00400EA8"/>
    <w:rsid w:val="004013DB"/>
    <w:rsid w:val="00402A3A"/>
    <w:rsid w:val="00402C47"/>
    <w:rsid w:val="00404F49"/>
    <w:rsid w:val="0040580E"/>
    <w:rsid w:val="004075B6"/>
    <w:rsid w:val="00411201"/>
    <w:rsid w:val="00414915"/>
    <w:rsid w:val="00415264"/>
    <w:rsid w:val="004165B9"/>
    <w:rsid w:val="0041660E"/>
    <w:rsid w:val="00416B1A"/>
    <w:rsid w:val="0041736E"/>
    <w:rsid w:val="00420333"/>
    <w:rsid w:val="00420952"/>
    <w:rsid w:val="004215A6"/>
    <w:rsid w:val="0042183E"/>
    <w:rsid w:val="00423B8A"/>
    <w:rsid w:val="004240BC"/>
    <w:rsid w:val="0042628F"/>
    <w:rsid w:val="00426462"/>
    <w:rsid w:val="00427135"/>
    <w:rsid w:val="004279C4"/>
    <w:rsid w:val="00431DE3"/>
    <w:rsid w:val="0043294A"/>
    <w:rsid w:val="00432BBB"/>
    <w:rsid w:val="004330FF"/>
    <w:rsid w:val="004338C5"/>
    <w:rsid w:val="0043539A"/>
    <w:rsid w:val="00435DD2"/>
    <w:rsid w:val="00435EA3"/>
    <w:rsid w:val="004368F1"/>
    <w:rsid w:val="00436A12"/>
    <w:rsid w:val="0044048C"/>
    <w:rsid w:val="004405D7"/>
    <w:rsid w:val="004408D8"/>
    <w:rsid w:val="00443213"/>
    <w:rsid w:val="004437CE"/>
    <w:rsid w:val="00443846"/>
    <w:rsid w:val="00444032"/>
    <w:rsid w:val="0044490E"/>
    <w:rsid w:val="00444EA6"/>
    <w:rsid w:val="0044519F"/>
    <w:rsid w:val="004455CA"/>
    <w:rsid w:val="00445784"/>
    <w:rsid w:val="004462F7"/>
    <w:rsid w:val="00446498"/>
    <w:rsid w:val="00446BEE"/>
    <w:rsid w:val="00450090"/>
    <w:rsid w:val="004510E0"/>
    <w:rsid w:val="0045126F"/>
    <w:rsid w:val="00454048"/>
    <w:rsid w:val="004541A0"/>
    <w:rsid w:val="004565F0"/>
    <w:rsid w:val="00456881"/>
    <w:rsid w:val="00460410"/>
    <w:rsid w:val="004618D4"/>
    <w:rsid w:val="004625B1"/>
    <w:rsid w:val="00462FAD"/>
    <w:rsid w:val="004636D3"/>
    <w:rsid w:val="00463B94"/>
    <w:rsid w:val="00463BD8"/>
    <w:rsid w:val="00464586"/>
    <w:rsid w:val="00465C36"/>
    <w:rsid w:val="00465F10"/>
    <w:rsid w:val="004664DC"/>
    <w:rsid w:val="00466B16"/>
    <w:rsid w:val="00467CA5"/>
    <w:rsid w:val="00471920"/>
    <w:rsid w:val="004730BA"/>
    <w:rsid w:val="00473BB1"/>
    <w:rsid w:val="00474F01"/>
    <w:rsid w:val="00474F40"/>
    <w:rsid w:val="00476394"/>
    <w:rsid w:val="004773EE"/>
    <w:rsid w:val="00477526"/>
    <w:rsid w:val="004817EB"/>
    <w:rsid w:val="00481E56"/>
    <w:rsid w:val="00482E05"/>
    <w:rsid w:val="0048317A"/>
    <w:rsid w:val="0048319D"/>
    <w:rsid w:val="004834D7"/>
    <w:rsid w:val="00483981"/>
    <w:rsid w:val="00485987"/>
    <w:rsid w:val="00486E21"/>
    <w:rsid w:val="00490527"/>
    <w:rsid w:val="00491211"/>
    <w:rsid w:val="004913A6"/>
    <w:rsid w:val="00491FE4"/>
    <w:rsid w:val="00492034"/>
    <w:rsid w:val="0049289D"/>
    <w:rsid w:val="004945F1"/>
    <w:rsid w:val="00494C8B"/>
    <w:rsid w:val="00495F71"/>
    <w:rsid w:val="00496BE3"/>
    <w:rsid w:val="00497DA0"/>
    <w:rsid w:val="004A16A7"/>
    <w:rsid w:val="004A2A32"/>
    <w:rsid w:val="004A325A"/>
    <w:rsid w:val="004A44A3"/>
    <w:rsid w:val="004A5F0D"/>
    <w:rsid w:val="004A6456"/>
    <w:rsid w:val="004A6C8B"/>
    <w:rsid w:val="004A6FCF"/>
    <w:rsid w:val="004A6FEE"/>
    <w:rsid w:val="004A75DC"/>
    <w:rsid w:val="004A7BD3"/>
    <w:rsid w:val="004B00AC"/>
    <w:rsid w:val="004B1119"/>
    <w:rsid w:val="004B15AC"/>
    <w:rsid w:val="004B4112"/>
    <w:rsid w:val="004B57D0"/>
    <w:rsid w:val="004B5922"/>
    <w:rsid w:val="004B62C1"/>
    <w:rsid w:val="004B64D7"/>
    <w:rsid w:val="004C14F4"/>
    <w:rsid w:val="004C1561"/>
    <w:rsid w:val="004C1AB9"/>
    <w:rsid w:val="004C3051"/>
    <w:rsid w:val="004C38A3"/>
    <w:rsid w:val="004C3F55"/>
    <w:rsid w:val="004C4168"/>
    <w:rsid w:val="004C4415"/>
    <w:rsid w:val="004C4E59"/>
    <w:rsid w:val="004C6B1B"/>
    <w:rsid w:val="004C748F"/>
    <w:rsid w:val="004C7591"/>
    <w:rsid w:val="004D04F9"/>
    <w:rsid w:val="004D18DB"/>
    <w:rsid w:val="004D1F3E"/>
    <w:rsid w:val="004D2D9F"/>
    <w:rsid w:val="004D3818"/>
    <w:rsid w:val="004D410E"/>
    <w:rsid w:val="004D472D"/>
    <w:rsid w:val="004D4CAE"/>
    <w:rsid w:val="004D4FC4"/>
    <w:rsid w:val="004D7EF1"/>
    <w:rsid w:val="004E072F"/>
    <w:rsid w:val="004E1FD4"/>
    <w:rsid w:val="004E3812"/>
    <w:rsid w:val="004E3817"/>
    <w:rsid w:val="004E3A88"/>
    <w:rsid w:val="004E6022"/>
    <w:rsid w:val="004E6C66"/>
    <w:rsid w:val="004E6D91"/>
    <w:rsid w:val="004E712A"/>
    <w:rsid w:val="004E731F"/>
    <w:rsid w:val="004E7815"/>
    <w:rsid w:val="004E7E05"/>
    <w:rsid w:val="004F0831"/>
    <w:rsid w:val="004F201E"/>
    <w:rsid w:val="004F2C06"/>
    <w:rsid w:val="004F361D"/>
    <w:rsid w:val="004F457A"/>
    <w:rsid w:val="004F5368"/>
    <w:rsid w:val="004F6FD6"/>
    <w:rsid w:val="004F70B1"/>
    <w:rsid w:val="004F7365"/>
    <w:rsid w:val="004F7DF9"/>
    <w:rsid w:val="00500434"/>
    <w:rsid w:val="00501B7B"/>
    <w:rsid w:val="005025A1"/>
    <w:rsid w:val="00502C4B"/>
    <w:rsid w:val="005048FB"/>
    <w:rsid w:val="00504F90"/>
    <w:rsid w:val="005061F9"/>
    <w:rsid w:val="005063CB"/>
    <w:rsid w:val="00507974"/>
    <w:rsid w:val="0051012E"/>
    <w:rsid w:val="0051026C"/>
    <w:rsid w:val="005110D1"/>
    <w:rsid w:val="0051111E"/>
    <w:rsid w:val="005128CA"/>
    <w:rsid w:val="005130A3"/>
    <w:rsid w:val="00513715"/>
    <w:rsid w:val="0051622C"/>
    <w:rsid w:val="00516718"/>
    <w:rsid w:val="00516890"/>
    <w:rsid w:val="00517CA6"/>
    <w:rsid w:val="0052055D"/>
    <w:rsid w:val="0052161D"/>
    <w:rsid w:val="00525C59"/>
    <w:rsid w:val="00526CC1"/>
    <w:rsid w:val="00527EE4"/>
    <w:rsid w:val="00530651"/>
    <w:rsid w:val="00530D6D"/>
    <w:rsid w:val="00534124"/>
    <w:rsid w:val="00534339"/>
    <w:rsid w:val="00534AD1"/>
    <w:rsid w:val="00534BAE"/>
    <w:rsid w:val="005357B3"/>
    <w:rsid w:val="00535A9B"/>
    <w:rsid w:val="0053637B"/>
    <w:rsid w:val="00536483"/>
    <w:rsid w:val="00540A29"/>
    <w:rsid w:val="00541102"/>
    <w:rsid w:val="00541D45"/>
    <w:rsid w:val="0054323C"/>
    <w:rsid w:val="00543FBB"/>
    <w:rsid w:val="0054493B"/>
    <w:rsid w:val="005456D5"/>
    <w:rsid w:val="00545FF6"/>
    <w:rsid w:val="00546183"/>
    <w:rsid w:val="00547BC2"/>
    <w:rsid w:val="00547D49"/>
    <w:rsid w:val="005507C8"/>
    <w:rsid w:val="00552859"/>
    <w:rsid w:val="00553560"/>
    <w:rsid w:val="00554721"/>
    <w:rsid w:val="005551A3"/>
    <w:rsid w:val="00556203"/>
    <w:rsid w:val="00556F7C"/>
    <w:rsid w:val="00557616"/>
    <w:rsid w:val="00557EBB"/>
    <w:rsid w:val="005601C3"/>
    <w:rsid w:val="00560A84"/>
    <w:rsid w:val="00560C23"/>
    <w:rsid w:val="00561316"/>
    <w:rsid w:val="005618D8"/>
    <w:rsid w:val="00562D25"/>
    <w:rsid w:val="00563743"/>
    <w:rsid w:val="00563FFF"/>
    <w:rsid w:val="00565C8C"/>
    <w:rsid w:val="00566CA5"/>
    <w:rsid w:val="00567DAA"/>
    <w:rsid w:val="00567EC2"/>
    <w:rsid w:val="00567EDD"/>
    <w:rsid w:val="005702D0"/>
    <w:rsid w:val="005702EE"/>
    <w:rsid w:val="00574385"/>
    <w:rsid w:val="0057439F"/>
    <w:rsid w:val="00574920"/>
    <w:rsid w:val="005760C5"/>
    <w:rsid w:val="00577577"/>
    <w:rsid w:val="00580AD1"/>
    <w:rsid w:val="00580BF5"/>
    <w:rsid w:val="00580D6D"/>
    <w:rsid w:val="00581557"/>
    <w:rsid w:val="005819BA"/>
    <w:rsid w:val="00582451"/>
    <w:rsid w:val="00582D94"/>
    <w:rsid w:val="005836A7"/>
    <w:rsid w:val="00583D78"/>
    <w:rsid w:val="00585F03"/>
    <w:rsid w:val="00586982"/>
    <w:rsid w:val="00587E96"/>
    <w:rsid w:val="005921BE"/>
    <w:rsid w:val="005929B1"/>
    <w:rsid w:val="00594085"/>
    <w:rsid w:val="0059429F"/>
    <w:rsid w:val="00595D0E"/>
    <w:rsid w:val="00595F2C"/>
    <w:rsid w:val="00596195"/>
    <w:rsid w:val="005966BC"/>
    <w:rsid w:val="005A0BA7"/>
    <w:rsid w:val="005A0C10"/>
    <w:rsid w:val="005A1755"/>
    <w:rsid w:val="005A17C5"/>
    <w:rsid w:val="005A19AE"/>
    <w:rsid w:val="005A1BAB"/>
    <w:rsid w:val="005A1F91"/>
    <w:rsid w:val="005A2851"/>
    <w:rsid w:val="005A3F84"/>
    <w:rsid w:val="005A46AA"/>
    <w:rsid w:val="005A49EA"/>
    <w:rsid w:val="005A4AD6"/>
    <w:rsid w:val="005A4F22"/>
    <w:rsid w:val="005A5841"/>
    <w:rsid w:val="005A61AD"/>
    <w:rsid w:val="005B3E6F"/>
    <w:rsid w:val="005B4E96"/>
    <w:rsid w:val="005B5CD3"/>
    <w:rsid w:val="005C0A82"/>
    <w:rsid w:val="005C0E53"/>
    <w:rsid w:val="005C179D"/>
    <w:rsid w:val="005C356E"/>
    <w:rsid w:val="005C5CEC"/>
    <w:rsid w:val="005C6004"/>
    <w:rsid w:val="005C6281"/>
    <w:rsid w:val="005C6F10"/>
    <w:rsid w:val="005C6FE1"/>
    <w:rsid w:val="005C72CC"/>
    <w:rsid w:val="005C7C4A"/>
    <w:rsid w:val="005D07A0"/>
    <w:rsid w:val="005D09B7"/>
    <w:rsid w:val="005D1091"/>
    <w:rsid w:val="005D2F94"/>
    <w:rsid w:val="005D35D7"/>
    <w:rsid w:val="005D38BC"/>
    <w:rsid w:val="005D3CF1"/>
    <w:rsid w:val="005D3F1C"/>
    <w:rsid w:val="005D5F66"/>
    <w:rsid w:val="005D659D"/>
    <w:rsid w:val="005D769A"/>
    <w:rsid w:val="005D78A9"/>
    <w:rsid w:val="005D7D6E"/>
    <w:rsid w:val="005E28D0"/>
    <w:rsid w:val="005E2BA0"/>
    <w:rsid w:val="005E400B"/>
    <w:rsid w:val="005E425F"/>
    <w:rsid w:val="005E4983"/>
    <w:rsid w:val="005E507A"/>
    <w:rsid w:val="005E5DCE"/>
    <w:rsid w:val="005E5E3B"/>
    <w:rsid w:val="005E66D7"/>
    <w:rsid w:val="005E6ECA"/>
    <w:rsid w:val="005E6F8F"/>
    <w:rsid w:val="005E79F6"/>
    <w:rsid w:val="005F1552"/>
    <w:rsid w:val="005F1CD9"/>
    <w:rsid w:val="005F3784"/>
    <w:rsid w:val="005F4BAC"/>
    <w:rsid w:val="005F6231"/>
    <w:rsid w:val="005F6CF1"/>
    <w:rsid w:val="005F76B7"/>
    <w:rsid w:val="00600D6F"/>
    <w:rsid w:val="00602020"/>
    <w:rsid w:val="006026D3"/>
    <w:rsid w:val="0060307C"/>
    <w:rsid w:val="00603263"/>
    <w:rsid w:val="006034C2"/>
    <w:rsid w:val="00603BF2"/>
    <w:rsid w:val="00604500"/>
    <w:rsid w:val="00604534"/>
    <w:rsid w:val="006045A3"/>
    <w:rsid w:val="00604751"/>
    <w:rsid w:val="00604EEA"/>
    <w:rsid w:val="006057FD"/>
    <w:rsid w:val="006066C1"/>
    <w:rsid w:val="00606C63"/>
    <w:rsid w:val="00607B3D"/>
    <w:rsid w:val="006110B7"/>
    <w:rsid w:val="006126EC"/>
    <w:rsid w:val="006135B6"/>
    <w:rsid w:val="006144F6"/>
    <w:rsid w:val="00616352"/>
    <w:rsid w:val="00617F76"/>
    <w:rsid w:val="00620648"/>
    <w:rsid w:val="00620654"/>
    <w:rsid w:val="00620996"/>
    <w:rsid w:val="0062116C"/>
    <w:rsid w:val="00621435"/>
    <w:rsid w:val="0062214D"/>
    <w:rsid w:val="00622BA1"/>
    <w:rsid w:val="00622C97"/>
    <w:rsid w:val="00623619"/>
    <w:rsid w:val="006239FF"/>
    <w:rsid w:val="00624810"/>
    <w:rsid w:val="00626943"/>
    <w:rsid w:val="00627895"/>
    <w:rsid w:val="00627E87"/>
    <w:rsid w:val="00627EAB"/>
    <w:rsid w:val="006316DB"/>
    <w:rsid w:val="00631951"/>
    <w:rsid w:val="00631B65"/>
    <w:rsid w:val="00632C95"/>
    <w:rsid w:val="00633C51"/>
    <w:rsid w:val="006340F4"/>
    <w:rsid w:val="00634347"/>
    <w:rsid w:val="00636141"/>
    <w:rsid w:val="0064039D"/>
    <w:rsid w:val="006405AF"/>
    <w:rsid w:val="00641033"/>
    <w:rsid w:val="00641E12"/>
    <w:rsid w:val="0064504B"/>
    <w:rsid w:val="00645095"/>
    <w:rsid w:val="006457A1"/>
    <w:rsid w:val="00645DCB"/>
    <w:rsid w:val="00646525"/>
    <w:rsid w:val="006504BC"/>
    <w:rsid w:val="006505D6"/>
    <w:rsid w:val="00650AE7"/>
    <w:rsid w:val="00652CCB"/>
    <w:rsid w:val="006541B3"/>
    <w:rsid w:val="006544D3"/>
    <w:rsid w:val="006557CF"/>
    <w:rsid w:val="00660953"/>
    <w:rsid w:val="00661C18"/>
    <w:rsid w:val="00662EA9"/>
    <w:rsid w:val="006636B3"/>
    <w:rsid w:val="00664BB7"/>
    <w:rsid w:val="00665120"/>
    <w:rsid w:val="006700FC"/>
    <w:rsid w:val="006711C4"/>
    <w:rsid w:val="00671949"/>
    <w:rsid w:val="00671A65"/>
    <w:rsid w:val="00672367"/>
    <w:rsid w:val="006728F0"/>
    <w:rsid w:val="00673ED1"/>
    <w:rsid w:val="0067426A"/>
    <w:rsid w:val="006744FF"/>
    <w:rsid w:val="0067455E"/>
    <w:rsid w:val="0067493D"/>
    <w:rsid w:val="006764B6"/>
    <w:rsid w:val="00676FCC"/>
    <w:rsid w:val="00677032"/>
    <w:rsid w:val="0067741F"/>
    <w:rsid w:val="0068026C"/>
    <w:rsid w:val="006809E4"/>
    <w:rsid w:val="0068121A"/>
    <w:rsid w:val="006817C5"/>
    <w:rsid w:val="006831A4"/>
    <w:rsid w:val="00683301"/>
    <w:rsid w:val="00683F53"/>
    <w:rsid w:val="006844BA"/>
    <w:rsid w:val="006844CB"/>
    <w:rsid w:val="006854A8"/>
    <w:rsid w:val="00685A26"/>
    <w:rsid w:val="00691454"/>
    <w:rsid w:val="00691DA9"/>
    <w:rsid w:val="006921E1"/>
    <w:rsid w:val="006929A2"/>
    <w:rsid w:val="00694FCD"/>
    <w:rsid w:val="00695209"/>
    <w:rsid w:val="006970E6"/>
    <w:rsid w:val="006A055D"/>
    <w:rsid w:val="006A0658"/>
    <w:rsid w:val="006A36DE"/>
    <w:rsid w:val="006A548B"/>
    <w:rsid w:val="006A5EF3"/>
    <w:rsid w:val="006A7089"/>
    <w:rsid w:val="006A710A"/>
    <w:rsid w:val="006A72B6"/>
    <w:rsid w:val="006B080F"/>
    <w:rsid w:val="006B1AAF"/>
    <w:rsid w:val="006B2BBF"/>
    <w:rsid w:val="006B5393"/>
    <w:rsid w:val="006B56CF"/>
    <w:rsid w:val="006B5842"/>
    <w:rsid w:val="006B5E3E"/>
    <w:rsid w:val="006B71F4"/>
    <w:rsid w:val="006B7958"/>
    <w:rsid w:val="006C0F6B"/>
    <w:rsid w:val="006C2B8B"/>
    <w:rsid w:val="006C2E99"/>
    <w:rsid w:val="006C30B4"/>
    <w:rsid w:val="006C3BE4"/>
    <w:rsid w:val="006C45F8"/>
    <w:rsid w:val="006C46EF"/>
    <w:rsid w:val="006C6335"/>
    <w:rsid w:val="006C6B66"/>
    <w:rsid w:val="006C7489"/>
    <w:rsid w:val="006C79DD"/>
    <w:rsid w:val="006D07EE"/>
    <w:rsid w:val="006D152D"/>
    <w:rsid w:val="006D2029"/>
    <w:rsid w:val="006D3B0D"/>
    <w:rsid w:val="006D3F19"/>
    <w:rsid w:val="006D4113"/>
    <w:rsid w:val="006D46DF"/>
    <w:rsid w:val="006D50F4"/>
    <w:rsid w:val="006D55A6"/>
    <w:rsid w:val="006D5F03"/>
    <w:rsid w:val="006D7964"/>
    <w:rsid w:val="006D7DD0"/>
    <w:rsid w:val="006E1B96"/>
    <w:rsid w:val="006E3831"/>
    <w:rsid w:val="006E5ED8"/>
    <w:rsid w:val="006E608E"/>
    <w:rsid w:val="006E74CA"/>
    <w:rsid w:val="006E7A31"/>
    <w:rsid w:val="006F0ADB"/>
    <w:rsid w:val="006F0D0C"/>
    <w:rsid w:val="006F0D9A"/>
    <w:rsid w:val="006F1C1B"/>
    <w:rsid w:val="006F21DF"/>
    <w:rsid w:val="006F298C"/>
    <w:rsid w:val="006F2B87"/>
    <w:rsid w:val="006F398A"/>
    <w:rsid w:val="006F5A94"/>
    <w:rsid w:val="006F5E6A"/>
    <w:rsid w:val="006F5EAB"/>
    <w:rsid w:val="006F7937"/>
    <w:rsid w:val="006F7D33"/>
    <w:rsid w:val="00702177"/>
    <w:rsid w:val="0070230A"/>
    <w:rsid w:val="00703127"/>
    <w:rsid w:val="0070641E"/>
    <w:rsid w:val="00707F29"/>
    <w:rsid w:val="00710A3E"/>
    <w:rsid w:val="00711385"/>
    <w:rsid w:val="007134DF"/>
    <w:rsid w:val="00713607"/>
    <w:rsid w:val="00714577"/>
    <w:rsid w:val="00714F6F"/>
    <w:rsid w:val="007179D5"/>
    <w:rsid w:val="00717A3E"/>
    <w:rsid w:val="007203AD"/>
    <w:rsid w:val="00720B7C"/>
    <w:rsid w:val="00720DF9"/>
    <w:rsid w:val="0072209C"/>
    <w:rsid w:val="007228AE"/>
    <w:rsid w:val="007232CC"/>
    <w:rsid w:val="007250E7"/>
    <w:rsid w:val="00726AE8"/>
    <w:rsid w:val="00726D27"/>
    <w:rsid w:val="00727A9D"/>
    <w:rsid w:val="0073009A"/>
    <w:rsid w:val="00730CE3"/>
    <w:rsid w:val="007318B0"/>
    <w:rsid w:val="00732CD3"/>
    <w:rsid w:val="00734970"/>
    <w:rsid w:val="00734CA8"/>
    <w:rsid w:val="00734EB2"/>
    <w:rsid w:val="007360C3"/>
    <w:rsid w:val="00736348"/>
    <w:rsid w:val="0073638F"/>
    <w:rsid w:val="00741501"/>
    <w:rsid w:val="007419FC"/>
    <w:rsid w:val="007438DF"/>
    <w:rsid w:val="00744CBD"/>
    <w:rsid w:val="00744E23"/>
    <w:rsid w:val="007453FD"/>
    <w:rsid w:val="00746901"/>
    <w:rsid w:val="00747CC1"/>
    <w:rsid w:val="00750BD6"/>
    <w:rsid w:val="00751008"/>
    <w:rsid w:val="0075162E"/>
    <w:rsid w:val="00752671"/>
    <w:rsid w:val="0075397A"/>
    <w:rsid w:val="007548FC"/>
    <w:rsid w:val="00754D19"/>
    <w:rsid w:val="00755790"/>
    <w:rsid w:val="00756656"/>
    <w:rsid w:val="00757102"/>
    <w:rsid w:val="00761031"/>
    <w:rsid w:val="00764BB0"/>
    <w:rsid w:val="00764BD8"/>
    <w:rsid w:val="00764D54"/>
    <w:rsid w:val="00765A68"/>
    <w:rsid w:val="00766AE9"/>
    <w:rsid w:val="00767ABA"/>
    <w:rsid w:val="00770B9A"/>
    <w:rsid w:val="00772064"/>
    <w:rsid w:val="0077228F"/>
    <w:rsid w:val="00773656"/>
    <w:rsid w:val="00773F82"/>
    <w:rsid w:val="007744BC"/>
    <w:rsid w:val="00776158"/>
    <w:rsid w:val="00776773"/>
    <w:rsid w:val="00780D9B"/>
    <w:rsid w:val="007813F8"/>
    <w:rsid w:val="00781987"/>
    <w:rsid w:val="00781F53"/>
    <w:rsid w:val="007823DF"/>
    <w:rsid w:val="00782AD8"/>
    <w:rsid w:val="00783357"/>
    <w:rsid w:val="00783476"/>
    <w:rsid w:val="00784333"/>
    <w:rsid w:val="00785C6C"/>
    <w:rsid w:val="00786120"/>
    <w:rsid w:val="00787801"/>
    <w:rsid w:val="00787E26"/>
    <w:rsid w:val="0079042A"/>
    <w:rsid w:val="0079179D"/>
    <w:rsid w:val="007918A7"/>
    <w:rsid w:val="0079192E"/>
    <w:rsid w:val="00791E62"/>
    <w:rsid w:val="0079479A"/>
    <w:rsid w:val="007972D5"/>
    <w:rsid w:val="007A00FC"/>
    <w:rsid w:val="007A0CFC"/>
    <w:rsid w:val="007A1B0A"/>
    <w:rsid w:val="007A34BC"/>
    <w:rsid w:val="007A3F6C"/>
    <w:rsid w:val="007A43FE"/>
    <w:rsid w:val="007A44AC"/>
    <w:rsid w:val="007A4DA1"/>
    <w:rsid w:val="007A4E4B"/>
    <w:rsid w:val="007A6176"/>
    <w:rsid w:val="007A717D"/>
    <w:rsid w:val="007B0D6A"/>
    <w:rsid w:val="007B1472"/>
    <w:rsid w:val="007B1BCD"/>
    <w:rsid w:val="007B1C0E"/>
    <w:rsid w:val="007B2126"/>
    <w:rsid w:val="007B272A"/>
    <w:rsid w:val="007B4872"/>
    <w:rsid w:val="007B54CD"/>
    <w:rsid w:val="007B5F92"/>
    <w:rsid w:val="007B624F"/>
    <w:rsid w:val="007B6A17"/>
    <w:rsid w:val="007C0877"/>
    <w:rsid w:val="007C19C5"/>
    <w:rsid w:val="007C1DAF"/>
    <w:rsid w:val="007C1F5E"/>
    <w:rsid w:val="007C1FC5"/>
    <w:rsid w:val="007C2022"/>
    <w:rsid w:val="007C3BFB"/>
    <w:rsid w:val="007C4D6D"/>
    <w:rsid w:val="007C5211"/>
    <w:rsid w:val="007C534D"/>
    <w:rsid w:val="007C5853"/>
    <w:rsid w:val="007C6EB9"/>
    <w:rsid w:val="007D08FA"/>
    <w:rsid w:val="007D0A6D"/>
    <w:rsid w:val="007D163C"/>
    <w:rsid w:val="007D1937"/>
    <w:rsid w:val="007D2F89"/>
    <w:rsid w:val="007D3112"/>
    <w:rsid w:val="007D333F"/>
    <w:rsid w:val="007D3BBE"/>
    <w:rsid w:val="007D4B1A"/>
    <w:rsid w:val="007D69CE"/>
    <w:rsid w:val="007D7479"/>
    <w:rsid w:val="007D74B9"/>
    <w:rsid w:val="007D76A0"/>
    <w:rsid w:val="007D7952"/>
    <w:rsid w:val="007E023B"/>
    <w:rsid w:val="007E1282"/>
    <w:rsid w:val="007E4546"/>
    <w:rsid w:val="007E4D7F"/>
    <w:rsid w:val="007E678D"/>
    <w:rsid w:val="007E6875"/>
    <w:rsid w:val="007E6961"/>
    <w:rsid w:val="007E6EF9"/>
    <w:rsid w:val="007E750E"/>
    <w:rsid w:val="007F0768"/>
    <w:rsid w:val="007F158B"/>
    <w:rsid w:val="007F182C"/>
    <w:rsid w:val="007F1B53"/>
    <w:rsid w:val="007F2999"/>
    <w:rsid w:val="007F3233"/>
    <w:rsid w:val="007F3835"/>
    <w:rsid w:val="007F6481"/>
    <w:rsid w:val="0080003F"/>
    <w:rsid w:val="00800251"/>
    <w:rsid w:val="00800945"/>
    <w:rsid w:val="00800CD8"/>
    <w:rsid w:val="00801EA9"/>
    <w:rsid w:val="00802592"/>
    <w:rsid w:val="00803690"/>
    <w:rsid w:val="00803E74"/>
    <w:rsid w:val="008047C6"/>
    <w:rsid w:val="00804D70"/>
    <w:rsid w:val="00805042"/>
    <w:rsid w:val="008056D3"/>
    <w:rsid w:val="00805EF0"/>
    <w:rsid w:val="008060C1"/>
    <w:rsid w:val="008068ED"/>
    <w:rsid w:val="00810454"/>
    <w:rsid w:val="0081067C"/>
    <w:rsid w:val="00810720"/>
    <w:rsid w:val="00810EAB"/>
    <w:rsid w:val="00811F99"/>
    <w:rsid w:val="00812344"/>
    <w:rsid w:val="00812E11"/>
    <w:rsid w:val="008137B2"/>
    <w:rsid w:val="00813821"/>
    <w:rsid w:val="00813E13"/>
    <w:rsid w:val="00814221"/>
    <w:rsid w:val="008148A2"/>
    <w:rsid w:val="00820719"/>
    <w:rsid w:val="0082107A"/>
    <w:rsid w:val="0082219D"/>
    <w:rsid w:val="0082220F"/>
    <w:rsid w:val="00822813"/>
    <w:rsid w:val="008235D3"/>
    <w:rsid w:val="00824B73"/>
    <w:rsid w:val="00825151"/>
    <w:rsid w:val="00825BBE"/>
    <w:rsid w:val="00825D3C"/>
    <w:rsid w:val="00825D5B"/>
    <w:rsid w:val="00826EB6"/>
    <w:rsid w:val="00827322"/>
    <w:rsid w:val="00831536"/>
    <w:rsid w:val="00833514"/>
    <w:rsid w:val="00834011"/>
    <w:rsid w:val="00835D8B"/>
    <w:rsid w:val="00835DEB"/>
    <w:rsid w:val="00836046"/>
    <w:rsid w:val="00837B47"/>
    <w:rsid w:val="00837B5A"/>
    <w:rsid w:val="008419F4"/>
    <w:rsid w:val="00841B24"/>
    <w:rsid w:val="00841C51"/>
    <w:rsid w:val="00842093"/>
    <w:rsid w:val="0084273B"/>
    <w:rsid w:val="008434B1"/>
    <w:rsid w:val="0084433F"/>
    <w:rsid w:val="008461D4"/>
    <w:rsid w:val="00850647"/>
    <w:rsid w:val="00851A2A"/>
    <w:rsid w:val="00853304"/>
    <w:rsid w:val="008543BA"/>
    <w:rsid w:val="00854ADE"/>
    <w:rsid w:val="0085513A"/>
    <w:rsid w:val="00855C1D"/>
    <w:rsid w:val="00857851"/>
    <w:rsid w:val="00860FFD"/>
    <w:rsid w:val="00861666"/>
    <w:rsid w:val="00862555"/>
    <w:rsid w:val="00862AEA"/>
    <w:rsid w:val="008637D6"/>
    <w:rsid w:val="008637EA"/>
    <w:rsid w:val="00863E38"/>
    <w:rsid w:val="00864C4D"/>
    <w:rsid w:val="008666CB"/>
    <w:rsid w:val="00866C8E"/>
    <w:rsid w:val="008671B4"/>
    <w:rsid w:val="008706FF"/>
    <w:rsid w:val="00870D6C"/>
    <w:rsid w:val="00871BBD"/>
    <w:rsid w:val="00872097"/>
    <w:rsid w:val="00872FED"/>
    <w:rsid w:val="00873000"/>
    <w:rsid w:val="00873312"/>
    <w:rsid w:val="008744F4"/>
    <w:rsid w:val="00875376"/>
    <w:rsid w:val="00875B8D"/>
    <w:rsid w:val="0088008A"/>
    <w:rsid w:val="0088011E"/>
    <w:rsid w:val="008804D8"/>
    <w:rsid w:val="0088215F"/>
    <w:rsid w:val="00882F63"/>
    <w:rsid w:val="00884CF8"/>
    <w:rsid w:val="00884DA5"/>
    <w:rsid w:val="0088526E"/>
    <w:rsid w:val="0088658B"/>
    <w:rsid w:val="0088696C"/>
    <w:rsid w:val="00886A58"/>
    <w:rsid w:val="008870B7"/>
    <w:rsid w:val="008870BF"/>
    <w:rsid w:val="00887284"/>
    <w:rsid w:val="0089007D"/>
    <w:rsid w:val="00891037"/>
    <w:rsid w:val="0089129A"/>
    <w:rsid w:val="008922EB"/>
    <w:rsid w:val="00893AF1"/>
    <w:rsid w:val="00894225"/>
    <w:rsid w:val="008967B5"/>
    <w:rsid w:val="0089737A"/>
    <w:rsid w:val="00897382"/>
    <w:rsid w:val="008A009C"/>
    <w:rsid w:val="008A25EE"/>
    <w:rsid w:val="008A4B1B"/>
    <w:rsid w:val="008A4E56"/>
    <w:rsid w:val="008A5064"/>
    <w:rsid w:val="008A5E6E"/>
    <w:rsid w:val="008A60D2"/>
    <w:rsid w:val="008A6367"/>
    <w:rsid w:val="008A6728"/>
    <w:rsid w:val="008A7643"/>
    <w:rsid w:val="008B0A81"/>
    <w:rsid w:val="008B1A94"/>
    <w:rsid w:val="008B1C4C"/>
    <w:rsid w:val="008B2D89"/>
    <w:rsid w:val="008B7CD7"/>
    <w:rsid w:val="008C03C9"/>
    <w:rsid w:val="008C0762"/>
    <w:rsid w:val="008C17FA"/>
    <w:rsid w:val="008C25E0"/>
    <w:rsid w:val="008C2605"/>
    <w:rsid w:val="008C3A6C"/>
    <w:rsid w:val="008C4704"/>
    <w:rsid w:val="008C4998"/>
    <w:rsid w:val="008C5661"/>
    <w:rsid w:val="008C5DCA"/>
    <w:rsid w:val="008C5FD3"/>
    <w:rsid w:val="008C6A7E"/>
    <w:rsid w:val="008C743A"/>
    <w:rsid w:val="008C7C37"/>
    <w:rsid w:val="008D0068"/>
    <w:rsid w:val="008D13C6"/>
    <w:rsid w:val="008D318F"/>
    <w:rsid w:val="008D3995"/>
    <w:rsid w:val="008D52F4"/>
    <w:rsid w:val="008D52FD"/>
    <w:rsid w:val="008D5584"/>
    <w:rsid w:val="008D578A"/>
    <w:rsid w:val="008D57B1"/>
    <w:rsid w:val="008D5869"/>
    <w:rsid w:val="008D5B3C"/>
    <w:rsid w:val="008D5F05"/>
    <w:rsid w:val="008D75D4"/>
    <w:rsid w:val="008E1757"/>
    <w:rsid w:val="008E2356"/>
    <w:rsid w:val="008E2D91"/>
    <w:rsid w:val="008E37F5"/>
    <w:rsid w:val="008E3962"/>
    <w:rsid w:val="008E4EA7"/>
    <w:rsid w:val="008E54B5"/>
    <w:rsid w:val="008E62ED"/>
    <w:rsid w:val="008E658D"/>
    <w:rsid w:val="008E67CD"/>
    <w:rsid w:val="008F10B9"/>
    <w:rsid w:val="008F3881"/>
    <w:rsid w:val="008F3AF0"/>
    <w:rsid w:val="008F49C9"/>
    <w:rsid w:val="008F7740"/>
    <w:rsid w:val="009008F5"/>
    <w:rsid w:val="00901082"/>
    <w:rsid w:val="0090118F"/>
    <w:rsid w:val="00902157"/>
    <w:rsid w:val="00902E8A"/>
    <w:rsid w:val="0090418A"/>
    <w:rsid w:val="009057F7"/>
    <w:rsid w:val="00905E96"/>
    <w:rsid w:val="00906005"/>
    <w:rsid w:val="009075B6"/>
    <w:rsid w:val="00907F21"/>
    <w:rsid w:val="00910C02"/>
    <w:rsid w:val="00910D5A"/>
    <w:rsid w:val="0091193E"/>
    <w:rsid w:val="00911DF5"/>
    <w:rsid w:val="0091370F"/>
    <w:rsid w:val="0091423E"/>
    <w:rsid w:val="009142F4"/>
    <w:rsid w:val="009167F6"/>
    <w:rsid w:val="00916EAD"/>
    <w:rsid w:val="00920194"/>
    <w:rsid w:val="00921011"/>
    <w:rsid w:val="009220E2"/>
    <w:rsid w:val="00922DE7"/>
    <w:rsid w:val="00925F15"/>
    <w:rsid w:val="00926DAB"/>
    <w:rsid w:val="00930054"/>
    <w:rsid w:val="009303BA"/>
    <w:rsid w:val="00932AD2"/>
    <w:rsid w:val="00933924"/>
    <w:rsid w:val="00933944"/>
    <w:rsid w:val="00933C44"/>
    <w:rsid w:val="00934476"/>
    <w:rsid w:val="00934CAB"/>
    <w:rsid w:val="00936328"/>
    <w:rsid w:val="00942624"/>
    <w:rsid w:val="0094289B"/>
    <w:rsid w:val="00942CCD"/>
    <w:rsid w:val="009451E5"/>
    <w:rsid w:val="0094528B"/>
    <w:rsid w:val="00947FEE"/>
    <w:rsid w:val="00951658"/>
    <w:rsid w:val="00951AE1"/>
    <w:rsid w:val="00954164"/>
    <w:rsid w:val="0095467B"/>
    <w:rsid w:val="00954723"/>
    <w:rsid w:val="00954A6E"/>
    <w:rsid w:val="00963669"/>
    <w:rsid w:val="009656CF"/>
    <w:rsid w:val="00965823"/>
    <w:rsid w:val="00967B7D"/>
    <w:rsid w:val="00967BAA"/>
    <w:rsid w:val="00970AE1"/>
    <w:rsid w:val="00970D9C"/>
    <w:rsid w:val="009711BF"/>
    <w:rsid w:val="00971215"/>
    <w:rsid w:val="009716C3"/>
    <w:rsid w:val="00972389"/>
    <w:rsid w:val="00972C81"/>
    <w:rsid w:val="00972D15"/>
    <w:rsid w:val="0097347B"/>
    <w:rsid w:val="00974CAD"/>
    <w:rsid w:val="00975393"/>
    <w:rsid w:val="0097542C"/>
    <w:rsid w:val="00976FC3"/>
    <w:rsid w:val="00976FFA"/>
    <w:rsid w:val="0098213B"/>
    <w:rsid w:val="009823F7"/>
    <w:rsid w:val="0098521B"/>
    <w:rsid w:val="0098542D"/>
    <w:rsid w:val="009858E2"/>
    <w:rsid w:val="00986845"/>
    <w:rsid w:val="0098686E"/>
    <w:rsid w:val="00986940"/>
    <w:rsid w:val="00987796"/>
    <w:rsid w:val="00990B82"/>
    <w:rsid w:val="009916B0"/>
    <w:rsid w:val="00991702"/>
    <w:rsid w:val="009920D7"/>
    <w:rsid w:val="0099376B"/>
    <w:rsid w:val="00993F21"/>
    <w:rsid w:val="0099602B"/>
    <w:rsid w:val="00996A73"/>
    <w:rsid w:val="00996B1F"/>
    <w:rsid w:val="009973AE"/>
    <w:rsid w:val="00997BA0"/>
    <w:rsid w:val="009A2ADB"/>
    <w:rsid w:val="009A3DA0"/>
    <w:rsid w:val="009A3E9D"/>
    <w:rsid w:val="009A4C58"/>
    <w:rsid w:val="009A5C94"/>
    <w:rsid w:val="009A6C63"/>
    <w:rsid w:val="009B3412"/>
    <w:rsid w:val="009B362C"/>
    <w:rsid w:val="009B3899"/>
    <w:rsid w:val="009B3F56"/>
    <w:rsid w:val="009B69AA"/>
    <w:rsid w:val="009B7C78"/>
    <w:rsid w:val="009C0D9D"/>
    <w:rsid w:val="009C1687"/>
    <w:rsid w:val="009C2E4C"/>
    <w:rsid w:val="009C32E3"/>
    <w:rsid w:val="009C5D66"/>
    <w:rsid w:val="009C6240"/>
    <w:rsid w:val="009C64CF"/>
    <w:rsid w:val="009C6AE9"/>
    <w:rsid w:val="009C7E6B"/>
    <w:rsid w:val="009D08E4"/>
    <w:rsid w:val="009D090E"/>
    <w:rsid w:val="009D22AB"/>
    <w:rsid w:val="009D2FC2"/>
    <w:rsid w:val="009D3BF9"/>
    <w:rsid w:val="009D48E3"/>
    <w:rsid w:val="009D4BF0"/>
    <w:rsid w:val="009D599B"/>
    <w:rsid w:val="009D7A48"/>
    <w:rsid w:val="009E1291"/>
    <w:rsid w:val="009E156C"/>
    <w:rsid w:val="009E23E2"/>
    <w:rsid w:val="009E277E"/>
    <w:rsid w:val="009E27F9"/>
    <w:rsid w:val="009E470D"/>
    <w:rsid w:val="009E485C"/>
    <w:rsid w:val="009E663E"/>
    <w:rsid w:val="009E680B"/>
    <w:rsid w:val="009E6DF0"/>
    <w:rsid w:val="009E7A4A"/>
    <w:rsid w:val="009F03CE"/>
    <w:rsid w:val="009F089D"/>
    <w:rsid w:val="009F0BB7"/>
    <w:rsid w:val="009F1802"/>
    <w:rsid w:val="009F27BE"/>
    <w:rsid w:val="009F3D9C"/>
    <w:rsid w:val="009F4837"/>
    <w:rsid w:val="009F5C68"/>
    <w:rsid w:val="009F5FD7"/>
    <w:rsid w:val="009F672A"/>
    <w:rsid w:val="009F7239"/>
    <w:rsid w:val="009F75B1"/>
    <w:rsid w:val="00A00FAD"/>
    <w:rsid w:val="00A01FDB"/>
    <w:rsid w:val="00A02CE9"/>
    <w:rsid w:val="00A04FA0"/>
    <w:rsid w:val="00A077E2"/>
    <w:rsid w:val="00A07A23"/>
    <w:rsid w:val="00A07F46"/>
    <w:rsid w:val="00A10E73"/>
    <w:rsid w:val="00A122D8"/>
    <w:rsid w:val="00A12E8A"/>
    <w:rsid w:val="00A131CE"/>
    <w:rsid w:val="00A1559F"/>
    <w:rsid w:val="00A15A1F"/>
    <w:rsid w:val="00A160CE"/>
    <w:rsid w:val="00A16278"/>
    <w:rsid w:val="00A16DB5"/>
    <w:rsid w:val="00A16E20"/>
    <w:rsid w:val="00A200D1"/>
    <w:rsid w:val="00A203A3"/>
    <w:rsid w:val="00A211E1"/>
    <w:rsid w:val="00A22122"/>
    <w:rsid w:val="00A2232F"/>
    <w:rsid w:val="00A225D2"/>
    <w:rsid w:val="00A2352C"/>
    <w:rsid w:val="00A3025E"/>
    <w:rsid w:val="00A32EE1"/>
    <w:rsid w:val="00A3325A"/>
    <w:rsid w:val="00A33FAA"/>
    <w:rsid w:val="00A37E21"/>
    <w:rsid w:val="00A410DF"/>
    <w:rsid w:val="00A42630"/>
    <w:rsid w:val="00A4306A"/>
    <w:rsid w:val="00A44040"/>
    <w:rsid w:val="00A452C1"/>
    <w:rsid w:val="00A4550B"/>
    <w:rsid w:val="00A45F29"/>
    <w:rsid w:val="00A45FE3"/>
    <w:rsid w:val="00A51C09"/>
    <w:rsid w:val="00A52F43"/>
    <w:rsid w:val="00A53184"/>
    <w:rsid w:val="00A53A6F"/>
    <w:rsid w:val="00A54AAE"/>
    <w:rsid w:val="00A56E08"/>
    <w:rsid w:val="00A57108"/>
    <w:rsid w:val="00A60A46"/>
    <w:rsid w:val="00A60F62"/>
    <w:rsid w:val="00A61103"/>
    <w:rsid w:val="00A64E85"/>
    <w:rsid w:val="00A651AF"/>
    <w:rsid w:val="00A65DD8"/>
    <w:rsid w:val="00A66C8F"/>
    <w:rsid w:val="00A673EB"/>
    <w:rsid w:val="00A67D52"/>
    <w:rsid w:val="00A707F7"/>
    <w:rsid w:val="00A710D9"/>
    <w:rsid w:val="00A712A6"/>
    <w:rsid w:val="00A7163E"/>
    <w:rsid w:val="00A71D31"/>
    <w:rsid w:val="00A71F93"/>
    <w:rsid w:val="00A728A0"/>
    <w:rsid w:val="00A7294F"/>
    <w:rsid w:val="00A739AE"/>
    <w:rsid w:val="00A73D39"/>
    <w:rsid w:val="00A749D5"/>
    <w:rsid w:val="00A74C02"/>
    <w:rsid w:val="00A7539E"/>
    <w:rsid w:val="00A756BB"/>
    <w:rsid w:val="00A76F0E"/>
    <w:rsid w:val="00A77799"/>
    <w:rsid w:val="00A80024"/>
    <w:rsid w:val="00A80CFB"/>
    <w:rsid w:val="00A813F7"/>
    <w:rsid w:val="00A814CC"/>
    <w:rsid w:val="00A820F7"/>
    <w:rsid w:val="00A829B6"/>
    <w:rsid w:val="00A82B58"/>
    <w:rsid w:val="00A84E87"/>
    <w:rsid w:val="00A84F04"/>
    <w:rsid w:val="00A85E44"/>
    <w:rsid w:val="00A85F28"/>
    <w:rsid w:val="00A87717"/>
    <w:rsid w:val="00A917F1"/>
    <w:rsid w:val="00A91A1E"/>
    <w:rsid w:val="00A93478"/>
    <w:rsid w:val="00A93E48"/>
    <w:rsid w:val="00A9492D"/>
    <w:rsid w:val="00A973CD"/>
    <w:rsid w:val="00A97736"/>
    <w:rsid w:val="00AA0B61"/>
    <w:rsid w:val="00AA219C"/>
    <w:rsid w:val="00AA283E"/>
    <w:rsid w:val="00AA2E9D"/>
    <w:rsid w:val="00AA367B"/>
    <w:rsid w:val="00AA3A48"/>
    <w:rsid w:val="00AA4379"/>
    <w:rsid w:val="00AA60BA"/>
    <w:rsid w:val="00AA6105"/>
    <w:rsid w:val="00AA77B8"/>
    <w:rsid w:val="00AA7AF0"/>
    <w:rsid w:val="00AB14D0"/>
    <w:rsid w:val="00AB16C8"/>
    <w:rsid w:val="00AB39FB"/>
    <w:rsid w:val="00AB415F"/>
    <w:rsid w:val="00AB4225"/>
    <w:rsid w:val="00AB4B72"/>
    <w:rsid w:val="00AB712F"/>
    <w:rsid w:val="00AB7E72"/>
    <w:rsid w:val="00AB7EB3"/>
    <w:rsid w:val="00AC0B77"/>
    <w:rsid w:val="00AC0EC6"/>
    <w:rsid w:val="00AC1F93"/>
    <w:rsid w:val="00AC24CF"/>
    <w:rsid w:val="00AC2697"/>
    <w:rsid w:val="00AC3F23"/>
    <w:rsid w:val="00AC3FAC"/>
    <w:rsid w:val="00AC4E68"/>
    <w:rsid w:val="00AC644B"/>
    <w:rsid w:val="00AC7689"/>
    <w:rsid w:val="00AC793F"/>
    <w:rsid w:val="00AD0F7C"/>
    <w:rsid w:val="00AD1E86"/>
    <w:rsid w:val="00AD260E"/>
    <w:rsid w:val="00AD2BCD"/>
    <w:rsid w:val="00AD2DCA"/>
    <w:rsid w:val="00AD387B"/>
    <w:rsid w:val="00AD39C7"/>
    <w:rsid w:val="00AD39F0"/>
    <w:rsid w:val="00AD3F91"/>
    <w:rsid w:val="00AD43F3"/>
    <w:rsid w:val="00AD4612"/>
    <w:rsid w:val="00AD4815"/>
    <w:rsid w:val="00AD5959"/>
    <w:rsid w:val="00AD70E8"/>
    <w:rsid w:val="00AD7675"/>
    <w:rsid w:val="00AD7CFC"/>
    <w:rsid w:val="00AD7DB2"/>
    <w:rsid w:val="00AE0BDD"/>
    <w:rsid w:val="00AE13B7"/>
    <w:rsid w:val="00AE13EB"/>
    <w:rsid w:val="00AE15B1"/>
    <w:rsid w:val="00AE19AA"/>
    <w:rsid w:val="00AE42E7"/>
    <w:rsid w:val="00AE54E2"/>
    <w:rsid w:val="00AF0070"/>
    <w:rsid w:val="00AF05D2"/>
    <w:rsid w:val="00AF108A"/>
    <w:rsid w:val="00AF13BF"/>
    <w:rsid w:val="00AF1BE4"/>
    <w:rsid w:val="00AF3364"/>
    <w:rsid w:val="00AF3886"/>
    <w:rsid w:val="00AF5C99"/>
    <w:rsid w:val="00AF5EB3"/>
    <w:rsid w:val="00AF61CC"/>
    <w:rsid w:val="00AF6728"/>
    <w:rsid w:val="00AF6892"/>
    <w:rsid w:val="00AF76D1"/>
    <w:rsid w:val="00B0030E"/>
    <w:rsid w:val="00B01AEB"/>
    <w:rsid w:val="00B02D18"/>
    <w:rsid w:val="00B02E55"/>
    <w:rsid w:val="00B03B57"/>
    <w:rsid w:val="00B03C7E"/>
    <w:rsid w:val="00B048D2"/>
    <w:rsid w:val="00B04F34"/>
    <w:rsid w:val="00B05B51"/>
    <w:rsid w:val="00B11FB2"/>
    <w:rsid w:val="00B12A48"/>
    <w:rsid w:val="00B1409A"/>
    <w:rsid w:val="00B16891"/>
    <w:rsid w:val="00B176A7"/>
    <w:rsid w:val="00B17B63"/>
    <w:rsid w:val="00B2002C"/>
    <w:rsid w:val="00B20FA1"/>
    <w:rsid w:val="00B213B4"/>
    <w:rsid w:val="00B22B61"/>
    <w:rsid w:val="00B2404A"/>
    <w:rsid w:val="00B24E25"/>
    <w:rsid w:val="00B25C9D"/>
    <w:rsid w:val="00B27357"/>
    <w:rsid w:val="00B274E0"/>
    <w:rsid w:val="00B27F58"/>
    <w:rsid w:val="00B30BFA"/>
    <w:rsid w:val="00B30C5D"/>
    <w:rsid w:val="00B31600"/>
    <w:rsid w:val="00B3199B"/>
    <w:rsid w:val="00B32215"/>
    <w:rsid w:val="00B342A0"/>
    <w:rsid w:val="00B344E7"/>
    <w:rsid w:val="00B345AC"/>
    <w:rsid w:val="00B34674"/>
    <w:rsid w:val="00B3471F"/>
    <w:rsid w:val="00B37A10"/>
    <w:rsid w:val="00B41247"/>
    <w:rsid w:val="00B41361"/>
    <w:rsid w:val="00B413F2"/>
    <w:rsid w:val="00B419E2"/>
    <w:rsid w:val="00B41B46"/>
    <w:rsid w:val="00B429A8"/>
    <w:rsid w:val="00B42A05"/>
    <w:rsid w:val="00B42D73"/>
    <w:rsid w:val="00B42E8E"/>
    <w:rsid w:val="00B42FA1"/>
    <w:rsid w:val="00B43642"/>
    <w:rsid w:val="00B43C06"/>
    <w:rsid w:val="00B43DD0"/>
    <w:rsid w:val="00B441AA"/>
    <w:rsid w:val="00B447F5"/>
    <w:rsid w:val="00B4515F"/>
    <w:rsid w:val="00B45FE5"/>
    <w:rsid w:val="00B46013"/>
    <w:rsid w:val="00B47D3C"/>
    <w:rsid w:val="00B52129"/>
    <w:rsid w:val="00B5284A"/>
    <w:rsid w:val="00B54112"/>
    <w:rsid w:val="00B54904"/>
    <w:rsid w:val="00B55CC7"/>
    <w:rsid w:val="00B56CE1"/>
    <w:rsid w:val="00B570D9"/>
    <w:rsid w:val="00B61364"/>
    <w:rsid w:val="00B621C7"/>
    <w:rsid w:val="00B64536"/>
    <w:rsid w:val="00B647F4"/>
    <w:rsid w:val="00B64970"/>
    <w:rsid w:val="00B64B86"/>
    <w:rsid w:val="00B65233"/>
    <w:rsid w:val="00B65D9F"/>
    <w:rsid w:val="00B66B57"/>
    <w:rsid w:val="00B672F4"/>
    <w:rsid w:val="00B676A4"/>
    <w:rsid w:val="00B70F2B"/>
    <w:rsid w:val="00B721DC"/>
    <w:rsid w:val="00B7286E"/>
    <w:rsid w:val="00B73352"/>
    <w:rsid w:val="00B74A5B"/>
    <w:rsid w:val="00B7567A"/>
    <w:rsid w:val="00B76223"/>
    <w:rsid w:val="00B76FBC"/>
    <w:rsid w:val="00B771F7"/>
    <w:rsid w:val="00B7780A"/>
    <w:rsid w:val="00B80662"/>
    <w:rsid w:val="00B816E5"/>
    <w:rsid w:val="00B81DD9"/>
    <w:rsid w:val="00B8205D"/>
    <w:rsid w:val="00B835F0"/>
    <w:rsid w:val="00B840E8"/>
    <w:rsid w:val="00B842DD"/>
    <w:rsid w:val="00B8485D"/>
    <w:rsid w:val="00B86518"/>
    <w:rsid w:val="00B8676E"/>
    <w:rsid w:val="00B87A6F"/>
    <w:rsid w:val="00B90397"/>
    <w:rsid w:val="00B9081B"/>
    <w:rsid w:val="00B90928"/>
    <w:rsid w:val="00B917FF"/>
    <w:rsid w:val="00B91B64"/>
    <w:rsid w:val="00B92D4F"/>
    <w:rsid w:val="00B9324E"/>
    <w:rsid w:val="00B93720"/>
    <w:rsid w:val="00B93BFC"/>
    <w:rsid w:val="00B94079"/>
    <w:rsid w:val="00B96631"/>
    <w:rsid w:val="00B96992"/>
    <w:rsid w:val="00B96A88"/>
    <w:rsid w:val="00BA005C"/>
    <w:rsid w:val="00BA09B4"/>
    <w:rsid w:val="00BA0E5D"/>
    <w:rsid w:val="00BA2A7B"/>
    <w:rsid w:val="00BA2E84"/>
    <w:rsid w:val="00BA2EB4"/>
    <w:rsid w:val="00BA336E"/>
    <w:rsid w:val="00BA3516"/>
    <w:rsid w:val="00BA420C"/>
    <w:rsid w:val="00BA4B07"/>
    <w:rsid w:val="00BA57BF"/>
    <w:rsid w:val="00BA6784"/>
    <w:rsid w:val="00BA6B0E"/>
    <w:rsid w:val="00BB06AD"/>
    <w:rsid w:val="00BB0BC1"/>
    <w:rsid w:val="00BB1226"/>
    <w:rsid w:val="00BB1B86"/>
    <w:rsid w:val="00BB204D"/>
    <w:rsid w:val="00BB217E"/>
    <w:rsid w:val="00BB37EE"/>
    <w:rsid w:val="00BB3CE1"/>
    <w:rsid w:val="00BB4634"/>
    <w:rsid w:val="00BB518B"/>
    <w:rsid w:val="00BB55DB"/>
    <w:rsid w:val="00BB6D7B"/>
    <w:rsid w:val="00BB728C"/>
    <w:rsid w:val="00BB791B"/>
    <w:rsid w:val="00BB7A9E"/>
    <w:rsid w:val="00BC10DA"/>
    <w:rsid w:val="00BC197D"/>
    <w:rsid w:val="00BC4A49"/>
    <w:rsid w:val="00BC6C14"/>
    <w:rsid w:val="00BC74D6"/>
    <w:rsid w:val="00BC7585"/>
    <w:rsid w:val="00BD1581"/>
    <w:rsid w:val="00BD2437"/>
    <w:rsid w:val="00BD2D3C"/>
    <w:rsid w:val="00BD5B75"/>
    <w:rsid w:val="00BD66D9"/>
    <w:rsid w:val="00BD6A77"/>
    <w:rsid w:val="00BD6C65"/>
    <w:rsid w:val="00BD74A7"/>
    <w:rsid w:val="00BE18A3"/>
    <w:rsid w:val="00BE2FD4"/>
    <w:rsid w:val="00BE415B"/>
    <w:rsid w:val="00BE48DA"/>
    <w:rsid w:val="00BE50DF"/>
    <w:rsid w:val="00BE564B"/>
    <w:rsid w:val="00BE5835"/>
    <w:rsid w:val="00BE61F9"/>
    <w:rsid w:val="00BE68AE"/>
    <w:rsid w:val="00BE6E04"/>
    <w:rsid w:val="00BE7409"/>
    <w:rsid w:val="00BE75F0"/>
    <w:rsid w:val="00BE7ABA"/>
    <w:rsid w:val="00BF09F3"/>
    <w:rsid w:val="00BF0DA7"/>
    <w:rsid w:val="00BF1DF8"/>
    <w:rsid w:val="00BF3636"/>
    <w:rsid w:val="00BF3925"/>
    <w:rsid w:val="00BF5E39"/>
    <w:rsid w:val="00BF70EA"/>
    <w:rsid w:val="00BF74C8"/>
    <w:rsid w:val="00BF7ECF"/>
    <w:rsid w:val="00BF7FE0"/>
    <w:rsid w:val="00C00132"/>
    <w:rsid w:val="00C00D7D"/>
    <w:rsid w:val="00C00EA2"/>
    <w:rsid w:val="00C0169D"/>
    <w:rsid w:val="00C0331D"/>
    <w:rsid w:val="00C040A1"/>
    <w:rsid w:val="00C0457B"/>
    <w:rsid w:val="00C05404"/>
    <w:rsid w:val="00C056C1"/>
    <w:rsid w:val="00C06679"/>
    <w:rsid w:val="00C06A7A"/>
    <w:rsid w:val="00C06E2A"/>
    <w:rsid w:val="00C06E45"/>
    <w:rsid w:val="00C0714C"/>
    <w:rsid w:val="00C071D4"/>
    <w:rsid w:val="00C1082E"/>
    <w:rsid w:val="00C10DE8"/>
    <w:rsid w:val="00C11A96"/>
    <w:rsid w:val="00C12669"/>
    <w:rsid w:val="00C12EF3"/>
    <w:rsid w:val="00C17EA4"/>
    <w:rsid w:val="00C2010A"/>
    <w:rsid w:val="00C20597"/>
    <w:rsid w:val="00C20A28"/>
    <w:rsid w:val="00C2154E"/>
    <w:rsid w:val="00C22DED"/>
    <w:rsid w:val="00C23C34"/>
    <w:rsid w:val="00C250E0"/>
    <w:rsid w:val="00C2518A"/>
    <w:rsid w:val="00C25DFB"/>
    <w:rsid w:val="00C30037"/>
    <w:rsid w:val="00C32B9D"/>
    <w:rsid w:val="00C3385F"/>
    <w:rsid w:val="00C353C1"/>
    <w:rsid w:val="00C37F55"/>
    <w:rsid w:val="00C40F27"/>
    <w:rsid w:val="00C428D5"/>
    <w:rsid w:val="00C42CCB"/>
    <w:rsid w:val="00C43283"/>
    <w:rsid w:val="00C448E8"/>
    <w:rsid w:val="00C44D6B"/>
    <w:rsid w:val="00C4562D"/>
    <w:rsid w:val="00C47409"/>
    <w:rsid w:val="00C478DE"/>
    <w:rsid w:val="00C47DDE"/>
    <w:rsid w:val="00C50031"/>
    <w:rsid w:val="00C50B6F"/>
    <w:rsid w:val="00C539B4"/>
    <w:rsid w:val="00C53BC4"/>
    <w:rsid w:val="00C544DB"/>
    <w:rsid w:val="00C54EE8"/>
    <w:rsid w:val="00C553BA"/>
    <w:rsid w:val="00C5686E"/>
    <w:rsid w:val="00C568D0"/>
    <w:rsid w:val="00C57A0B"/>
    <w:rsid w:val="00C57B7D"/>
    <w:rsid w:val="00C57E99"/>
    <w:rsid w:val="00C57EA4"/>
    <w:rsid w:val="00C57F74"/>
    <w:rsid w:val="00C6011A"/>
    <w:rsid w:val="00C61380"/>
    <w:rsid w:val="00C6182C"/>
    <w:rsid w:val="00C6212D"/>
    <w:rsid w:val="00C63D16"/>
    <w:rsid w:val="00C64CB1"/>
    <w:rsid w:val="00C651C2"/>
    <w:rsid w:val="00C655DF"/>
    <w:rsid w:val="00C659D0"/>
    <w:rsid w:val="00C65C4E"/>
    <w:rsid w:val="00C65E26"/>
    <w:rsid w:val="00C7005B"/>
    <w:rsid w:val="00C70657"/>
    <w:rsid w:val="00C7237C"/>
    <w:rsid w:val="00C74477"/>
    <w:rsid w:val="00C744BE"/>
    <w:rsid w:val="00C74BF8"/>
    <w:rsid w:val="00C75119"/>
    <w:rsid w:val="00C80386"/>
    <w:rsid w:val="00C8048E"/>
    <w:rsid w:val="00C80FF0"/>
    <w:rsid w:val="00C81DDE"/>
    <w:rsid w:val="00C8329C"/>
    <w:rsid w:val="00C836C2"/>
    <w:rsid w:val="00C84457"/>
    <w:rsid w:val="00C849D8"/>
    <w:rsid w:val="00C8500A"/>
    <w:rsid w:val="00C859C6"/>
    <w:rsid w:val="00C85B06"/>
    <w:rsid w:val="00C86F6E"/>
    <w:rsid w:val="00C920C9"/>
    <w:rsid w:val="00C92D69"/>
    <w:rsid w:val="00C931DC"/>
    <w:rsid w:val="00C9405E"/>
    <w:rsid w:val="00C94C89"/>
    <w:rsid w:val="00C94F0D"/>
    <w:rsid w:val="00C952B4"/>
    <w:rsid w:val="00C956EF"/>
    <w:rsid w:val="00CA0360"/>
    <w:rsid w:val="00CA284C"/>
    <w:rsid w:val="00CA311A"/>
    <w:rsid w:val="00CA36CC"/>
    <w:rsid w:val="00CA37E7"/>
    <w:rsid w:val="00CA37FB"/>
    <w:rsid w:val="00CA6009"/>
    <w:rsid w:val="00CA63FA"/>
    <w:rsid w:val="00CA66F2"/>
    <w:rsid w:val="00CB0C9A"/>
    <w:rsid w:val="00CB1A41"/>
    <w:rsid w:val="00CB1B05"/>
    <w:rsid w:val="00CB1B29"/>
    <w:rsid w:val="00CB2F23"/>
    <w:rsid w:val="00CB4083"/>
    <w:rsid w:val="00CC1517"/>
    <w:rsid w:val="00CC15D4"/>
    <w:rsid w:val="00CC1CEB"/>
    <w:rsid w:val="00CC4B4E"/>
    <w:rsid w:val="00CC4FD0"/>
    <w:rsid w:val="00CC7F77"/>
    <w:rsid w:val="00CD1691"/>
    <w:rsid w:val="00CD16AC"/>
    <w:rsid w:val="00CD3D03"/>
    <w:rsid w:val="00CD52D6"/>
    <w:rsid w:val="00CD60CE"/>
    <w:rsid w:val="00CD61CC"/>
    <w:rsid w:val="00CD6AFA"/>
    <w:rsid w:val="00CD78D8"/>
    <w:rsid w:val="00CE246C"/>
    <w:rsid w:val="00CE2F14"/>
    <w:rsid w:val="00CE2F48"/>
    <w:rsid w:val="00CE3240"/>
    <w:rsid w:val="00CE3CF7"/>
    <w:rsid w:val="00CE3E45"/>
    <w:rsid w:val="00CE4759"/>
    <w:rsid w:val="00CE6A67"/>
    <w:rsid w:val="00CE6D7B"/>
    <w:rsid w:val="00CE7997"/>
    <w:rsid w:val="00CF0343"/>
    <w:rsid w:val="00CF063E"/>
    <w:rsid w:val="00CF1546"/>
    <w:rsid w:val="00CF1D09"/>
    <w:rsid w:val="00CF1E07"/>
    <w:rsid w:val="00CF2255"/>
    <w:rsid w:val="00CF2408"/>
    <w:rsid w:val="00CF3B07"/>
    <w:rsid w:val="00CF42B8"/>
    <w:rsid w:val="00CF499F"/>
    <w:rsid w:val="00CF4DE0"/>
    <w:rsid w:val="00CF5207"/>
    <w:rsid w:val="00CF58B7"/>
    <w:rsid w:val="00CF6684"/>
    <w:rsid w:val="00CF6816"/>
    <w:rsid w:val="00CF7797"/>
    <w:rsid w:val="00CF7C35"/>
    <w:rsid w:val="00D0095E"/>
    <w:rsid w:val="00D01D55"/>
    <w:rsid w:val="00D022A5"/>
    <w:rsid w:val="00D027C1"/>
    <w:rsid w:val="00D02F08"/>
    <w:rsid w:val="00D04185"/>
    <w:rsid w:val="00D04B91"/>
    <w:rsid w:val="00D078F5"/>
    <w:rsid w:val="00D07AA2"/>
    <w:rsid w:val="00D12A75"/>
    <w:rsid w:val="00D13854"/>
    <w:rsid w:val="00D13ABD"/>
    <w:rsid w:val="00D141F5"/>
    <w:rsid w:val="00D14392"/>
    <w:rsid w:val="00D14FE3"/>
    <w:rsid w:val="00D158DA"/>
    <w:rsid w:val="00D160E0"/>
    <w:rsid w:val="00D16399"/>
    <w:rsid w:val="00D163C0"/>
    <w:rsid w:val="00D16D6B"/>
    <w:rsid w:val="00D20529"/>
    <w:rsid w:val="00D2065C"/>
    <w:rsid w:val="00D20AFB"/>
    <w:rsid w:val="00D2187A"/>
    <w:rsid w:val="00D21887"/>
    <w:rsid w:val="00D221DA"/>
    <w:rsid w:val="00D228EF"/>
    <w:rsid w:val="00D2295E"/>
    <w:rsid w:val="00D23536"/>
    <w:rsid w:val="00D2407B"/>
    <w:rsid w:val="00D24E89"/>
    <w:rsid w:val="00D255CA"/>
    <w:rsid w:val="00D2593D"/>
    <w:rsid w:val="00D26751"/>
    <w:rsid w:val="00D3146E"/>
    <w:rsid w:val="00D33B5E"/>
    <w:rsid w:val="00D3467D"/>
    <w:rsid w:val="00D351C1"/>
    <w:rsid w:val="00D35F14"/>
    <w:rsid w:val="00D36586"/>
    <w:rsid w:val="00D36B7E"/>
    <w:rsid w:val="00D376BD"/>
    <w:rsid w:val="00D376FC"/>
    <w:rsid w:val="00D41D49"/>
    <w:rsid w:val="00D43438"/>
    <w:rsid w:val="00D4396E"/>
    <w:rsid w:val="00D439AA"/>
    <w:rsid w:val="00D43BC7"/>
    <w:rsid w:val="00D43D36"/>
    <w:rsid w:val="00D44B1A"/>
    <w:rsid w:val="00D44D03"/>
    <w:rsid w:val="00D44D8A"/>
    <w:rsid w:val="00D47575"/>
    <w:rsid w:val="00D50532"/>
    <w:rsid w:val="00D50FCD"/>
    <w:rsid w:val="00D53009"/>
    <w:rsid w:val="00D537D3"/>
    <w:rsid w:val="00D53A67"/>
    <w:rsid w:val="00D53F19"/>
    <w:rsid w:val="00D568DD"/>
    <w:rsid w:val="00D57CEB"/>
    <w:rsid w:val="00D6033C"/>
    <w:rsid w:val="00D60DB4"/>
    <w:rsid w:val="00D6110B"/>
    <w:rsid w:val="00D612F3"/>
    <w:rsid w:val="00D6229F"/>
    <w:rsid w:val="00D64ABA"/>
    <w:rsid w:val="00D6638A"/>
    <w:rsid w:val="00D66CC8"/>
    <w:rsid w:val="00D670D3"/>
    <w:rsid w:val="00D672F1"/>
    <w:rsid w:val="00D71678"/>
    <w:rsid w:val="00D71B5E"/>
    <w:rsid w:val="00D731A9"/>
    <w:rsid w:val="00D73371"/>
    <w:rsid w:val="00D7384E"/>
    <w:rsid w:val="00D74CA1"/>
    <w:rsid w:val="00D7532E"/>
    <w:rsid w:val="00D75EEC"/>
    <w:rsid w:val="00D80157"/>
    <w:rsid w:val="00D807A0"/>
    <w:rsid w:val="00D814B3"/>
    <w:rsid w:val="00D8195A"/>
    <w:rsid w:val="00D82346"/>
    <w:rsid w:val="00D83CAF"/>
    <w:rsid w:val="00D84014"/>
    <w:rsid w:val="00D858B6"/>
    <w:rsid w:val="00D8602A"/>
    <w:rsid w:val="00D862D3"/>
    <w:rsid w:val="00D86BF0"/>
    <w:rsid w:val="00D87ED9"/>
    <w:rsid w:val="00D91543"/>
    <w:rsid w:val="00D91EE9"/>
    <w:rsid w:val="00D91F8E"/>
    <w:rsid w:val="00D923BF"/>
    <w:rsid w:val="00D9316B"/>
    <w:rsid w:val="00D94311"/>
    <w:rsid w:val="00D94464"/>
    <w:rsid w:val="00D94834"/>
    <w:rsid w:val="00D9490F"/>
    <w:rsid w:val="00D958E0"/>
    <w:rsid w:val="00D95CC2"/>
    <w:rsid w:val="00D95DAD"/>
    <w:rsid w:val="00D95FA4"/>
    <w:rsid w:val="00D96ED6"/>
    <w:rsid w:val="00D96F1B"/>
    <w:rsid w:val="00D97876"/>
    <w:rsid w:val="00DA1DB4"/>
    <w:rsid w:val="00DA2E47"/>
    <w:rsid w:val="00DA3BE2"/>
    <w:rsid w:val="00DA5A53"/>
    <w:rsid w:val="00DB0742"/>
    <w:rsid w:val="00DB2828"/>
    <w:rsid w:val="00DB2C50"/>
    <w:rsid w:val="00DB2E5B"/>
    <w:rsid w:val="00DB30D4"/>
    <w:rsid w:val="00DB3A53"/>
    <w:rsid w:val="00DB42C9"/>
    <w:rsid w:val="00DB4D4C"/>
    <w:rsid w:val="00DB523C"/>
    <w:rsid w:val="00DB5D9E"/>
    <w:rsid w:val="00DB5DB4"/>
    <w:rsid w:val="00DB6106"/>
    <w:rsid w:val="00DB6B0F"/>
    <w:rsid w:val="00DB792F"/>
    <w:rsid w:val="00DB7FA2"/>
    <w:rsid w:val="00DC23A9"/>
    <w:rsid w:val="00DC2522"/>
    <w:rsid w:val="00DC29B0"/>
    <w:rsid w:val="00DC5B94"/>
    <w:rsid w:val="00DC61A8"/>
    <w:rsid w:val="00DC759F"/>
    <w:rsid w:val="00DD0BD8"/>
    <w:rsid w:val="00DD1147"/>
    <w:rsid w:val="00DD1198"/>
    <w:rsid w:val="00DD1BFE"/>
    <w:rsid w:val="00DD1CB9"/>
    <w:rsid w:val="00DD4DDA"/>
    <w:rsid w:val="00DD5593"/>
    <w:rsid w:val="00DD56F6"/>
    <w:rsid w:val="00DD610B"/>
    <w:rsid w:val="00DD6603"/>
    <w:rsid w:val="00DE05AF"/>
    <w:rsid w:val="00DE0CB4"/>
    <w:rsid w:val="00DE16BB"/>
    <w:rsid w:val="00DE1D32"/>
    <w:rsid w:val="00DE26B5"/>
    <w:rsid w:val="00DF11E0"/>
    <w:rsid w:val="00DF169E"/>
    <w:rsid w:val="00DF1BE4"/>
    <w:rsid w:val="00DF2D9D"/>
    <w:rsid w:val="00DF3C6B"/>
    <w:rsid w:val="00DF479B"/>
    <w:rsid w:val="00DF54C4"/>
    <w:rsid w:val="00DF6040"/>
    <w:rsid w:val="00DF68B2"/>
    <w:rsid w:val="00E00478"/>
    <w:rsid w:val="00E01FA7"/>
    <w:rsid w:val="00E02F6D"/>
    <w:rsid w:val="00E03454"/>
    <w:rsid w:val="00E0729A"/>
    <w:rsid w:val="00E10156"/>
    <w:rsid w:val="00E10237"/>
    <w:rsid w:val="00E10769"/>
    <w:rsid w:val="00E10BDD"/>
    <w:rsid w:val="00E112A3"/>
    <w:rsid w:val="00E115BF"/>
    <w:rsid w:val="00E12A17"/>
    <w:rsid w:val="00E12D66"/>
    <w:rsid w:val="00E14EFB"/>
    <w:rsid w:val="00E1550C"/>
    <w:rsid w:val="00E15716"/>
    <w:rsid w:val="00E15955"/>
    <w:rsid w:val="00E160E0"/>
    <w:rsid w:val="00E16505"/>
    <w:rsid w:val="00E174E1"/>
    <w:rsid w:val="00E21C70"/>
    <w:rsid w:val="00E2289F"/>
    <w:rsid w:val="00E233B5"/>
    <w:rsid w:val="00E23626"/>
    <w:rsid w:val="00E23D41"/>
    <w:rsid w:val="00E257A6"/>
    <w:rsid w:val="00E257B1"/>
    <w:rsid w:val="00E30665"/>
    <w:rsid w:val="00E32B16"/>
    <w:rsid w:val="00E32DC8"/>
    <w:rsid w:val="00E346B5"/>
    <w:rsid w:val="00E354A2"/>
    <w:rsid w:val="00E36527"/>
    <w:rsid w:val="00E4022E"/>
    <w:rsid w:val="00E40480"/>
    <w:rsid w:val="00E40C51"/>
    <w:rsid w:val="00E418DC"/>
    <w:rsid w:val="00E42A7A"/>
    <w:rsid w:val="00E43595"/>
    <w:rsid w:val="00E44557"/>
    <w:rsid w:val="00E45CF3"/>
    <w:rsid w:val="00E461F5"/>
    <w:rsid w:val="00E46C12"/>
    <w:rsid w:val="00E477C0"/>
    <w:rsid w:val="00E502D3"/>
    <w:rsid w:val="00E50B54"/>
    <w:rsid w:val="00E51920"/>
    <w:rsid w:val="00E53214"/>
    <w:rsid w:val="00E53C6B"/>
    <w:rsid w:val="00E54A31"/>
    <w:rsid w:val="00E55E91"/>
    <w:rsid w:val="00E56427"/>
    <w:rsid w:val="00E56515"/>
    <w:rsid w:val="00E56547"/>
    <w:rsid w:val="00E578AE"/>
    <w:rsid w:val="00E60BF4"/>
    <w:rsid w:val="00E61E4A"/>
    <w:rsid w:val="00E61EF3"/>
    <w:rsid w:val="00E62F68"/>
    <w:rsid w:val="00E636B4"/>
    <w:rsid w:val="00E637E4"/>
    <w:rsid w:val="00E63C49"/>
    <w:rsid w:val="00E63D76"/>
    <w:rsid w:val="00E64120"/>
    <w:rsid w:val="00E646C2"/>
    <w:rsid w:val="00E65311"/>
    <w:rsid w:val="00E657DB"/>
    <w:rsid w:val="00E66391"/>
    <w:rsid w:val="00E663A4"/>
    <w:rsid w:val="00E678D5"/>
    <w:rsid w:val="00E738D9"/>
    <w:rsid w:val="00E73F03"/>
    <w:rsid w:val="00E75C5F"/>
    <w:rsid w:val="00E81054"/>
    <w:rsid w:val="00E81334"/>
    <w:rsid w:val="00E81B38"/>
    <w:rsid w:val="00E82A51"/>
    <w:rsid w:val="00E841F5"/>
    <w:rsid w:val="00E842B3"/>
    <w:rsid w:val="00E86FBD"/>
    <w:rsid w:val="00E87A5D"/>
    <w:rsid w:val="00E87C6E"/>
    <w:rsid w:val="00E9062C"/>
    <w:rsid w:val="00E92B6F"/>
    <w:rsid w:val="00E93013"/>
    <w:rsid w:val="00E934D9"/>
    <w:rsid w:val="00E93BC1"/>
    <w:rsid w:val="00E94910"/>
    <w:rsid w:val="00E94EED"/>
    <w:rsid w:val="00E95619"/>
    <w:rsid w:val="00E95BFC"/>
    <w:rsid w:val="00E96A3D"/>
    <w:rsid w:val="00E970BC"/>
    <w:rsid w:val="00E9717F"/>
    <w:rsid w:val="00E972D2"/>
    <w:rsid w:val="00E9784F"/>
    <w:rsid w:val="00EA1211"/>
    <w:rsid w:val="00EA1313"/>
    <w:rsid w:val="00EA16A9"/>
    <w:rsid w:val="00EA29C8"/>
    <w:rsid w:val="00EA2E16"/>
    <w:rsid w:val="00EA33F9"/>
    <w:rsid w:val="00EA38DA"/>
    <w:rsid w:val="00EA4335"/>
    <w:rsid w:val="00EA46E2"/>
    <w:rsid w:val="00EA4F10"/>
    <w:rsid w:val="00EA529C"/>
    <w:rsid w:val="00EA55DC"/>
    <w:rsid w:val="00EA5D1E"/>
    <w:rsid w:val="00EA5DEA"/>
    <w:rsid w:val="00EA7E80"/>
    <w:rsid w:val="00EB05B1"/>
    <w:rsid w:val="00EB22DD"/>
    <w:rsid w:val="00EB3E49"/>
    <w:rsid w:val="00EB4D61"/>
    <w:rsid w:val="00EB5C1B"/>
    <w:rsid w:val="00EB7EC0"/>
    <w:rsid w:val="00EB7FA6"/>
    <w:rsid w:val="00EC079E"/>
    <w:rsid w:val="00EC0913"/>
    <w:rsid w:val="00EC12DD"/>
    <w:rsid w:val="00EC1ABD"/>
    <w:rsid w:val="00EC3567"/>
    <w:rsid w:val="00EC383E"/>
    <w:rsid w:val="00EC440C"/>
    <w:rsid w:val="00EC5082"/>
    <w:rsid w:val="00EC566D"/>
    <w:rsid w:val="00EC5A70"/>
    <w:rsid w:val="00EC611A"/>
    <w:rsid w:val="00EC6279"/>
    <w:rsid w:val="00EC667E"/>
    <w:rsid w:val="00EC67D0"/>
    <w:rsid w:val="00EC6922"/>
    <w:rsid w:val="00EC6E13"/>
    <w:rsid w:val="00EC7558"/>
    <w:rsid w:val="00EC7C1F"/>
    <w:rsid w:val="00ED0E64"/>
    <w:rsid w:val="00ED41D4"/>
    <w:rsid w:val="00ED42B7"/>
    <w:rsid w:val="00ED4409"/>
    <w:rsid w:val="00EE07EF"/>
    <w:rsid w:val="00EE1A3F"/>
    <w:rsid w:val="00EE4C3D"/>
    <w:rsid w:val="00EE5E76"/>
    <w:rsid w:val="00EE6FC8"/>
    <w:rsid w:val="00EF078D"/>
    <w:rsid w:val="00EF209B"/>
    <w:rsid w:val="00EF2532"/>
    <w:rsid w:val="00EF2E17"/>
    <w:rsid w:val="00EF3298"/>
    <w:rsid w:val="00EF4825"/>
    <w:rsid w:val="00EF4F07"/>
    <w:rsid w:val="00F02685"/>
    <w:rsid w:val="00F02C53"/>
    <w:rsid w:val="00F04347"/>
    <w:rsid w:val="00F04826"/>
    <w:rsid w:val="00F055F1"/>
    <w:rsid w:val="00F05CD5"/>
    <w:rsid w:val="00F076C4"/>
    <w:rsid w:val="00F0781B"/>
    <w:rsid w:val="00F1031F"/>
    <w:rsid w:val="00F11229"/>
    <w:rsid w:val="00F11B51"/>
    <w:rsid w:val="00F11EE1"/>
    <w:rsid w:val="00F12EEE"/>
    <w:rsid w:val="00F146D4"/>
    <w:rsid w:val="00F15933"/>
    <w:rsid w:val="00F17DB3"/>
    <w:rsid w:val="00F20713"/>
    <w:rsid w:val="00F208DB"/>
    <w:rsid w:val="00F20AA0"/>
    <w:rsid w:val="00F20EF5"/>
    <w:rsid w:val="00F211AC"/>
    <w:rsid w:val="00F2333B"/>
    <w:rsid w:val="00F235AB"/>
    <w:rsid w:val="00F27622"/>
    <w:rsid w:val="00F31FAB"/>
    <w:rsid w:val="00F32D0F"/>
    <w:rsid w:val="00F333EC"/>
    <w:rsid w:val="00F359DA"/>
    <w:rsid w:val="00F35DC3"/>
    <w:rsid w:val="00F35EE9"/>
    <w:rsid w:val="00F366A5"/>
    <w:rsid w:val="00F374FC"/>
    <w:rsid w:val="00F37AEA"/>
    <w:rsid w:val="00F40216"/>
    <w:rsid w:val="00F41978"/>
    <w:rsid w:val="00F429D8"/>
    <w:rsid w:val="00F42F2E"/>
    <w:rsid w:val="00F4464D"/>
    <w:rsid w:val="00F44F06"/>
    <w:rsid w:val="00F45B55"/>
    <w:rsid w:val="00F45BD5"/>
    <w:rsid w:val="00F45FBA"/>
    <w:rsid w:val="00F46C34"/>
    <w:rsid w:val="00F5150D"/>
    <w:rsid w:val="00F51BB0"/>
    <w:rsid w:val="00F51EBF"/>
    <w:rsid w:val="00F52150"/>
    <w:rsid w:val="00F52295"/>
    <w:rsid w:val="00F5305E"/>
    <w:rsid w:val="00F53FF6"/>
    <w:rsid w:val="00F543BA"/>
    <w:rsid w:val="00F54F28"/>
    <w:rsid w:val="00F556F8"/>
    <w:rsid w:val="00F558F6"/>
    <w:rsid w:val="00F566ED"/>
    <w:rsid w:val="00F56DE9"/>
    <w:rsid w:val="00F570B9"/>
    <w:rsid w:val="00F5760D"/>
    <w:rsid w:val="00F603D8"/>
    <w:rsid w:val="00F60567"/>
    <w:rsid w:val="00F606A4"/>
    <w:rsid w:val="00F60797"/>
    <w:rsid w:val="00F63FDF"/>
    <w:rsid w:val="00F65000"/>
    <w:rsid w:val="00F6531E"/>
    <w:rsid w:val="00F667DD"/>
    <w:rsid w:val="00F6784F"/>
    <w:rsid w:val="00F70584"/>
    <w:rsid w:val="00F7648D"/>
    <w:rsid w:val="00F76B1E"/>
    <w:rsid w:val="00F76EDE"/>
    <w:rsid w:val="00F77391"/>
    <w:rsid w:val="00F77659"/>
    <w:rsid w:val="00F8088B"/>
    <w:rsid w:val="00F8187C"/>
    <w:rsid w:val="00F81B70"/>
    <w:rsid w:val="00F82C10"/>
    <w:rsid w:val="00F83776"/>
    <w:rsid w:val="00F83BC9"/>
    <w:rsid w:val="00F848CE"/>
    <w:rsid w:val="00F852FB"/>
    <w:rsid w:val="00F85A48"/>
    <w:rsid w:val="00F85BF7"/>
    <w:rsid w:val="00F86B2B"/>
    <w:rsid w:val="00F90396"/>
    <w:rsid w:val="00F905F4"/>
    <w:rsid w:val="00F90783"/>
    <w:rsid w:val="00F90A03"/>
    <w:rsid w:val="00F916AF"/>
    <w:rsid w:val="00F9187A"/>
    <w:rsid w:val="00F91DF8"/>
    <w:rsid w:val="00F93FDF"/>
    <w:rsid w:val="00F94538"/>
    <w:rsid w:val="00F955DE"/>
    <w:rsid w:val="00F95A57"/>
    <w:rsid w:val="00F96905"/>
    <w:rsid w:val="00F973E3"/>
    <w:rsid w:val="00F97696"/>
    <w:rsid w:val="00FA0345"/>
    <w:rsid w:val="00FA07F9"/>
    <w:rsid w:val="00FA102A"/>
    <w:rsid w:val="00FA1131"/>
    <w:rsid w:val="00FA127D"/>
    <w:rsid w:val="00FA1373"/>
    <w:rsid w:val="00FA277F"/>
    <w:rsid w:val="00FA4114"/>
    <w:rsid w:val="00FA414C"/>
    <w:rsid w:val="00FA5396"/>
    <w:rsid w:val="00FA61CA"/>
    <w:rsid w:val="00FA62B6"/>
    <w:rsid w:val="00FA6360"/>
    <w:rsid w:val="00FA68D0"/>
    <w:rsid w:val="00FA6FCE"/>
    <w:rsid w:val="00FB0056"/>
    <w:rsid w:val="00FB03B6"/>
    <w:rsid w:val="00FB0500"/>
    <w:rsid w:val="00FB14B6"/>
    <w:rsid w:val="00FB3BAF"/>
    <w:rsid w:val="00FB587A"/>
    <w:rsid w:val="00FB5BA1"/>
    <w:rsid w:val="00FB5CCC"/>
    <w:rsid w:val="00FB5DF2"/>
    <w:rsid w:val="00FB6682"/>
    <w:rsid w:val="00FB7A2C"/>
    <w:rsid w:val="00FC10ED"/>
    <w:rsid w:val="00FC11EC"/>
    <w:rsid w:val="00FC2D11"/>
    <w:rsid w:val="00FC5901"/>
    <w:rsid w:val="00FC6099"/>
    <w:rsid w:val="00FC6230"/>
    <w:rsid w:val="00FD150F"/>
    <w:rsid w:val="00FD1A1D"/>
    <w:rsid w:val="00FD2318"/>
    <w:rsid w:val="00FD2DE3"/>
    <w:rsid w:val="00FD2EE3"/>
    <w:rsid w:val="00FD3EDC"/>
    <w:rsid w:val="00FD3FF6"/>
    <w:rsid w:val="00FD4E96"/>
    <w:rsid w:val="00FD55A4"/>
    <w:rsid w:val="00FD6FD2"/>
    <w:rsid w:val="00FD7A6A"/>
    <w:rsid w:val="00FE033C"/>
    <w:rsid w:val="00FE248C"/>
    <w:rsid w:val="00FE2CEC"/>
    <w:rsid w:val="00FE3CA5"/>
    <w:rsid w:val="00FE4584"/>
    <w:rsid w:val="00FE4DB7"/>
    <w:rsid w:val="00FE6933"/>
    <w:rsid w:val="00FF0361"/>
    <w:rsid w:val="00FF265C"/>
    <w:rsid w:val="00FF30C4"/>
    <w:rsid w:val="00FF35AF"/>
    <w:rsid w:val="00FF4E20"/>
    <w:rsid w:val="00FF4E7C"/>
    <w:rsid w:val="00FF61E7"/>
    <w:rsid w:val="00FF7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2FB4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DA2E47"/>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3"/>
      </w:numPr>
    </w:pPr>
    <w:rPr>
      <w:szCs w:val="24"/>
    </w:rPr>
  </w:style>
  <w:style w:type="paragraph" w:customStyle="1" w:styleId="Numberedheading2">
    <w:name w:val="Numbered heading 2"/>
    <w:basedOn w:val="Heading2"/>
    <w:next w:val="Normal"/>
    <w:qFormat/>
    <w:rsid w:val="00884CF8"/>
    <w:pPr>
      <w:numPr>
        <w:ilvl w:val="1"/>
        <w:numId w:val="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qFormat/>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67A04"/>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2"/>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4"/>
      </w:numPr>
      <w:spacing w:after="0"/>
    </w:pPr>
  </w:style>
  <w:style w:type="paragraph" w:customStyle="1" w:styleId="Bulletleft1last">
    <w:name w:val="Bullet left 1 last"/>
    <w:basedOn w:val="NICEnormal"/>
    <w:link w:val="Bulletleft1lastChar"/>
    <w:rsid w:val="00204AD5"/>
    <w:pPr>
      <w:numPr>
        <w:numId w:val="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paragraph" w:customStyle="1" w:styleId="TableText1">
    <w:name w:val="Table Text 1"/>
    <w:basedOn w:val="Normal"/>
    <w:qFormat/>
    <w:rsid w:val="007A6176"/>
    <w:rPr>
      <w:rFonts w:ascii="Arial" w:hAnsi="Arial"/>
      <w:sz w:val="20"/>
      <w:lang w:eastAsia="en-GB"/>
    </w:rPr>
  </w:style>
  <w:style w:type="character" w:customStyle="1" w:styleId="normaltextrun">
    <w:name w:val="normaltextrun"/>
    <w:basedOn w:val="DefaultParagraphFont"/>
    <w:rsid w:val="00154D5B"/>
  </w:style>
  <w:style w:type="character" w:customStyle="1" w:styleId="eop">
    <w:name w:val="eop"/>
    <w:basedOn w:val="DefaultParagraphFont"/>
    <w:rsid w:val="0015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489">
      <w:bodyDiv w:val="1"/>
      <w:marLeft w:val="0"/>
      <w:marRight w:val="0"/>
      <w:marTop w:val="0"/>
      <w:marBottom w:val="0"/>
      <w:divBdr>
        <w:top w:val="none" w:sz="0" w:space="0" w:color="auto"/>
        <w:left w:val="none" w:sz="0" w:space="0" w:color="auto"/>
        <w:bottom w:val="none" w:sz="0" w:space="0" w:color="auto"/>
        <w:right w:val="none" w:sz="0" w:space="0" w:color="auto"/>
      </w:divBdr>
    </w:div>
    <w:div w:id="5909814">
      <w:bodyDiv w:val="1"/>
      <w:marLeft w:val="0"/>
      <w:marRight w:val="0"/>
      <w:marTop w:val="0"/>
      <w:marBottom w:val="0"/>
      <w:divBdr>
        <w:top w:val="none" w:sz="0" w:space="0" w:color="auto"/>
        <w:left w:val="none" w:sz="0" w:space="0" w:color="auto"/>
        <w:bottom w:val="none" w:sz="0" w:space="0" w:color="auto"/>
        <w:right w:val="none" w:sz="0" w:space="0" w:color="auto"/>
      </w:divBdr>
    </w:div>
    <w:div w:id="20666158">
      <w:bodyDiv w:val="1"/>
      <w:marLeft w:val="0"/>
      <w:marRight w:val="0"/>
      <w:marTop w:val="0"/>
      <w:marBottom w:val="0"/>
      <w:divBdr>
        <w:top w:val="none" w:sz="0" w:space="0" w:color="auto"/>
        <w:left w:val="none" w:sz="0" w:space="0" w:color="auto"/>
        <w:bottom w:val="none" w:sz="0" w:space="0" w:color="auto"/>
        <w:right w:val="none" w:sz="0" w:space="0" w:color="auto"/>
      </w:divBdr>
      <w:divsChild>
        <w:div w:id="1679039690">
          <w:marLeft w:val="960"/>
          <w:marRight w:val="0"/>
          <w:marTop w:val="0"/>
          <w:marBottom w:val="0"/>
          <w:divBdr>
            <w:top w:val="none" w:sz="0" w:space="0" w:color="auto"/>
            <w:left w:val="none" w:sz="0" w:space="0" w:color="auto"/>
            <w:bottom w:val="none" w:sz="0" w:space="0" w:color="auto"/>
            <w:right w:val="none" w:sz="0" w:space="0" w:color="auto"/>
          </w:divBdr>
        </w:div>
      </w:divsChild>
    </w:div>
    <w:div w:id="24913460">
      <w:bodyDiv w:val="1"/>
      <w:marLeft w:val="0"/>
      <w:marRight w:val="0"/>
      <w:marTop w:val="0"/>
      <w:marBottom w:val="0"/>
      <w:divBdr>
        <w:top w:val="none" w:sz="0" w:space="0" w:color="auto"/>
        <w:left w:val="none" w:sz="0" w:space="0" w:color="auto"/>
        <w:bottom w:val="none" w:sz="0" w:space="0" w:color="auto"/>
        <w:right w:val="none" w:sz="0" w:space="0" w:color="auto"/>
      </w:divBdr>
    </w:div>
    <w:div w:id="32461550">
      <w:bodyDiv w:val="1"/>
      <w:marLeft w:val="0"/>
      <w:marRight w:val="0"/>
      <w:marTop w:val="0"/>
      <w:marBottom w:val="0"/>
      <w:divBdr>
        <w:top w:val="none" w:sz="0" w:space="0" w:color="auto"/>
        <w:left w:val="none" w:sz="0" w:space="0" w:color="auto"/>
        <w:bottom w:val="none" w:sz="0" w:space="0" w:color="auto"/>
        <w:right w:val="none" w:sz="0" w:space="0" w:color="auto"/>
      </w:divBdr>
    </w:div>
    <w:div w:id="49812219">
      <w:bodyDiv w:val="1"/>
      <w:marLeft w:val="0"/>
      <w:marRight w:val="0"/>
      <w:marTop w:val="0"/>
      <w:marBottom w:val="0"/>
      <w:divBdr>
        <w:top w:val="none" w:sz="0" w:space="0" w:color="auto"/>
        <w:left w:val="none" w:sz="0" w:space="0" w:color="auto"/>
        <w:bottom w:val="none" w:sz="0" w:space="0" w:color="auto"/>
        <w:right w:val="none" w:sz="0" w:space="0" w:color="auto"/>
      </w:divBdr>
    </w:div>
    <w:div w:id="60643284">
      <w:bodyDiv w:val="1"/>
      <w:marLeft w:val="0"/>
      <w:marRight w:val="0"/>
      <w:marTop w:val="0"/>
      <w:marBottom w:val="0"/>
      <w:divBdr>
        <w:top w:val="none" w:sz="0" w:space="0" w:color="auto"/>
        <w:left w:val="none" w:sz="0" w:space="0" w:color="auto"/>
        <w:bottom w:val="none" w:sz="0" w:space="0" w:color="auto"/>
        <w:right w:val="none" w:sz="0" w:space="0" w:color="auto"/>
      </w:divBdr>
    </w:div>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66995687">
      <w:bodyDiv w:val="1"/>
      <w:marLeft w:val="0"/>
      <w:marRight w:val="0"/>
      <w:marTop w:val="0"/>
      <w:marBottom w:val="0"/>
      <w:divBdr>
        <w:top w:val="none" w:sz="0" w:space="0" w:color="auto"/>
        <w:left w:val="none" w:sz="0" w:space="0" w:color="auto"/>
        <w:bottom w:val="none" w:sz="0" w:space="0" w:color="auto"/>
        <w:right w:val="none" w:sz="0" w:space="0" w:color="auto"/>
      </w:divBdr>
    </w:div>
    <w:div w:id="67506962">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166214486">
      <w:bodyDiv w:val="1"/>
      <w:marLeft w:val="0"/>
      <w:marRight w:val="0"/>
      <w:marTop w:val="0"/>
      <w:marBottom w:val="0"/>
      <w:divBdr>
        <w:top w:val="none" w:sz="0" w:space="0" w:color="auto"/>
        <w:left w:val="none" w:sz="0" w:space="0" w:color="auto"/>
        <w:bottom w:val="none" w:sz="0" w:space="0" w:color="auto"/>
        <w:right w:val="none" w:sz="0" w:space="0" w:color="auto"/>
      </w:divBdr>
    </w:div>
    <w:div w:id="196742222">
      <w:bodyDiv w:val="1"/>
      <w:marLeft w:val="0"/>
      <w:marRight w:val="0"/>
      <w:marTop w:val="0"/>
      <w:marBottom w:val="0"/>
      <w:divBdr>
        <w:top w:val="none" w:sz="0" w:space="0" w:color="auto"/>
        <w:left w:val="none" w:sz="0" w:space="0" w:color="auto"/>
        <w:bottom w:val="none" w:sz="0" w:space="0" w:color="auto"/>
        <w:right w:val="none" w:sz="0" w:space="0" w:color="auto"/>
      </w:divBdr>
      <w:divsChild>
        <w:div w:id="713624877">
          <w:marLeft w:val="0"/>
          <w:marRight w:val="0"/>
          <w:marTop w:val="0"/>
          <w:marBottom w:val="180"/>
          <w:divBdr>
            <w:top w:val="none" w:sz="0" w:space="0" w:color="auto"/>
            <w:left w:val="none" w:sz="0" w:space="0" w:color="auto"/>
            <w:bottom w:val="none" w:sz="0" w:space="0" w:color="auto"/>
            <w:right w:val="none" w:sz="0" w:space="0" w:color="auto"/>
          </w:divBdr>
        </w:div>
        <w:div w:id="1074157697">
          <w:marLeft w:val="0"/>
          <w:marRight w:val="0"/>
          <w:marTop w:val="0"/>
          <w:marBottom w:val="180"/>
          <w:divBdr>
            <w:top w:val="none" w:sz="0" w:space="0" w:color="auto"/>
            <w:left w:val="none" w:sz="0" w:space="0" w:color="auto"/>
            <w:bottom w:val="none" w:sz="0" w:space="0" w:color="auto"/>
            <w:right w:val="none" w:sz="0" w:space="0" w:color="auto"/>
          </w:divBdr>
        </w:div>
        <w:div w:id="1693149752">
          <w:marLeft w:val="0"/>
          <w:marRight w:val="0"/>
          <w:marTop w:val="0"/>
          <w:marBottom w:val="180"/>
          <w:divBdr>
            <w:top w:val="none" w:sz="0" w:space="0" w:color="auto"/>
            <w:left w:val="none" w:sz="0" w:space="0" w:color="auto"/>
            <w:bottom w:val="none" w:sz="0" w:space="0" w:color="auto"/>
            <w:right w:val="none" w:sz="0" w:space="0" w:color="auto"/>
          </w:divBdr>
        </w:div>
        <w:div w:id="242498921">
          <w:marLeft w:val="0"/>
          <w:marRight w:val="0"/>
          <w:marTop w:val="0"/>
          <w:marBottom w:val="180"/>
          <w:divBdr>
            <w:top w:val="none" w:sz="0" w:space="0" w:color="auto"/>
            <w:left w:val="none" w:sz="0" w:space="0" w:color="auto"/>
            <w:bottom w:val="none" w:sz="0" w:space="0" w:color="auto"/>
            <w:right w:val="none" w:sz="0" w:space="0" w:color="auto"/>
          </w:divBdr>
        </w:div>
        <w:div w:id="1845898214">
          <w:marLeft w:val="0"/>
          <w:marRight w:val="0"/>
          <w:marTop w:val="0"/>
          <w:marBottom w:val="180"/>
          <w:divBdr>
            <w:top w:val="none" w:sz="0" w:space="0" w:color="auto"/>
            <w:left w:val="none" w:sz="0" w:space="0" w:color="auto"/>
            <w:bottom w:val="none" w:sz="0" w:space="0" w:color="auto"/>
            <w:right w:val="none" w:sz="0" w:space="0" w:color="auto"/>
          </w:divBdr>
        </w:div>
        <w:div w:id="638191344">
          <w:marLeft w:val="0"/>
          <w:marRight w:val="0"/>
          <w:marTop w:val="0"/>
          <w:marBottom w:val="180"/>
          <w:divBdr>
            <w:top w:val="none" w:sz="0" w:space="0" w:color="auto"/>
            <w:left w:val="none" w:sz="0" w:space="0" w:color="auto"/>
            <w:bottom w:val="none" w:sz="0" w:space="0" w:color="auto"/>
            <w:right w:val="none" w:sz="0" w:space="0" w:color="auto"/>
          </w:divBdr>
        </w:div>
        <w:div w:id="90246453">
          <w:marLeft w:val="0"/>
          <w:marRight w:val="0"/>
          <w:marTop w:val="0"/>
          <w:marBottom w:val="180"/>
          <w:divBdr>
            <w:top w:val="none" w:sz="0" w:space="0" w:color="auto"/>
            <w:left w:val="none" w:sz="0" w:space="0" w:color="auto"/>
            <w:bottom w:val="none" w:sz="0" w:space="0" w:color="auto"/>
            <w:right w:val="none" w:sz="0" w:space="0" w:color="auto"/>
          </w:divBdr>
        </w:div>
        <w:div w:id="1107237261">
          <w:marLeft w:val="0"/>
          <w:marRight w:val="0"/>
          <w:marTop w:val="0"/>
          <w:marBottom w:val="180"/>
          <w:divBdr>
            <w:top w:val="none" w:sz="0" w:space="0" w:color="auto"/>
            <w:left w:val="none" w:sz="0" w:space="0" w:color="auto"/>
            <w:bottom w:val="none" w:sz="0" w:space="0" w:color="auto"/>
            <w:right w:val="none" w:sz="0" w:space="0" w:color="auto"/>
          </w:divBdr>
        </w:div>
        <w:div w:id="2131237658">
          <w:marLeft w:val="0"/>
          <w:marRight w:val="0"/>
          <w:marTop w:val="0"/>
          <w:marBottom w:val="180"/>
          <w:divBdr>
            <w:top w:val="none" w:sz="0" w:space="0" w:color="auto"/>
            <w:left w:val="none" w:sz="0" w:space="0" w:color="auto"/>
            <w:bottom w:val="none" w:sz="0" w:space="0" w:color="auto"/>
            <w:right w:val="none" w:sz="0" w:space="0" w:color="auto"/>
          </w:divBdr>
        </w:div>
        <w:div w:id="978077559">
          <w:marLeft w:val="0"/>
          <w:marRight w:val="0"/>
          <w:marTop w:val="0"/>
          <w:marBottom w:val="180"/>
          <w:divBdr>
            <w:top w:val="none" w:sz="0" w:space="0" w:color="auto"/>
            <w:left w:val="none" w:sz="0" w:space="0" w:color="auto"/>
            <w:bottom w:val="none" w:sz="0" w:space="0" w:color="auto"/>
            <w:right w:val="none" w:sz="0" w:space="0" w:color="auto"/>
          </w:divBdr>
        </w:div>
        <w:div w:id="752432562">
          <w:marLeft w:val="0"/>
          <w:marRight w:val="0"/>
          <w:marTop w:val="0"/>
          <w:marBottom w:val="180"/>
          <w:divBdr>
            <w:top w:val="none" w:sz="0" w:space="0" w:color="auto"/>
            <w:left w:val="none" w:sz="0" w:space="0" w:color="auto"/>
            <w:bottom w:val="none" w:sz="0" w:space="0" w:color="auto"/>
            <w:right w:val="none" w:sz="0" w:space="0" w:color="auto"/>
          </w:divBdr>
        </w:div>
        <w:div w:id="309793809">
          <w:marLeft w:val="0"/>
          <w:marRight w:val="0"/>
          <w:marTop w:val="0"/>
          <w:marBottom w:val="180"/>
          <w:divBdr>
            <w:top w:val="none" w:sz="0" w:space="0" w:color="auto"/>
            <w:left w:val="none" w:sz="0" w:space="0" w:color="auto"/>
            <w:bottom w:val="none" w:sz="0" w:space="0" w:color="auto"/>
            <w:right w:val="none" w:sz="0" w:space="0" w:color="auto"/>
          </w:divBdr>
        </w:div>
        <w:div w:id="1392535978">
          <w:marLeft w:val="0"/>
          <w:marRight w:val="0"/>
          <w:marTop w:val="0"/>
          <w:marBottom w:val="180"/>
          <w:divBdr>
            <w:top w:val="none" w:sz="0" w:space="0" w:color="auto"/>
            <w:left w:val="none" w:sz="0" w:space="0" w:color="auto"/>
            <w:bottom w:val="none" w:sz="0" w:space="0" w:color="auto"/>
            <w:right w:val="none" w:sz="0" w:space="0" w:color="auto"/>
          </w:divBdr>
        </w:div>
        <w:div w:id="1100837286">
          <w:marLeft w:val="0"/>
          <w:marRight w:val="0"/>
          <w:marTop w:val="0"/>
          <w:marBottom w:val="180"/>
          <w:divBdr>
            <w:top w:val="none" w:sz="0" w:space="0" w:color="auto"/>
            <w:left w:val="none" w:sz="0" w:space="0" w:color="auto"/>
            <w:bottom w:val="none" w:sz="0" w:space="0" w:color="auto"/>
            <w:right w:val="none" w:sz="0" w:space="0" w:color="auto"/>
          </w:divBdr>
        </w:div>
        <w:div w:id="332806086">
          <w:marLeft w:val="0"/>
          <w:marRight w:val="0"/>
          <w:marTop w:val="0"/>
          <w:marBottom w:val="180"/>
          <w:divBdr>
            <w:top w:val="none" w:sz="0" w:space="0" w:color="auto"/>
            <w:left w:val="none" w:sz="0" w:space="0" w:color="auto"/>
            <w:bottom w:val="none" w:sz="0" w:space="0" w:color="auto"/>
            <w:right w:val="none" w:sz="0" w:space="0" w:color="auto"/>
          </w:divBdr>
        </w:div>
        <w:div w:id="813568882">
          <w:marLeft w:val="0"/>
          <w:marRight w:val="0"/>
          <w:marTop w:val="0"/>
          <w:marBottom w:val="180"/>
          <w:divBdr>
            <w:top w:val="none" w:sz="0" w:space="0" w:color="auto"/>
            <w:left w:val="none" w:sz="0" w:space="0" w:color="auto"/>
            <w:bottom w:val="none" w:sz="0" w:space="0" w:color="auto"/>
            <w:right w:val="none" w:sz="0" w:space="0" w:color="auto"/>
          </w:divBdr>
        </w:div>
        <w:div w:id="92022705">
          <w:marLeft w:val="0"/>
          <w:marRight w:val="0"/>
          <w:marTop w:val="0"/>
          <w:marBottom w:val="180"/>
          <w:divBdr>
            <w:top w:val="none" w:sz="0" w:space="0" w:color="auto"/>
            <w:left w:val="none" w:sz="0" w:space="0" w:color="auto"/>
            <w:bottom w:val="none" w:sz="0" w:space="0" w:color="auto"/>
            <w:right w:val="none" w:sz="0" w:space="0" w:color="auto"/>
          </w:divBdr>
        </w:div>
        <w:div w:id="1125125983">
          <w:marLeft w:val="0"/>
          <w:marRight w:val="0"/>
          <w:marTop w:val="0"/>
          <w:marBottom w:val="180"/>
          <w:divBdr>
            <w:top w:val="none" w:sz="0" w:space="0" w:color="auto"/>
            <w:left w:val="none" w:sz="0" w:space="0" w:color="auto"/>
            <w:bottom w:val="none" w:sz="0" w:space="0" w:color="auto"/>
            <w:right w:val="none" w:sz="0" w:space="0" w:color="auto"/>
          </w:divBdr>
        </w:div>
        <w:div w:id="869537464">
          <w:marLeft w:val="0"/>
          <w:marRight w:val="0"/>
          <w:marTop w:val="0"/>
          <w:marBottom w:val="180"/>
          <w:divBdr>
            <w:top w:val="none" w:sz="0" w:space="0" w:color="auto"/>
            <w:left w:val="none" w:sz="0" w:space="0" w:color="auto"/>
            <w:bottom w:val="none" w:sz="0" w:space="0" w:color="auto"/>
            <w:right w:val="none" w:sz="0" w:space="0" w:color="auto"/>
          </w:divBdr>
        </w:div>
        <w:div w:id="800617277">
          <w:marLeft w:val="0"/>
          <w:marRight w:val="0"/>
          <w:marTop w:val="0"/>
          <w:marBottom w:val="180"/>
          <w:divBdr>
            <w:top w:val="none" w:sz="0" w:space="0" w:color="auto"/>
            <w:left w:val="none" w:sz="0" w:space="0" w:color="auto"/>
            <w:bottom w:val="none" w:sz="0" w:space="0" w:color="auto"/>
            <w:right w:val="none" w:sz="0" w:space="0" w:color="auto"/>
          </w:divBdr>
          <w:divsChild>
            <w:div w:id="341711803">
              <w:marLeft w:val="0"/>
              <w:marRight w:val="0"/>
              <w:marTop w:val="0"/>
              <w:marBottom w:val="180"/>
              <w:divBdr>
                <w:top w:val="none" w:sz="0" w:space="0" w:color="auto"/>
                <w:left w:val="none" w:sz="0" w:space="0" w:color="auto"/>
                <w:bottom w:val="none" w:sz="0" w:space="0" w:color="auto"/>
                <w:right w:val="none" w:sz="0" w:space="0" w:color="auto"/>
              </w:divBdr>
            </w:div>
            <w:div w:id="483397259">
              <w:marLeft w:val="0"/>
              <w:marRight w:val="0"/>
              <w:marTop w:val="0"/>
              <w:marBottom w:val="180"/>
              <w:divBdr>
                <w:top w:val="none" w:sz="0" w:space="0" w:color="auto"/>
                <w:left w:val="none" w:sz="0" w:space="0" w:color="auto"/>
                <w:bottom w:val="none" w:sz="0" w:space="0" w:color="auto"/>
                <w:right w:val="none" w:sz="0" w:space="0" w:color="auto"/>
              </w:divBdr>
              <w:divsChild>
                <w:div w:id="1405756653">
                  <w:marLeft w:val="0"/>
                  <w:marRight w:val="0"/>
                  <w:marTop w:val="0"/>
                  <w:marBottom w:val="180"/>
                  <w:divBdr>
                    <w:top w:val="none" w:sz="0" w:space="0" w:color="auto"/>
                    <w:left w:val="none" w:sz="0" w:space="0" w:color="auto"/>
                    <w:bottom w:val="none" w:sz="0" w:space="0" w:color="auto"/>
                    <w:right w:val="none" w:sz="0" w:space="0" w:color="auto"/>
                  </w:divBdr>
                  <w:divsChild>
                    <w:div w:id="182989976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29427459">
              <w:marLeft w:val="0"/>
              <w:marRight w:val="0"/>
              <w:marTop w:val="0"/>
              <w:marBottom w:val="180"/>
              <w:divBdr>
                <w:top w:val="none" w:sz="0" w:space="0" w:color="auto"/>
                <w:left w:val="none" w:sz="0" w:space="0" w:color="auto"/>
                <w:bottom w:val="none" w:sz="0" w:space="0" w:color="auto"/>
                <w:right w:val="none" w:sz="0" w:space="0" w:color="auto"/>
              </w:divBdr>
              <w:divsChild>
                <w:div w:id="1235311572">
                  <w:marLeft w:val="0"/>
                  <w:marRight w:val="0"/>
                  <w:marTop w:val="0"/>
                  <w:marBottom w:val="180"/>
                  <w:divBdr>
                    <w:top w:val="none" w:sz="0" w:space="0" w:color="auto"/>
                    <w:left w:val="none" w:sz="0" w:space="0" w:color="auto"/>
                    <w:bottom w:val="none" w:sz="0" w:space="0" w:color="auto"/>
                    <w:right w:val="none" w:sz="0" w:space="0" w:color="auto"/>
                  </w:divBdr>
                  <w:divsChild>
                    <w:div w:id="15580660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37160491">
              <w:marLeft w:val="0"/>
              <w:marRight w:val="0"/>
              <w:marTop w:val="0"/>
              <w:marBottom w:val="180"/>
              <w:divBdr>
                <w:top w:val="none" w:sz="0" w:space="0" w:color="auto"/>
                <w:left w:val="none" w:sz="0" w:space="0" w:color="auto"/>
                <w:bottom w:val="none" w:sz="0" w:space="0" w:color="auto"/>
                <w:right w:val="none" w:sz="0" w:space="0" w:color="auto"/>
              </w:divBdr>
              <w:divsChild>
                <w:div w:id="1665814495">
                  <w:marLeft w:val="0"/>
                  <w:marRight w:val="0"/>
                  <w:marTop w:val="0"/>
                  <w:marBottom w:val="180"/>
                  <w:divBdr>
                    <w:top w:val="none" w:sz="0" w:space="0" w:color="auto"/>
                    <w:left w:val="none" w:sz="0" w:space="0" w:color="auto"/>
                    <w:bottom w:val="none" w:sz="0" w:space="0" w:color="auto"/>
                    <w:right w:val="none" w:sz="0" w:space="0" w:color="auto"/>
                  </w:divBdr>
                  <w:divsChild>
                    <w:div w:id="5468361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5929835">
              <w:marLeft w:val="0"/>
              <w:marRight w:val="0"/>
              <w:marTop w:val="0"/>
              <w:marBottom w:val="180"/>
              <w:divBdr>
                <w:top w:val="none" w:sz="0" w:space="0" w:color="auto"/>
                <w:left w:val="none" w:sz="0" w:space="0" w:color="auto"/>
                <w:bottom w:val="none" w:sz="0" w:space="0" w:color="auto"/>
                <w:right w:val="none" w:sz="0" w:space="0" w:color="auto"/>
              </w:divBdr>
              <w:divsChild>
                <w:div w:id="512501668">
                  <w:marLeft w:val="0"/>
                  <w:marRight w:val="0"/>
                  <w:marTop w:val="0"/>
                  <w:marBottom w:val="180"/>
                  <w:divBdr>
                    <w:top w:val="none" w:sz="0" w:space="0" w:color="auto"/>
                    <w:left w:val="none" w:sz="0" w:space="0" w:color="auto"/>
                    <w:bottom w:val="none" w:sz="0" w:space="0" w:color="auto"/>
                    <w:right w:val="none" w:sz="0" w:space="0" w:color="auto"/>
                  </w:divBdr>
                  <w:divsChild>
                    <w:div w:id="3361501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7596731">
      <w:bodyDiv w:val="1"/>
      <w:marLeft w:val="0"/>
      <w:marRight w:val="0"/>
      <w:marTop w:val="0"/>
      <w:marBottom w:val="0"/>
      <w:divBdr>
        <w:top w:val="none" w:sz="0" w:space="0" w:color="auto"/>
        <w:left w:val="none" w:sz="0" w:space="0" w:color="auto"/>
        <w:bottom w:val="none" w:sz="0" w:space="0" w:color="auto"/>
        <w:right w:val="none" w:sz="0" w:space="0" w:color="auto"/>
      </w:divBdr>
      <w:divsChild>
        <w:div w:id="1196389318">
          <w:marLeft w:val="960"/>
          <w:marRight w:val="0"/>
          <w:marTop w:val="0"/>
          <w:marBottom w:val="0"/>
          <w:divBdr>
            <w:top w:val="none" w:sz="0" w:space="0" w:color="auto"/>
            <w:left w:val="none" w:sz="0" w:space="0" w:color="auto"/>
            <w:bottom w:val="none" w:sz="0" w:space="0" w:color="auto"/>
            <w:right w:val="none" w:sz="0" w:space="0" w:color="auto"/>
          </w:divBdr>
          <w:divsChild>
            <w:div w:id="11266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5258722">
      <w:bodyDiv w:val="1"/>
      <w:marLeft w:val="0"/>
      <w:marRight w:val="0"/>
      <w:marTop w:val="0"/>
      <w:marBottom w:val="0"/>
      <w:divBdr>
        <w:top w:val="none" w:sz="0" w:space="0" w:color="auto"/>
        <w:left w:val="none" w:sz="0" w:space="0" w:color="auto"/>
        <w:bottom w:val="none" w:sz="0" w:space="0" w:color="auto"/>
        <w:right w:val="none" w:sz="0" w:space="0" w:color="auto"/>
      </w:divBdr>
    </w:div>
    <w:div w:id="321660283">
      <w:bodyDiv w:val="1"/>
      <w:marLeft w:val="0"/>
      <w:marRight w:val="0"/>
      <w:marTop w:val="0"/>
      <w:marBottom w:val="0"/>
      <w:divBdr>
        <w:top w:val="none" w:sz="0" w:space="0" w:color="auto"/>
        <w:left w:val="none" w:sz="0" w:space="0" w:color="auto"/>
        <w:bottom w:val="none" w:sz="0" w:space="0" w:color="auto"/>
        <w:right w:val="none" w:sz="0" w:space="0" w:color="auto"/>
      </w:divBdr>
    </w:div>
    <w:div w:id="327369213">
      <w:bodyDiv w:val="1"/>
      <w:marLeft w:val="0"/>
      <w:marRight w:val="0"/>
      <w:marTop w:val="0"/>
      <w:marBottom w:val="0"/>
      <w:divBdr>
        <w:top w:val="none" w:sz="0" w:space="0" w:color="auto"/>
        <w:left w:val="none" w:sz="0" w:space="0" w:color="auto"/>
        <w:bottom w:val="none" w:sz="0" w:space="0" w:color="auto"/>
        <w:right w:val="none" w:sz="0" w:space="0" w:color="auto"/>
      </w:divBdr>
    </w:div>
    <w:div w:id="338849860">
      <w:bodyDiv w:val="1"/>
      <w:marLeft w:val="0"/>
      <w:marRight w:val="0"/>
      <w:marTop w:val="0"/>
      <w:marBottom w:val="0"/>
      <w:divBdr>
        <w:top w:val="none" w:sz="0" w:space="0" w:color="auto"/>
        <w:left w:val="none" w:sz="0" w:space="0" w:color="auto"/>
        <w:bottom w:val="none" w:sz="0" w:space="0" w:color="auto"/>
        <w:right w:val="none" w:sz="0" w:space="0" w:color="auto"/>
      </w:divBdr>
    </w:div>
    <w:div w:id="370304498">
      <w:bodyDiv w:val="1"/>
      <w:marLeft w:val="0"/>
      <w:marRight w:val="0"/>
      <w:marTop w:val="0"/>
      <w:marBottom w:val="0"/>
      <w:divBdr>
        <w:top w:val="none" w:sz="0" w:space="0" w:color="auto"/>
        <w:left w:val="none" w:sz="0" w:space="0" w:color="auto"/>
        <w:bottom w:val="none" w:sz="0" w:space="0" w:color="auto"/>
        <w:right w:val="none" w:sz="0" w:space="0" w:color="auto"/>
      </w:divBdr>
      <w:divsChild>
        <w:div w:id="922103435">
          <w:marLeft w:val="960"/>
          <w:marRight w:val="0"/>
          <w:marTop w:val="0"/>
          <w:marBottom w:val="0"/>
          <w:divBdr>
            <w:top w:val="none" w:sz="0" w:space="0" w:color="auto"/>
            <w:left w:val="none" w:sz="0" w:space="0" w:color="auto"/>
            <w:bottom w:val="none" w:sz="0" w:space="0" w:color="auto"/>
            <w:right w:val="none" w:sz="0" w:space="0" w:color="auto"/>
          </w:divBdr>
          <w:divsChild>
            <w:div w:id="13522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9657">
      <w:bodyDiv w:val="1"/>
      <w:marLeft w:val="0"/>
      <w:marRight w:val="0"/>
      <w:marTop w:val="0"/>
      <w:marBottom w:val="0"/>
      <w:divBdr>
        <w:top w:val="none" w:sz="0" w:space="0" w:color="auto"/>
        <w:left w:val="none" w:sz="0" w:space="0" w:color="auto"/>
        <w:bottom w:val="none" w:sz="0" w:space="0" w:color="auto"/>
        <w:right w:val="none" w:sz="0" w:space="0" w:color="auto"/>
      </w:divBdr>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79360">
      <w:bodyDiv w:val="1"/>
      <w:marLeft w:val="0"/>
      <w:marRight w:val="0"/>
      <w:marTop w:val="0"/>
      <w:marBottom w:val="0"/>
      <w:divBdr>
        <w:top w:val="none" w:sz="0" w:space="0" w:color="auto"/>
        <w:left w:val="none" w:sz="0" w:space="0" w:color="auto"/>
        <w:bottom w:val="none" w:sz="0" w:space="0" w:color="auto"/>
        <w:right w:val="none" w:sz="0" w:space="0" w:color="auto"/>
      </w:divBdr>
    </w:div>
    <w:div w:id="501820733">
      <w:bodyDiv w:val="1"/>
      <w:marLeft w:val="0"/>
      <w:marRight w:val="0"/>
      <w:marTop w:val="0"/>
      <w:marBottom w:val="0"/>
      <w:divBdr>
        <w:top w:val="none" w:sz="0" w:space="0" w:color="auto"/>
        <w:left w:val="none" w:sz="0" w:space="0" w:color="auto"/>
        <w:bottom w:val="none" w:sz="0" w:space="0" w:color="auto"/>
        <w:right w:val="none" w:sz="0" w:space="0" w:color="auto"/>
      </w:divBdr>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841531">
      <w:bodyDiv w:val="1"/>
      <w:marLeft w:val="0"/>
      <w:marRight w:val="0"/>
      <w:marTop w:val="0"/>
      <w:marBottom w:val="0"/>
      <w:divBdr>
        <w:top w:val="none" w:sz="0" w:space="0" w:color="auto"/>
        <w:left w:val="none" w:sz="0" w:space="0" w:color="auto"/>
        <w:bottom w:val="none" w:sz="0" w:space="0" w:color="auto"/>
        <w:right w:val="none" w:sz="0" w:space="0" w:color="auto"/>
      </w:divBdr>
      <w:divsChild>
        <w:div w:id="372076352">
          <w:marLeft w:val="0"/>
          <w:marRight w:val="0"/>
          <w:marTop w:val="0"/>
          <w:marBottom w:val="192"/>
          <w:divBdr>
            <w:top w:val="none" w:sz="0" w:space="0" w:color="auto"/>
            <w:left w:val="none" w:sz="0" w:space="0" w:color="auto"/>
            <w:bottom w:val="none" w:sz="0" w:space="0" w:color="auto"/>
            <w:right w:val="none" w:sz="0" w:space="0" w:color="auto"/>
          </w:divBdr>
        </w:div>
        <w:div w:id="9990529">
          <w:marLeft w:val="0"/>
          <w:marRight w:val="0"/>
          <w:marTop w:val="0"/>
          <w:marBottom w:val="0"/>
          <w:divBdr>
            <w:top w:val="none" w:sz="0" w:space="0" w:color="auto"/>
            <w:left w:val="none" w:sz="0" w:space="0" w:color="auto"/>
            <w:bottom w:val="none" w:sz="0" w:space="0" w:color="auto"/>
            <w:right w:val="none" w:sz="0" w:space="0" w:color="auto"/>
          </w:divBdr>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712364">
      <w:bodyDiv w:val="1"/>
      <w:marLeft w:val="0"/>
      <w:marRight w:val="0"/>
      <w:marTop w:val="0"/>
      <w:marBottom w:val="0"/>
      <w:divBdr>
        <w:top w:val="none" w:sz="0" w:space="0" w:color="auto"/>
        <w:left w:val="none" w:sz="0" w:space="0" w:color="auto"/>
        <w:bottom w:val="none" w:sz="0" w:space="0" w:color="auto"/>
        <w:right w:val="none" w:sz="0" w:space="0" w:color="auto"/>
      </w:divBdr>
    </w:div>
    <w:div w:id="537746303">
      <w:bodyDiv w:val="1"/>
      <w:marLeft w:val="0"/>
      <w:marRight w:val="0"/>
      <w:marTop w:val="0"/>
      <w:marBottom w:val="0"/>
      <w:divBdr>
        <w:top w:val="none" w:sz="0" w:space="0" w:color="auto"/>
        <w:left w:val="none" w:sz="0" w:space="0" w:color="auto"/>
        <w:bottom w:val="none" w:sz="0" w:space="0" w:color="auto"/>
        <w:right w:val="none" w:sz="0" w:space="0" w:color="auto"/>
      </w:divBdr>
      <w:divsChild>
        <w:div w:id="2073886954">
          <w:marLeft w:val="960"/>
          <w:marRight w:val="0"/>
          <w:marTop w:val="0"/>
          <w:marBottom w:val="0"/>
          <w:divBdr>
            <w:top w:val="none" w:sz="0" w:space="0" w:color="auto"/>
            <w:left w:val="none" w:sz="0" w:space="0" w:color="auto"/>
            <w:bottom w:val="none" w:sz="0" w:space="0" w:color="auto"/>
            <w:right w:val="none" w:sz="0" w:space="0" w:color="auto"/>
          </w:divBdr>
        </w:div>
      </w:divsChild>
    </w:div>
    <w:div w:id="563033277">
      <w:bodyDiv w:val="1"/>
      <w:marLeft w:val="0"/>
      <w:marRight w:val="0"/>
      <w:marTop w:val="0"/>
      <w:marBottom w:val="0"/>
      <w:divBdr>
        <w:top w:val="none" w:sz="0" w:space="0" w:color="auto"/>
        <w:left w:val="none" w:sz="0" w:space="0" w:color="auto"/>
        <w:bottom w:val="none" w:sz="0" w:space="0" w:color="auto"/>
        <w:right w:val="none" w:sz="0" w:space="0" w:color="auto"/>
      </w:divBdr>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046009">
      <w:bodyDiv w:val="1"/>
      <w:marLeft w:val="0"/>
      <w:marRight w:val="0"/>
      <w:marTop w:val="0"/>
      <w:marBottom w:val="0"/>
      <w:divBdr>
        <w:top w:val="none" w:sz="0" w:space="0" w:color="auto"/>
        <w:left w:val="none" w:sz="0" w:space="0" w:color="auto"/>
        <w:bottom w:val="none" w:sz="0" w:space="0" w:color="auto"/>
        <w:right w:val="none" w:sz="0" w:space="0" w:color="auto"/>
      </w:divBdr>
    </w:div>
    <w:div w:id="609822465">
      <w:bodyDiv w:val="1"/>
      <w:marLeft w:val="0"/>
      <w:marRight w:val="0"/>
      <w:marTop w:val="0"/>
      <w:marBottom w:val="0"/>
      <w:divBdr>
        <w:top w:val="none" w:sz="0" w:space="0" w:color="auto"/>
        <w:left w:val="none" w:sz="0" w:space="0" w:color="auto"/>
        <w:bottom w:val="none" w:sz="0" w:space="0" w:color="auto"/>
        <w:right w:val="none" w:sz="0" w:space="0" w:color="auto"/>
      </w:divBdr>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5963">
      <w:bodyDiv w:val="1"/>
      <w:marLeft w:val="0"/>
      <w:marRight w:val="0"/>
      <w:marTop w:val="0"/>
      <w:marBottom w:val="0"/>
      <w:divBdr>
        <w:top w:val="none" w:sz="0" w:space="0" w:color="auto"/>
        <w:left w:val="none" w:sz="0" w:space="0" w:color="auto"/>
        <w:bottom w:val="none" w:sz="0" w:space="0" w:color="auto"/>
        <w:right w:val="none" w:sz="0" w:space="0" w:color="auto"/>
      </w:divBdr>
    </w:div>
    <w:div w:id="665984832">
      <w:bodyDiv w:val="1"/>
      <w:marLeft w:val="0"/>
      <w:marRight w:val="0"/>
      <w:marTop w:val="0"/>
      <w:marBottom w:val="0"/>
      <w:divBdr>
        <w:top w:val="none" w:sz="0" w:space="0" w:color="auto"/>
        <w:left w:val="none" w:sz="0" w:space="0" w:color="auto"/>
        <w:bottom w:val="none" w:sz="0" w:space="0" w:color="auto"/>
        <w:right w:val="none" w:sz="0" w:space="0" w:color="auto"/>
      </w:divBdr>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83788">
      <w:bodyDiv w:val="1"/>
      <w:marLeft w:val="0"/>
      <w:marRight w:val="0"/>
      <w:marTop w:val="0"/>
      <w:marBottom w:val="0"/>
      <w:divBdr>
        <w:top w:val="none" w:sz="0" w:space="0" w:color="auto"/>
        <w:left w:val="none" w:sz="0" w:space="0" w:color="auto"/>
        <w:bottom w:val="none" w:sz="0" w:space="0" w:color="auto"/>
        <w:right w:val="none" w:sz="0" w:space="0" w:color="auto"/>
      </w:divBdr>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037224">
      <w:bodyDiv w:val="1"/>
      <w:marLeft w:val="0"/>
      <w:marRight w:val="0"/>
      <w:marTop w:val="0"/>
      <w:marBottom w:val="0"/>
      <w:divBdr>
        <w:top w:val="none" w:sz="0" w:space="0" w:color="auto"/>
        <w:left w:val="none" w:sz="0" w:space="0" w:color="auto"/>
        <w:bottom w:val="none" w:sz="0" w:space="0" w:color="auto"/>
        <w:right w:val="none" w:sz="0" w:space="0" w:color="auto"/>
      </w:divBdr>
    </w:div>
    <w:div w:id="694037125">
      <w:bodyDiv w:val="1"/>
      <w:marLeft w:val="0"/>
      <w:marRight w:val="0"/>
      <w:marTop w:val="0"/>
      <w:marBottom w:val="0"/>
      <w:divBdr>
        <w:top w:val="none" w:sz="0" w:space="0" w:color="auto"/>
        <w:left w:val="none" w:sz="0" w:space="0" w:color="auto"/>
        <w:bottom w:val="none" w:sz="0" w:space="0" w:color="auto"/>
        <w:right w:val="none" w:sz="0" w:space="0" w:color="auto"/>
      </w:divBdr>
      <w:divsChild>
        <w:div w:id="1542159766">
          <w:marLeft w:val="0"/>
          <w:marRight w:val="0"/>
          <w:marTop w:val="0"/>
          <w:marBottom w:val="0"/>
          <w:divBdr>
            <w:top w:val="none" w:sz="0" w:space="0" w:color="auto"/>
            <w:left w:val="none" w:sz="0" w:space="0" w:color="auto"/>
            <w:bottom w:val="none" w:sz="0" w:space="0" w:color="auto"/>
            <w:right w:val="none" w:sz="0" w:space="0" w:color="auto"/>
          </w:divBdr>
        </w:div>
        <w:div w:id="1975403669">
          <w:marLeft w:val="0"/>
          <w:marRight w:val="0"/>
          <w:marTop w:val="0"/>
          <w:marBottom w:val="0"/>
          <w:divBdr>
            <w:top w:val="none" w:sz="0" w:space="0" w:color="auto"/>
            <w:left w:val="none" w:sz="0" w:space="0" w:color="auto"/>
            <w:bottom w:val="none" w:sz="0" w:space="0" w:color="auto"/>
            <w:right w:val="none" w:sz="0" w:space="0" w:color="auto"/>
          </w:divBdr>
          <w:divsChild>
            <w:div w:id="1612318997">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33086588">
      <w:bodyDiv w:val="1"/>
      <w:marLeft w:val="0"/>
      <w:marRight w:val="0"/>
      <w:marTop w:val="0"/>
      <w:marBottom w:val="0"/>
      <w:divBdr>
        <w:top w:val="none" w:sz="0" w:space="0" w:color="auto"/>
        <w:left w:val="none" w:sz="0" w:space="0" w:color="auto"/>
        <w:bottom w:val="none" w:sz="0" w:space="0" w:color="auto"/>
        <w:right w:val="none" w:sz="0" w:space="0" w:color="auto"/>
      </w:divBdr>
    </w:div>
    <w:div w:id="746851699">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3235">
      <w:bodyDiv w:val="1"/>
      <w:marLeft w:val="0"/>
      <w:marRight w:val="0"/>
      <w:marTop w:val="0"/>
      <w:marBottom w:val="0"/>
      <w:divBdr>
        <w:top w:val="none" w:sz="0" w:space="0" w:color="auto"/>
        <w:left w:val="none" w:sz="0" w:space="0" w:color="auto"/>
        <w:bottom w:val="none" w:sz="0" w:space="0" w:color="auto"/>
        <w:right w:val="none" w:sz="0" w:space="0" w:color="auto"/>
      </w:divBdr>
    </w:div>
    <w:div w:id="853493093">
      <w:bodyDiv w:val="1"/>
      <w:marLeft w:val="0"/>
      <w:marRight w:val="0"/>
      <w:marTop w:val="0"/>
      <w:marBottom w:val="0"/>
      <w:divBdr>
        <w:top w:val="none" w:sz="0" w:space="0" w:color="auto"/>
        <w:left w:val="none" w:sz="0" w:space="0" w:color="auto"/>
        <w:bottom w:val="none" w:sz="0" w:space="0" w:color="auto"/>
        <w:right w:val="none" w:sz="0" w:space="0" w:color="auto"/>
      </w:divBdr>
    </w:div>
    <w:div w:id="858541986">
      <w:bodyDiv w:val="1"/>
      <w:marLeft w:val="0"/>
      <w:marRight w:val="0"/>
      <w:marTop w:val="0"/>
      <w:marBottom w:val="0"/>
      <w:divBdr>
        <w:top w:val="none" w:sz="0" w:space="0" w:color="auto"/>
        <w:left w:val="none" w:sz="0" w:space="0" w:color="auto"/>
        <w:bottom w:val="none" w:sz="0" w:space="0" w:color="auto"/>
        <w:right w:val="none" w:sz="0" w:space="0" w:color="auto"/>
      </w:divBdr>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964316959">
      <w:bodyDiv w:val="1"/>
      <w:marLeft w:val="0"/>
      <w:marRight w:val="0"/>
      <w:marTop w:val="0"/>
      <w:marBottom w:val="0"/>
      <w:divBdr>
        <w:top w:val="none" w:sz="0" w:space="0" w:color="auto"/>
        <w:left w:val="none" w:sz="0" w:space="0" w:color="auto"/>
        <w:bottom w:val="none" w:sz="0" w:space="0" w:color="auto"/>
        <w:right w:val="none" w:sz="0" w:space="0" w:color="auto"/>
      </w:divBdr>
    </w:div>
    <w:div w:id="966281363">
      <w:bodyDiv w:val="1"/>
      <w:marLeft w:val="0"/>
      <w:marRight w:val="0"/>
      <w:marTop w:val="0"/>
      <w:marBottom w:val="0"/>
      <w:divBdr>
        <w:top w:val="none" w:sz="0" w:space="0" w:color="auto"/>
        <w:left w:val="none" w:sz="0" w:space="0" w:color="auto"/>
        <w:bottom w:val="none" w:sz="0" w:space="0" w:color="auto"/>
        <w:right w:val="none" w:sz="0" w:space="0" w:color="auto"/>
      </w:divBdr>
    </w:div>
    <w:div w:id="975834673">
      <w:bodyDiv w:val="1"/>
      <w:marLeft w:val="0"/>
      <w:marRight w:val="0"/>
      <w:marTop w:val="0"/>
      <w:marBottom w:val="0"/>
      <w:divBdr>
        <w:top w:val="none" w:sz="0" w:space="0" w:color="auto"/>
        <w:left w:val="none" w:sz="0" w:space="0" w:color="auto"/>
        <w:bottom w:val="none" w:sz="0" w:space="0" w:color="auto"/>
        <w:right w:val="none" w:sz="0" w:space="0" w:color="auto"/>
      </w:divBdr>
    </w:div>
    <w:div w:id="99105737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3484367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523883">
      <w:bodyDiv w:val="1"/>
      <w:marLeft w:val="0"/>
      <w:marRight w:val="0"/>
      <w:marTop w:val="0"/>
      <w:marBottom w:val="0"/>
      <w:divBdr>
        <w:top w:val="none" w:sz="0" w:space="0" w:color="auto"/>
        <w:left w:val="none" w:sz="0" w:space="0" w:color="auto"/>
        <w:bottom w:val="none" w:sz="0" w:space="0" w:color="auto"/>
        <w:right w:val="none" w:sz="0" w:space="0" w:color="auto"/>
      </w:divBdr>
    </w:div>
    <w:div w:id="1072120952">
      <w:bodyDiv w:val="1"/>
      <w:marLeft w:val="0"/>
      <w:marRight w:val="0"/>
      <w:marTop w:val="0"/>
      <w:marBottom w:val="0"/>
      <w:divBdr>
        <w:top w:val="none" w:sz="0" w:space="0" w:color="auto"/>
        <w:left w:val="none" w:sz="0" w:space="0" w:color="auto"/>
        <w:bottom w:val="none" w:sz="0" w:space="0" w:color="auto"/>
        <w:right w:val="none" w:sz="0" w:space="0" w:color="auto"/>
      </w:divBdr>
      <w:divsChild>
        <w:div w:id="2061440250">
          <w:marLeft w:val="0"/>
          <w:marRight w:val="0"/>
          <w:marTop w:val="0"/>
          <w:marBottom w:val="0"/>
          <w:divBdr>
            <w:top w:val="none" w:sz="0" w:space="0" w:color="auto"/>
            <w:left w:val="none" w:sz="0" w:space="0" w:color="auto"/>
            <w:bottom w:val="none" w:sz="0" w:space="0" w:color="auto"/>
            <w:right w:val="none" w:sz="0" w:space="0" w:color="auto"/>
          </w:divBdr>
        </w:div>
      </w:divsChild>
    </w:div>
    <w:div w:id="1074010415">
      <w:bodyDiv w:val="1"/>
      <w:marLeft w:val="0"/>
      <w:marRight w:val="0"/>
      <w:marTop w:val="0"/>
      <w:marBottom w:val="0"/>
      <w:divBdr>
        <w:top w:val="none" w:sz="0" w:space="0" w:color="auto"/>
        <w:left w:val="none" w:sz="0" w:space="0" w:color="auto"/>
        <w:bottom w:val="none" w:sz="0" w:space="0" w:color="auto"/>
        <w:right w:val="none" w:sz="0" w:space="0" w:color="auto"/>
      </w:divBdr>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937006">
      <w:bodyDiv w:val="1"/>
      <w:marLeft w:val="0"/>
      <w:marRight w:val="0"/>
      <w:marTop w:val="0"/>
      <w:marBottom w:val="0"/>
      <w:divBdr>
        <w:top w:val="none" w:sz="0" w:space="0" w:color="auto"/>
        <w:left w:val="none" w:sz="0" w:space="0" w:color="auto"/>
        <w:bottom w:val="none" w:sz="0" w:space="0" w:color="auto"/>
        <w:right w:val="none" w:sz="0" w:space="0" w:color="auto"/>
      </w:divBdr>
    </w:div>
    <w:div w:id="1115251974">
      <w:bodyDiv w:val="1"/>
      <w:marLeft w:val="0"/>
      <w:marRight w:val="0"/>
      <w:marTop w:val="0"/>
      <w:marBottom w:val="0"/>
      <w:divBdr>
        <w:top w:val="none" w:sz="0" w:space="0" w:color="auto"/>
        <w:left w:val="none" w:sz="0" w:space="0" w:color="auto"/>
        <w:bottom w:val="none" w:sz="0" w:space="0" w:color="auto"/>
        <w:right w:val="none" w:sz="0" w:space="0" w:color="auto"/>
      </w:divBdr>
    </w:div>
    <w:div w:id="1145395497">
      <w:bodyDiv w:val="1"/>
      <w:marLeft w:val="0"/>
      <w:marRight w:val="0"/>
      <w:marTop w:val="0"/>
      <w:marBottom w:val="0"/>
      <w:divBdr>
        <w:top w:val="none" w:sz="0" w:space="0" w:color="auto"/>
        <w:left w:val="none" w:sz="0" w:space="0" w:color="auto"/>
        <w:bottom w:val="none" w:sz="0" w:space="0" w:color="auto"/>
        <w:right w:val="none" w:sz="0" w:space="0" w:color="auto"/>
      </w:divBdr>
    </w:div>
    <w:div w:id="1166214167">
      <w:bodyDiv w:val="1"/>
      <w:marLeft w:val="0"/>
      <w:marRight w:val="0"/>
      <w:marTop w:val="0"/>
      <w:marBottom w:val="0"/>
      <w:divBdr>
        <w:top w:val="none" w:sz="0" w:space="0" w:color="auto"/>
        <w:left w:val="none" w:sz="0" w:space="0" w:color="auto"/>
        <w:bottom w:val="none" w:sz="0" w:space="0" w:color="auto"/>
        <w:right w:val="none" w:sz="0" w:space="0" w:color="auto"/>
      </w:divBdr>
    </w:div>
    <w:div w:id="1166751248">
      <w:bodyDiv w:val="1"/>
      <w:marLeft w:val="0"/>
      <w:marRight w:val="0"/>
      <w:marTop w:val="0"/>
      <w:marBottom w:val="0"/>
      <w:divBdr>
        <w:top w:val="none" w:sz="0" w:space="0" w:color="auto"/>
        <w:left w:val="none" w:sz="0" w:space="0" w:color="auto"/>
        <w:bottom w:val="none" w:sz="0" w:space="0" w:color="auto"/>
        <w:right w:val="none" w:sz="0" w:space="0" w:color="auto"/>
      </w:divBdr>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78422019">
      <w:bodyDiv w:val="1"/>
      <w:marLeft w:val="0"/>
      <w:marRight w:val="0"/>
      <w:marTop w:val="0"/>
      <w:marBottom w:val="0"/>
      <w:divBdr>
        <w:top w:val="none" w:sz="0" w:space="0" w:color="auto"/>
        <w:left w:val="none" w:sz="0" w:space="0" w:color="auto"/>
        <w:bottom w:val="none" w:sz="0" w:space="0" w:color="auto"/>
        <w:right w:val="none" w:sz="0" w:space="0" w:color="auto"/>
      </w:divBdr>
      <w:divsChild>
        <w:div w:id="499004106">
          <w:marLeft w:val="0"/>
          <w:marRight w:val="0"/>
          <w:marTop w:val="0"/>
          <w:marBottom w:val="0"/>
          <w:divBdr>
            <w:top w:val="none" w:sz="0" w:space="0" w:color="auto"/>
            <w:left w:val="none" w:sz="0" w:space="0" w:color="auto"/>
            <w:bottom w:val="none" w:sz="0" w:space="0" w:color="auto"/>
            <w:right w:val="none" w:sz="0" w:space="0" w:color="auto"/>
          </w:divBdr>
        </w:div>
        <w:div w:id="1150098699">
          <w:marLeft w:val="0"/>
          <w:marRight w:val="0"/>
          <w:marTop w:val="0"/>
          <w:marBottom w:val="0"/>
          <w:divBdr>
            <w:top w:val="none" w:sz="0" w:space="0" w:color="auto"/>
            <w:left w:val="none" w:sz="0" w:space="0" w:color="auto"/>
            <w:bottom w:val="none" w:sz="0" w:space="0" w:color="auto"/>
            <w:right w:val="none" w:sz="0" w:space="0" w:color="auto"/>
          </w:divBdr>
          <w:divsChild>
            <w:div w:id="208071481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232541611">
      <w:bodyDiv w:val="1"/>
      <w:marLeft w:val="0"/>
      <w:marRight w:val="0"/>
      <w:marTop w:val="0"/>
      <w:marBottom w:val="0"/>
      <w:divBdr>
        <w:top w:val="none" w:sz="0" w:space="0" w:color="auto"/>
        <w:left w:val="none" w:sz="0" w:space="0" w:color="auto"/>
        <w:bottom w:val="none" w:sz="0" w:space="0" w:color="auto"/>
        <w:right w:val="none" w:sz="0" w:space="0" w:color="auto"/>
      </w:divBdr>
    </w:div>
    <w:div w:id="1269311001">
      <w:bodyDiv w:val="1"/>
      <w:marLeft w:val="0"/>
      <w:marRight w:val="0"/>
      <w:marTop w:val="0"/>
      <w:marBottom w:val="0"/>
      <w:divBdr>
        <w:top w:val="none" w:sz="0" w:space="0" w:color="auto"/>
        <w:left w:val="none" w:sz="0" w:space="0" w:color="auto"/>
        <w:bottom w:val="none" w:sz="0" w:space="0" w:color="auto"/>
        <w:right w:val="none" w:sz="0" w:space="0" w:color="auto"/>
      </w:divBdr>
    </w:div>
    <w:div w:id="1278100910">
      <w:bodyDiv w:val="1"/>
      <w:marLeft w:val="0"/>
      <w:marRight w:val="0"/>
      <w:marTop w:val="0"/>
      <w:marBottom w:val="0"/>
      <w:divBdr>
        <w:top w:val="none" w:sz="0" w:space="0" w:color="auto"/>
        <w:left w:val="none" w:sz="0" w:space="0" w:color="auto"/>
        <w:bottom w:val="none" w:sz="0" w:space="0" w:color="auto"/>
        <w:right w:val="none" w:sz="0" w:space="0" w:color="auto"/>
      </w:divBdr>
      <w:divsChild>
        <w:div w:id="1333947477">
          <w:marLeft w:val="0"/>
          <w:marRight w:val="0"/>
          <w:marTop w:val="0"/>
          <w:marBottom w:val="0"/>
          <w:divBdr>
            <w:top w:val="none" w:sz="0" w:space="0" w:color="auto"/>
            <w:left w:val="none" w:sz="0" w:space="0" w:color="auto"/>
            <w:bottom w:val="none" w:sz="0" w:space="0" w:color="auto"/>
            <w:right w:val="none" w:sz="0" w:space="0" w:color="auto"/>
          </w:divBdr>
        </w:div>
      </w:divsChild>
    </w:div>
    <w:div w:id="1302535850">
      <w:bodyDiv w:val="1"/>
      <w:marLeft w:val="0"/>
      <w:marRight w:val="0"/>
      <w:marTop w:val="0"/>
      <w:marBottom w:val="0"/>
      <w:divBdr>
        <w:top w:val="none" w:sz="0" w:space="0" w:color="auto"/>
        <w:left w:val="none" w:sz="0" w:space="0" w:color="auto"/>
        <w:bottom w:val="none" w:sz="0" w:space="0" w:color="auto"/>
        <w:right w:val="none" w:sz="0" w:space="0" w:color="auto"/>
      </w:divBdr>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524357">
      <w:bodyDiv w:val="1"/>
      <w:marLeft w:val="0"/>
      <w:marRight w:val="0"/>
      <w:marTop w:val="0"/>
      <w:marBottom w:val="0"/>
      <w:divBdr>
        <w:top w:val="none" w:sz="0" w:space="0" w:color="auto"/>
        <w:left w:val="none" w:sz="0" w:space="0" w:color="auto"/>
        <w:bottom w:val="none" w:sz="0" w:space="0" w:color="auto"/>
        <w:right w:val="none" w:sz="0" w:space="0" w:color="auto"/>
      </w:divBdr>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925578">
      <w:bodyDiv w:val="1"/>
      <w:marLeft w:val="0"/>
      <w:marRight w:val="0"/>
      <w:marTop w:val="0"/>
      <w:marBottom w:val="0"/>
      <w:divBdr>
        <w:top w:val="none" w:sz="0" w:space="0" w:color="auto"/>
        <w:left w:val="none" w:sz="0" w:space="0" w:color="auto"/>
        <w:bottom w:val="none" w:sz="0" w:space="0" w:color="auto"/>
        <w:right w:val="none" w:sz="0" w:space="0" w:color="auto"/>
      </w:divBdr>
    </w:div>
    <w:div w:id="1401371578">
      <w:bodyDiv w:val="1"/>
      <w:marLeft w:val="0"/>
      <w:marRight w:val="0"/>
      <w:marTop w:val="0"/>
      <w:marBottom w:val="0"/>
      <w:divBdr>
        <w:top w:val="none" w:sz="0" w:space="0" w:color="auto"/>
        <w:left w:val="none" w:sz="0" w:space="0" w:color="auto"/>
        <w:bottom w:val="none" w:sz="0" w:space="0" w:color="auto"/>
        <w:right w:val="none" w:sz="0" w:space="0" w:color="auto"/>
      </w:divBdr>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12897285">
      <w:bodyDiv w:val="1"/>
      <w:marLeft w:val="0"/>
      <w:marRight w:val="0"/>
      <w:marTop w:val="0"/>
      <w:marBottom w:val="0"/>
      <w:divBdr>
        <w:top w:val="none" w:sz="0" w:space="0" w:color="auto"/>
        <w:left w:val="none" w:sz="0" w:space="0" w:color="auto"/>
        <w:bottom w:val="none" w:sz="0" w:space="0" w:color="auto"/>
        <w:right w:val="none" w:sz="0" w:space="0" w:color="auto"/>
      </w:divBdr>
      <w:divsChild>
        <w:div w:id="1333411376">
          <w:marLeft w:val="0"/>
          <w:marRight w:val="0"/>
          <w:marTop w:val="0"/>
          <w:marBottom w:val="0"/>
          <w:divBdr>
            <w:top w:val="none" w:sz="0" w:space="0" w:color="auto"/>
            <w:left w:val="none" w:sz="0" w:space="0" w:color="auto"/>
            <w:bottom w:val="none" w:sz="0" w:space="0" w:color="auto"/>
            <w:right w:val="none" w:sz="0" w:space="0" w:color="auto"/>
          </w:divBdr>
        </w:div>
      </w:divsChild>
    </w:div>
    <w:div w:id="1428236567">
      <w:bodyDiv w:val="1"/>
      <w:marLeft w:val="0"/>
      <w:marRight w:val="0"/>
      <w:marTop w:val="0"/>
      <w:marBottom w:val="0"/>
      <w:divBdr>
        <w:top w:val="none" w:sz="0" w:space="0" w:color="auto"/>
        <w:left w:val="none" w:sz="0" w:space="0" w:color="auto"/>
        <w:bottom w:val="none" w:sz="0" w:space="0" w:color="auto"/>
        <w:right w:val="none" w:sz="0" w:space="0" w:color="auto"/>
      </w:divBdr>
    </w:div>
    <w:div w:id="1431272626">
      <w:bodyDiv w:val="1"/>
      <w:marLeft w:val="0"/>
      <w:marRight w:val="0"/>
      <w:marTop w:val="0"/>
      <w:marBottom w:val="0"/>
      <w:divBdr>
        <w:top w:val="none" w:sz="0" w:space="0" w:color="auto"/>
        <w:left w:val="none" w:sz="0" w:space="0" w:color="auto"/>
        <w:bottom w:val="none" w:sz="0" w:space="0" w:color="auto"/>
        <w:right w:val="none" w:sz="0" w:space="0" w:color="auto"/>
      </w:divBdr>
      <w:divsChild>
        <w:div w:id="29183290">
          <w:marLeft w:val="0"/>
          <w:marRight w:val="0"/>
          <w:marTop w:val="0"/>
          <w:marBottom w:val="0"/>
          <w:divBdr>
            <w:top w:val="none" w:sz="0" w:space="0" w:color="auto"/>
            <w:left w:val="none" w:sz="0" w:space="0" w:color="auto"/>
            <w:bottom w:val="none" w:sz="0" w:space="0" w:color="auto"/>
            <w:right w:val="none" w:sz="0" w:space="0" w:color="auto"/>
          </w:divBdr>
        </w:div>
      </w:divsChild>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678530">
      <w:bodyDiv w:val="1"/>
      <w:marLeft w:val="0"/>
      <w:marRight w:val="0"/>
      <w:marTop w:val="0"/>
      <w:marBottom w:val="0"/>
      <w:divBdr>
        <w:top w:val="none" w:sz="0" w:space="0" w:color="auto"/>
        <w:left w:val="none" w:sz="0" w:space="0" w:color="auto"/>
        <w:bottom w:val="none" w:sz="0" w:space="0" w:color="auto"/>
        <w:right w:val="none" w:sz="0" w:space="0" w:color="auto"/>
      </w:divBdr>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072036">
      <w:bodyDiv w:val="1"/>
      <w:marLeft w:val="0"/>
      <w:marRight w:val="0"/>
      <w:marTop w:val="0"/>
      <w:marBottom w:val="0"/>
      <w:divBdr>
        <w:top w:val="none" w:sz="0" w:space="0" w:color="auto"/>
        <w:left w:val="none" w:sz="0" w:space="0" w:color="auto"/>
        <w:bottom w:val="none" w:sz="0" w:space="0" w:color="auto"/>
        <w:right w:val="none" w:sz="0" w:space="0" w:color="auto"/>
      </w:divBdr>
      <w:divsChild>
        <w:div w:id="1734812426">
          <w:marLeft w:val="960"/>
          <w:marRight w:val="0"/>
          <w:marTop w:val="0"/>
          <w:marBottom w:val="0"/>
          <w:divBdr>
            <w:top w:val="none" w:sz="0" w:space="0" w:color="auto"/>
            <w:left w:val="none" w:sz="0" w:space="0" w:color="auto"/>
            <w:bottom w:val="none" w:sz="0" w:space="0" w:color="auto"/>
            <w:right w:val="none" w:sz="0" w:space="0" w:color="auto"/>
          </w:divBdr>
          <w:divsChild>
            <w:div w:id="639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77784746">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163940">
      <w:bodyDiv w:val="1"/>
      <w:marLeft w:val="0"/>
      <w:marRight w:val="0"/>
      <w:marTop w:val="0"/>
      <w:marBottom w:val="0"/>
      <w:divBdr>
        <w:top w:val="none" w:sz="0" w:space="0" w:color="auto"/>
        <w:left w:val="none" w:sz="0" w:space="0" w:color="auto"/>
        <w:bottom w:val="none" w:sz="0" w:space="0" w:color="auto"/>
        <w:right w:val="none" w:sz="0" w:space="0" w:color="auto"/>
      </w:divBdr>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679113969">
      <w:bodyDiv w:val="1"/>
      <w:marLeft w:val="0"/>
      <w:marRight w:val="0"/>
      <w:marTop w:val="0"/>
      <w:marBottom w:val="0"/>
      <w:divBdr>
        <w:top w:val="none" w:sz="0" w:space="0" w:color="auto"/>
        <w:left w:val="none" w:sz="0" w:space="0" w:color="auto"/>
        <w:bottom w:val="none" w:sz="0" w:space="0" w:color="auto"/>
        <w:right w:val="none" w:sz="0" w:space="0" w:color="auto"/>
      </w:divBdr>
    </w:div>
    <w:div w:id="1682469614">
      <w:bodyDiv w:val="1"/>
      <w:marLeft w:val="0"/>
      <w:marRight w:val="0"/>
      <w:marTop w:val="0"/>
      <w:marBottom w:val="0"/>
      <w:divBdr>
        <w:top w:val="none" w:sz="0" w:space="0" w:color="auto"/>
        <w:left w:val="none" w:sz="0" w:space="0" w:color="auto"/>
        <w:bottom w:val="none" w:sz="0" w:space="0" w:color="auto"/>
        <w:right w:val="none" w:sz="0" w:space="0" w:color="auto"/>
      </w:divBdr>
      <w:divsChild>
        <w:div w:id="13970674">
          <w:marLeft w:val="960"/>
          <w:marRight w:val="0"/>
          <w:marTop w:val="0"/>
          <w:marBottom w:val="0"/>
          <w:divBdr>
            <w:top w:val="none" w:sz="0" w:space="0" w:color="auto"/>
            <w:left w:val="none" w:sz="0" w:space="0" w:color="auto"/>
            <w:bottom w:val="none" w:sz="0" w:space="0" w:color="auto"/>
            <w:right w:val="none" w:sz="0" w:space="0" w:color="auto"/>
          </w:divBdr>
        </w:div>
      </w:divsChild>
    </w:div>
    <w:div w:id="1708870447">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26223223">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786340468">
      <w:bodyDiv w:val="1"/>
      <w:marLeft w:val="0"/>
      <w:marRight w:val="0"/>
      <w:marTop w:val="0"/>
      <w:marBottom w:val="0"/>
      <w:divBdr>
        <w:top w:val="none" w:sz="0" w:space="0" w:color="auto"/>
        <w:left w:val="none" w:sz="0" w:space="0" w:color="auto"/>
        <w:bottom w:val="none" w:sz="0" w:space="0" w:color="auto"/>
        <w:right w:val="none" w:sz="0" w:space="0" w:color="auto"/>
      </w:divBdr>
      <w:divsChild>
        <w:div w:id="433136091">
          <w:marLeft w:val="0"/>
          <w:marRight w:val="0"/>
          <w:marTop w:val="0"/>
          <w:marBottom w:val="0"/>
          <w:divBdr>
            <w:top w:val="none" w:sz="0" w:space="0" w:color="auto"/>
            <w:left w:val="none" w:sz="0" w:space="0" w:color="auto"/>
            <w:bottom w:val="none" w:sz="0" w:space="0" w:color="auto"/>
            <w:right w:val="none" w:sz="0" w:space="0" w:color="auto"/>
          </w:divBdr>
        </w:div>
      </w:divsChild>
    </w:div>
    <w:div w:id="1796168565">
      <w:bodyDiv w:val="1"/>
      <w:marLeft w:val="0"/>
      <w:marRight w:val="0"/>
      <w:marTop w:val="0"/>
      <w:marBottom w:val="0"/>
      <w:divBdr>
        <w:top w:val="none" w:sz="0" w:space="0" w:color="auto"/>
        <w:left w:val="none" w:sz="0" w:space="0" w:color="auto"/>
        <w:bottom w:val="none" w:sz="0" w:space="0" w:color="auto"/>
        <w:right w:val="none" w:sz="0" w:space="0" w:color="auto"/>
      </w:divBdr>
      <w:divsChild>
        <w:div w:id="543371243">
          <w:marLeft w:val="960"/>
          <w:marRight w:val="0"/>
          <w:marTop w:val="0"/>
          <w:marBottom w:val="0"/>
          <w:divBdr>
            <w:top w:val="none" w:sz="0" w:space="0" w:color="auto"/>
            <w:left w:val="none" w:sz="0" w:space="0" w:color="auto"/>
            <w:bottom w:val="none" w:sz="0" w:space="0" w:color="auto"/>
            <w:right w:val="none" w:sz="0" w:space="0" w:color="auto"/>
          </w:divBdr>
        </w:div>
      </w:divsChild>
    </w:div>
    <w:div w:id="1807821778">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2039556">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02590639">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30843856">
      <w:bodyDiv w:val="1"/>
      <w:marLeft w:val="0"/>
      <w:marRight w:val="0"/>
      <w:marTop w:val="0"/>
      <w:marBottom w:val="0"/>
      <w:divBdr>
        <w:top w:val="none" w:sz="0" w:space="0" w:color="auto"/>
        <w:left w:val="none" w:sz="0" w:space="0" w:color="auto"/>
        <w:bottom w:val="none" w:sz="0" w:space="0" w:color="auto"/>
        <w:right w:val="none" w:sz="0" w:space="0" w:color="auto"/>
      </w:divBdr>
    </w:div>
    <w:div w:id="1931574619">
      <w:bodyDiv w:val="1"/>
      <w:marLeft w:val="0"/>
      <w:marRight w:val="0"/>
      <w:marTop w:val="0"/>
      <w:marBottom w:val="0"/>
      <w:divBdr>
        <w:top w:val="none" w:sz="0" w:space="0" w:color="auto"/>
        <w:left w:val="none" w:sz="0" w:space="0" w:color="auto"/>
        <w:bottom w:val="none" w:sz="0" w:space="0" w:color="auto"/>
        <w:right w:val="none" w:sz="0" w:space="0" w:color="auto"/>
      </w:divBdr>
    </w:div>
    <w:div w:id="1948195431">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751035">
      <w:bodyDiv w:val="1"/>
      <w:marLeft w:val="0"/>
      <w:marRight w:val="0"/>
      <w:marTop w:val="0"/>
      <w:marBottom w:val="0"/>
      <w:divBdr>
        <w:top w:val="none" w:sz="0" w:space="0" w:color="auto"/>
        <w:left w:val="none" w:sz="0" w:space="0" w:color="auto"/>
        <w:bottom w:val="none" w:sz="0" w:space="0" w:color="auto"/>
        <w:right w:val="none" w:sz="0" w:space="0" w:color="auto"/>
      </w:divBdr>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847455">
      <w:bodyDiv w:val="1"/>
      <w:marLeft w:val="0"/>
      <w:marRight w:val="0"/>
      <w:marTop w:val="0"/>
      <w:marBottom w:val="0"/>
      <w:divBdr>
        <w:top w:val="none" w:sz="0" w:space="0" w:color="auto"/>
        <w:left w:val="none" w:sz="0" w:space="0" w:color="auto"/>
        <w:bottom w:val="none" w:sz="0" w:space="0" w:color="auto"/>
        <w:right w:val="none" w:sz="0" w:space="0" w:color="auto"/>
      </w:divBdr>
    </w:div>
    <w:div w:id="2044359070">
      <w:bodyDiv w:val="1"/>
      <w:marLeft w:val="0"/>
      <w:marRight w:val="0"/>
      <w:marTop w:val="0"/>
      <w:marBottom w:val="0"/>
      <w:divBdr>
        <w:top w:val="none" w:sz="0" w:space="0" w:color="auto"/>
        <w:left w:val="none" w:sz="0" w:space="0" w:color="auto"/>
        <w:bottom w:val="none" w:sz="0" w:space="0" w:color="auto"/>
        <w:right w:val="none" w:sz="0" w:space="0" w:color="auto"/>
      </w:divBdr>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486791">
      <w:bodyDiv w:val="1"/>
      <w:marLeft w:val="0"/>
      <w:marRight w:val="0"/>
      <w:marTop w:val="0"/>
      <w:marBottom w:val="0"/>
      <w:divBdr>
        <w:top w:val="none" w:sz="0" w:space="0" w:color="auto"/>
        <w:left w:val="none" w:sz="0" w:space="0" w:color="auto"/>
        <w:bottom w:val="none" w:sz="0" w:space="0" w:color="auto"/>
        <w:right w:val="none" w:sz="0" w:space="0" w:color="auto"/>
      </w:divBdr>
    </w:div>
    <w:div w:id="21258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Wainwright%20TW%5BAuthor%5D&amp;cauthor=true&amp;cauthor_uid=30306337" TargetMode="External"/><Relationship Id="rId21" Type="http://schemas.openxmlformats.org/officeDocument/2006/relationships/hyperlink" Target="https://www.longtermplan.nhs.uk/wp-content/uploads/2019/08/nhs-long-term-plan-version-1.2.pdf" TargetMode="External"/><Relationship Id="rId42" Type="http://schemas.openxmlformats.org/officeDocument/2006/relationships/hyperlink" Target="https://www.nice.org.uk/about/what-we-do/our-programmes/nice-guidance/nice-guidelines/making-decisions-using-nice-guidelines" TargetMode="External"/><Relationship Id="rId63" Type="http://schemas.openxmlformats.org/officeDocument/2006/relationships/hyperlink" Target="https://www.njrcentre.org.uk/njrcentre/Reports-Publications-and-Minutes/Annual-reports" TargetMode="External"/><Relationship Id="rId84" Type="http://schemas.openxmlformats.org/officeDocument/2006/relationships/hyperlink" Target="https://www.nice.org.uk/terms-and-conditions" TargetMode="External"/><Relationship Id="rId16" Type="http://schemas.openxmlformats.org/officeDocument/2006/relationships/hyperlink" Target="https://reports.njrcentre.org.uk/" TargetMode="External"/><Relationship Id="rId107" Type="http://schemas.openxmlformats.org/officeDocument/2006/relationships/hyperlink" Target="https://associationofanaesthetists-publications.onlinelibrary.wiley.com/doi/full/10.1111/anae.13762" TargetMode="External"/><Relationship Id="rId11" Type="http://schemas.openxmlformats.org/officeDocument/2006/relationships/hyperlink" Target="https://reports.njrcentre.org.uk/patient-guide" TargetMode="External"/><Relationship Id="rId32" Type="http://schemas.openxmlformats.org/officeDocument/2006/relationships/hyperlink" Target="https://www.rcot.co.uk/practice-resources/rcot-practice-guidelines/hip" TargetMode="External"/><Relationship Id="rId37" Type="http://schemas.openxmlformats.org/officeDocument/2006/relationships/hyperlink" Target="https://www.gettingitrightfirsttime.co.uk/girft-reports/" TargetMode="External"/><Relationship Id="rId53" Type="http://schemas.openxmlformats.org/officeDocument/2006/relationships/hyperlink" Target="https://anaesthetists.org/Portals/0/PDFs/_Anaesthesia%20News%20PDFs%20compressed/2014/Anaesthesia_News_October_2014-min.pdf?ver=2018-12-11-104647-947" TargetMode="External"/><Relationship Id="rId58" Type="http://schemas.openxmlformats.org/officeDocument/2006/relationships/hyperlink" Target="https://www.ncbi.nlm.nih.gov/pmc/articles/PMC6383371/" TargetMode="External"/><Relationship Id="rId74" Type="http://schemas.openxmlformats.org/officeDocument/2006/relationships/hyperlink" Target="https://www.gettingitrightfirsttime.co.uk/orthopaedics-follow-up/" TargetMode="External"/><Relationship Id="rId79" Type="http://schemas.openxmlformats.org/officeDocument/2006/relationships/hyperlink" Target="https://www.nice.org.uk/guidance/cg177/resources" TargetMode="External"/><Relationship Id="rId102" Type="http://schemas.openxmlformats.org/officeDocument/2006/relationships/hyperlink" Target="https://www.boa.ac.uk/uploads/assets/7a224177-0a39-4833-bb8a1b9d609e92de/reducing-the-risk-of-cemented-arthroplasty-in-hip-fracture-surgery.pdf" TargetMode="External"/><Relationship Id="rId123" Type="http://schemas.openxmlformats.org/officeDocument/2006/relationships/hyperlink" Target="https://www.ncbi.nlm.nih.gov/pubmed/?term=Hing%20WA%5BAuthor%5D&amp;cauthor=true&amp;cauthor_uid=30696416" TargetMode="External"/><Relationship Id="rId128" Type="http://schemas.openxmlformats.org/officeDocument/2006/relationships/hyperlink" Target="https://reports.njrcentre.org.uk" TargetMode="External"/><Relationship Id="rId5" Type="http://schemas.openxmlformats.org/officeDocument/2006/relationships/webSettings" Target="webSettings.xml"/><Relationship Id="rId90" Type="http://schemas.openxmlformats.org/officeDocument/2006/relationships/hyperlink" Target="https://www.england.nhs.uk/publication/transforming-musculoskeletal-and-orthopaedic-elective-care-services/" TargetMode="External"/><Relationship Id="rId95" Type="http://schemas.openxmlformats.org/officeDocument/2006/relationships/hyperlink" Target="https://bestmsk.crowdicity.com/category/193660" TargetMode="External"/><Relationship Id="rId22" Type="http://schemas.openxmlformats.org/officeDocument/2006/relationships/hyperlink" Target="https://www.england.nhs.uk/wp-content/uploads/2019/05/elective-care-high-impact-interventions-first-contact-practitioner-msk-services-specification.pdf" TargetMode="External"/><Relationship Id="rId27" Type="http://schemas.openxmlformats.org/officeDocument/2006/relationships/footer" Target="footer2.xml"/><Relationship Id="rId43" Type="http://schemas.openxmlformats.org/officeDocument/2006/relationships/hyperlink" Target="https://www.england.nhs.uk/ourwork/accessibleinfo/" TargetMode="External"/><Relationship Id="rId48" Type="http://schemas.openxmlformats.org/officeDocument/2006/relationships/hyperlink" Target="https://www.nice.org.uk/guidance/ng157/" TargetMode="External"/><Relationship Id="rId64" Type="http://schemas.openxmlformats.org/officeDocument/2006/relationships/hyperlink" Target="https://www.nice.org.uk/guidance/NG157" TargetMode="External"/><Relationship Id="rId69" Type="http://schemas.openxmlformats.org/officeDocument/2006/relationships/hyperlink" Target="https://www.rcot.co.uk/practice-resources/rcot-practice-guidelines/hip" TargetMode="External"/><Relationship Id="rId113" Type="http://schemas.openxmlformats.org/officeDocument/2006/relationships/hyperlink" Target="https://www.tandfonline.com/author/Smith%2C+Toby" TargetMode="External"/><Relationship Id="rId118" Type="http://schemas.openxmlformats.org/officeDocument/2006/relationships/hyperlink" Target="https://www.ncbi.nlm.nih.gov/pubmed/?term=Kehlet%20H%5BAuthor%5D&amp;cauthor=true&amp;cauthor_uid=30306337" TargetMode="External"/><Relationship Id="rId80" Type="http://schemas.openxmlformats.org/officeDocument/2006/relationships/hyperlink" Target="https://www.nice.org.uk/guidance/cg177/resources/endorsed-resource-decision-support-tools-for-use-in-primary-care-by-people-with-musculoskeletal-conditions-knee-problems-hip-problems-shoulder-problems-back-problems-and-sciatica-8957443933" TargetMode="External"/><Relationship Id="rId85" Type="http://schemas.openxmlformats.org/officeDocument/2006/relationships/hyperlink" Target="https://www.ncbi.nlm.nih.gov/pmc/articles/PMC5771036/" TargetMode="External"/><Relationship Id="rId12" Type="http://schemas.openxmlformats.org/officeDocument/2006/relationships/hyperlink" Target="https://reports.njrcentre.org.uk/patient-guide" TargetMode="External"/><Relationship Id="rId17" Type="http://schemas.openxmlformats.org/officeDocument/2006/relationships/hyperlink" Target="https://digital.nhs.uk/data-and-information/publications/statistical/patient-reported-outcome-measures-proms/finalised-hip-and-knee-replacement-april-2019---march-2020" TargetMode="External"/><Relationship Id="rId33" Type="http://schemas.openxmlformats.org/officeDocument/2006/relationships/hyperlink" Target="https://publishing.rcseng.ac.uk/doi/pdf/10.1308/rcsann.2017.0124" TargetMode="External"/><Relationship Id="rId38" Type="http://schemas.openxmlformats.org/officeDocument/2006/relationships/hyperlink" Target="https://www.nice.org.uk/guidance/NG157" TargetMode="External"/><Relationship Id="rId59" Type="http://schemas.openxmlformats.org/officeDocument/2006/relationships/hyperlink" Target="https://bmjopen.bmj.com/node/135805.full" TargetMode="External"/><Relationship Id="rId103" Type="http://schemas.openxmlformats.org/officeDocument/2006/relationships/hyperlink" Target="https://www.nice.org.uk/guidance/cg124/resources/2019-surveillance-of-hip-fracture-management-nice-guideline-cg124-pdf-9025317437173" TargetMode="External"/><Relationship Id="rId108" Type="http://schemas.openxmlformats.org/officeDocument/2006/relationships/hyperlink" Target="https://www.ncbi.nlm.nih.gov/pmc/articles/PMC6727069/" TargetMode="External"/><Relationship Id="rId124" Type="http://schemas.openxmlformats.org/officeDocument/2006/relationships/hyperlink" Target="https://www.ncbi.nlm.nih.gov/pubmed/?term=Vertullo%20CJ%5BAuthor%5D&amp;cauthor=true&amp;cauthor_uid=30696416" TargetMode="External"/><Relationship Id="rId129" Type="http://schemas.openxmlformats.org/officeDocument/2006/relationships/hyperlink" Target="https://www.cochranelibrary.com/cdsr/doi/10.1002/14651858.CD012874.pub2/full?highlightAbstract=tourniquet" TargetMode="External"/><Relationship Id="rId54" Type="http://schemas.openxmlformats.org/officeDocument/2006/relationships/hyperlink" Target="https://www.nice.org.uk/guidance/ng180" TargetMode="External"/><Relationship Id="rId70" Type="http://schemas.openxmlformats.org/officeDocument/2006/relationships/hyperlink" Target="https://publishing.rcseng.ac.uk/doi/pdf/10.1308/rcsann.2017.0124" TargetMode="External"/><Relationship Id="rId75" Type="http://schemas.openxmlformats.org/officeDocument/2006/relationships/hyperlink" Target="https://linkinghub.elsevier.com/retrieve/pii/S0031-9406(19)30125-7" TargetMode="External"/><Relationship Id="rId91" Type="http://schemas.openxmlformats.org/officeDocument/2006/relationships/hyperlink" Target="https://www.england.nhs.uk/atlas_case_study/improving-pathways-in-elective-orthopaedic-arthroplasty-care/" TargetMode="External"/><Relationship Id="rId96" Type="http://schemas.openxmlformats.org/officeDocument/2006/relationships/hyperlink" Target="https://www.nice.org.uk/guidance/qs8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ngland.nhs.uk/publication/2021-22-priorities-and-operational-planning-guidance/" TargetMode="External"/><Relationship Id="rId28" Type="http://schemas.openxmlformats.org/officeDocument/2006/relationships/hyperlink" Target="https://www.nice.org.uk/guidance/qs87/" TargetMode="External"/><Relationship Id="rId49" Type="http://schemas.openxmlformats.org/officeDocument/2006/relationships/hyperlink" Target="https://publishing.rcseng.ac.uk/doi/pdf/10.1308/rcsann.2017.0124" TargetMode="External"/><Relationship Id="rId114" Type="http://schemas.openxmlformats.org/officeDocument/2006/relationships/hyperlink" Target="https://www.ncbi.nlm.nih.gov/pmc/articles/PMC6179978/" TargetMode="External"/><Relationship Id="rId119" Type="http://schemas.openxmlformats.org/officeDocument/2006/relationships/hyperlink" Target="https://www.ncbi.nlm.nih.gov/pmc/articles/PMC6179978/" TargetMode="External"/><Relationship Id="rId44" Type="http://schemas.openxmlformats.org/officeDocument/2006/relationships/hyperlink" Target="https://www.rcot.co.uk/practice-resources/rcot-practice-guidelines/hip" TargetMode="External"/><Relationship Id="rId60" Type="http://schemas.openxmlformats.org/officeDocument/2006/relationships/hyperlink" Target="https://reports.njrcentre.org.uk/" TargetMode="External"/><Relationship Id="rId65" Type="http://schemas.openxmlformats.org/officeDocument/2006/relationships/hyperlink" Target="https://doi.org/10.1016/j.knee.2020.11.014" TargetMode="External"/><Relationship Id="rId81" Type="http://schemas.openxmlformats.org/officeDocument/2006/relationships/hyperlink" Target="https://www.nice.org.uk/guidance/ng157" TargetMode="External"/><Relationship Id="rId86" Type="http://schemas.openxmlformats.org/officeDocument/2006/relationships/hyperlink" Target="https://gettingitrightfirsttime.co.uk/wp-content/uploads/2020/02/GIRFT-orthopaedics-follow-up-report-February-2020.pdf" TargetMode="External"/><Relationship Id="rId130" Type="http://schemas.openxmlformats.org/officeDocument/2006/relationships/hyperlink" Target="https://www.gov.uk/drug-safety-update/hydrogen-peroxide-reminder-of-risk-of-gas-embolism-when-used-in-surgery" TargetMode="External"/><Relationship Id="rId13" Type="http://schemas.openxmlformats.org/officeDocument/2006/relationships/hyperlink" Target="https://reports.njrcentre.org.uk/" TargetMode="External"/><Relationship Id="rId18" Type="http://schemas.openxmlformats.org/officeDocument/2006/relationships/hyperlink" Target="https://www.gettingitrightfirsttime.co.uk/surgical-specialty/orthopaedic-surgery/" TargetMode="External"/><Relationship Id="rId39" Type="http://schemas.openxmlformats.org/officeDocument/2006/relationships/hyperlink" Target="https://www.nice.org.uk/guidance/ng157/chapter/recommendations" TargetMode="External"/><Relationship Id="rId109" Type="http://schemas.openxmlformats.org/officeDocument/2006/relationships/hyperlink" Target="https://www.tandfonline.com/author/Dunn%2C+Jennifer+A" TargetMode="External"/><Relationship Id="rId34" Type="http://schemas.openxmlformats.org/officeDocument/2006/relationships/hyperlink" Target="https://bmcmusculoskeletdisord.biomedcentral.com/articles/10.1186/s12891-016-1092-x" TargetMode="External"/><Relationship Id="rId50" Type="http://schemas.openxmlformats.org/officeDocument/2006/relationships/hyperlink" Target="https://reports.njrcentre.org.uk/" TargetMode="External"/><Relationship Id="rId55" Type="http://schemas.openxmlformats.org/officeDocument/2006/relationships/hyperlink" Target="https://www.who.int/patientsafety/safesurgery/checklist_implementation/en/" TargetMode="External"/><Relationship Id="rId76" Type="http://schemas.openxmlformats.org/officeDocument/2006/relationships/hyperlink" Target="https://bmcmusculoskeletdisord.biomedcentral.com/articles/10.1186/s12891-016-1092-x" TargetMode="External"/><Relationship Id="rId97" Type="http://schemas.openxmlformats.org/officeDocument/2006/relationships/hyperlink" Target="https://www.rcgp.org.uk/clinical-and-research/resources/toolkits/physical-activity-and-lifestyle.aspx" TargetMode="External"/><Relationship Id="rId104" Type="http://schemas.openxmlformats.org/officeDocument/2006/relationships/hyperlink" Target="https://www.rcoa.ac.uk/sites/default/files/documents/2020-08/PSU-OCT-2017.pdf" TargetMode="External"/><Relationship Id="rId120" Type="http://schemas.openxmlformats.org/officeDocument/2006/relationships/hyperlink" Target="https://www.ncbi.nlm.nih.gov/pmc/articles/PMC6179978/" TargetMode="External"/><Relationship Id="rId125" Type="http://schemas.openxmlformats.org/officeDocument/2006/relationships/hyperlink" Target="https://gettingitrightfirsttime.co.uk/wp-content/uploads/2020/02/GIRFT-orthopaedics-follow-up-report-February-2020.pdf" TargetMode="External"/><Relationship Id="rId7" Type="http://schemas.openxmlformats.org/officeDocument/2006/relationships/endnotes" Target="endnotes.xml"/><Relationship Id="rId71" Type="http://schemas.openxmlformats.org/officeDocument/2006/relationships/hyperlink" Target="https://www.rcoa.ac.uk/research/research-projects/perioperative-quality-improvement-programme-pqip" TargetMode="External"/><Relationship Id="rId92" Type="http://schemas.openxmlformats.org/officeDocument/2006/relationships/hyperlink" Target="https://www.nice.org.uk/guidance/qs87/resources/osteoarthritis-pdf-2098913613253" TargetMode="External"/><Relationship Id="rId2" Type="http://schemas.openxmlformats.org/officeDocument/2006/relationships/numbering" Target="numbering.xml"/><Relationship Id="rId29" Type="http://schemas.openxmlformats.org/officeDocument/2006/relationships/hyperlink" Target="https://www.versusarthritis.org/news/2021/june/we-are-calling-for-more-support-for-those-waiting-for-joint-replacement-surgery/" TargetMode="External"/><Relationship Id="rId24" Type="http://schemas.openxmlformats.org/officeDocument/2006/relationships/hyperlink" Target="http://arma.uk.net/bestmskhealth-programme-launch/" TargetMode="External"/><Relationship Id="rId40" Type="http://schemas.openxmlformats.org/officeDocument/2006/relationships/hyperlink" Target="https://www.nice.org.uk/guidance/NG197" TargetMode="External"/><Relationship Id="rId45" Type="http://schemas.openxmlformats.org/officeDocument/2006/relationships/hyperlink" Target="https://www.health.org.uk/what-we-do/a-healthier-uk-population/mobilising-action-for-healthy-lives/covid-19-impact-inquiry" TargetMode="External"/><Relationship Id="rId66" Type="http://schemas.openxmlformats.org/officeDocument/2006/relationships/hyperlink" Target="https://www.nice.org.uk/guidance/NG157" TargetMode="External"/><Relationship Id="rId87" Type="http://schemas.openxmlformats.org/officeDocument/2006/relationships/hyperlink" Target="https://doi.org/10.1186/s12891-016-1092-x" TargetMode="External"/><Relationship Id="rId110" Type="http://schemas.openxmlformats.org/officeDocument/2006/relationships/hyperlink" Target="https://www.ncbi.nlm.nih.gov/pubmed/29125384" TargetMode="External"/><Relationship Id="rId115" Type="http://schemas.openxmlformats.org/officeDocument/2006/relationships/hyperlink" Target="https://dx.doi.org/10.1186%2Fs40634-018-0156-2" TargetMode="External"/><Relationship Id="rId131" Type="http://schemas.openxmlformats.org/officeDocument/2006/relationships/hyperlink" Target="https://www.versusarthritis.org/about-arthritis/healthcare-professionals/musculoskeletal-decision-support-tools/" TargetMode="External"/><Relationship Id="rId61" Type="http://schemas.openxmlformats.org/officeDocument/2006/relationships/hyperlink" Target="https://www.gettingitrightfirsttime.co.uk/girft-reports/" TargetMode="External"/><Relationship Id="rId82" Type="http://schemas.openxmlformats.org/officeDocument/2006/relationships/hyperlink" Target="https://pathways.nice.org.uk/pathways/joint-replacement" TargetMode="External"/><Relationship Id="rId19" Type="http://schemas.openxmlformats.org/officeDocument/2006/relationships/hyperlink" Target="https://www.gettingitrightfirsttime.co.uk/surgical-specialty/orthopaedic-surgery/" TargetMode="External"/><Relationship Id="rId14" Type="http://schemas.openxmlformats.org/officeDocument/2006/relationships/hyperlink" Target="https://reports.njrcentre.org.uk/" TargetMode="External"/><Relationship Id="rId30" Type="http://schemas.openxmlformats.org/officeDocument/2006/relationships/hyperlink" Target="https://www.nice.org.uk/guidance/ng157" TargetMode="External"/><Relationship Id="rId35" Type="http://schemas.openxmlformats.org/officeDocument/2006/relationships/hyperlink" Target="https://www.nice.org.uk/guidance/NG157" TargetMode="External"/><Relationship Id="rId56" Type="http://schemas.openxmlformats.org/officeDocument/2006/relationships/hyperlink" Target="https://www.rcoa.ac.uk/gpas/chapter-16" TargetMode="External"/><Relationship Id="rId77" Type="http://schemas.openxmlformats.org/officeDocument/2006/relationships/hyperlink" Target="https://doi.org/10.1002/msc.1027" TargetMode="External"/><Relationship Id="rId100" Type="http://schemas.openxmlformats.org/officeDocument/2006/relationships/hyperlink" Target="https://www.versusarthritis.org/about-arthritis/exercising-with-arthritis/" TargetMode="External"/><Relationship Id="rId105" Type="http://schemas.openxmlformats.org/officeDocument/2006/relationships/hyperlink" Target="https://www.gmjournal.co.uk/under-reporting-of-bone-cement-implantation-syndrome" TargetMode="External"/><Relationship Id="rId126" Type="http://schemas.openxmlformats.org/officeDocument/2006/relationships/hyperlink" Target="https://doi.org/10.1186/s12891-016-1092-x" TargetMode="External"/><Relationship Id="rId8" Type="http://schemas.openxmlformats.org/officeDocument/2006/relationships/hyperlink" Target="https://www.nice.org.uk/guidance/ng157" TargetMode="External"/><Relationship Id="rId51" Type="http://schemas.openxmlformats.org/officeDocument/2006/relationships/hyperlink" Target="https://www.england.nhs.uk/patient-safety/never-events-data/" TargetMode="External"/><Relationship Id="rId72" Type="http://schemas.openxmlformats.org/officeDocument/2006/relationships/hyperlink" Target="https://www.nice.org.uk/guidance/ng157/" TargetMode="External"/><Relationship Id="rId93" Type="http://schemas.openxmlformats.org/officeDocument/2006/relationships/hyperlink" Target="https://www.thh.nhs.uk/documents/_Departments/therapies/backschool/MSK_HQ.pdf" TargetMode="External"/><Relationship Id="rId98" Type="http://schemas.openxmlformats.org/officeDocument/2006/relationships/hyperlink" Target="https://movingmedicine.ac.uk/consultation-guides/condition/adult/msk/" TargetMode="External"/><Relationship Id="rId121" Type="http://schemas.openxmlformats.org/officeDocument/2006/relationships/hyperlink" Target="https://www.ncbi.nlm.nih.gov/pubmed/30696416" TargetMode="External"/><Relationship Id="rId3" Type="http://schemas.openxmlformats.org/officeDocument/2006/relationships/styles" Target="styles.xml"/><Relationship Id="rId25" Type="http://schemas.openxmlformats.org/officeDocument/2006/relationships/hyperlink" Target="https://www.gettingitrightfirsttime.co.uk/bpl/hvlc/" TargetMode="External"/><Relationship Id="rId46" Type="http://schemas.openxmlformats.org/officeDocument/2006/relationships/hyperlink" Target="https://www.nice.org.uk/guidance/ng157/" TargetMode="External"/><Relationship Id="rId67" Type="http://schemas.openxmlformats.org/officeDocument/2006/relationships/hyperlink" Target="https://reports.njrcentre.org.uk/" TargetMode="External"/><Relationship Id="rId116" Type="http://schemas.openxmlformats.org/officeDocument/2006/relationships/hyperlink" Target="https://www.ncbi.nlm.nih.gov/pubmed/?term=Bandholm%20T%5BAuthor%5D&amp;cauthor=true&amp;cauthor_uid=30306337" TargetMode="External"/><Relationship Id="rId20" Type="http://schemas.openxmlformats.org/officeDocument/2006/relationships/hyperlink" Target="https://www.gettingitrightfirsttime.co.uk/surgical-specialty/orthopaedic-surgery/" TargetMode="External"/><Relationship Id="rId41" Type="http://schemas.openxmlformats.org/officeDocument/2006/relationships/hyperlink" Target="https://www.nhs.uk/" TargetMode="External"/><Relationship Id="rId62" Type="http://schemas.openxmlformats.org/officeDocument/2006/relationships/hyperlink" Target="https://www.gettingitrightfirsttime.co.uk/girft-reports/" TargetMode="External"/><Relationship Id="rId83" Type="http://schemas.openxmlformats.org/officeDocument/2006/relationships/hyperlink" Target="https://www.nice.org.uk/guidance/qs87/" TargetMode="External"/><Relationship Id="rId88" Type="http://schemas.openxmlformats.org/officeDocument/2006/relationships/hyperlink" Target="https://www.rcot.co.uk/practice-resources/rcot-practice-guidelines/hip" TargetMode="External"/><Relationship Id="rId111" Type="http://schemas.openxmlformats.org/officeDocument/2006/relationships/hyperlink" Target="https://www.ncbi.nlm.nih.gov/pubmed/?term=Liu%20L%5BAuthor%5D&amp;cauthor=true&amp;cauthor_uid=29125384" TargetMode="External"/><Relationship Id="rId132" Type="http://schemas.openxmlformats.org/officeDocument/2006/relationships/fontTable" Target="fontTable.xml"/><Relationship Id="rId15" Type="http://schemas.openxmlformats.org/officeDocument/2006/relationships/hyperlink" Target="https://reports.njrcentre.org.uk/" TargetMode="External"/><Relationship Id="rId36" Type="http://schemas.openxmlformats.org/officeDocument/2006/relationships/hyperlink" Target="https://www.rcot.co.uk/practice-resources/rcot-practice-guidelines/hip" TargetMode="External"/><Relationship Id="rId57" Type="http://schemas.openxmlformats.org/officeDocument/2006/relationships/hyperlink" Target="https://www.nice.org.uk/guidance/ng157/" TargetMode="External"/><Relationship Id="rId106" Type="http://schemas.openxmlformats.org/officeDocument/2006/relationships/hyperlink" Target="https://anaesthetists.org/Home/Resources-publications/Guidelines/Management-of-hip-fractures-2020" TargetMode="External"/><Relationship Id="rId127" Type="http://schemas.openxmlformats.org/officeDocument/2006/relationships/hyperlink" Target="https://www.alzheimers.org.uk/sites/default/files/2021-06/moving-forward-stronger.pdf" TargetMode="External"/><Relationship Id="rId10" Type="http://schemas.openxmlformats.org/officeDocument/2006/relationships/hyperlink" Target="https://www.njrcentre.org.uk/njrcentre/Reports-Publications-and-Minutes/Public-and-Patient-Guide" TargetMode="External"/><Relationship Id="rId31" Type="http://schemas.openxmlformats.org/officeDocument/2006/relationships/hyperlink" Target="https://www.nice.org.uk/guidance/lifestyle-and-wellbeing" TargetMode="External"/><Relationship Id="rId52" Type="http://schemas.openxmlformats.org/officeDocument/2006/relationships/hyperlink" Target="https://www.hsib.org.uk/investigations-and-reports/implantation-of-wrong-prostheses-during-joint-replacement-surgery/" TargetMode="External"/><Relationship Id="rId73" Type="http://schemas.openxmlformats.org/officeDocument/2006/relationships/hyperlink" Target="https://www.rcot.co.uk/practice-resources/rcot-practice-guidelines/hip" TargetMode="External"/><Relationship Id="rId78" Type="http://schemas.openxmlformats.org/officeDocument/2006/relationships/hyperlink" Target="https://www.nice.org.uk/guidance/ta304" TargetMode="External"/><Relationship Id="rId94" Type="http://schemas.openxmlformats.org/officeDocument/2006/relationships/hyperlink" Target="https://www.nhsx.nhs.uk/key-tools-and-info/digital-playbooks/musculoskeletal-digital-playbook/" TargetMode="External"/><Relationship Id="rId99" Type="http://schemas.openxmlformats.org/officeDocument/2006/relationships/hyperlink" Target="https://www.versusarthritis.org/media/2177/physical-activity-msk-health-report.pdf" TargetMode="External"/><Relationship Id="rId101" Type="http://schemas.openxmlformats.org/officeDocument/2006/relationships/hyperlink" Target="https://anaesthetists.org/Portals/0/PDFs/_Anaesthesia%20News%20PDFs%20compressed/2014/Anaesthesia_News_October_2014-min.pdf?ver=2018-12-11-104647-947" TargetMode="External"/><Relationship Id="rId122" Type="http://schemas.openxmlformats.org/officeDocument/2006/relationships/hyperlink" Target="https://www.ncbi.nlm.nih.gov/pubmed/?term=Sattler%20LN%5BAuthor%5D&amp;cauthor=true&amp;cauthor_uid=30696416" TargetMode="External"/><Relationship Id="rId4" Type="http://schemas.openxmlformats.org/officeDocument/2006/relationships/settings" Target="settings.xml"/><Relationship Id="rId9" Type="http://schemas.openxmlformats.org/officeDocument/2006/relationships/hyperlink" Target="https://www.njrcentre.org.uk/njrcentre/Reports-Publications-and-Minutes/Public-and-Patient-Guide" TargetMode="External"/><Relationship Id="rId26" Type="http://schemas.openxmlformats.org/officeDocument/2006/relationships/footer" Target="footer1.xml"/><Relationship Id="rId47" Type="http://schemas.openxmlformats.org/officeDocument/2006/relationships/hyperlink" Target="https://publishing.rcseng.ac.uk/doi/pdf/10.1308/rcsann.2017.0124" TargetMode="External"/><Relationship Id="rId68" Type="http://schemas.openxmlformats.org/officeDocument/2006/relationships/hyperlink" Target="https://www.gettingitrightfirsttime.co.uk/girft-reports/" TargetMode="External"/><Relationship Id="rId89" Type="http://schemas.openxmlformats.org/officeDocument/2006/relationships/hyperlink" Target="https://gettingitrightfirsttime.co.uk/wp-content/uploads/2020/02/GIRFT-orthopaedics-follow-up-report-February-2020.pdf" TargetMode="External"/><Relationship Id="rId112" Type="http://schemas.openxmlformats.org/officeDocument/2006/relationships/hyperlink" Target="https://www.tandfonline.com/author/Simmons%2C+Lucy"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17835</Words>
  <Characters>117915</Characters>
  <Application>Microsoft Office Word</Application>
  <DocSecurity>0</DocSecurity>
  <Lines>982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135480</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2021-09-28T09:41:00Z</dcterms:created>
  <dcterms:modified xsi:type="dcterms:W3CDTF">2021-11-12T12:05:00Z</dcterms:modified>
</cp:coreProperties>
</file>