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A1FA2F" w14:textId="77777777" w:rsidR="00CD47DE" w:rsidRDefault="00CD47DE" w:rsidP="00D04BD2">
      <w:pPr>
        <w:pStyle w:val="Title2"/>
      </w:pPr>
    </w:p>
    <w:p w14:paraId="05B7EA73" w14:textId="77777777" w:rsidR="00690C5A" w:rsidRPr="00D2170C" w:rsidRDefault="005F74ED" w:rsidP="00D04BD2">
      <w:pPr>
        <w:pStyle w:val="Title2"/>
      </w:pPr>
      <w:r w:rsidRPr="00D2170C">
        <w:rPr>
          <w:noProof/>
        </w:rPr>
        <w:drawing>
          <wp:anchor distT="0" distB="0" distL="114300" distR="114300" simplePos="0" relativeHeight="251659264" behindDoc="0" locked="0" layoutInCell="1" allowOverlap="1" wp14:anchorId="5373AEED" wp14:editId="180A96A3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2800350" cy="496570"/>
            <wp:effectExtent l="0" t="0" r="0" b="0"/>
            <wp:wrapNone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496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749E" w:rsidRPr="00D2170C">
        <w:t>QUALITY STANDARD TOPIC OVERVIEW</w:t>
      </w:r>
      <w:r w:rsidR="00B14454" w:rsidRPr="00D2170C">
        <w:t xml:space="preserve"> </w:t>
      </w:r>
    </w:p>
    <w:p w14:paraId="7BA9FF90" w14:textId="39095780" w:rsidR="006A749E" w:rsidRPr="00A36464" w:rsidRDefault="00EF4C6B" w:rsidP="00A36464">
      <w:pPr>
        <w:pStyle w:val="Title2"/>
        <w:pBdr>
          <w:bottom w:val="single" w:sz="12" w:space="1" w:color="00506A"/>
        </w:pBdr>
        <w:rPr>
          <w:color w:val="000000" w:themeColor="text1"/>
        </w:rPr>
      </w:pPr>
      <w:r w:rsidRPr="00EF4C6B">
        <w:t>Brain tumours (primary) and brain metastases in adults</w:t>
      </w:r>
    </w:p>
    <w:p w14:paraId="43BE2396" w14:textId="77777777" w:rsidR="006A749E" w:rsidRPr="00A36464" w:rsidRDefault="004D0F26" w:rsidP="00FE70AF">
      <w:pPr>
        <w:pStyle w:val="Numberedheading1block"/>
      </w:pPr>
      <w:r w:rsidRPr="00FE70AF">
        <w:t>Introduction</w:t>
      </w:r>
    </w:p>
    <w:p w14:paraId="7067F719" w14:textId="77777777" w:rsidR="00B14454" w:rsidRDefault="00B14454" w:rsidP="006A749E">
      <w:pPr>
        <w:pStyle w:val="NICEnormal"/>
      </w:pPr>
      <w:r w:rsidRPr="00B14454">
        <w:t>NICE quality standards describe key areas for quality improvement</w:t>
      </w:r>
      <w:r w:rsidR="000C669C" w:rsidRPr="000C669C">
        <w:t xml:space="preserve"> in health, public health and social car</w:t>
      </w:r>
      <w:r w:rsidR="00767B39">
        <w:t>e</w:t>
      </w:r>
      <w:r w:rsidRPr="00B14454">
        <w:t xml:space="preserve">. Each quality standard contains </w:t>
      </w:r>
      <w:r w:rsidR="00CD47DE">
        <w:t>a set of</w:t>
      </w:r>
      <w:r w:rsidRPr="00B14454">
        <w:t xml:space="preserve"> quality statements with related measures. Quality statements are derived from evidence-based guidance, such as NICE guidance or NICE-accredited guidance. They are developed independently by NICE, in collaboration with health, public health and social care practitioners, their partners and </w:t>
      </w:r>
      <w:r w:rsidR="000C669C">
        <w:t>people using services</w:t>
      </w:r>
      <w:r w:rsidRPr="00B14454">
        <w:t xml:space="preserve">. </w:t>
      </w:r>
    </w:p>
    <w:p w14:paraId="5F7F7078" w14:textId="791DC12C" w:rsidR="00B75142" w:rsidRPr="005A077C" w:rsidRDefault="00EF4C6B" w:rsidP="00D04BD2">
      <w:pPr>
        <w:pStyle w:val="Numberedheading2teal"/>
      </w:pPr>
      <w:r w:rsidRPr="00EF4C6B">
        <w:t>Brain tumours (primary) and brain metastases in adults</w:t>
      </w:r>
      <w:r>
        <w:t xml:space="preserve"> </w:t>
      </w:r>
      <w:r w:rsidR="00B75142" w:rsidRPr="00D04BD2">
        <w:t>quality</w:t>
      </w:r>
      <w:r w:rsidR="00B75142" w:rsidRPr="005A077C">
        <w:t xml:space="preserve"> standard</w:t>
      </w:r>
    </w:p>
    <w:p w14:paraId="370A8522" w14:textId="0E769F03" w:rsidR="00E504C0" w:rsidRDefault="00E504C0" w:rsidP="006A749E">
      <w:pPr>
        <w:pStyle w:val="NICEnormal"/>
      </w:pPr>
      <w:r>
        <w:t xml:space="preserve">This </w:t>
      </w:r>
      <w:r w:rsidR="004D0F26">
        <w:t>quality standard</w:t>
      </w:r>
      <w:r>
        <w:t xml:space="preserve"> has been commissioned by </w:t>
      </w:r>
      <w:r w:rsidR="00EF4C6B">
        <w:t>NHS England</w:t>
      </w:r>
      <w:r>
        <w:t>.</w:t>
      </w:r>
      <w:r w:rsidR="00330F9B">
        <w:t xml:space="preserve"> </w:t>
      </w:r>
    </w:p>
    <w:p w14:paraId="29A24584" w14:textId="537F2FA9" w:rsidR="00330F9B" w:rsidRPr="00330F9B" w:rsidRDefault="00E60F9E" w:rsidP="00330F9B">
      <w:pPr>
        <w:pStyle w:val="NICEnormal"/>
      </w:pPr>
      <w:r>
        <w:t xml:space="preserve">It </w:t>
      </w:r>
      <w:r w:rsidR="00330F9B">
        <w:t xml:space="preserve">will cover </w:t>
      </w:r>
      <w:r w:rsidR="00F76F86" w:rsidRPr="00F76F86">
        <w:t>diagnosing, monitoring and managing any type of primary brain tumour or brain metastases in people aged 16 or over</w:t>
      </w:r>
      <w:r w:rsidR="00330F9B">
        <w:t>.</w:t>
      </w:r>
    </w:p>
    <w:p w14:paraId="7E7789D7" w14:textId="3F6494DF" w:rsidR="00D24681" w:rsidRPr="00D24681" w:rsidRDefault="00D24681" w:rsidP="00D2170C">
      <w:pPr>
        <w:pStyle w:val="NICEnormal"/>
      </w:pPr>
      <w:r w:rsidRPr="00330F9B">
        <w:t xml:space="preserve">This quality standard is expected to publish in </w:t>
      </w:r>
      <w:r w:rsidR="00F76F86">
        <w:t>January 202</w:t>
      </w:r>
      <w:r w:rsidR="00834BA0">
        <w:t>2</w:t>
      </w:r>
      <w:r w:rsidRPr="00330F9B">
        <w:t>.</w:t>
      </w:r>
    </w:p>
    <w:p w14:paraId="4AEFF524" w14:textId="77777777" w:rsidR="006A749E" w:rsidRPr="005A077C" w:rsidRDefault="004D0F26" w:rsidP="00D04BD2">
      <w:pPr>
        <w:pStyle w:val="Numberedheading2teal"/>
      </w:pPr>
      <w:r w:rsidRPr="005A077C">
        <w:t>Topic engagement</w:t>
      </w:r>
    </w:p>
    <w:p w14:paraId="729C3F9D" w14:textId="77777777" w:rsidR="00324DE4" w:rsidRDefault="00324DE4" w:rsidP="00324DE4">
      <w:pPr>
        <w:pStyle w:val="NICEnormal"/>
      </w:pPr>
      <w:r w:rsidRPr="00324DE4">
        <w:t>Th</w:t>
      </w:r>
      <w:r w:rsidR="00391177">
        <w:t>e</w:t>
      </w:r>
      <w:r w:rsidRPr="00324DE4">
        <w:t xml:space="preserve"> topic </w:t>
      </w:r>
      <w:r w:rsidR="00391177">
        <w:t xml:space="preserve">engagement exercise </w:t>
      </w:r>
      <w:r w:rsidRPr="00324DE4">
        <w:t>will help identify what stakeholders think are the key areas for quality improvement</w:t>
      </w:r>
      <w:r>
        <w:t xml:space="preserve"> for this topic. The areas highlighted by stakeholders will be included in the briefing paper that will be used to inform the prioritisation of key areas during the </w:t>
      </w:r>
      <w:r w:rsidR="001633D7">
        <w:t xml:space="preserve">first </w:t>
      </w:r>
      <w:r w:rsidR="00CD47DE">
        <w:t>q</w:t>
      </w:r>
      <w:r>
        <w:t xml:space="preserve">uality </w:t>
      </w:r>
      <w:r w:rsidR="00CD47DE">
        <w:t>s</w:t>
      </w:r>
      <w:r>
        <w:t xml:space="preserve">tandards </w:t>
      </w:r>
      <w:r w:rsidR="00CD47DE">
        <w:t>a</w:t>
      </w:r>
      <w:r>
        <w:t xml:space="preserve">dvisory </w:t>
      </w:r>
      <w:r w:rsidR="00CD47DE">
        <w:t>c</w:t>
      </w:r>
      <w:r>
        <w:t>ommittee meeting.</w:t>
      </w:r>
    </w:p>
    <w:p w14:paraId="6F416C8F" w14:textId="77777777" w:rsidR="006A749E" w:rsidRPr="00A36464" w:rsidRDefault="00E60F9E" w:rsidP="00D2170C">
      <w:pPr>
        <w:pStyle w:val="Numberedheading1block"/>
      </w:pPr>
      <w:r w:rsidRPr="00A36464">
        <w:t>D</w:t>
      </w:r>
      <w:r w:rsidR="00F5707C" w:rsidRPr="00A36464">
        <w:t>eveloping the quality standard</w:t>
      </w:r>
    </w:p>
    <w:p w14:paraId="3BEE93F9" w14:textId="77777777" w:rsidR="006A749E" w:rsidRPr="008657E7" w:rsidRDefault="006A749E" w:rsidP="00D04BD2">
      <w:pPr>
        <w:pStyle w:val="Numberedheading2teal"/>
      </w:pPr>
      <w:r w:rsidRPr="008657E7">
        <w:t>Key deve</w:t>
      </w:r>
      <w:r w:rsidR="00700686" w:rsidRPr="008657E7">
        <w:t>lopment sources (NICE and NICE-</w:t>
      </w:r>
      <w:r w:rsidRPr="008657E7">
        <w:t xml:space="preserve">accredited </w:t>
      </w:r>
      <w:r w:rsidR="003E01CF" w:rsidRPr="008657E7">
        <w:t>guidance</w:t>
      </w:r>
      <w:r w:rsidRPr="008657E7">
        <w:t>)</w:t>
      </w:r>
    </w:p>
    <w:p w14:paraId="4C8860BB" w14:textId="77AF441A" w:rsidR="00364E7A" w:rsidRDefault="00F8676C" w:rsidP="007D34C8">
      <w:pPr>
        <w:pStyle w:val="Bulletleft1"/>
      </w:pPr>
      <w:hyperlink r:id="rId9" w:history="1">
        <w:r w:rsidR="00F76F86" w:rsidRPr="00F76F86">
          <w:rPr>
            <w:rStyle w:val="Hyperlink"/>
          </w:rPr>
          <w:t>Brain tumours (primary) and brain metastases in adults</w:t>
        </w:r>
      </w:hyperlink>
      <w:r w:rsidR="00F76F86">
        <w:t xml:space="preserve"> </w:t>
      </w:r>
      <w:r w:rsidR="00364E7A" w:rsidRPr="00364E7A">
        <w:t>(201</w:t>
      </w:r>
      <w:r w:rsidR="00F76F86">
        <w:t>8</w:t>
      </w:r>
      <w:r w:rsidR="00364E7A" w:rsidRPr="00364E7A">
        <w:t xml:space="preserve">) NICE guideline </w:t>
      </w:r>
      <w:r w:rsidR="00F76F86">
        <w:t>NG99</w:t>
      </w:r>
    </w:p>
    <w:p w14:paraId="00C6A67B" w14:textId="6D695994" w:rsidR="00EF7557" w:rsidRPr="002D6EC7" w:rsidRDefault="00F8676C" w:rsidP="007D34C8">
      <w:pPr>
        <w:pStyle w:val="Bulletleft1last"/>
      </w:pPr>
      <w:hyperlink r:id="rId10" w:history="1">
        <w:r w:rsidR="00EF7557" w:rsidRPr="00EF7557">
          <w:rPr>
            <w:rStyle w:val="Hyperlink"/>
          </w:rPr>
          <w:t>Suspected cancer: recognition and referral</w:t>
        </w:r>
      </w:hyperlink>
      <w:r w:rsidR="00EF7557">
        <w:t xml:space="preserve"> (2015, updated 2017) </w:t>
      </w:r>
      <w:r w:rsidR="00EF7557" w:rsidRPr="00364E7A">
        <w:t>NICE guideline</w:t>
      </w:r>
      <w:r w:rsidR="00EF7557">
        <w:t xml:space="preserve"> NG12</w:t>
      </w:r>
    </w:p>
    <w:p w14:paraId="630C6B50" w14:textId="77777777" w:rsidR="006A749E" w:rsidRPr="008657E7" w:rsidRDefault="006A749E" w:rsidP="00D04BD2">
      <w:pPr>
        <w:pStyle w:val="Numberedheading2teal"/>
      </w:pPr>
      <w:r w:rsidRPr="008657E7">
        <w:t>Key policy documents, reports and national audits</w:t>
      </w:r>
    </w:p>
    <w:p w14:paraId="6E7DDA77" w14:textId="77777777" w:rsidR="006A749E" w:rsidRDefault="006A749E" w:rsidP="006A749E">
      <w:pPr>
        <w:pStyle w:val="NICEnormal"/>
      </w:pPr>
      <w:r>
        <w:t xml:space="preserve">Relevant policy documents, reports and </w:t>
      </w:r>
      <w:r w:rsidR="00665243">
        <w:t xml:space="preserve">national </w:t>
      </w:r>
      <w:r>
        <w:t>audits will be used to inform the development of the quality standard.</w:t>
      </w:r>
    </w:p>
    <w:p w14:paraId="554B3828" w14:textId="2477471F" w:rsidR="008B03A6" w:rsidRDefault="008B03A6" w:rsidP="00355802">
      <w:pPr>
        <w:pStyle w:val="Bulletleft1"/>
      </w:pPr>
      <w:r w:rsidRPr="008B03A6">
        <w:t xml:space="preserve">British Journal of General Practice (2018) </w:t>
      </w:r>
      <w:hyperlink r:id="rId11" w:history="1">
        <w:r w:rsidRPr="008B03A6">
          <w:rPr>
            <w:rStyle w:val="Hyperlink"/>
          </w:rPr>
          <w:t>Diagnosing cancer in primary care: results from the National Cancer Diagnosis Audit</w:t>
        </w:r>
      </w:hyperlink>
      <w:r w:rsidRPr="008B03A6">
        <w:t xml:space="preserve"> </w:t>
      </w:r>
    </w:p>
    <w:p w14:paraId="3FA1E3E1" w14:textId="679FA505" w:rsidR="00355802" w:rsidRDefault="00917623" w:rsidP="00355802">
      <w:pPr>
        <w:pStyle w:val="Bulletleft1"/>
      </w:pPr>
      <w:r w:rsidRPr="00394032">
        <w:t>Getting it Right First Time</w:t>
      </w:r>
      <w:r w:rsidRPr="00917623">
        <w:t xml:space="preserve"> (2018) </w:t>
      </w:r>
      <w:hyperlink r:id="rId12" w:history="1">
        <w:r w:rsidRPr="00917623">
          <w:rPr>
            <w:rStyle w:val="Hyperlink"/>
          </w:rPr>
          <w:t>Cranial neurosurgery: GIRFT programme national specialty report</w:t>
        </w:r>
      </w:hyperlink>
    </w:p>
    <w:p w14:paraId="1B92AA63" w14:textId="421F5058" w:rsidR="00FD6B6B" w:rsidRPr="00FD6B6B" w:rsidRDefault="00FD6B6B" w:rsidP="00355802">
      <w:pPr>
        <w:pStyle w:val="Bulletleft1"/>
        <w:rPr>
          <w:rStyle w:val="Hyperlink"/>
          <w:color w:val="auto"/>
          <w:u w:val="none"/>
        </w:rPr>
      </w:pPr>
      <w:r w:rsidRPr="00FD6B6B">
        <w:t>NHS England (2020</w:t>
      </w:r>
      <w:r w:rsidRPr="00FD6B6B">
        <w:rPr>
          <w:rStyle w:val="NICEnormalChar"/>
        </w:rPr>
        <w:t xml:space="preserve">) </w:t>
      </w:r>
      <w:hyperlink r:id="rId13" w:history="1">
        <w:r w:rsidRPr="00FD6B6B">
          <w:rPr>
            <w:rStyle w:val="Hyperlink"/>
          </w:rPr>
          <w:t>Stereotactic radiosurgery (SRS) and stereotactic radiotherapy (SRT) for the treatment of the surgical cavity following resection of cerebral metastases</w:t>
        </w:r>
      </w:hyperlink>
    </w:p>
    <w:p w14:paraId="6A23A6E9" w14:textId="5354FD25" w:rsidR="00FD6B6B" w:rsidRDefault="00FD6B6B" w:rsidP="00FD6B6B">
      <w:pPr>
        <w:pStyle w:val="Bulletleft1"/>
        <w:rPr>
          <w:lang w:val="en-US" w:eastAsia="en-GB"/>
        </w:rPr>
      </w:pPr>
      <w:r w:rsidRPr="001A3D45">
        <w:rPr>
          <w:lang w:val="en-US" w:eastAsia="en-GB"/>
        </w:rPr>
        <w:t xml:space="preserve">NHS England (2018) </w:t>
      </w:r>
      <w:hyperlink r:id="rId14" w:history="1">
        <w:r w:rsidR="007D34C8" w:rsidRPr="00FD6B6B">
          <w:rPr>
            <w:rStyle w:val="Hyperlink"/>
          </w:rPr>
          <w:t>Protocol for emergency surgical intervention in patients with a brain tumour</w:t>
        </w:r>
      </w:hyperlink>
      <w:r>
        <w:rPr>
          <w:lang w:val="en-US" w:eastAsia="en-GB"/>
        </w:rPr>
        <w:t xml:space="preserve"> </w:t>
      </w:r>
    </w:p>
    <w:p w14:paraId="465A134A" w14:textId="7F83D6C0" w:rsidR="00FD6B6B" w:rsidRPr="00B061DA" w:rsidRDefault="002F3A46" w:rsidP="002F3A46">
      <w:pPr>
        <w:pStyle w:val="Bulletleft1"/>
        <w:rPr>
          <w:rStyle w:val="Hyperlink"/>
          <w:color w:val="auto"/>
          <w:u w:val="none"/>
        </w:rPr>
      </w:pPr>
      <w:r w:rsidRPr="002F3A46">
        <w:t xml:space="preserve">NHS England (2016) </w:t>
      </w:r>
      <w:hyperlink r:id="rId15" w:history="1">
        <w:r w:rsidRPr="001715B6">
          <w:rPr>
            <w:rStyle w:val="Hyperlink"/>
          </w:rPr>
          <w:t>Clinical commissioning policy: stereotactic radiosurgery/radiotherapy for ependymoma, haemangioblastoma, pilocytic astrocytoma and trigeminal schwannoma (adults)</w:t>
        </w:r>
      </w:hyperlink>
    </w:p>
    <w:p w14:paraId="7FD28812" w14:textId="2A2F06D8" w:rsidR="00B061DA" w:rsidRPr="00B061DA" w:rsidRDefault="00B061DA" w:rsidP="00B061DA">
      <w:pPr>
        <w:pStyle w:val="Bulletleft1"/>
        <w:rPr>
          <w:rStyle w:val="Hyperlink"/>
          <w:color w:val="auto"/>
          <w:u w:val="none"/>
        </w:rPr>
      </w:pPr>
      <w:r w:rsidRPr="00B061DA">
        <w:t xml:space="preserve">NHS England (2013) </w:t>
      </w:r>
      <w:hyperlink r:id="rId16" w:history="1">
        <w:r w:rsidRPr="00B061DA">
          <w:rPr>
            <w:rStyle w:val="Hyperlink"/>
          </w:rPr>
          <w:t>Clinical commissioning policy: stereotactic radiosurgery/radiotherapy for meningioma</w:t>
        </w:r>
      </w:hyperlink>
    </w:p>
    <w:p w14:paraId="69264E67" w14:textId="6A9CA5F7" w:rsidR="00B061DA" w:rsidRPr="00B061DA" w:rsidRDefault="00B061DA" w:rsidP="00B061DA">
      <w:pPr>
        <w:pStyle w:val="Bulletleft1"/>
        <w:rPr>
          <w:rStyle w:val="Hyperlink"/>
          <w:color w:val="auto"/>
          <w:u w:val="none"/>
        </w:rPr>
      </w:pPr>
      <w:r w:rsidRPr="00B061DA">
        <w:t xml:space="preserve">NHS England (2013) </w:t>
      </w:r>
      <w:hyperlink r:id="rId17" w:history="1">
        <w:r w:rsidRPr="00B061DA">
          <w:rPr>
            <w:rStyle w:val="Hyperlink"/>
          </w:rPr>
          <w:t>Clinical Commissioning Policy: Stereotactic Radiosurgery / Stereotactic Radiotherapy for Cerebral Metastases</w:t>
        </w:r>
      </w:hyperlink>
    </w:p>
    <w:p w14:paraId="6F9364E4" w14:textId="44F279E5" w:rsidR="001715B6" w:rsidRPr="0077692C" w:rsidRDefault="001715B6" w:rsidP="0077692C">
      <w:pPr>
        <w:pStyle w:val="Bulletleft1last"/>
      </w:pPr>
      <w:r w:rsidRPr="0077692C">
        <w:t xml:space="preserve">NHS England (2013) </w:t>
      </w:r>
      <w:hyperlink r:id="rId18" w:history="1">
        <w:r w:rsidRPr="00B061DA">
          <w:rPr>
            <w:rStyle w:val="Hyperlink"/>
            <w:rFonts w:cs="Times New Roman"/>
          </w:rPr>
          <w:t>2013/14 NHS standard contract for cancer: brain/central nervous system (adult)</w:t>
        </w:r>
      </w:hyperlink>
    </w:p>
    <w:p w14:paraId="3B239480" w14:textId="77777777" w:rsidR="00D708A6" w:rsidRPr="00A36464" w:rsidRDefault="00D708A6" w:rsidP="00D2170C">
      <w:pPr>
        <w:pStyle w:val="Numberedheading1block"/>
      </w:pPr>
      <w:r w:rsidRPr="00A36464">
        <w:t>Further information</w:t>
      </w:r>
    </w:p>
    <w:p w14:paraId="5F04C61E" w14:textId="77777777" w:rsidR="006A749E" w:rsidRPr="008657E7" w:rsidRDefault="006A749E" w:rsidP="00D04BD2">
      <w:pPr>
        <w:pStyle w:val="Numberedheading2teal"/>
      </w:pPr>
      <w:r w:rsidRPr="008657E7">
        <w:t>Related NICE quality standards</w:t>
      </w:r>
    </w:p>
    <w:p w14:paraId="59B04F19" w14:textId="77777777" w:rsidR="006A749E" w:rsidRPr="00A36464" w:rsidRDefault="006A749E" w:rsidP="00D04BD2">
      <w:pPr>
        <w:pStyle w:val="Heading3"/>
      </w:pPr>
      <w:r w:rsidRPr="00A36464">
        <w:t>Published</w:t>
      </w:r>
    </w:p>
    <w:p w14:paraId="6EA8740B" w14:textId="153E585B" w:rsidR="004617BF" w:rsidRDefault="004617BF" w:rsidP="00653D87">
      <w:pPr>
        <w:pStyle w:val="Bulletleft1"/>
      </w:pPr>
      <w:hyperlink r:id="rId19" w:history="1">
        <w:r w:rsidRPr="001764CD">
          <w:rPr>
            <w:rStyle w:val="Hyperlink"/>
          </w:rPr>
          <w:t>Suspected neurolog</w:t>
        </w:r>
        <w:r w:rsidRPr="001764CD">
          <w:rPr>
            <w:rStyle w:val="Hyperlink"/>
          </w:rPr>
          <w:t>i</w:t>
        </w:r>
        <w:r w:rsidRPr="001764CD">
          <w:rPr>
            <w:rStyle w:val="Hyperlink"/>
          </w:rPr>
          <w:t>cal conditions</w:t>
        </w:r>
      </w:hyperlink>
      <w:r>
        <w:t xml:space="preserve"> </w:t>
      </w:r>
      <w:r>
        <w:t xml:space="preserve">(2021) </w:t>
      </w:r>
      <w:r w:rsidRPr="001764CD">
        <w:t xml:space="preserve">NICE quality standard </w:t>
      </w:r>
      <w:r>
        <w:t>198</w:t>
      </w:r>
    </w:p>
    <w:p w14:paraId="4C1BFE29" w14:textId="13F665B4" w:rsidR="004617BF" w:rsidRDefault="004617BF" w:rsidP="00653D87">
      <w:pPr>
        <w:pStyle w:val="Bulletleft1"/>
      </w:pPr>
      <w:hyperlink r:id="rId20" w:history="1">
        <w:r w:rsidRPr="001764CD">
          <w:rPr>
            <w:rStyle w:val="Hyperlink"/>
          </w:rPr>
          <w:t>Decision-making and mental cap</w:t>
        </w:r>
        <w:r w:rsidRPr="001764CD">
          <w:rPr>
            <w:rStyle w:val="Hyperlink"/>
          </w:rPr>
          <w:t>a</w:t>
        </w:r>
        <w:r w:rsidRPr="001764CD">
          <w:rPr>
            <w:rStyle w:val="Hyperlink"/>
          </w:rPr>
          <w:t>city</w:t>
        </w:r>
      </w:hyperlink>
      <w:r w:rsidRPr="004617BF">
        <w:t xml:space="preserve"> (2020)</w:t>
      </w:r>
      <w:r>
        <w:t xml:space="preserve"> </w:t>
      </w:r>
      <w:r w:rsidRPr="001764CD">
        <w:t xml:space="preserve">NICE quality standard </w:t>
      </w:r>
      <w:r>
        <w:t>194</w:t>
      </w:r>
    </w:p>
    <w:p w14:paraId="3BFCC274" w14:textId="2579C8E0" w:rsidR="00653D87" w:rsidRDefault="00F8676C" w:rsidP="00653D87">
      <w:pPr>
        <w:pStyle w:val="Bulletleft1"/>
      </w:pPr>
      <w:hyperlink r:id="rId21" w:history="1">
        <w:r w:rsidR="00653D87" w:rsidRPr="00653D87">
          <w:rPr>
            <w:rStyle w:val="Hyperlink"/>
          </w:rPr>
          <w:t>Head and neck cancer</w:t>
        </w:r>
      </w:hyperlink>
      <w:r w:rsidR="00653D87">
        <w:t xml:space="preserve"> (2017) NICE quality standard 146</w:t>
      </w:r>
    </w:p>
    <w:p w14:paraId="4D30D2F9" w14:textId="6ABCA9FD" w:rsidR="00653D87" w:rsidRDefault="00F8676C" w:rsidP="00653D87">
      <w:pPr>
        <w:pStyle w:val="Bulletleft1"/>
      </w:pPr>
      <w:hyperlink r:id="rId22" w:history="1">
        <w:r w:rsidR="00653D87" w:rsidRPr="00653D87">
          <w:rPr>
            <w:rStyle w:val="Hyperlink"/>
          </w:rPr>
          <w:t>Care of dying adults in the last days of life</w:t>
        </w:r>
      </w:hyperlink>
      <w:r w:rsidR="00653D87">
        <w:t xml:space="preserve"> (2017) NICE quality standard 144</w:t>
      </w:r>
    </w:p>
    <w:p w14:paraId="62D2448C" w14:textId="235B8E3B" w:rsidR="00653D87" w:rsidRDefault="00F8676C" w:rsidP="00653D87">
      <w:pPr>
        <w:pStyle w:val="Bulletleft1"/>
      </w:pPr>
      <w:hyperlink r:id="rId23" w:history="1">
        <w:r w:rsidR="00653D87" w:rsidRPr="00653D87">
          <w:rPr>
            <w:rStyle w:val="Hyperlink"/>
          </w:rPr>
          <w:t>Suspected cancer</w:t>
        </w:r>
      </w:hyperlink>
      <w:r w:rsidR="00653D87">
        <w:t xml:space="preserve"> (2016) NICE quality standard 124</w:t>
      </w:r>
    </w:p>
    <w:p w14:paraId="0A6C3D16" w14:textId="1BA94C24" w:rsidR="005B0DF4" w:rsidRDefault="00F8676C" w:rsidP="00653D87">
      <w:pPr>
        <w:pStyle w:val="Bulletleft1"/>
      </w:pPr>
      <w:hyperlink r:id="rId24" w:history="1">
        <w:r w:rsidR="005B0DF4" w:rsidRPr="005B0DF4">
          <w:rPr>
            <w:rStyle w:val="Hyperlink"/>
          </w:rPr>
          <w:t>Headaches in over 12s</w:t>
        </w:r>
      </w:hyperlink>
      <w:r w:rsidR="005B0DF4">
        <w:t xml:space="preserve"> (2013) NICE quality standard 42</w:t>
      </w:r>
    </w:p>
    <w:p w14:paraId="64CEB8EC" w14:textId="798E1250" w:rsidR="00D1312F" w:rsidRDefault="00F8676C" w:rsidP="001764CD">
      <w:pPr>
        <w:pStyle w:val="Bulletleft1last"/>
      </w:pPr>
      <w:hyperlink r:id="rId25" w:history="1">
        <w:r w:rsidR="001764CD" w:rsidRPr="001764CD">
          <w:rPr>
            <w:rStyle w:val="Hyperlink"/>
          </w:rPr>
          <w:t>End of life care for adults</w:t>
        </w:r>
      </w:hyperlink>
      <w:r w:rsidR="001764CD">
        <w:t xml:space="preserve"> (2011) NICE quality standard 13</w:t>
      </w:r>
    </w:p>
    <w:p w14:paraId="44F179E6" w14:textId="673673FD" w:rsidR="006F0DE2" w:rsidRPr="003F6979" w:rsidRDefault="006F0DE2" w:rsidP="006F0DE2">
      <w:pPr>
        <w:pStyle w:val="NICEnormal"/>
      </w:pPr>
      <w:r w:rsidRPr="006F0DE2">
        <w:t xml:space="preserve">The full list of quality standard topics referred to NICE is available </w:t>
      </w:r>
      <w:r>
        <w:t xml:space="preserve">from the </w:t>
      </w:r>
      <w:hyperlink r:id="rId26" w:history="1">
        <w:r w:rsidRPr="006F0DE2">
          <w:rPr>
            <w:rStyle w:val="Hyperlink"/>
          </w:rPr>
          <w:t>quality standard topic library</w:t>
        </w:r>
      </w:hyperlink>
      <w:r w:rsidR="008C0140">
        <w:t>.</w:t>
      </w:r>
    </w:p>
    <w:p w14:paraId="7EDE4677" w14:textId="5B87D42E" w:rsidR="006A749E" w:rsidRDefault="006A1CFB" w:rsidP="00F05B0C">
      <w:pPr>
        <w:pStyle w:val="NICEnormal"/>
      </w:pPr>
      <w:r>
        <w:t xml:space="preserve">See the NICE website for </w:t>
      </w:r>
      <w:hyperlink r:id="rId27" w:history="1">
        <w:r w:rsidR="003F54EF">
          <w:rPr>
            <w:rStyle w:val="Hyperlink"/>
          </w:rPr>
          <w:t>more information about N</w:t>
        </w:r>
        <w:r w:rsidR="006A749E" w:rsidRPr="006708EB">
          <w:rPr>
            <w:rStyle w:val="Hyperlink"/>
          </w:rPr>
          <w:t>ICE quality standards</w:t>
        </w:r>
      </w:hyperlink>
      <w:r w:rsidR="006A749E">
        <w:t xml:space="preserve"> and the </w:t>
      </w:r>
      <w:hyperlink r:id="rId28" w:history="1">
        <w:r w:rsidR="006A749E" w:rsidRPr="006708EB">
          <w:rPr>
            <w:rStyle w:val="Hyperlink"/>
          </w:rPr>
          <w:t>progress of this quality standard</w:t>
        </w:r>
      </w:hyperlink>
      <w:r w:rsidR="00EA2F5E">
        <w:t>.</w:t>
      </w:r>
    </w:p>
    <w:p w14:paraId="3042423C" w14:textId="77777777" w:rsidR="00B60D70" w:rsidRDefault="00B60D70" w:rsidP="00362226">
      <w:pPr>
        <w:pStyle w:val="NICEnormal"/>
      </w:pPr>
    </w:p>
    <w:p w14:paraId="78F3CD23" w14:textId="51A3E1DC" w:rsidR="00EA3805" w:rsidRDefault="00EA3805" w:rsidP="003E01CF">
      <w:r w:rsidRPr="00EA3805">
        <w:rPr>
          <w:rStyle w:val="NICEnormalChar"/>
        </w:rPr>
        <w:t xml:space="preserve">© </w:t>
      </w:r>
      <w:r w:rsidRPr="00D1312F">
        <w:rPr>
          <w:rStyle w:val="NICEnormalChar"/>
        </w:rPr>
        <w:t xml:space="preserve">NICE </w:t>
      </w:r>
      <w:r w:rsidR="0009688C">
        <w:rPr>
          <w:rStyle w:val="NICEnormalChar"/>
        </w:rPr>
        <w:t>202</w:t>
      </w:r>
      <w:r w:rsidR="005B4627">
        <w:rPr>
          <w:rStyle w:val="NICEnormalChar"/>
        </w:rPr>
        <w:t>1</w:t>
      </w:r>
      <w:r w:rsidRPr="00D1312F">
        <w:rPr>
          <w:rStyle w:val="NICEnormalChar"/>
        </w:rPr>
        <w:t>.</w:t>
      </w:r>
      <w:r w:rsidRPr="00EA3805">
        <w:rPr>
          <w:rStyle w:val="NICEnormalChar"/>
        </w:rPr>
        <w:t xml:space="preserve"> All rights reserved</w:t>
      </w:r>
      <w:r w:rsidRPr="00EA3805">
        <w:rPr>
          <w:rStyle w:val="NICEnormalChar"/>
          <w:rFonts w:cs="Arial"/>
        </w:rPr>
        <w:t xml:space="preserve">. </w:t>
      </w:r>
      <w:r w:rsidR="009518AB" w:rsidRPr="00C35831">
        <w:rPr>
          <w:rStyle w:val="NICEnormalChar"/>
          <w:rFonts w:cs="Arial"/>
        </w:rPr>
        <w:t xml:space="preserve">Subject to </w:t>
      </w:r>
      <w:hyperlink r:id="rId29" w:anchor="notice-of-rights" w:history="1">
        <w:r w:rsidR="009518AB">
          <w:rPr>
            <w:rStyle w:val="Hyperlink"/>
            <w:rFonts w:ascii="Arial" w:hAnsi="Arial" w:cs="Arial"/>
          </w:rPr>
          <w:t>Notice of rights</w:t>
        </w:r>
      </w:hyperlink>
      <w:r w:rsidRPr="00EA3805">
        <w:rPr>
          <w:rStyle w:val="NICEnormalChar"/>
        </w:rPr>
        <w:t>.</w:t>
      </w:r>
    </w:p>
    <w:sectPr w:rsidR="00EA3805" w:rsidSect="007721C1">
      <w:headerReference w:type="default" r:id="rId30"/>
      <w:footerReference w:type="default" r:id="rId31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7FA922" w14:textId="77777777" w:rsidR="009A3A6B" w:rsidRDefault="009A3A6B">
      <w:r>
        <w:separator/>
      </w:r>
    </w:p>
  </w:endnote>
  <w:endnote w:type="continuationSeparator" w:id="0">
    <w:p w14:paraId="3B0543D8" w14:textId="77777777" w:rsidR="009A3A6B" w:rsidRDefault="009A3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2E9937" w14:textId="6EE6F717" w:rsidR="00E45873" w:rsidRDefault="00E45873">
    <w:pPr>
      <w:pStyle w:val="Footer"/>
    </w:pPr>
    <w:r>
      <w:t xml:space="preserve">NICE quality standard: </w:t>
    </w:r>
    <w:r w:rsidR="00F76F86" w:rsidRPr="00EF4C6B">
      <w:t>Brain tumours (primary) and brain metastases in adults</w:t>
    </w:r>
    <w:r>
      <w:t xml:space="preserve"> overview </w:t>
    </w:r>
    <w:r w:rsidRPr="00C44781">
      <w:t>(</w:t>
    </w:r>
    <w:r w:rsidR="005B4627">
      <w:t>April</w:t>
    </w:r>
    <w:r w:rsidR="00F76F86">
      <w:t xml:space="preserve"> 202</w:t>
    </w:r>
    <w:r w:rsidR="005B4627">
      <w:t>1</w:t>
    </w:r>
    <w:r>
      <w:t>)</w:t>
    </w:r>
    <w:r>
      <w:tab/>
    </w:r>
    <w:r w:rsidRPr="00CD70AA">
      <w:fldChar w:fldCharType="begin"/>
    </w:r>
    <w:r w:rsidRPr="00CD70AA">
      <w:instrText xml:space="preserve"> PAGE  \* Arabic  \* MERGEFORMAT </w:instrText>
    </w:r>
    <w:r w:rsidRPr="00CD70AA">
      <w:fldChar w:fldCharType="separate"/>
    </w:r>
    <w:r w:rsidR="000E5CA7">
      <w:rPr>
        <w:noProof/>
      </w:rPr>
      <w:t>3</w:t>
    </w:r>
    <w:r w:rsidRPr="00CD70AA">
      <w:fldChar w:fldCharType="end"/>
    </w:r>
    <w:r w:rsidRPr="00CD70AA">
      <w:t xml:space="preserve"> of </w:t>
    </w:r>
    <w:r>
      <w:rPr>
        <w:noProof/>
      </w:rPr>
      <w:fldChar w:fldCharType="begin"/>
    </w:r>
    <w:r>
      <w:rPr>
        <w:noProof/>
      </w:rPr>
      <w:instrText xml:space="preserve"> NUMPAGES  \* Arabic  \* MERGEFORMAT </w:instrText>
    </w:r>
    <w:r>
      <w:rPr>
        <w:noProof/>
      </w:rPr>
      <w:fldChar w:fldCharType="separate"/>
    </w:r>
    <w:r w:rsidR="000E5CA7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7181C9" w14:textId="77777777" w:rsidR="009A3A6B" w:rsidRDefault="009A3A6B">
      <w:r>
        <w:separator/>
      </w:r>
    </w:p>
  </w:footnote>
  <w:footnote w:type="continuationSeparator" w:id="0">
    <w:p w14:paraId="0DF78803" w14:textId="77777777" w:rsidR="009A3A6B" w:rsidRDefault="009A3A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46B433" w14:textId="77777777" w:rsidR="00E45873" w:rsidRDefault="00E45873" w:rsidP="00285F4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D0FAC"/>
    <w:multiLevelType w:val="multilevel"/>
    <w:tmpl w:val="72188DC4"/>
    <w:lvl w:ilvl="0">
      <w:start w:val="1"/>
      <w:numFmt w:val="bullet"/>
      <w:pStyle w:val="Bulletindent1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" w15:restartNumberingAfterBreak="0">
    <w:nsid w:val="08E84C28"/>
    <w:multiLevelType w:val="hybridMultilevel"/>
    <w:tmpl w:val="E91430F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97E5663"/>
    <w:multiLevelType w:val="multilevel"/>
    <w:tmpl w:val="672EB16E"/>
    <w:numStyleLink w:val="Style1"/>
  </w:abstractNum>
  <w:abstractNum w:abstractNumId="3" w15:restartNumberingAfterBreak="0">
    <w:nsid w:val="0A1A300E"/>
    <w:multiLevelType w:val="hybridMultilevel"/>
    <w:tmpl w:val="AEEAC0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77270"/>
    <w:multiLevelType w:val="multilevel"/>
    <w:tmpl w:val="2B6892E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left2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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5" w15:restartNumberingAfterBreak="0">
    <w:nsid w:val="15017405"/>
    <w:multiLevelType w:val="multilevel"/>
    <w:tmpl w:val="B0A899F0"/>
    <w:lvl w:ilvl="0">
      <w:start w:val="1"/>
      <w:numFmt w:val="bullet"/>
      <w:pStyle w:val="Bulletleft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6" w15:restartNumberingAfterBreak="0">
    <w:nsid w:val="1B8D3711"/>
    <w:multiLevelType w:val="hybridMultilevel"/>
    <w:tmpl w:val="12EE7D60"/>
    <w:lvl w:ilvl="0" w:tplc="C6A8CC88">
      <w:start w:val="4"/>
      <w:numFmt w:val="bullet"/>
      <w:pStyle w:val="Bulletleft1las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90248D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2C22BA8"/>
    <w:multiLevelType w:val="hybridMultilevel"/>
    <w:tmpl w:val="191A4934"/>
    <w:lvl w:ilvl="0" w:tplc="E7C28008">
      <w:start w:val="4"/>
      <w:numFmt w:val="bullet"/>
      <w:pStyle w:val="Bulletindent1las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CC3584"/>
    <w:multiLevelType w:val="multilevel"/>
    <w:tmpl w:val="05A4AA06"/>
    <w:lvl w:ilvl="0">
      <w:start w:val="1"/>
      <w:numFmt w:val="decimal"/>
      <w:pStyle w:val="Numberedheading1block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umberedheading2te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abstractNum w:abstractNumId="10" w15:restartNumberingAfterBreak="0">
    <w:nsid w:val="2E733A69"/>
    <w:multiLevelType w:val="hybridMultilevel"/>
    <w:tmpl w:val="1B3E72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187A96"/>
    <w:multiLevelType w:val="hybridMultilevel"/>
    <w:tmpl w:val="85B037C4"/>
    <w:lvl w:ilvl="0" w:tplc="EC2A9D4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1B7135"/>
    <w:multiLevelType w:val="multilevel"/>
    <w:tmpl w:val="A710AC7A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indent2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decimal"/>
      <w:lvlText w:val="%3.%1.%2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3" w15:restartNumberingAfterBreak="0">
    <w:nsid w:val="470E2489"/>
    <w:multiLevelType w:val="multilevel"/>
    <w:tmpl w:val="CF7423B4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pStyle w:val="Bulletindent3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4" w15:restartNumberingAfterBreak="0">
    <w:nsid w:val="543841DF"/>
    <w:multiLevelType w:val="multilevel"/>
    <w:tmpl w:val="0809001D"/>
    <w:name w:val="numberedheadings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5CA738F8"/>
    <w:multiLevelType w:val="hybridMultilevel"/>
    <w:tmpl w:val="7C6226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C20063"/>
    <w:multiLevelType w:val="multilevel"/>
    <w:tmpl w:val="043E412C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pStyle w:val="Bulletleft3"/>
      <w:lvlText w:val="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17" w15:restartNumberingAfterBreak="0">
    <w:nsid w:val="6D082CF0"/>
    <w:multiLevelType w:val="hybridMultilevel"/>
    <w:tmpl w:val="47B09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A212E3"/>
    <w:multiLevelType w:val="hybridMultilevel"/>
    <w:tmpl w:val="8176F5D4"/>
    <w:lvl w:ilvl="0" w:tplc="741CD97E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735FDC"/>
    <w:multiLevelType w:val="multilevel"/>
    <w:tmpl w:val="672EB16E"/>
    <w:numStyleLink w:val="Style1"/>
  </w:abstractNum>
  <w:abstractNum w:abstractNumId="20" w15:restartNumberingAfterBreak="0">
    <w:nsid w:val="7C9364DE"/>
    <w:multiLevelType w:val="multilevel"/>
    <w:tmpl w:val="672EB16E"/>
    <w:styleLink w:val="Style1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  <w:color w:val="00465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abstractNum w:abstractNumId="21" w15:restartNumberingAfterBreak="0">
    <w:nsid w:val="7E770260"/>
    <w:multiLevelType w:val="multilevel"/>
    <w:tmpl w:val="0809001D"/>
    <w:name w:val="numberedheadings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4"/>
  </w:num>
  <w:num w:numId="2">
    <w:abstractNumId w:val="16"/>
  </w:num>
  <w:num w:numId="3">
    <w:abstractNumId w:val="12"/>
  </w:num>
  <w:num w:numId="4">
    <w:abstractNumId w:val="13"/>
  </w:num>
  <w:num w:numId="5">
    <w:abstractNumId w:val="5"/>
  </w:num>
  <w:num w:numId="6">
    <w:abstractNumId w:val="6"/>
  </w:num>
  <w:num w:numId="7">
    <w:abstractNumId w:val="9"/>
  </w:num>
  <w:num w:numId="8">
    <w:abstractNumId w:val="0"/>
  </w:num>
  <w:num w:numId="9">
    <w:abstractNumId w:val="8"/>
  </w:num>
  <w:num w:numId="10">
    <w:abstractNumId w:val="18"/>
  </w:num>
  <w:num w:numId="11">
    <w:abstractNumId w:val="1"/>
  </w:num>
  <w:num w:numId="12">
    <w:abstractNumId w:val="11"/>
  </w:num>
  <w:num w:numId="13">
    <w:abstractNumId w:val="15"/>
  </w:num>
  <w:num w:numId="14">
    <w:abstractNumId w:val="17"/>
  </w:num>
  <w:num w:numId="15">
    <w:abstractNumId w:val="10"/>
  </w:num>
  <w:num w:numId="16">
    <w:abstractNumId w:val="3"/>
  </w:num>
  <w:num w:numId="17">
    <w:abstractNumId w:val="20"/>
  </w:num>
  <w:num w:numId="18">
    <w:abstractNumId w:val="19"/>
  </w:num>
  <w:num w:numId="19">
    <w:abstractNumId w:val="7"/>
  </w:num>
  <w:num w:numId="20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A6B"/>
    <w:rsid w:val="00007AAD"/>
    <w:rsid w:val="000119FB"/>
    <w:rsid w:val="00031CC1"/>
    <w:rsid w:val="000716C0"/>
    <w:rsid w:val="0009688C"/>
    <w:rsid w:val="000A1EC0"/>
    <w:rsid w:val="000A577D"/>
    <w:rsid w:val="000A6F90"/>
    <w:rsid w:val="000B2C15"/>
    <w:rsid w:val="000C669C"/>
    <w:rsid w:val="000D562B"/>
    <w:rsid w:val="000E00A6"/>
    <w:rsid w:val="000E2E8F"/>
    <w:rsid w:val="000E2FFD"/>
    <w:rsid w:val="000E5CA7"/>
    <w:rsid w:val="000F4C79"/>
    <w:rsid w:val="00101F34"/>
    <w:rsid w:val="00120A5D"/>
    <w:rsid w:val="0012476D"/>
    <w:rsid w:val="00161AA0"/>
    <w:rsid w:val="001633D7"/>
    <w:rsid w:val="001715B6"/>
    <w:rsid w:val="00172524"/>
    <w:rsid w:val="001764CD"/>
    <w:rsid w:val="00195625"/>
    <w:rsid w:val="001960C0"/>
    <w:rsid w:val="001A6EE1"/>
    <w:rsid w:val="001B0506"/>
    <w:rsid w:val="001B257F"/>
    <w:rsid w:val="001B597B"/>
    <w:rsid w:val="001B753B"/>
    <w:rsid w:val="001C2326"/>
    <w:rsid w:val="001C23B2"/>
    <w:rsid w:val="0023227E"/>
    <w:rsid w:val="00235CAB"/>
    <w:rsid w:val="00235DC3"/>
    <w:rsid w:val="00237F9C"/>
    <w:rsid w:val="00245F9A"/>
    <w:rsid w:val="00253994"/>
    <w:rsid w:val="002665F9"/>
    <w:rsid w:val="00285F4E"/>
    <w:rsid w:val="002A0438"/>
    <w:rsid w:val="002A7F04"/>
    <w:rsid w:val="002D130B"/>
    <w:rsid w:val="002D6EC7"/>
    <w:rsid w:val="002E41B7"/>
    <w:rsid w:val="002F3A46"/>
    <w:rsid w:val="0031664C"/>
    <w:rsid w:val="00324DE4"/>
    <w:rsid w:val="00325840"/>
    <w:rsid w:val="00330F9B"/>
    <w:rsid w:val="003330E6"/>
    <w:rsid w:val="00355802"/>
    <w:rsid w:val="00362226"/>
    <w:rsid w:val="00364E7A"/>
    <w:rsid w:val="00372887"/>
    <w:rsid w:val="00372FA6"/>
    <w:rsid w:val="00377723"/>
    <w:rsid w:val="00391177"/>
    <w:rsid w:val="003930DE"/>
    <w:rsid w:val="00394EA8"/>
    <w:rsid w:val="0039623E"/>
    <w:rsid w:val="003A07FB"/>
    <w:rsid w:val="003C36AC"/>
    <w:rsid w:val="003D466E"/>
    <w:rsid w:val="003E01CF"/>
    <w:rsid w:val="003E36AD"/>
    <w:rsid w:val="003F54EF"/>
    <w:rsid w:val="003F6979"/>
    <w:rsid w:val="0041010E"/>
    <w:rsid w:val="004162B1"/>
    <w:rsid w:val="00417229"/>
    <w:rsid w:val="004448A6"/>
    <w:rsid w:val="004519B2"/>
    <w:rsid w:val="004617BF"/>
    <w:rsid w:val="00461997"/>
    <w:rsid w:val="00464B31"/>
    <w:rsid w:val="004725B6"/>
    <w:rsid w:val="00473C93"/>
    <w:rsid w:val="004820E9"/>
    <w:rsid w:val="0048361F"/>
    <w:rsid w:val="0048559E"/>
    <w:rsid w:val="004B0234"/>
    <w:rsid w:val="004B514C"/>
    <w:rsid w:val="004B745D"/>
    <w:rsid w:val="004D0F26"/>
    <w:rsid w:val="004E03F9"/>
    <w:rsid w:val="004F4CFE"/>
    <w:rsid w:val="0050790E"/>
    <w:rsid w:val="005239C7"/>
    <w:rsid w:val="00526C07"/>
    <w:rsid w:val="0053387C"/>
    <w:rsid w:val="00535B3E"/>
    <w:rsid w:val="005860F4"/>
    <w:rsid w:val="00592907"/>
    <w:rsid w:val="0059341C"/>
    <w:rsid w:val="005A077C"/>
    <w:rsid w:val="005B0DF4"/>
    <w:rsid w:val="005B4627"/>
    <w:rsid w:val="005C051F"/>
    <w:rsid w:val="005C762E"/>
    <w:rsid w:val="005D098C"/>
    <w:rsid w:val="005D294C"/>
    <w:rsid w:val="005D35C2"/>
    <w:rsid w:val="005D38FA"/>
    <w:rsid w:val="005F74ED"/>
    <w:rsid w:val="00600849"/>
    <w:rsid w:val="00603E56"/>
    <w:rsid w:val="0060662A"/>
    <w:rsid w:val="0061080D"/>
    <w:rsid w:val="00614BDA"/>
    <w:rsid w:val="006331B4"/>
    <w:rsid w:val="006343F3"/>
    <w:rsid w:val="00640D96"/>
    <w:rsid w:val="00642906"/>
    <w:rsid w:val="00653D87"/>
    <w:rsid w:val="00665243"/>
    <w:rsid w:val="006708EB"/>
    <w:rsid w:val="00674B64"/>
    <w:rsid w:val="00682913"/>
    <w:rsid w:val="00685844"/>
    <w:rsid w:val="00690C5A"/>
    <w:rsid w:val="006A1CFB"/>
    <w:rsid w:val="006A7098"/>
    <w:rsid w:val="006A721F"/>
    <w:rsid w:val="006A749E"/>
    <w:rsid w:val="006B3EF2"/>
    <w:rsid w:val="006C2347"/>
    <w:rsid w:val="006D668C"/>
    <w:rsid w:val="006D73F1"/>
    <w:rsid w:val="006F0DE2"/>
    <w:rsid w:val="006F5730"/>
    <w:rsid w:val="00700686"/>
    <w:rsid w:val="00705900"/>
    <w:rsid w:val="00714004"/>
    <w:rsid w:val="00715ECB"/>
    <w:rsid w:val="00732519"/>
    <w:rsid w:val="00747A10"/>
    <w:rsid w:val="007501AE"/>
    <w:rsid w:val="007510D5"/>
    <w:rsid w:val="00751C10"/>
    <w:rsid w:val="007521C4"/>
    <w:rsid w:val="007621EC"/>
    <w:rsid w:val="00767B39"/>
    <w:rsid w:val="00771FCD"/>
    <w:rsid w:val="007721C1"/>
    <w:rsid w:val="0077692C"/>
    <w:rsid w:val="00784639"/>
    <w:rsid w:val="007A174B"/>
    <w:rsid w:val="007A4EEE"/>
    <w:rsid w:val="007A6767"/>
    <w:rsid w:val="007C4B54"/>
    <w:rsid w:val="007C5B4C"/>
    <w:rsid w:val="007D2AE0"/>
    <w:rsid w:val="007D348E"/>
    <w:rsid w:val="007D34C8"/>
    <w:rsid w:val="007D66A5"/>
    <w:rsid w:val="007E5365"/>
    <w:rsid w:val="007F74D6"/>
    <w:rsid w:val="008066B8"/>
    <w:rsid w:val="0080799A"/>
    <w:rsid w:val="00834BA0"/>
    <w:rsid w:val="00837849"/>
    <w:rsid w:val="00842D8B"/>
    <w:rsid w:val="008469A5"/>
    <w:rsid w:val="008505C3"/>
    <w:rsid w:val="00857E37"/>
    <w:rsid w:val="00861427"/>
    <w:rsid w:val="00862C0C"/>
    <w:rsid w:val="008657E7"/>
    <w:rsid w:val="0088428C"/>
    <w:rsid w:val="00894AE9"/>
    <w:rsid w:val="008B03A6"/>
    <w:rsid w:val="008C0140"/>
    <w:rsid w:val="008D6069"/>
    <w:rsid w:val="008E57A2"/>
    <w:rsid w:val="008E7585"/>
    <w:rsid w:val="00914E73"/>
    <w:rsid w:val="00917623"/>
    <w:rsid w:val="00923113"/>
    <w:rsid w:val="00926E0F"/>
    <w:rsid w:val="009277F7"/>
    <w:rsid w:val="00927888"/>
    <w:rsid w:val="00942766"/>
    <w:rsid w:val="0094366C"/>
    <w:rsid w:val="009518AB"/>
    <w:rsid w:val="00953ADF"/>
    <w:rsid w:val="00960EAF"/>
    <w:rsid w:val="009750BF"/>
    <w:rsid w:val="00980D30"/>
    <w:rsid w:val="00992B53"/>
    <w:rsid w:val="009A3A6B"/>
    <w:rsid w:val="009B621A"/>
    <w:rsid w:val="009C45D9"/>
    <w:rsid w:val="00A06657"/>
    <w:rsid w:val="00A36464"/>
    <w:rsid w:val="00A52350"/>
    <w:rsid w:val="00A57143"/>
    <w:rsid w:val="00A5720A"/>
    <w:rsid w:val="00A62BEC"/>
    <w:rsid w:val="00A8223E"/>
    <w:rsid w:val="00A83D10"/>
    <w:rsid w:val="00A86D3D"/>
    <w:rsid w:val="00A90F2C"/>
    <w:rsid w:val="00A96001"/>
    <w:rsid w:val="00AB2948"/>
    <w:rsid w:val="00AB39FA"/>
    <w:rsid w:val="00AB4E1D"/>
    <w:rsid w:val="00AB776F"/>
    <w:rsid w:val="00AC1399"/>
    <w:rsid w:val="00AD2D38"/>
    <w:rsid w:val="00AD4C7A"/>
    <w:rsid w:val="00AD6933"/>
    <w:rsid w:val="00AD6B7B"/>
    <w:rsid w:val="00B0024F"/>
    <w:rsid w:val="00B061DA"/>
    <w:rsid w:val="00B14454"/>
    <w:rsid w:val="00B14E32"/>
    <w:rsid w:val="00B370F8"/>
    <w:rsid w:val="00B370FC"/>
    <w:rsid w:val="00B428CE"/>
    <w:rsid w:val="00B47188"/>
    <w:rsid w:val="00B60D70"/>
    <w:rsid w:val="00B63233"/>
    <w:rsid w:val="00B75142"/>
    <w:rsid w:val="00B87684"/>
    <w:rsid w:val="00BA24D7"/>
    <w:rsid w:val="00BB047B"/>
    <w:rsid w:val="00BB0B89"/>
    <w:rsid w:val="00BB1AB7"/>
    <w:rsid w:val="00BB6398"/>
    <w:rsid w:val="00BC0E86"/>
    <w:rsid w:val="00BD0372"/>
    <w:rsid w:val="00BD3161"/>
    <w:rsid w:val="00BE7C83"/>
    <w:rsid w:val="00BF7351"/>
    <w:rsid w:val="00C0012E"/>
    <w:rsid w:val="00C1320F"/>
    <w:rsid w:val="00C139CA"/>
    <w:rsid w:val="00C224A7"/>
    <w:rsid w:val="00C248BD"/>
    <w:rsid w:val="00C2544B"/>
    <w:rsid w:val="00C35DF4"/>
    <w:rsid w:val="00C42DAF"/>
    <w:rsid w:val="00C44781"/>
    <w:rsid w:val="00C51429"/>
    <w:rsid w:val="00C5188D"/>
    <w:rsid w:val="00C56A80"/>
    <w:rsid w:val="00C618D6"/>
    <w:rsid w:val="00C65E2A"/>
    <w:rsid w:val="00C668B9"/>
    <w:rsid w:val="00C7393D"/>
    <w:rsid w:val="00CA3397"/>
    <w:rsid w:val="00CD47DE"/>
    <w:rsid w:val="00CD70AA"/>
    <w:rsid w:val="00CD7F66"/>
    <w:rsid w:val="00CF7AD2"/>
    <w:rsid w:val="00D01B8C"/>
    <w:rsid w:val="00D04BD2"/>
    <w:rsid w:val="00D10485"/>
    <w:rsid w:val="00D1312F"/>
    <w:rsid w:val="00D2170C"/>
    <w:rsid w:val="00D24681"/>
    <w:rsid w:val="00D25639"/>
    <w:rsid w:val="00D3612A"/>
    <w:rsid w:val="00D37703"/>
    <w:rsid w:val="00D37F25"/>
    <w:rsid w:val="00D61DA0"/>
    <w:rsid w:val="00D707E6"/>
    <w:rsid w:val="00D708A6"/>
    <w:rsid w:val="00D85BD4"/>
    <w:rsid w:val="00D90DFF"/>
    <w:rsid w:val="00DB249E"/>
    <w:rsid w:val="00DC0120"/>
    <w:rsid w:val="00DE1D10"/>
    <w:rsid w:val="00DE643F"/>
    <w:rsid w:val="00DF60D9"/>
    <w:rsid w:val="00DF6B88"/>
    <w:rsid w:val="00E015BB"/>
    <w:rsid w:val="00E057E7"/>
    <w:rsid w:val="00E17FC0"/>
    <w:rsid w:val="00E45873"/>
    <w:rsid w:val="00E4622C"/>
    <w:rsid w:val="00E46571"/>
    <w:rsid w:val="00E504C0"/>
    <w:rsid w:val="00E51FFB"/>
    <w:rsid w:val="00E60B76"/>
    <w:rsid w:val="00E60F9E"/>
    <w:rsid w:val="00E70754"/>
    <w:rsid w:val="00E76B12"/>
    <w:rsid w:val="00E862E9"/>
    <w:rsid w:val="00E86F21"/>
    <w:rsid w:val="00EA2F5E"/>
    <w:rsid w:val="00EA3805"/>
    <w:rsid w:val="00ED7052"/>
    <w:rsid w:val="00EE6252"/>
    <w:rsid w:val="00EF4C6B"/>
    <w:rsid w:val="00EF7557"/>
    <w:rsid w:val="00F05B0C"/>
    <w:rsid w:val="00F151A8"/>
    <w:rsid w:val="00F26A9F"/>
    <w:rsid w:val="00F26E68"/>
    <w:rsid w:val="00F3156E"/>
    <w:rsid w:val="00F326AC"/>
    <w:rsid w:val="00F41606"/>
    <w:rsid w:val="00F5707C"/>
    <w:rsid w:val="00F76F86"/>
    <w:rsid w:val="00F8676C"/>
    <w:rsid w:val="00FB11C8"/>
    <w:rsid w:val="00FB2C9F"/>
    <w:rsid w:val="00FC5DAD"/>
    <w:rsid w:val="00FD6B6B"/>
    <w:rsid w:val="00FE70AF"/>
    <w:rsid w:val="00FE73B5"/>
    <w:rsid w:val="00FF00F9"/>
    <w:rsid w:val="00FF0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7EBBFE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uiPriority="9" w:qFormat="1"/>
    <w:lsdException w:name="heading 2" w:locked="0" w:qFormat="1"/>
    <w:lsdException w:name="heading 3" w:locked="0" w:qFormat="1"/>
    <w:lsdException w:name="heading 4" w:locked="0" w:qFormat="1"/>
    <w:lsdException w:name="heading 5" w:locked="0" w:semiHidden="1" w:unhideWhenUsed="1" w:qFormat="1"/>
    <w:lsdException w:name="heading 6" w:locked="0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nhideWhenUsed="1"/>
    <w:lsdException w:name="toc 2" w:locked="0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iPriority="99" w:unhideWhenUsed="1"/>
    <w:lsdException w:name="footer" w:locked="0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iPriority="99" w:unhideWhenUsed="1"/>
    <w:lsdException w:name="FollowedHyperlink" w:locked="0" w:semiHidden="1" w:unhideWhenUsed="1"/>
    <w:lsdException w:name="Strong" w:qFormat="1"/>
    <w:lsdException w:name="Emphasis" w:qFormat="1"/>
    <w:lsdException w:name="Document Map" w:locked="0" w:semiHidden="1" w:unhideWhenUsed="1"/>
    <w:lsdException w:name="Plain Text" w:semiHidden="1" w:uiPriority="99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locked="0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ICEnormal"/>
    <w:link w:val="Heading1Char"/>
    <w:uiPriority w:val="9"/>
    <w:qFormat/>
    <w:rsid w:val="007A4EEE"/>
    <w:pPr>
      <w:keepNext/>
      <w:spacing w:before="240" w:after="120" w:line="36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ICEnormal"/>
    <w:link w:val="Heading2Char"/>
    <w:qFormat/>
    <w:rsid w:val="006A721F"/>
    <w:pPr>
      <w:keepNext/>
      <w:spacing w:before="240" w:after="60" w:line="36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Heading 3 teal"/>
    <w:basedOn w:val="Normal"/>
    <w:next w:val="NICEnormal"/>
    <w:qFormat/>
    <w:rsid w:val="007A4EEE"/>
    <w:pPr>
      <w:keepNext/>
      <w:spacing w:before="240" w:after="60" w:line="360" w:lineRule="auto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ICEnormal"/>
    <w:qFormat/>
    <w:rsid w:val="007A4EEE"/>
    <w:pPr>
      <w:keepNext/>
      <w:spacing w:before="240" w:after="60" w:line="360" w:lineRule="auto"/>
      <w:outlineLvl w:val="3"/>
    </w:pPr>
    <w:rPr>
      <w:rFonts w:ascii="Arial" w:hAnsi="Arial"/>
      <w:b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ICEnormal">
    <w:name w:val="NICE normal"/>
    <w:link w:val="NICEnormalChar"/>
    <w:qFormat/>
    <w:rsid w:val="007A174B"/>
    <w:pPr>
      <w:spacing w:after="240" w:line="360" w:lineRule="auto"/>
    </w:pPr>
    <w:rPr>
      <w:rFonts w:ascii="Arial" w:hAnsi="Arial"/>
      <w:sz w:val="24"/>
      <w:szCs w:val="24"/>
      <w:lang w:eastAsia="en-US"/>
    </w:rPr>
  </w:style>
  <w:style w:type="character" w:customStyle="1" w:styleId="Heading1Char">
    <w:name w:val="Heading 1 Char"/>
    <w:link w:val="Heading1"/>
    <w:uiPriority w:val="9"/>
    <w:rsid w:val="00AB2948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Heading2Char">
    <w:name w:val="Heading 2 Char"/>
    <w:link w:val="Heading2"/>
    <w:rsid w:val="00D37703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paragraph" w:customStyle="1" w:styleId="Title1">
    <w:name w:val="Title 1"/>
    <w:basedOn w:val="Normal"/>
    <w:qFormat/>
    <w:rsid w:val="00EE6252"/>
    <w:pPr>
      <w:keepNext/>
      <w:spacing w:before="240" w:after="240"/>
      <w:jc w:val="center"/>
      <w:outlineLvl w:val="0"/>
    </w:pPr>
    <w:rPr>
      <w:rFonts w:ascii="Arial" w:hAnsi="Arial" w:cs="Arial"/>
      <w:b/>
      <w:bCs/>
      <w:kern w:val="28"/>
      <w:sz w:val="40"/>
      <w:szCs w:val="32"/>
    </w:rPr>
  </w:style>
  <w:style w:type="paragraph" w:customStyle="1" w:styleId="Title2">
    <w:name w:val="Title 2"/>
    <w:basedOn w:val="Normal"/>
    <w:qFormat/>
    <w:rsid w:val="00EE6252"/>
    <w:pPr>
      <w:keepNext/>
      <w:spacing w:before="240" w:after="24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NICEnormalsinglespacing">
    <w:name w:val="NICE normal single spacing"/>
    <w:basedOn w:val="NICEnormal"/>
    <w:locked/>
    <w:rsid w:val="005C762E"/>
    <w:pPr>
      <w:spacing w:line="240" w:lineRule="auto"/>
    </w:pPr>
  </w:style>
  <w:style w:type="character" w:styleId="Hyperlink">
    <w:name w:val="Hyperlink"/>
    <w:uiPriority w:val="99"/>
    <w:rsid w:val="00CD70AA"/>
    <w:rPr>
      <w:color w:val="0000FF"/>
      <w:u w:val="single"/>
    </w:rPr>
  </w:style>
  <w:style w:type="paragraph" w:customStyle="1" w:styleId="Numberedheading1block">
    <w:name w:val="Numbered heading 1 block"/>
    <w:basedOn w:val="Normal"/>
    <w:next w:val="NICEnormal"/>
    <w:link w:val="Numberedheading1blockChar"/>
    <w:rsid w:val="00FE70AF"/>
    <w:pPr>
      <w:keepNext/>
      <w:numPr>
        <w:numId w:val="7"/>
      </w:numPr>
      <w:shd w:val="clear" w:color="auto" w:fill="004650"/>
      <w:spacing w:before="240" w:after="120" w:line="360" w:lineRule="auto"/>
      <w:outlineLvl w:val="0"/>
    </w:pPr>
    <w:rPr>
      <w:rFonts w:ascii="Arial" w:hAnsi="Arial"/>
      <w:b/>
      <w:bCs/>
      <w:color w:val="FFFFFF" w:themeColor="background1"/>
      <w:kern w:val="32"/>
      <w:sz w:val="32"/>
      <w:szCs w:val="20"/>
    </w:rPr>
  </w:style>
  <w:style w:type="character" w:customStyle="1" w:styleId="Numberedheading1blockChar">
    <w:name w:val="Numbered heading 1 block Char"/>
    <w:link w:val="Numberedheading1block"/>
    <w:rsid w:val="00FE70AF"/>
    <w:rPr>
      <w:rFonts w:ascii="Arial" w:hAnsi="Arial"/>
      <w:b/>
      <w:bCs/>
      <w:color w:val="FFFFFF" w:themeColor="background1"/>
      <w:kern w:val="32"/>
      <w:sz w:val="32"/>
      <w:shd w:val="clear" w:color="auto" w:fill="004650"/>
      <w:lang w:eastAsia="en-US"/>
    </w:rPr>
  </w:style>
  <w:style w:type="paragraph" w:customStyle="1" w:styleId="Numberedheading2teal">
    <w:name w:val="Numbered heading 2 teal"/>
    <w:basedOn w:val="Heading2"/>
    <w:next w:val="NICEnormal"/>
    <w:link w:val="Numberedheading2tealChar"/>
    <w:rsid w:val="00D04BD2"/>
    <w:pPr>
      <w:numPr>
        <w:ilvl w:val="1"/>
        <w:numId w:val="7"/>
      </w:numPr>
    </w:pPr>
    <w:rPr>
      <w:color w:val="004650"/>
    </w:rPr>
  </w:style>
  <w:style w:type="character" w:customStyle="1" w:styleId="Numberedheading2tealChar">
    <w:name w:val="Numbered heading 2 teal Char"/>
    <w:link w:val="Numberedheading2teal"/>
    <w:rsid w:val="00D04BD2"/>
    <w:rPr>
      <w:rFonts w:ascii="Arial" w:hAnsi="Arial" w:cs="Arial"/>
      <w:b/>
      <w:bCs/>
      <w:i/>
      <w:iCs/>
      <w:color w:val="004650"/>
      <w:sz w:val="28"/>
      <w:szCs w:val="28"/>
      <w:lang w:eastAsia="en-US"/>
    </w:rPr>
  </w:style>
  <w:style w:type="paragraph" w:customStyle="1" w:styleId="Bulletindent2">
    <w:name w:val="Bullet indent 2"/>
    <w:basedOn w:val="NICEnormal"/>
    <w:rsid w:val="00D3612A"/>
    <w:pPr>
      <w:numPr>
        <w:ilvl w:val="1"/>
        <w:numId w:val="3"/>
      </w:numPr>
      <w:spacing w:after="0"/>
      <w:ind w:left="1702" w:hanging="284"/>
    </w:pPr>
  </w:style>
  <w:style w:type="paragraph" w:customStyle="1" w:styleId="Bulletleft1">
    <w:name w:val="Bullet left 1"/>
    <w:basedOn w:val="NICEnormal"/>
    <w:rsid w:val="00D37F25"/>
    <w:pPr>
      <w:numPr>
        <w:numId w:val="5"/>
      </w:numPr>
      <w:spacing w:after="0"/>
    </w:pPr>
  </w:style>
  <w:style w:type="paragraph" w:customStyle="1" w:styleId="Bulletleft2">
    <w:name w:val="Bullet left 2"/>
    <w:basedOn w:val="NICEnormal"/>
    <w:rsid w:val="008505C3"/>
    <w:pPr>
      <w:numPr>
        <w:ilvl w:val="1"/>
        <w:numId w:val="1"/>
      </w:numPr>
      <w:spacing w:after="0"/>
      <w:ind w:left="568" w:hanging="284"/>
    </w:pPr>
  </w:style>
  <w:style w:type="paragraph" w:customStyle="1" w:styleId="Bulletleft3">
    <w:name w:val="Bullet left 3"/>
    <w:basedOn w:val="NICEnormal"/>
    <w:rsid w:val="008505C3"/>
    <w:pPr>
      <w:numPr>
        <w:ilvl w:val="2"/>
        <w:numId w:val="2"/>
      </w:numPr>
      <w:spacing w:after="0"/>
    </w:pPr>
  </w:style>
  <w:style w:type="paragraph" w:customStyle="1" w:styleId="Bulletindent1">
    <w:name w:val="Bullet indent 1"/>
    <w:basedOn w:val="NICEnormal"/>
    <w:rsid w:val="00F26E68"/>
    <w:pPr>
      <w:numPr>
        <w:numId w:val="8"/>
      </w:numPr>
      <w:spacing w:after="0"/>
    </w:pPr>
  </w:style>
  <w:style w:type="paragraph" w:customStyle="1" w:styleId="Bulletindent3">
    <w:name w:val="Bullet indent 3"/>
    <w:basedOn w:val="NICEnormal"/>
    <w:rsid w:val="00D3612A"/>
    <w:pPr>
      <w:numPr>
        <w:ilvl w:val="2"/>
        <w:numId w:val="4"/>
      </w:numPr>
      <w:spacing w:after="0"/>
    </w:pPr>
  </w:style>
  <w:style w:type="paragraph" w:customStyle="1" w:styleId="Bulletleft1last">
    <w:name w:val="Bullet left 1 last"/>
    <w:basedOn w:val="NICEnormal"/>
    <w:rsid w:val="00953ADF"/>
    <w:pPr>
      <w:numPr>
        <w:numId w:val="6"/>
      </w:numPr>
    </w:pPr>
    <w:rPr>
      <w:rFonts w:cs="Arial"/>
    </w:rPr>
  </w:style>
  <w:style w:type="paragraph" w:styleId="Header">
    <w:name w:val="header"/>
    <w:basedOn w:val="NICEnormalsinglespacing"/>
    <w:uiPriority w:val="99"/>
    <w:rsid w:val="0053387C"/>
    <w:pPr>
      <w:tabs>
        <w:tab w:val="center" w:pos="4153"/>
        <w:tab w:val="right" w:pos="8306"/>
      </w:tabs>
    </w:pPr>
  </w:style>
  <w:style w:type="paragraph" w:styleId="Footer">
    <w:name w:val="footer"/>
    <w:basedOn w:val="NICEnormalsinglespacing"/>
    <w:rsid w:val="0053387C"/>
    <w:pPr>
      <w:tabs>
        <w:tab w:val="center" w:pos="4153"/>
        <w:tab w:val="right" w:pos="8306"/>
      </w:tabs>
    </w:pPr>
  </w:style>
  <w:style w:type="character" w:styleId="PageNumber">
    <w:name w:val="page number"/>
    <w:rsid w:val="00A86D3D"/>
    <w:rPr>
      <w:rFonts w:ascii="Arial" w:hAnsi="Arial"/>
      <w:sz w:val="24"/>
    </w:rPr>
  </w:style>
  <w:style w:type="paragraph" w:customStyle="1" w:styleId="Bulletindent1last">
    <w:name w:val="Bullet indent 1 last"/>
    <w:basedOn w:val="NICEnormal"/>
    <w:next w:val="NICEnormal"/>
    <w:rsid w:val="00F26E68"/>
    <w:pPr>
      <w:numPr>
        <w:numId w:val="9"/>
      </w:numPr>
    </w:pPr>
  </w:style>
  <w:style w:type="paragraph" w:customStyle="1" w:styleId="NICEnormalindented">
    <w:name w:val="NICE normal indented"/>
    <w:basedOn w:val="NICEnormal"/>
    <w:rsid w:val="00BD0372"/>
    <w:pPr>
      <w:tabs>
        <w:tab w:val="left" w:pos="1134"/>
      </w:tabs>
      <w:ind w:left="1134"/>
    </w:pPr>
  </w:style>
  <w:style w:type="paragraph" w:customStyle="1" w:styleId="Tabletitle">
    <w:name w:val="Table title"/>
    <w:basedOn w:val="NICEnormal"/>
    <w:next w:val="NICEnormal"/>
    <w:locked/>
    <w:rsid w:val="00BD0372"/>
    <w:pPr>
      <w:keepNext/>
      <w:spacing w:after="60" w:line="240" w:lineRule="auto"/>
    </w:pPr>
    <w:rPr>
      <w:b/>
    </w:rPr>
  </w:style>
  <w:style w:type="paragraph" w:customStyle="1" w:styleId="Tabletext">
    <w:name w:val="Table text"/>
    <w:basedOn w:val="NICEnormalsinglespacing"/>
    <w:rsid w:val="00BD0372"/>
    <w:pPr>
      <w:keepNext/>
      <w:spacing w:after="60"/>
    </w:pPr>
    <w:rPr>
      <w:sz w:val="22"/>
    </w:rPr>
  </w:style>
  <w:style w:type="paragraph" w:styleId="TOC1">
    <w:name w:val="toc 1"/>
    <w:basedOn w:val="Normal"/>
    <w:next w:val="Normal"/>
    <w:locked/>
    <w:rsid w:val="00F26E68"/>
    <w:rPr>
      <w:rFonts w:ascii="Arial" w:hAnsi="Arial"/>
    </w:rPr>
  </w:style>
  <w:style w:type="paragraph" w:styleId="TOC2">
    <w:name w:val="toc 2"/>
    <w:basedOn w:val="Normal"/>
    <w:next w:val="Normal"/>
    <w:locked/>
    <w:rsid w:val="00F26E68"/>
    <w:pPr>
      <w:ind w:left="240"/>
    </w:pPr>
    <w:rPr>
      <w:rFonts w:ascii="Arial" w:hAnsi="Arial"/>
    </w:rPr>
  </w:style>
  <w:style w:type="paragraph" w:styleId="BalloonText">
    <w:name w:val="Balloon Text"/>
    <w:basedOn w:val="Normal"/>
    <w:link w:val="BalloonTextChar"/>
    <w:rsid w:val="007E53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E5365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rsid w:val="00747A10"/>
    <w:rPr>
      <w:sz w:val="16"/>
      <w:szCs w:val="16"/>
    </w:rPr>
  </w:style>
  <w:style w:type="paragraph" w:styleId="CommentText">
    <w:name w:val="annotation text"/>
    <w:basedOn w:val="Normal"/>
    <w:link w:val="CommentTextChar"/>
    <w:rsid w:val="00747A10"/>
    <w:rPr>
      <w:sz w:val="20"/>
      <w:szCs w:val="20"/>
    </w:rPr>
  </w:style>
  <w:style w:type="character" w:customStyle="1" w:styleId="CommentTextChar">
    <w:name w:val="Comment Text Char"/>
    <w:link w:val="CommentText"/>
    <w:rsid w:val="00747A1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47A10"/>
    <w:rPr>
      <w:b/>
      <w:bCs/>
    </w:rPr>
  </w:style>
  <w:style w:type="character" w:customStyle="1" w:styleId="CommentSubjectChar">
    <w:name w:val="Comment Subject Char"/>
    <w:link w:val="CommentSubject"/>
    <w:rsid w:val="00747A10"/>
    <w:rPr>
      <w:b/>
      <w:bCs/>
      <w:lang w:eastAsia="en-US"/>
    </w:rPr>
  </w:style>
  <w:style w:type="character" w:styleId="FollowedHyperlink">
    <w:name w:val="FollowedHyperlink"/>
    <w:rsid w:val="00C5188D"/>
    <w:rPr>
      <w:color w:val="800080"/>
      <w:u w:val="single"/>
    </w:rPr>
  </w:style>
  <w:style w:type="paragraph" w:customStyle="1" w:styleId="Tablebullet">
    <w:name w:val="Table bullet"/>
    <w:basedOn w:val="Tabletext"/>
    <w:qFormat/>
    <w:rsid w:val="007721C1"/>
    <w:pPr>
      <w:keepNext w:val="0"/>
      <w:numPr>
        <w:numId w:val="10"/>
      </w:numPr>
      <w:tabs>
        <w:tab w:val="left" w:pos="318"/>
      </w:tabs>
      <w:ind w:left="318" w:hanging="283"/>
    </w:pPr>
  </w:style>
  <w:style w:type="character" w:customStyle="1" w:styleId="NICEnormalChar">
    <w:name w:val="NICE normal Char"/>
    <w:link w:val="NICEnormal"/>
    <w:rsid w:val="007721C1"/>
    <w:rPr>
      <w:rFonts w:ascii="Arial" w:hAnsi="Arial"/>
      <w:sz w:val="24"/>
      <w:szCs w:val="24"/>
      <w:lang w:eastAsia="en-US"/>
    </w:rPr>
  </w:style>
  <w:style w:type="table" w:styleId="TableGrid">
    <w:name w:val="Table Grid"/>
    <w:basedOn w:val="TableNormal"/>
    <w:rsid w:val="007721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">
    <w:name w:val="Style1"/>
    <w:uiPriority w:val="99"/>
    <w:locked/>
    <w:rsid w:val="000F4C79"/>
    <w:pPr>
      <w:numPr>
        <w:numId w:val="17"/>
      </w:numPr>
    </w:pPr>
  </w:style>
  <w:style w:type="character" w:styleId="UnresolvedMention">
    <w:name w:val="Unresolved Mention"/>
    <w:basedOn w:val="DefaultParagraphFont"/>
    <w:uiPriority w:val="99"/>
    <w:semiHidden/>
    <w:unhideWhenUsed/>
    <w:locked/>
    <w:rsid w:val="00D2170C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locked/>
    <w:rsid w:val="00FD6B6B"/>
    <w:rPr>
      <w:rFonts w:ascii="Consolas" w:hAnsi="Consolas"/>
      <w:sz w:val="21"/>
      <w:szCs w:val="21"/>
      <w:lang w:val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FD6B6B"/>
    <w:rPr>
      <w:rFonts w:ascii="Consolas" w:hAnsi="Consolas"/>
      <w:sz w:val="21"/>
      <w:szCs w:val="21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17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ngage.england.nhs.uk/consultation/srs-and-srt-treatment-of-the-surgical-cavity/" TargetMode="External"/><Relationship Id="rId18" Type="http://schemas.openxmlformats.org/officeDocument/2006/relationships/hyperlink" Target="https://www.england.nhs.uk/commissioning/spec-services/npc-crg/group-b/b03/" TargetMode="External"/><Relationship Id="rId26" Type="http://schemas.openxmlformats.org/officeDocument/2006/relationships/hyperlink" Target="http://www.nice.org.uk/Standards-and-Indicators/Developing-NICE-quality-standards-/Quality-standards-topic-library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nice.org.uk/guidance/qs146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gettingitrightfirsttime.co.uk/surgical-specialty/cranial-neurosurgery/" TargetMode="External"/><Relationship Id="rId17" Type="http://schemas.openxmlformats.org/officeDocument/2006/relationships/hyperlink" Target="https://www.england.nhs.uk/commissioning/spec-services/npc-crg/group-b/b03/" TargetMode="External"/><Relationship Id="rId25" Type="http://schemas.openxmlformats.org/officeDocument/2006/relationships/hyperlink" Target="https://www.nice.org.uk/guidance/qs13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england.nhs.uk/commissioning/spec-services/npc-crg/group-b/b03/" TargetMode="External"/><Relationship Id="rId20" Type="http://schemas.openxmlformats.org/officeDocument/2006/relationships/hyperlink" Target="https://www.nice.org.uk/guidance/indevelopment/gid-qs10127" TargetMode="External"/><Relationship Id="rId29" Type="http://schemas.openxmlformats.org/officeDocument/2006/relationships/hyperlink" Target="https://www.nice.org.uk/terms-and-condition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jgp.org/content/68/666/e63" TargetMode="External"/><Relationship Id="rId24" Type="http://schemas.openxmlformats.org/officeDocument/2006/relationships/hyperlink" Target="https://www.nice.org.uk/guidance/qs42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england.nhs.uk/commissioning/spec-services/npc-crg/group-b/b01/" TargetMode="External"/><Relationship Id="rId23" Type="http://schemas.openxmlformats.org/officeDocument/2006/relationships/hyperlink" Target="https://www.nice.org.uk/guidance/qs124" TargetMode="External"/><Relationship Id="rId28" Type="http://schemas.openxmlformats.org/officeDocument/2006/relationships/hyperlink" Target="https://www.nice.org.uk/guidance/indevelopment/gid-qs10092" TargetMode="External"/><Relationship Id="rId10" Type="http://schemas.openxmlformats.org/officeDocument/2006/relationships/hyperlink" Target="https://www.nice.org.uk/guidance/ng12" TargetMode="External"/><Relationship Id="rId19" Type="http://schemas.openxmlformats.org/officeDocument/2006/relationships/hyperlink" Target="https://www.nice.org.uk/guidance/indevelopment/gid-qs10082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nice.org.uk/guidance/ng99" TargetMode="External"/><Relationship Id="rId14" Type="http://schemas.openxmlformats.org/officeDocument/2006/relationships/hyperlink" Target="https://wmcanceralliance.nhs.uk/clinical-leadership/expert-advisory-groups-a-l/brain-and-central-nervous-system" TargetMode="External"/><Relationship Id="rId22" Type="http://schemas.openxmlformats.org/officeDocument/2006/relationships/hyperlink" Target="https://www.nice.org.uk/guidance/qs144" TargetMode="External"/><Relationship Id="rId27" Type="http://schemas.openxmlformats.org/officeDocument/2006/relationships/hyperlink" Target="http://www.nice.org.uk/standards-and-indicators" TargetMode="External"/><Relationship Id="rId30" Type="http://schemas.openxmlformats.org/officeDocument/2006/relationships/header" Target="header1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4D9D48-7715-4BE4-8AC4-DD654A32F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491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2021-03-24T10:16:00Z</dcterms:created>
  <dcterms:modified xsi:type="dcterms:W3CDTF">2021-03-24T14:42:00Z</dcterms:modified>
</cp:coreProperties>
</file>