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C2A20" w14:textId="2200FE9B" w:rsidR="002C296A" w:rsidRPr="00582451" w:rsidRDefault="002C296A" w:rsidP="00582451">
      <w:pPr>
        <w:pStyle w:val="Title"/>
      </w:pPr>
      <w:bookmarkStart w:id="0" w:name="_Toc357694770"/>
      <w:bookmarkStart w:id="1" w:name="_Toc365024196"/>
      <w:bookmarkStart w:id="2" w:name="_Toc432164921"/>
      <w:bookmarkStart w:id="3" w:name="_Toc467141962"/>
      <w:bookmarkStart w:id="4" w:name="_Toc66781443"/>
      <w:bookmarkStart w:id="5" w:name="_Toc71289372"/>
      <w:bookmarkStart w:id="6" w:name="_Toc71289580"/>
      <w:bookmarkStart w:id="7" w:name="_Toc71289679"/>
      <w:bookmarkStart w:id="8" w:name="_Toc71290372"/>
      <w:bookmarkStart w:id="9" w:name="_Toc71542837"/>
      <w:bookmarkStart w:id="10" w:name="_Toc107929178"/>
      <w:bookmarkStart w:id="11" w:name="_Toc112832986"/>
      <w:r w:rsidRPr="00582451">
        <w:t xml:space="preserve">NATIONAL INSTITUTE FOR HEALTH AND </w:t>
      </w:r>
      <w:r w:rsidR="00582451" w:rsidRPr="00582451">
        <w:br/>
      </w:r>
      <w:r w:rsidRPr="00582451">
        <w:t>C</w:t>
      </w:r>
      <w:r w:rsidR="00B96A88" w:rsidRPr="00582451">
        <w:t>ARE</w:t>
      </w:r>
      <w:r w:rsidRPr="00582451">
        <w:t xml:space="preserve"> EXCELLENCE</w:t>
      </w:r>
      <w:bookmarkEnd w:id="0"/>
      <w:bookmarkEnd w:id="1"/>
      <w:bookmarkEnd w:id="2"/>
      <w:bookmarkEnd w:id="3"/>
      <w:bookmarkEnd w:id="4"/>
      <w:bookmarkEnd w:id="5"/>
      <w:bookmarkEnd w:id="6"/>
      <w:bookmarkEnd w:id="7"/>
      <w:bookmarkEnd w:id="8"/>
      <w:bookmarkEnd w:id="9"/>
      <w:bookmarkEnd w:id="10"/>
      <w:bookmarkEnd w:id="11"/>
    </w:p>
    <w:p w14:paraId="6108F074" w14:textId="77777777" w:rsidR="002C296A" w:rsidRPr="0067455E" w:rsidRDefault="002C296A" w:rsidP="00CE4759">
      <w:pPr>
        <w:pStyle w:val="Title"/>
      </w:pPr>
      <w:bookmarkStart w:id="12" w:name="_Toc66781445"/>
      <w:bookmarkStart w:id="13" w:name="_Toc71289373"/>
      <w:bookmarkStart w:id="14" w:name="_Toc71289581"/>
      <w:bookmarkStart w:id="15" w:name="_Toc71289680"/>
      <w:bookmarkStart w:id="16" w:name="_Toc71290373"/>
      <w:bookmarkStart w:id="17" w:name="_Toc71542838"/>
      <w:bookmarkStart w:id="18" w:name="_Toc107929179"/>
      <w:bookmarkStart w:id="19" w:name="_Toc112832987"/>
      <w:bookmarkStart w:id="20" w:name="_Toc357694772"/>
      <w:bookmarkStart w:id="21" w:name="_Toc365024198"/>
      <w:bookmarkStart w:id="22" w:name="_Toc432164923"/>
      <w:bookmarkStart w:id="23" w:name="_Toc467141964"/>
      <w:r w:rsidRPr="0067455E">
        <w:t>Quality standards</w:t>
      </w:r>
      <w:bookmarkEnd w:id="12"/>
      <w:bookmarkEnd w:id="13"/>
      <w:bookmarkEnd w:id="14"/>
      <w:bookmarkEnd w:id="15"/>
      <w:bookmarkEnd w:id="16"/>
      <w:bookmarkEnd w:id="17"/>
      <w:bookmarkEnd w:id="18"/>
      <w:bookmarkEnd w:id="19"/>
      <w:r w:rsidRPr="0067455E">
        <w:t xml:space="preserve"> </w:t>
      </w:r>
      <w:bookmarkEnd w:id="20"/>
      <w:bookmarkEnd w:id="21"/>
      <w:bookmarkEnd w:id="22"/>
      <w:bookmarkEnd w:id="23"/>
    </w:p>
    <w:p w14:paraId="2EFD8E00" w14:textId="232DCD5A" w:rsidR="002C296A" w:rsidRPr="0067455E" w:rsidRDefault="002C296A" w:rsidP="00CE4759">
      <w:pPr>
        <w:pStyle w:val="Title"/>
      </w:pPr>
      <w:bookmarkStart w:id="24" w:name="_Toc357694773"/>
      <w:bookmarkStart w:id="25" w:name="_Toc365024199"/>
      <w:bookmarkStart w:id="26" w:name="_Toc432164924"/>
      <w:bookmarkStart w:id="27" w:name="_Toc467141965"/>
      <w:bookmarkStart w:id="28" w:name="_Toc66781446"/>
      <w:bookmarkStart w:id="29" w:name="_Toc71289374"/>
      <w:bookmarkStart w:id="30" w:name="_Toc71289582"/>
      <w:bookmarkStart w:id="31" w:name="_Toc71289681"/>
      <w:bookmarkStart w:id="32" w:name="_Toc71290374"/>
      <w:bookmarkStart w:id="33" w:name="_Toc71542839"/>
      <w:bookmarkStart w:id="34" w:name="_Toc107929180"/>
      <w:bookmarkStart w:id="35" w:name="_Toc112832988"/>
      <w:r w:rsidRPr="0067455E">
        <w:t>Briefing paper</w:t>
      </w:r>
      <w:bookmarkEnd w:id="24"/>
      <w:bookmarkEnd w:id="25"/>
      <w:bookmarkEnd w:id="26"/>
      <w:bookmarkEnd w:id="27"/>
      <w:bookmarkEnd w:id="28"/>
      <w:r w:rsidR="008148A2">
        <w:t xml:space="preserve">: </w:t>
      </w:r>
      <w:bookmarkEnd w:id="29"/>
      <w:bookmarkEnd w:id="30"/>
      <w:bookmarkEnd w:id="31"/>
      <w:bookmarkEnd w:id="32"/>
      <w:bookmarkEnd w:id="33"/>
      <w:r w:rsidR="00C95B15">
        <w:t>Urinary tract infections in adults (update)</w:t>
      </w:r>
      <w:bookmarkEnd w:id="34"/>
      <w:bookmarkEnd w:id="35"/>
    </w:p>
    <w:p w14:paraId="503D5324" w14:textId="7E072F78" w:rsidR="008A6367" w:rsidRDefault="00DD1BFE" w:rsidP="00DD1BFE">
      <w:pPr>
        <w:pStyle w:val="Paragraph"/>
      </w:pPr>
      <w:r w:rsidRPr="00582451">
        <w:rPr>
          <w:b/>
          <w:bCs/>
        </w:rPr>
        <w:t>Quality Standards Advisory Committee meeting</w:t>
      </w:r>
      <w:r w:rsidRPr="000D48CF">
        <w:rPr>
          <w:rStyle w:val="Addbold"/>
        </w:rPr>
        <w:t>:</w:t>
      </w:r>
      <w:r w:rsidRPr="005A61AD">
        <w:t xml:space="preserve"> </w:t>
      </w:r>
      <w:r w:rsidR="00C95B15">
        <w:t>12</w:t>
      </w:r>
      <w:r w:rsidR="00C95B15" w:rsidRPr="00C95B15">
        <w:rPr>
          <w:vertAlign w:val="superscript"/>
        </w:rPr>
        <w:t>th</w:t>
      </w:r>
      <w:r w:rsidR="00C95B15">
        <w:t xml:space="preserve"> July 2022</w:t>
      </w:r>
      <w:r w:rsidR="00414915">
        <w:t xml:space="preserve"> </w:t>
      </w:r>
    </w:p>
    <w:p w14:paraId="594601B8" w14:textId="77777777" w:rsidR="0041607B" w:rsidRDefault="002C296A" w:rsidP="00702177">
      <w:pPr>
        <w:pStyle w:val="Heading1"/>
        <w:rPr>
          <w:noProof/>
        </w:rPr>
      </w:pPr>
      <w:bookmarkStart w:id="36" w:name="_Toc365024200"/>
      <w:bookmarkStart w:id="37" w:name="_Toc432164925"/>
      <w:bookmarkStart w:id="38" w:name="_Toc467141966"/>
      <w:bookmarkStart w:id="39" w:name="_Toc66781447"/>
      <w:bookmarkStart w:id="40" w:name="_Toc71289375"/>
      <w:bookmarkStart w:id="41" w:name="_Toc71289583"/>
      <w:bookmarkStart w:id="42" w:name="_Toc71289682"/>
      <w:bookmarkStart w:id="43" w:name="_Toc71290375"/>
      <w:bookmarkStart w:id="44" w:name="_Toc71542840"/>
      <w:bookmarkStart w:id="45" w:name="_Toc107929181"/>
      <w:bookmarkStart w:id="46" w:name="_Toc112832989"/>
      <w:r w:rsidRPr="0067455E">
        <w:t>Contents</w:t>
      </w:r>
      <w:bookmarkEnd w:id="36"/>
      <w:bookmarkEnd w:id="37"/>
      <w:bookmarkEnd w:id="38"/>
      <w:bookmarkEnd w:id="39"/>
      <w:bookmarkEnd w:id="40"/>
      <w:bookmarkEnd w:id="41"/>
      <w:bookmarkEnd w:id="42"/>
      <w:bookmarkEnd w:id="43"/>
      <w:bookmarkEnd w:id="44"/>
      <w:bookmarkEnd w:id="45"/>
      <w:bookmarkEnd w:id="46"/>
      <w:r w:rsidR="00702177">
        <w:fldChar w:fldCharType="begin"/>
      </w:r>
      <w:r w:rsidR="00702177">
        <w:instrText xml:space="preserve"> TOC \o "1-2" \h \z \u </w:instrText>
      </w:r>
      <w:r w:rsidR="00702177">
        <w:fldChar w:fldCharType="separate"/>
      </w:r>
    </w:p>
    <w:p w14:paraId="413814B2" w14:textId="1E7117BD" w:rsidR="0041607B" w:rsidRDefault="00AC503C">
      <w:pPr>
        <w:pStyle w:val="TOC1"/>
        <w:rPr>
          <w:rFonts w:asciiTheme="minorHAnsi" w:eastAsiaTheme="minorEastAsia" w:hAnsiTheme="minorHAnsi" w:cstheme="minorBidi"/>
          <w:sz w:val="22"/>
          <w:szCs w:val="22"/>
          <w:lang w:eastAsia="en-GB"/>
        </w:rPr>
      </w:pPr>
      <w:hyperlink w:anchor="_Toc112832990" w:history="1">
        <w:r w:rsidR="0041607B" w:rsidRPr="009202ED">
          <w:rPr>
            <w:rStyle w:val="Hyperlink"/>
          </w:rPr>
          <w:t>1</w:t>
        </w:r>
        <w:r w:rsidR="0041607B">
          <w:rPr>
            <w:rFonts w:asciiTheme="minorHAnsi" w:eastAsiaTheme="minorEastAsia" w:hAnsiTheme="minorHAnsi" w:cstheme="minorBidi"/>
            <w:sz w:val="22"/>
            <w:szCs w:val="22"/>
            <w:lang w:eastAsia="en-GB"/>
          </w:rPr>
          <w:tab/>
        </w:r>
        <w:r w:rsidR="0041607B" w:rsidRPr="009202ED">
          <w:rPr>
            <w:rStyle w:val="Hyperlink"/>
          </w:rPr>
          <w:t>Introduction</w:t>
        </w:r>
        <w:r w:rsidR="0041607B">
          <w:rPr>
            <w:webHidden/>
          </w:rPr>
          <w:tab/>
        </w:r>
        <w:r w:rsidR="0041607B">
          <w:rPr>
            <w:webHidden/>
          </w:rPr>
          <w:fldChar w:fldCharType="begin"/>
        </w:r>
        <w:r w:rsidR="0041607B">
          <w:rPr>
            <w:webHidden/>
          </w:rPr>
          <w:instrText xml:space="preserve"> PAGEREF _Toc112832990 \h </w:instrText>
        </w:r>
        <w:r w:rsidR="0041607B">
          <w:rPr>
            <w:webHidden/>
          </w:rPr>
        </w:r>
        <w:r w:rsidR="0041607B">
          <w:rPr>
            <w:webHidden/>
          </w:rPr>
          <w:fldChar w:fldCharType="separate"/>
        </w:r>
        <w:r w:rsidR="0041607B">
          <w:rPr>
            <w:webHidden/>
          </w:rPr>
          <w:t>3</w:t>
        </w:r>
        <w:r w:rsidR="0041607B">
          <w:rPr>
            <w:webHidden/>
          </w:rPr>
          <w:fldChar w:fldCharType="end"/>
        </w:r>
      </w:hyperlink>
    </w:p>
    <w:p w14:paraId="5E598677" w14:textId="251EB360" w:rsidR="0041607B" w:rsidRDefault="00AC503C">
      <w:pPr>
        <w:pStyle w:val="TOC1"/>
        <w:rPr>
          <w:rFonts w:asciiTheme="minorHAnsi" w:eastAsiaTheme="minorEastAsia" w:hAnsiTheme="minorHAnsi" w:cstheme="minorBidi"/>
          <w:sz w:val="22"/>
          <w:szCs w:val="22"/>
          <w:lang w:eastAsia="en-GB"/>
        </w:rPr>
      </w:pPr>
      <w:hyperlink w:anchor="_Toc112832992" w:history="1">
        <w:r w:rsidR="0041607B" w:rsidRPr="009202ED">
          <w:rPr>
            <w:rStyle w:val="Hyperlink"/>
          </w:rPr>
          <w:t>2</w:t>
        </w:r>
        <w:r w:rsidR="0041607B">
          <w:rPr>
            <w:rFonts w:asciiTheme="minorHAnsi" w:eastAsiaTheme="minorEastAsia" w:hAnsiTheme="minorHAnsi" w:cstheme="minorBidi"/>
            <w:sz w:val="22"/>
            <w:szCs w:val="22"/>
            <w:lang w:eastAsia="en-GB"/>
          </w:rPr>
          <w:tab/>
        </w:r>
        <w:r w:rsidR="0041607B" w:rsidRPr="009202ED">
          <w:rPr>
            <w:rStyle w:val="Hyperlink"/>
          </w:rPr>
          <w:t>Overview</w:t>
        </w:r>
        <w:r w:rsidR="0041607B">
          <w:rPr>
            <w:webHidden/>
          </w:rPr>
          <w:tab/>
        </w:r>
        <w:r w:rsidR="0041607B">
          <w:rPr>
            <w:webHidden/>
          </w:rPr>
          <w:fldChar w:fldCharType="begin"/>
        </w:r>
        <w:r w:rsidR="0041607B">
          <w:rPr>
            <w:webHidden/>
          </w:rPr>
          <w:instrText xml:space="preserve"> PAGEREF _Toc112832992 \h </w:instrText>
        </w:r>
        <w:r w:rsidR="0041607B">
          <w:rPr>
            <w:webHidden/>
          </w:rPr>
        </w:r>
        <w:r w:rsidR="0041607B">
          <w:rPr>
            <w:webHidden/>
          </w:rPr>
          <w:fldChar w:fldCharType="separate"/>
        </w:r>
        <w:r w:rsidR="0041607B">
          <w:rPr>
            <w:webHidden/>
          </w:rPr>
          <w:t>4</w:t>
        </w:r>
        <w:r w:rsidR="0041607B">
          <w:rPr>
            <w:webHidden/>
          </w:rPr>
          <w:fldChar w:fldCharType="end"/>
        </w:r>
      </w:hyperlink>
    </w:p>
    <w:p w14:paraId="2A552780" w14:textId="4F446E1F" w:rsidR="0041607B" w:rsidRDefault="00AC503C">
      <w:pPr>
        <w:pStyle w:val="TOC1"/>
        <w:rPr>
          <w:rFonts w:asciiTheme="minorHAnsi" w:eastAsiaTheme="minorEastAsia" w:hAnsiTheme="minorHAnsi" w:cstheme="minorBidi"/>
          <w:sz w:val="22"/>
          <w:szCs w:val="22"/>
          <w:lang w:eastAsia="en-GB"/>
        </w:rPr>
      </w:pPr>
      <w:hyperlink w:anchor="_Toc112832998" w:history="1">
        <w:r w:rsidR="0041607B" w:rsidRPr="009202ED">
          <w:rPr>
            <w:rStyle w:val="Hyperlink"/>
          </w:rPr>
          <w:t>3</w:t>
        </w:r>
        <w:r w:rsidR="0041607B">
          <w:rPr>
            <w:rFonts w:asciiTheme="minorHAnsi" w:eastAsiaTheme="minorEastAsia" w:hAnsiTheme="minorHAnsi" w:cstheme="minorBidi"/>
            <w:sz w:val="22"/>
            <w:szCs w:val="22"/>
            <w:lang w:eastAsia="en-GB"/>
          </w:rPr>
          <w:tab/>
        </w:r>
        <w:r w:rsidR="0041607B" w:rsidRPr="009202ED">
          <w:rPr>
            <w:rStyle w:val="Hyperlink"/>
          </w:rPr>
          <w:t>Summary of suggestions</w:t>
        </w:r>
        <w:r w:rsidR="0041607B">
          <w:rPr>
            <w:webHidden/>
          </w:rPr>
          <w:tab/>
        </w:r>
        <w:r w:rsidR="0041607B">
          <w:rPr>
            <w:webHidden/>
          </w:rPr>
          <w:fldChar w:fldCharType="begin"/>
        </w:r>
        <w:r w:rsidR="0041607B">
          <w:rPr>
            <w:webHidden/>
          </w:rPr>
          <w:instrText xml:space="preserve"> PAGEREF _Toc112832998 \h </w:instrText>
        </w:r>
        <w:r w:rsidR="0041607B">
          <w:rPr>
            <w:webHidden/>
          </w:rPr>
        </w:r>
        <w:r w:rsidR="0041607B">
          <w:rPr>
            <w:webHidden/>
          </w:rPr>
          <w:fldChar w:fldCharType="separate"/>
        </w:r>
        <w:r w:rsidR="0041607B">
          <w:rPr>
            <w:webHidden/>
          </w:rPr>
          <w:t>7</w:t>
        </w:r>
        <w:r w:rsidR="0041607B">
          <w:rPr>
            <w:webHidden/>
          </w:rPr>
          <w:fldChar w:fldCharType="end"/>
        </w:r>
      </w:hyperlink>
    </w:p>
    <w:p w14:paraId="68E9F56A" w14:textId="7341CB6B" w:rsidR="0041607B" w:rsidRDefault="00AC503C">
      <w:pPr>
        <w:pStyle w:val="TOC1"/>
        <w:rPr>
          <w:rFonts w:asciiTheme="minorHAnsi" w:eastAsiaTheme="minorEastAsia" w:hAnsiTheme="minorHAnsi" w:cstheme="minorBidi"/>
          <w:sz w:val="22"/>
          <w:szCs w:val="22"/>
          <w:lang w:eastAsia="en-GB"/>
        </w:rPr>
      </w:pPr>
      <w:hyperlink w:anchor="_Toc112833000" w:history="1">
        <w:r w:rsidR="0041607B" w:rsidRPr="009202ED">
          <w:rPr>
            <w:rStyle w:val="Hyperlink"/>
          </w:rPr>
          <w:t>4</w:t>
        </w:r>
        <w:r w:rsidR="0041607B">
          <w:rPr>
            <w:rFonts w:asciiTheme="minorHAnsi" w:eastAsiaTheme="minorEastAsia" w:hAnsiTheme="minorHAnsi" w:cstheme="minorBidi"/>
            <w:sz w:val="22"/>
            <w:szCs w:val="22"/>
            <w:lang w:eastAsia="en-GB"/>
          </w:rPr>
          <w:tab/>
        </w:r>
        <w:r w:rsidR="0041607B" w:rsidRPr="009202ED">
          <w:rPr>
            <w:rStyle w:val="Hyperlink"/>
          </w:rPr>
          <w:t>Suggested improvement areas</w:t>
        </w:r>
        <w:r w:rsidR="0041607B">
          <w:rPr>
            <w:webHidden/>
          </w:rPr>
          <w:tab/>
        </w:r>
        <w:r w:rsidR="0041607B">
          <w:rPr>
            <w:webHidden/>
          </w:rPr>
          <w:fldChar w:fldCharType="begin"/>
        </w:r>
        <w:r w:rsidR="0041607B">
          <w:rPr>
            <w:webHidden/>
          </w:rPr>
          <w:instrText xml:space="preserve"> PAGEREF _Toc112833000 \h </w:instrText>
        </w:r>
        <w:r w:rsidR="0041607B">
          <w:rPr>
            <w:webHidden/>
          </w:rPr>
        </w:r>
        <w:r w:rsidR="0041607B">
          <w:rPr>
            <w:webHidden/>
          </w:rPr>
          <w:fldChar w:fldCharType="separate"/>
        </w:r>
        <w:r w:rsidR="0041607B">
          <w:rPr>
            <w:webHidden/>
          </w:rPr>
          <w:t>9</w:t>
        </w:r>
        <w:r w:rsidR="0041607B">
          <w:rPr>
            <w:webHidden/>
          </w:rPr>
          <w:fldChar w:fldCharType="end"/>
        </w:r>
      </w:hyperlink>
    </w:p>
    <w:p w14:paraId="7278DF5D" w14:textId="4772085A" w:rsidR="0041607B" w:rsidRDefault="00AC503C">
      <w:pPr>
        <w:pStyle w:val="TOC2"/>
        <w:tabs>
          <w:tab w:val="left" w:pos="1276"/>
          <w:tab w:val="right" w:leader="dot" w:pos="9016"/>
        </w:tabs>
        <w:rPr>
          <w:rFonts w:asciiTheme="minorHAnsi" w:eastAsiaTheme="minorEastAsia" w:hAnsiTheme="minorHAnsi" w:cstheme="minorBidi"/>
          <w:noProof/>
          <w:sz w:val="22"/>
          <w:szCs w:val="22"/>
        </w:rPr>
      </w:pPr>
      <w:hyperlink w:anchor="_Toc112833001" w:history="1">
        <w:r w:rsidR="0041607B" w:rsidRPr="009202ED">
          <w:rPr>
            <w:rStyle w:val="Hyperlink"/>
            <w:noProof/>
          </w:rPr>
          <w:t>4.1</w:t>
        </w:r>
        <w:r w:rsidR="0041607B">
          <w:rPr>
            <w:rFonts w:asciiTheme="minorHAnsi" w:eastAsiaTheme="minorEastAsia" w:hAnsiTheme="minorHAnsi" w:cstheme="minorBidi"/>
            <w:noProof/>
            <w:sz w:val="22"/>
            <w:szCs w:val="22"/>
          </w:rPr>
          <w:tab/>
        </w:r>
        <w:r w:rsidR="0041607B" w:rsidRPr="009202ED">
          <w:rPr>
            <w:rStyle w:val="Hyperlink"/>
            <w:noProof/>
          </w:rPr>
          <w:t>Diagnosing UTIs</w:t>
        </w:r>
        <w:r w:rsidR="0041607B">
          <w:rPr>
            <w:noProof/>
            <w:webHidden/>
          </w:rPr>
          <w:tab/>
        </w:r>
        <w:r w:rsidR="0041607B">
          <w:rPr>
            <w:noProof/>
            <w:webHidden/>
          </w:rPr>
          <w:fldChar w:fldCharType="begin"/>
        </w:r>
        <w:r w:rsidR="0041607B">
          <w:rPr>
            <w:noProof/>
            <w:webHidden/>
          </w:rPr>
          <w:instrText xml:space="preserve"> PAGEREF _Toc112833001 \h </w:instrText>
        </w:r>
        <w:r w:rsidR="0041607B">
          <w:rPr>
            <w:noProof/>
            <w:webHidden/>
          </w:rPr>
        </w:r>
        <w:r w:rsidR="0041607B">
          <w:rPr>
            <w:noProof/>
            <w:webHidden/>
          </w:rPr>
          <w:fldChar w:fldCharType="separate"/>
        </w:r>
        <w:r w:rsidR="0041607B">
          <w:rPr>
            <w:noProof/>
            <w:webHidden/>
          </w:rPr>
          <w:t>9</w:t>
        </w:r>
        <w:r w:rsidR="0041607B">
          <w:rPr>
            <w:noProof/>
            <w:webHidden/>
          </w:rPr>
          <w:fldChar w:fldCharType="end"/>
        </w:r>
      </w:hyperlink>
    </w:p>
    <w:p w14:paraId="221DD64B" w14:textId="33CA0D9F" w:rsidR="0041607B" w:rsidRDefault="00AC503C">
      <w:pPr>
        <w:pStyle w:val="TOC2"/>
        <w:tabs>
          <w:tab w:val="left" w:pos="1276"/>
          <w:tab w:val="right" w:leader="dot" w:pos="9016"/>
        </w:tabs>
        <w:rPr>
          <w:rFonts w:asciiTheme="minorHAnsi" w:eastAsiaTheme="minorEastAsia" w:hAnsiTheme="minorHAnsi" w:cstheme="minorBidi"/>
          <w:noProof/>
          <w:sz w:val="22"/>
          <w:szCs w:val="22"/>
        </w:rPr>
      </w:pPr>
      <w:hyperlink w:anchor="_Toc112833002" w:history="1">
        <w:r w:rsidR="0041607B" w:rsidRPr="009202ED">
          <w:rPr>
            <w:rStyle w:val="Hyperlink"/>
            <w:noProof/>
          </w:rPr>
          <w:t>4.2</w:t>
        </w:r>
        <w:r w:rsidR="0041607B">
          <w:rPr>
            <w:rFonts w:asciiTheme="minorHAnsi" w:eastAsiaTheme="minorEastAsia" w:hAnsiTheme="minorHAnsi" w:cstheme="minorBidi"/>
            <w:noProof/>
            <w:sz w:val="22"/>
            <w:szCs w:val="22"/>
          </w:rPr>
          <w:tab/>
        </w:r>
        <w:r w:rsidR="0041607B" w:rsidRPr="009202ED">
          <w:rPr>
            <w:rStyle w:val="Hyperlink"/>
            <w:noProof/>
          </w:rPr>
          <w:t>Treatment</w:t>
        </w:r>
        <w:r w:rsidR="0041607B">
          <w:rPr>
            <w:noProof/>
            <w:webHidden/>
          </w:rPr>
          <w:tab/>
        </w:r>
        <w:r w:rsidR="0041607B">
          <w:rPr>
            <w:noProof/>
            <w:webHidden/>
          </w:rPr>
          <w:fldChar w:fldCharType="begin"/>
        </w:r>
        <w:r w:rsidR="0041607B">
          <w:rPr>
            <w:noProof/>
            <w:webHidden/>
          </w:rPr>
          <w:instrText xml:space="preserve"> PAGEREF _Toc112833002 \h </w:instrText>
        </w:r>
        <w:r w:rsidR="0041607B">
          <w:rPr>
            <w:noProof/>
            <w:webHidden/>
          </w:rPr>
        </w:r>
        <w:r w:rsidR="0041607B">
          <w:rPr>
            <w:noProof/>
            <w:webHidden/>
          </w:rPr>
          <w:fldChar w:fldCharType="separate"/>
        </w:r>
        <w:r w:rsidR="0041607B">
          <w:rPr>
            <w:noProof/>
            <w:webHidden/>
          </w:rPr>
          <w:t>15</w:t>
        </w:r>
        <w:r w:rsidR="0041607B">
          <w:rPr>
            <w:noProof/>
            <w:webHidden/>
          </w:rPr>
          <w:fldChar w:fldCharType="end"/>
        </w:r>
      </w:hyperlink>
    </w:p>
    <w:p w14:paraId="6DB2B71D" w14:textId="6804D3A3" w:rsidR="0041607B" w:rsidRDefault="00AC503C">
      <w:pPr>
        <w:pStyle w:val="TOC2"/>
        <w:tabs>
          <w:tab w:val="left" w:pos="1276"/>
          <w:tab w:val="right" w:leader="dot" w:pos="9016"/>
        </w:tabs>
        <w:rPr>
          <w:rFonts w:asciiTheme="minorHAnsi" w:eastAsiaTheme="minorEastAsia" w:hAnsiTheme="minorHAnsi" w:cstheme="minorBidi"/>
          <w:noProof/>
          <w:sz w:val="22"/>
          <w:szCs w:val="22"/>
        </w:rPr>
      </w:pPr>
      <w:hyperlink w:anchor="_Toc112833003" w:history="1">
        <w:r w:rsidR="0041607B" w:rsidRPr="009202ED">
          <w:rPr>
            <w:rStyle w:val="Hyperlink"/>
            <w:noProof/>
          </w:rPr>
          <w:t>4.3</w:t>
        </w:r>
        <w:r w:rsidR="0041607B">
          <w:rPr>
            <w:rFonts w:asciiTheme="minorHAnsi" w:eastAsiaTheme="minorEastAsia" w:hAnsiTheme="minorHAnsi" w:cstheme="minorBidi"/>
            <w:noProof/>
            <w:sz w:val="22"/>
            <w:szCs w:val="22"/>
          </w:rPr>
          <w:tab/>
        </w:r>
        <w:r w:rsidR="0041607B" w:rsidRPr="009202ED">
          <w:rPr>
            <w:rStyle w:val="Hyperlink"/>
            <w:noProof/>
          </w:rPr>
          <w:t>Catheter associated UTI</w:t>
        </w:r>
        <w:r w:rsidR="0041607B">
          <w:rPr>
            <w:noProof/>
            <w:webHidden/>
          </w:rPr>
          <w:tab/>
        </w:r>
        <w:r w:rsidR="0041607B">
          <w:rPr>
            <w:noProof/>
            <w:webHidden/>
          </w:rPr>
          <w:fldChar w:fldCharType="begin"/>
        </w:r>
        <w:r w:rsidR="0041607B">
          <w:rPr>
            <w:noProof/>
            <w:webHidden/>
          </w:rPr>
          <w:instrText xml:space="preserve"> PAGEREF _Toc112833003 \h </w:instrText>
        </w:r>
        <w:r w:rsidR="0041607B">
          <w:rPr>
            <w:noProof/>
            <w:webHidden/>
          </w:rPr>
        </w:r>
        <w:r w:rsidR="0041607B">
          <w:rPr>
            <w:noProof/>
            <w:webHidden/>
          </w:rPr>
          <w:fldChar w:fldCharType="separate"/>
        </w:r>
        <w:r w:rsidR="0041607B">
          <w:rPr>
            <w:noProof/>
            <w:webHidden/>
          </w:rPr>
          <w:t>21</w:t>
        </w:r>
        <w:r w:rsidR="0041607B">
          <w:rPr>
            <w:noProof/>
            <w:webHidden/>
          </w:rPr>
          <w:fldChar w:fldCharType="end"/>
        </w:r>
      </w:hyperlink>
    </w:p>
    <w:p w14:paraId="7C27B264" w14:textId="78907E92" w:rsidR="0041607B" w:rsidRDefault="00AC503C">
      <w:pPr>
        <w:pStyle w:val="TOC2"/>
        <w:tabs>
          <w:tab w:val="left" w:pos="1276"/>
          <w:tab w:val="right" w:leader="dot" w:pos="9016"/>
        </w:tabs>
        <w:rPr>
          <w:rFonts w:asciiTheme="minorHAnsi" w:eastAsiaTheme="minorEastAsia" w:hAnsiTheme="minorHAnsi" w:cstheme="minorBidi"/>
          <w:noProof/>
          <w:sz w:val="22"/>
          <w:szCs w:val="22"/>
        </w:rPr>
      </w:pPr>
      <w:hyperlink w:anchor="_Toc112833004" w:history="1">
        <w:r w:rsidR="0041607B" w:rsidRPr="009202ED">
          <w:rPr>
            <w:rStyle w:val="Hyperlink"/>
            <w:noProof/>
          </w:rPr>
          <w:t>4.4</w:t>
        </w:r>
        <w:r w:rsidR="0041607B">
          <w:rPr>
            <w:rFonts w:asciiTheme="minorHAnsi" w:eastAsiaTheme="minorEastAsia" w:hAnsiTheme="minorHAnsi" w:cstheme="minorBidi"/>
            <w:noProof/>
            <w:sz w:val="22"/>
            <w:szCs w:val="22"/>
          </w:rPr>
          <w:tab/>
        </w:r>
        <w:r w:rsidR="0041607B" w:rsidRPr="009202ED">
          <w:rPr>
            <w:rStyle w:val="Hyperlink"/>
            <w:noProof/>
          </w:rPr>
          <w:t>Recurrent UTI</w:t>
        </w:r>
        <w:r w:rsidR="0041607B">
          <w:rPr>
            <w:noProof/>
            <w:webHidden/>
          </w:rPr>
          <w:tab/>
        </w:r>
        <w:r w:rsidR="0041607B">
          <w:rPr>
            <w:noProof/>
            <w:webHidden/>
          </w:rPr>
          <w:fldChar w:fldCharType="begin"/>
        </w:r>
        <w:r w:rsidR="0041607B">
          <w:rPr>
            <w:noProof/>
            <w:webHidden/>
          </w:rPr>
          <w:instrText xml:space="preserve"> PAGEREF _Toc112833004 \h </w:instrText>
        </w:r>
        <w:r w:rsidR="0041607B">
          <w:rPr>
            <w:noProof/>
            <w:webHidden/>
          </w:rPr>
        </w:r>
        <w:r w:rsidR="0041607B">
          <w:rPr>
            <w:noProof/>
            <w:webHidden/>
          </w:rPr>
          <w:fldChar w:fldCharType="separate"/>
        </w:r>
        <w:r w:rsidR="0041607B">
          <w:rPr>
            <w:noProof/>
            <w:webHidden/>
          </w:rPr>
          <w:t>23</w:t>
        </w:r>
        <w:r w:rsidR="0041607B">
          <w:rPr>
            <w:noProof/>
            <w:webHidden/>
          </w:rPr>
          <w:fldChar w:fldCharType="end"/>
        </w:r>
      </w:hyperlink>
    </w:p>
    <w:p w14:paraId="19F3A509" w14:textId="3602AB59" w:rsidR="0041607B" w:rsidRDefault="00AC503C">
      <w:pPr>
        <w:pStyle w:val="TOC2"/>
        <w:tabs>
          <w:tab w:val="left" w:pos="1276"/>
          <w:tab w:val="right" w:leader="dot" w:pos="9016"/>
        </w:tabs>
        <w:rPr>
          <w:rFonts w:asciiTheme="minorHAnsi" w:eastAsiaTheme="minorEastAsia" w:hAnsiTheme="minorHAnsi" w:cstheme="minorBidi"/>
          <w:noProof/>
          <w:sz w:val="22"/>
          <w:szCs w:val="22"/>
        </w:rPr>
      </w:pPr>
      <w:hyperlink w:anchor="_Toc112833005" w:history="1">
        <w:r w:rsidR="0041607B" w:rsidRPr="009202ED">
          <w:rPr>
            <w:rStyle w:val="Hyperlink"/>
            <w:noProof/>
          </w:rPr>
          <w:t>4.5</w:t>
        </w:r>
        <w:r w:rsidR="0041607B">
          <w:rPr>
            <w:rFonts w:asciiTheme="minorHAnsi" w:eastAsiaTheme="minorEastAsia" w:hAnsiTheme="minorHAnsi" w:cstheme="minorBidi"/>
            <w:noProof/>
            <w:sz w:val="22"/>
            <w:szCs w:val="22"/>
          </w:rPr>
          <w:tab/>
        </w:r>
        <w:r w:rsidR="0041607B" w:rsidRPr="009202ED">
          <w:rPr>
            <w:rStyle w:val="Hyperlink"/>
            <w:noProof/>
          </w:rPr>
          <w:t>Additional areas</w:t>
        </w:r>
        <w:r w:rsidR="0041607B">
          <w:rPr>
            <w:noProof/>
            <w:webHidden/>
          </w:rPr>
          <w:tab/>
        </w:r>
        <w:r w:rsidR="0041607B">
          <w:rPr>
            <w:noProof/>
            <w:webHidden/>
          </w:rPr>
          <w:fldChar w:fldCharType="begin"/>
        </w:r>
        <w:r w:rsidR="0041607B">
          <w:rPr>
            <w:noProof/>
            <w:webHidden/>
          </w:rPr>
          <w:instrText xml:space="preserve"> PAGEREF _Toc112833005 \h </w:instrText>
        </w:r>
        <w:r w:rsidR="0041607B">
          <w:rPr>
            <w:noProof/>
            <w:webHidden/>
          </w:rPr>
        </w:r>
        <w:r w:rsidR="0041607B">
          <w:rPr>
            <w:noProof/>
            <w:webHidden/>
          </w:rPr>
          <w:fldChar w:fldCharType="separate"/>
        </w:r>
        <w:r w:rsidR="0041607B">
          <w:rPr>
            <w:noProof/>
            <w:webHidden/>
          </w:rPr>
          <w:t>28</w:t>
        </w:r>
        <w:r w:rsidR="0041607B">
          <w:rPr>
            <w:noProof/>
            <w:webHidden/>
          </w:rPr>
          <w:fldChar w:fldCharType="end"/>
        </w:r>
      </w:hyperlink>
    </w:p>
    <w:p w14:paraId="330F03BE" w14:textId="153D1290" w:rsidR="0041607B" w:rsidRDefault="00AC503C">
      <w:pPr>
        <w:pStyle w:val="TOC1"/>
        <w:rPr>
          <w:rFonts w:asciiTheme="minorHAnsi" w:eastAsiaTheme="minorEastAsia" w:hAnsiTheme="minorHAnsi" w:cstheme="minorBidi"/>
          <w:sz w:val="22"/>
          <w:szCs w:val="22"/>
          <w:lang w:eastAsia="en-GB"/>
        </w:rPr>
      </w:pPr>
      <w:hyperlink w:anchor="_Toc112833006" w:history="1">
        <w:r w:rsidR="0041607B" w:rsidRPr="009202ED">
          <w:rPr>
            <w:rStyle w:val="Hyperlink"/>
          </w:rPr>
          <w:t>Appendix 1: Additional comments received (not included in sections 3 &amp; 4 of this report)</w:t>
        </w:r>
        <w:r w:rsidR="0041607B">
          <w:rPr>
            <w:webHidden/>
          </w:rPr>
          <w:tab/>
        </w:r>
        <w:r w:rsidR="0041607B">
          <w:rPr>
            <w:webHidden/>
          </w:rPr>
          <w:fldChar w:fldCharType="begin"/>
        </w:r>
        <w:r w:rsidR="0041607B">
          <w:rPr>
            <w:webHidden/>
          </w:rPr>
          <w:instrText xml:space="preserve"> PAGEREF _Toc112833006 \h </w:instrText>
        </w:r>
        <w:r w:rsidR="0041607B">
          <w:rPr>
            <w:webHidden/>
          </w:rPr>
        </w:r>
        <w:r w:rsidR="0041607B">
          <w:rPr>
            <w:webHidden/>
          </w:rPr>
          <w:fldChar w:fldCharType="separate"/>
        </w:r>
        <w:r w:rsidR="0041607B">
          <w:rPr>
            <w:webHidden/>
          </w:rPr>
          <w:t>29</w:t>
        </w:r>
        <w:r w:rsidR="0041607B">
          <w:rPr>
            <w:webHidden/>
          </w:rPr>
          <w:fldChar w:fldCharType="end"/>
        </w:r>
      </w:hyperlink>
    </w:p>
    <w:p w14:paraId="620F4FB6" w14:textId="70CEF707" w:rsidR="0041607B" w:rsidRDefault="00AC503C">
      <w:pPr>
        <w:pStyle w:val="TOC1"/>
        <w:rPr>
          <w:rFonts w:asciiTheme="minorHAnsi" w:eastAsiaTheme="minorEastAsia" w:hAnsiTheme="minorHAnsi" w:cstheme="minorBidi"/>
          <w:sz w:val="22"/>
          <w:szCs w:val="22"/>
          <w:lang w:eastAsia="en-GB"/>
        </w:rPr>
      </w:pPr>
      <w:hyperlink w:anchor="_Toc112833007" w:history="1">
        <w:r w:rsidR="0041607B" w:rsidRPr="009202ED">
          <w:rPr>
            <w:rStyle w:val="Hyperlink"/>
          </w:rPr>
          <w:t>Appendix 2: Suggestions from registered stakeholders</w:t>
        </w:r>
        <w:r w:rsidR="0041607B">
          <w:rPr>
            <w:webHidden/>
          </w:rPr>
          <w:tab/>
        </w:r>
        <w:r w:rsidR="0041607B">
          <w:rPr>
            <w:webHidden/>
          </w:rPr>
          <w:fldChar w:fldCharType="begin"/>
        </w:r>
        <w:r w:rsidR="0041607B">
          <w:rPr>
            <w:webHidden/>
          </w:rPr>
          <w:instrText xml:space="preserve"> PAGEREF _Toc112833007 \h </w:instrText>
        </w:r>
        <w:r w:rsidR="0041607B">
          <w:rPr>
            <w:webHidden/>
          </w:rPr>
        </w:r>
        <w:r w:rsidR="0041607B">
          <w:rPr>
            <w:webHidden/>
          </w:rPr>
          <w:fldChar w:fldCharType="separate"/>
        </w:r>
        <w:r w:rsidR="0041607B">
          <w:rPr>
            <w:webHidden/>
          </w:rPr>
          <w:t>31</w:t>
        </w:r>
        <w:r w:rsidR="0041607B">
          <w:rPr>
            <w:webHidden/>
          </w:rPr>
          <w:fldChar w:fldCharType="end"/>
        </w:r>
      </w:hyperlink>
    </w:p>
    <w:p w14:paraId="0FF7B846" w14:textId="77777777" w:rsidR="00A673EB" w:rsidRDefault="00702177" w:rsidP="00A673EB">
      <w:pPr>
        <w:pStyle w:val="NICEnormal"/>
      </w:pPr>
      <w:r>
        <w:fldChar w:fldCharType="end"/>
      </w:r>
    </w:p>
    <w:p w14:paraId="2D651100" w14:textId="77777777" w:rsidR="00A673EB" w:rsidRDefault="00A673EB">
      <w:pPr>
        <w:rPr>
          <w:rFonts w:ascii="Arial" w:hAnsi="Arial"/>
        </w:rPr>
      </w:pPr>
      <w:r>
        <w:br w:type="page"/>
      </w:r>
    </w:p>
    <w:p w14:paraId="1949EFFD" w14:textId="77777777" w:rsidR="002C296A" w:rsidRDefault="002C296A" w:rsidP="00A673EB">
      <w:pPr>
        <w:pStyle w:val="Numberedheading1"/>
      </w:pPr>
      <w:bookmarkStart w:id="47" w:name="_Toc112832990"/>
      <w:r w:rsidRPr="00A673EB">
        <w:lastRenderedPageBreak/>
        <w:t>Introduction</w:t>
      </w:r>
      <w:bookmarkEnd w:id="47"/>
    </w:p>
    <w:p w14:paraId="44887F39" w14:textId="5AAAD218" w:rsidR="002C296A" w:rsidRPr="00E10156" w:rsidRDefault="002C296A" w:rsidP="00BB4634">
      <w:pPr>
        <w:pStyle w:val="Paragraph"/>
      </w:pPr>
      <w:r w:rsidRPr="00623619">
        <w:t xml:space="preserve">This briefing paper presents a structured </w:t>
      </w:r>
      <w:r>
        <w:t xml:space="preserve">overview of potential quality improvement areas for </w:t>
      </w:r>
      <w:r w:rsidR="00C95B15">
        <w:t>urinary tract infections in adults</w:t>
      </w:r>
      <w:r w:rsidRPr="00D16D6B">
        <w:t>.</w:t>
      </w:r>
      <w:r>
        <w:t xml:space="preserve"> </w:t>
      </w:r>
      <w:r w:rsidRPr="00E10156">
        <w:t xml:space="preserve">It provides the </w:t>
      </w:r>
      <w:r w:rsidR="00307AD6">
        <w:t>c</w:t>
      </w:r>
      <w:r w:rsidRPr="00E10156">
        <w:t>ommittee with a basis for discussi</w:t>
      </w:r>
      <w:r w:rsidR="00EC6922">
        <w:t>ng</w:t>
      </w:r>
      <w:r w:rsidRPr="00E10156">
        <w:t xml:space="preserve"> and prioritising quality improvement areas </w:t>
      </w:r>
      <w:r w:rsidR="00FA127D">
        <w:t>for</w:t>
      </w:r>
      <w:r w:rsidRPr="00E10156">
        <w:t xml:space="preserve"> </w:t>
      </w:r>
      <w:r w:rsidR="00EC6922">
        <w:t>develop</w:t>
      </w:r>
      <w:r w:rsidR="00FA127D">
        <w:t>ment into</w:t>
      </w:r>
      <w:r w:rsidR="00EC6922">
        <w:t xml:space="preserve"> draft</w:t>
      </w:r>
      <w:r w:rsidR="00EC6922" w:rsidRPr="00E10156">
        <w:t xml:space="preserve"> </w:t>
      </w:r>
      <w:r w:rsidRPr="00E10156">
        <w:t>quality statements and measures for public consultation.</w:t>
      </w:r>
    </w:p>
    <w:p w14:paraId="43857E08" w14:textId="77777777" w:rsidR="002C296A" w:rsidRDefault="00D862D3" w:rsidP="00BB4634">
      <w:pPr>
        <w:pStyle w:val="Paragraph"/>
      </w:pPr>
      <w:r>
        <w:t>T</w:t>
      </w:r>
      <w:r w:rsidR="001753FE">
        <w:t>his briefing paper</w:t>
      </w:r>
      <w:r w:rsidR="002C296A">
        <w:t xml:space="preserve"> includes a brief </w:t>
      </w:r>
      <w:r w:rsidR="00FA127D">
        <w:t xml:space="preserve">description </w:t>
      </w:r>
      <w:r w:rsidR="002C296A">
        <w:t>of the topic</w:t>
      </w:r>
      <w:r>
        <w:t>,</w:t>
      </w:r>
      <w:r w:rsidR="002C296A">
        <w:t xml:space="preserve"> a summary of each of the suggested quality improvement areas </w:t>
      </w:r>
      <w:r>
        <w:t xml:space="preserve">and </w:t>
      </w:r>
      <w:r w:rsidR="002C296A">
        <w:t>supporting information.</w:t>
      </w:r>
    </w:p>
    <w:p w14:paraId="7340C7F4" w14:textId="77777777" w:rsidR="002C296A" w:rsidRDefault="006F5EAB" w:rsidP="00BB4634">
      <w:pPr>
        <w:pStyle w:val="Paragraph"/>
      </w:pPr>
      <w:r>
        <w:t>R</w:t>
      </w:r>
      <w:r w:rsidR="002C296A" w:rsidRPr="00E10156">
        <w:t xml:space="preserve">ecommendations </w:t>
      </w:r>
      <w:r w:rsidR="002C296A">
        <w:t xml:space="preserve">selected </w:t>
      </w:r>
      <w:r w:rsidR="002C296A" w:rsidRPr="00E10156">
        <w:t xml:space="preserve">from the key development source </w:t>
      </w:r>
      <w:r w:rsidR="002C296A">
        <w:t>are</w:t>
      </w:r>
      <w:r w:rsidR="002C296A" w:rsidRPr="00E10156">
        <w:t xml:space="preserve"> </w:t>
      </w:r>
      <w:r w:rsidR="00FA127D">
        <w:t>included</w:t>
      </w:r>
      <w:r w:rsidR="00FA127D" w:rsidRPr="00E10156">
        <w:t xml:space="preserve"> </w:t>
      </w:r>
      <w:r w:rsidR="002C296A">
        <w:t xml:space="preserve">to </w:t>
      </w:r>
      <w:r w:rsidR="00FA127D">
        <w:t xml:space="preserve">help </w:t>
      </w:r>
      <w:r w:rsidR="002C296A">
        <w:t xml:space="preserve">the </w:t>
      </w:r>
      <w:r w:rsidR="00307AD6">
        <w:t>c</w:t>
      </w:r>
      <w:r w:rsidR="002C296A">
        <w:t>ommittee</w:t>
      </w:r>
      <w:r w:rsidR="002C296A" w:rsidRPr="00E10156">
        <w:t xml:space="preserve"> </w:t>
      </w:r>
      <w:r w:rsidR="004B62C1">
        <w:t>in</w:t>
      </w:r>
      <w:r w:rsidR="00FA127D">
        <w:t xml:space="preserve"> </w:t>
      </w:r>
      <w:r w:rsidR="002C296A">
        <w:t>considering</w:t>
      </w:r>
      <w:r w:rsidR="002C296A" w:rsidRPr="00E10156">
        <w:t xml:space="preserve"> </w:t>
      </w:r>
      <w:r w:rsidR="004B62C1">
        <w:t>potential</w:t>
      </w:r>
      <w:r w:rsidR="002C296A" w:rsidRPr="00E10156">
        <w:t xml:space="preserve"> statements and measures</w:t>
      </w:r>
      <w:r w:rsidR="002C296A">
        <w:t>.</w:t>
      </w:r>
    </w:p>
    <w:p w14:paraId="1743CDAF" w14:textId="77777777" w:rsidR="00C22DED" w:rsidRPr="00D862D3" w:rsidRDefault="000750FD" w:rsidP="00D862D3">
      <w:pPr>
        <w:pStyle w:val="Numberedheading2"/>
      </w:pPr>
      <w:bookmarkStart w:id="48" w:name="_Toc71289585"/>
      <w:bookmarkStart w:id="49" w:name="_Toc71289684"/>
      <w:bookmarkStart w:id="50" w:name="_Toc71290377"/>
      <w:bookmarkStart w:id="51" w:name="_Toc71542842"/>
      <w:bookmarkStart w:id="52" w:name="_Toc107929183"/>
      <w:bookmarkStart w:id="53" w:name="_Toc112832991"/>
      <w:r w:rsidRPr="00D862D3">
        <w:t>D</w:t>
      </w:r>
      <w:r w:rsidR="00C22DED" w:rsidRPr="00D862D3">
        <w:t>evelopment source</w:t>
      </w:r>
      <w:bookmarkEnd w:id="48"/>
      <w:bookmarkEnd w:id="49"/>
      <w:bookmarkEnd w:id="50"/>
      <w:bookmarkEnd w:id="51"/>
      <w:bookmarkEnd w:id="52"/>
      <w:bookmarkEnd w:id="53"/>
    </w:p>
    <w:p w14:paraId="1F3677BC" w14:textId="16B28DA1" w:rsidR="00C22DED" w:rsidRPr="00E10156" w:rsidRDefault="003B6DDC" w:rsidP="002C296A">
      <w:pPr>
        <w:pStyle w:val="Paragraph"/>
      </w:pPr>
      <w:r>
        <w:t>T</w:t>
      </w:r>
      <w:r w:rsidR="00C22DED">
        <w:t xml:space="preserve">he </w:t>
      </w:r>
      <w:r w:rsidR="00C77AC2">
        <w:t xml:space="preserve">main </w:t>
      </w:r>
      <w:r w:rsidR="00C22DED">
        <w:t xml:space="preserve">development </w:t>
      </w:r>
      <w:r w:rsidR="00427135">
        <w:t>sources</w:t>
      </w:r>
      <w:r w:rsidR="00C22DED">
        <w:t xml:space="preserve"> referenced in this briefing paper</w:t>
      </w:r>
      <w:r w:rsidR="00766AE9">
        <w:t xml:space="preserve"> </w:t>
      </w:r>
      <w:r w:rsidR="00FA6FCE">
        <w:t>are</w:t>
      </w:r>
      <w:r w:rsidR="00C22DED">
        <w:t>:</w:t>
      </w:r>
    </w:p>
    <w:p w14:paraId="12DC5388" w14:textId="286273D1" w:rsidR="00C95B15" w:rsidRDefault="00AC503C" w:rsidP="00D561E4">
      <w:pPr>
        <w:pStyle w:val="Bulletleft1"/>
      </w:pPr>
      <w:hyperlink r:id="rId8" w:history="1">
        <w:r w:rsidR="00C95B15" w:rsidRPr="00387B4D">
          <w:rPr>
            <w:rStyle w:val="Hyperlink"/>
          </w:rPr>
          <w:t>Management of suspected bacterial lower urinary tract infection in adult women. SIGN guideline 160</w:t>
        </w:r>
      </w:hyperlink>
      <w:r w:rsidR="00C95B15">
        <w:t xml:space="preserve"> (2020)</w:t>
      </w:r>
      <w:r w:rsidR="00387B4D">
        <w:t>. Will be considered for review in 2023</w:t>
      </w:r>
    </w:p>
    <w:p w14:paraId="355E9DFF" w14:textId="6945538A" w:rsidR="00D561E4" w:rsidRDefault="00AC503C" w:rsidP="00D561E4">
      <w:pPr>
        <w:pStyle w:val="Bulletleft1"/>
      </w:pPr>
      <w:hyperlink r:id="rId9" w:history="1">
        <w:r w:rsidR="00D561E4" w:rsidRPr="001A7574">
          <w:rPr>
            <w:rStyle w:val="Hyperlink"/>
          </w:rPr>
          <w:t>Urinary tract infection (catheter-associated): antimicrobial prescribing. NICE guideline NG113</w:t>
        </w:r>
      </w:hyperlink>
      <w:r w:rsidR="00D561E4">
        <w:t xml:space="preserve"> (2018)</w:t>
      </w:r>
    </w:p>
    <w:p w14:paraId="09E00001" w14:textId="0B8FF713" w:rsidR="00D561E4" w:rsidRDefault="00AC503C" w:rsidP="00D561E4">
      <w:pPr>
        <w:pStyle w:val="Bulletleft1"/>
      </w:pPr>
      <w:hyperlink r:id="rId10" w:history="1">
        <w:r w:rsidR="00D561E4" w:rsidRPr="001A7574">
          <w:rPr>
            <w:rStyle w:val="Hyperlink"/>
          </w:rPr>
          <w:t>Urinary tract infection (recurrent): antimicrobial prescribing. NICE guideline NG112</w:t>
        </w:r>
      </w:hyperlink>
      <w:r w:rsidR="00D561E4">
        <w:t xml:space="preserve"> (2018)</w:t>
      </w:r>
    </w:p>
    <w:p w14:paraId="716CDAF6" w14:textId="2577B9A9" w:rsidR="00D561E4" w:rsidRDefault="00AC503C" w:rsidP="00D561E4">
      <w:pPr>
        <w:pStyle w:val="Bulletleft1"/>
      </w:pPr>
      <w:hyperlink r:id="rId11" w:history="1">
        <w:r w:rsidR="00D561E4" w:rsidRPr="001A7574">
          <w:rPr>
            <w:rStyle w:val="Hyperlink"/>
          </w:rPr>
          <w:t>Pyelonephritis (acute): antimicrobial prescribing. NICE guideline NG111</w:t>
        </w:r>
      </w:hyperlink>
      <w:r w:rsidR="00D561E4">
        <w:t xml:space="preserve"> (2018)</w:t>
      </w:r>
    </w:p>
    <w:p w14:paraId="621B447A" w14:textId="322A15AC" w:rsidR="00387B4D" w:rsidRDefault="00AC503C" w:rsidP="00D561E4">
      <w:pPr>
        <w:pStyle w:val="Bulletleft1"/>
      </w:pPr>
      <w:hyperlink r:id="rId12" w:history="1">
        <w:r w:rsidR="00D561E4" w:rsidRPr="001A7574">
          <w:rPr>
            <w:rStyle w:val="Hyperlink"/>
          </w:rPr>
          <w:t>Urinary tract infection (lower): antimicrobial prescribing. NICE guideline NG109</w:t>
        </w:r>
      </w:hyperlink>
      <w:r w:rsidR="00D561E4">
        <w:t xml:space="preserve"> (2018)</w:t>
      </w:r>
    </w:p>
    <w:p w14:paraId="4A52E1AE" w14:textId="3607C2E3" w:rsidR="00C77AC2" w:rsidRDefault="00C77AC2" w:rsidP="00C77AC2">
      <w:pPr>
        <w:pStyle w:val="Paragraph"/>
      </w:pPr>
      <w:r>
        <w:t>Other development sources referenced are:</w:t>
      </w:r>
    </w:p>
    <w:p w14:paraId="0F67DA25" w14:textId="77777777" w:rsidR="00C77AC2" w:rsidRDefault="00AC503C" w:rsidP="00C77AC2">
      <w:pPr>
        <w:pStyle w:val="Bulletleft1"/>
      </w:pPr>
      <w:hyperlink r:id="rId13" w:history="1">
        <w:r w:rsidR="00C77AC2" w:rsidRPr="008921EA">
          <w:rPr>
            <w:rStyle w:val="Hyperlink"/>
          </w:rPr>
          <w:t>Pyelonephritis – acute. NICE clinical knowledge summary</w:t>
        </w:r>
      </w:hyperlink>
      <w:r w:rsidR="00C77AC2">
        <w:t xml:space="preserve"> (2021)</w:t>
      </w:r>
    </w:p>
    <w:p w14:paraId="1E2886CC" w14:textId="77777777" w:rsidR="00C77AC2" w:rsidRDefault="00AC503C" w:rsidP="00C77AC2">
      <w:pPr>
        <w:pStyle w:val="Bulletleft1"/>
      </w:pPr>
      <w:hyperlink r:id="rId14" w:history="1">
        <w:r w:rsidR="00C77AC2" w:rsidRPr="009657F9">
          <w:rPr>
            <w:rStyle w:val="Hyperlink"/>
          </w:rPr>
          <w:t>Urinary tract infection (lower) – women. NICE clinical knowledge summary</w:t>
        </w:r>
      </w:hyperlink>
      <w:r w:rsidR="00C77AC2">
        <w:t xml:space="preserve"> (2021) </w:t>
      </w:r>
    </w:p>
    <w:p w14:paraId="4B472C4C" w14:textId="77777777" w:rsidR="00C77AC2" w:rsidRDefault="00AC503C" w:rsidP="00C77AC2">
      <w:pPr>
        <w:pStyle w:val="Bulletleft1"/>
      </w:pPr>
      <w:hyperlink r:id="rId15" w:history="1">
        <w:r w:rsidR="00C77AC2" w:rsidRPr="009657F9">
          <w:rPr>
            <w:rStyle w:val="Hyperlink"/>
          </w:rPr>
          <w:t>Urinary tract infection (lower) – men. NICE clinical knowledge summary</w:t>
        </w:r>
      </w:hyperlink>
      <w:r w:rsidR="00C77AC2">
        <w:t xml:space="preserve"> (2018)</w:t>
      </w:r>
    </w:p>
    <w:p w14:paraId="047B334F" w14:textId="77777777" w:rsidR="00C77AC2" w:rsidRDefault="00AC503C" w:rsidP="00C77AC2">
      <w:pPr>
        <w:pStyle w:val="Bulletleft1last"/>
      </w:pPr>
      <w:hyperlink r:id="rId16" w:history="1">
        <w:r w:rsidR="00C77AC2" w:rsidRPr="00E4539E">
          <w:rPr>
            <w:rStyle w:val="Hyperlink"/>
          </w:rPr>
          <w:t>Healthcare-associated infections: prevention and control in primary and community care. NICE guideline CG139</w:t>
        </w:r>
      </w:hyperlink>
      <w:r w:rsidR="00C77AC2">
        <w:t xml:space="preserve"> (2012, updated 2017)</w:t>
      </w:r>
    </w:p>
    <w:p w14:paraId="62CC43D9" w14:textId="77777777" w:rsidR="00C77AC2" w:rsidRPr="00C77AC2" w:rsidRDefault="00C77AC2" w:rsidP="00C77AC2">
      <w:pPr>
        <w:pStyle w:val="Paragraph"/>
      </w:pPr>
    </w:p>
    <w:p w14:paraId="1B336566" w14:textId="77777777" w:rsidR="002C296A" w:rsidRDefault="002C296A" w:rsidP="002C296A">
      <w:pPr>
        <w:pStyle w:val="Numberedheading1"/>
      </w:pPr>
      <w:bookmarkStart w:id="54" w:name="_Toc112832992"/>
      <w:r>
        <w:lastRenderedPageBreak/>
        <w:t>Overview</w:t>
      </w:r>
      <w:bookmarkEnd w:id="54"/>
    </w:p>
    <w:p w14:paraId="1DC5A8F6" w14:textId="77777777" w:rsidR="002C296A" w:rsidRDefault="002C296A" w:rsidP="002C296A">
      <w:pPr>
        <w:pStyle w:val="Numberedheading2"/>
      </w:pPr>
      <w:bookmarkStart w:id="55" w:name="_Toc71289587"/>
      <w:bookmarkStart w:id="56" w:name="_Toc71289686"/>
      <w:bookmarkStart w:id="57" w:name="_Toc71290379"/>
      <w:bookmarkStart w:id="58" w:name="_Toc71542844"/>
      <w:bookmarkStart w:id="59" w:name="_Toc107929185"/>
      <w:bookmarkStart w:id="60" w:name="_Toc112832993"/>
      <w:r>
        <w:t>Focus of quality standard</w:t>
      </w:r>
      <w:bookmarkEnd w:id="55"/>
      <w:bookmarkEnd w:id="56"/>
      <w:bookmarkEnd w:id="57"/>
      <w:bookmarkEnd w:id="58"/>
      <w:bookmarkEnd w:id="59"/>
      <w:bookmarkEnd w:id="60"/>
    </w:p>
    <w:p w14:paraId="2AF65DAF" w14:textId="4F0A636D" w:rsidR="003E3FA7" w:rsidRPr="003E3FA7" w:rsidRDefault="003E3FA7" w:rsidP="003E3FA7">
      <w:pPr>
        <w:pStyle w:val="Paragraph"/>
        <w:rPr>
          <w:rFonts w:cs="Arial"/>
          <w:b/>
          <w:bCs/>
          <w:sz w:val="28"/>
          <w:szCs w:val="28"/>
        </w:rPr>
      </w:pPr>
      <w:bookmarkStart w:id="61" w:name="_Toc71289588"/>
      <w:bookmarkStart w:id="62" w:name="_Toc71289687"/>
      <w:bookmarkStart w:id="63" w:name="_Toc71290380"/>
      <w:bookmarkStart w:id="64" w:name="_Toc71542845"/>
      <w:r w:rsidRPr="003E3FA7">
        <w:t>The updated quality standard will cover diagnosing and managing urinary tract infections in adults aged 16 and over. It will update and replace the existing</w:t>
      </w:r>
      <w:r w:rsidR="00A66ADF" w:rsidRPr="00A66ADF">
        <w:t xml:space="preserve"> </w:t>
      </w:r>
      <w:hyperlink r:id="rId17" w:history="1">
        <w:r w:rsidR="00A66ADF" w:rsidRPr="00A66ADF">
          <w:rPr>
            <w:rStyle w:val="Hyperlink"/>
          </w:rPr>
          <w:t>NICE quality standard for urinary tract infections in adults</w:t>
        </w:r>
      </w:hyperlink>
      <w:r w:rsidR="00A66ADF" w:rsidRPr="00A66ADF">
        <w:t xml:space="preserve"> (QS90)</w:t>
      </w:r>
      <w:r w:rsidR="00B02AE3">
        <w:t>.</w:t>
      </w:r>
    </w:p>
    <w:p w14:paraId="381D3F57" w14:textId="40D1EF8E" w:rsidR="002C296A" w:rsidRDefault="002C296A" w:rsidP="00BF70EA">
      <w:pPr>
        <w:pStyle w:val="Numberedheading2"/>
      </w:pPr>
      <w:bookmarkStart w:id="65" w:name="_Toc107929186"/>
      <w:bookmarkStart w:id="66" w:name="_Toc112832994"/>
      <w:r>
        <w:t>Definition</w:t>
      </w:r>
      <w:bookmarkEnd w:id="61"/>
      <w:bookmarkEnd w:id="62"/>
      <w:bookmarkEnd w:id="63"/>
      <w:bookmarkEnd w:id="64"/>
      <w:bookmarkEnd w:id="65"/>
      <w:bookmarkEnd w:id="66"/>
    </w:p>
    <w:p w14:paraId="3590F550" w14:textId="65A49535" w:rsidR="00CB44D6" w:rsidRDefault="00CB44D6" w:rsidP="00CB44D6">
      <w:pPr>
        <w:pStyle w:val="Paragraph"/>
      </w:pPr>
      <w:r w:rsidRPr="00DC0F11">
        <w:t xml:space="preserve">Urinary tract infection (UTI) results from the presence and multiplication of microorganisms, </w:t>
      </w:r>
      <w:r>
        <w:t>withi</w:t>
      </w:r>
      <w:r w:rsidRPr="00DC0F11">
        <w:t>n the urinary tract</w:t>
      </w:r>
      <w:r>
        <w:t xml:space="preserve">. A urinary tract infection can result in </w:t>
      </w:r>
      <w:proofErr w:type="gramStart"/>
      <w:r>
        <w:t>a number of</w:t>
      </w:r>
      <w:proofErr w:type="gramEnd"/>
      <w:r>
        <w:t xml:space="preserve"> clinical syndromes including </w:t>
      </w:r>
      <w:r w:rsidRPr="00DC0F11">
        <w:t>acute and chronic pyelonephritis (kidney and renal pelvis), cystitis (bladder), urethritis (urethra), epididymitis (epididymis) and prostatitis (prostate gland). Infection may spread to surrounding tissues (</w:t>
      </w:r>
      <w:proofErr w:type="gramStart"/>
      <w:r w:rsidRPr="00DC0F11">
        <w:t>e</w:t>
      </w:r>
      <w:r>
        <w:t>.</w:t>
      </w:r>
      <w:r w:rsidRPr="00DC0F11">
        <w:t>g</w:t>
      </w:r>
      <w:r>
        <w:t>.</w:t>
      </w:r>
      <w:proofErr w:type="gramEnd"/>
      <w:r w:rsidRPr="00DC0F11">
        <w:t xml:space="preserve"> perinephric abscess) or to the bloodstream</w:t>
      </w:r>
      <w:r>
        <w:rPr>
          <w:rStyle w:val="FootnoteReference"/>
        </w:rPr>
        <w:footnoteReference w:id="1"/>
      </w:r>
      <w:r w:rsidRPr="00DC0F11">
        <w:t>.</w:t>
      </w:r>
      <w:r>
        <w:t xml:space="preserve"> </w:t>
      </w:r>
      <w:r w:rsidRPr="009266EC">
        <w:t>A urinary tract infection is defined by a combination of clinical features and the presence of bacteria in the urine</w:t>
      </w:r>
      <w:r>
        <w:t>.</w:t>
      </w:r>
      <w:r w:rsidRPr="000168D2">
        <w:t xml:space="preserve"> </w:t>
      </w:r>
    </w:p>
    <w:p w14:paraId="75FD0843" w14:textId="6B048208" w:rsidR="00222609" w:rsidRDefault="00222609" w:rsidP="00CB44D6">
      <w:pPr>
        <w:pStyle w:val="Paragraph"/>
      </w:pPr>
      <w:r w:rsidRPr="00222609">
        <w:t>Different classification systems of UTI exist</w:t>
      </w:r>
      <w:r>
        <w:rPr>
          <w:rStyle w:val="FootnoteReference"/>
        </w:rPr>
        <w:footnoteReference w:id="2"/>
      </w:r>
      <w:r>
        <w:t xml:space="preserve">. NICE’s Clinical Knowledge </w:t>
      </w:r>
      <w:r w:rsidR="00C031D2">
        <w:t>Summaries use the following categories:</w:t>
      </w:r>
    </w:p>
    <w:p w14:paraId="26FD6744" w14:textId="284E4A43" w:rsidR="00C031D2" w:rsidRDefault="00C031D2" w:rsidP="00136344">
      <w:pPr>
        <w:pStyle w:val="Bulletleft1"/>
      </w:pPr>
      <w:r>
        <w:t>L</w:t>
      </w:r>
      <w:r w:rsidRPr="00C031D2">
        <w:t>ower UTI</w:t>
      </w:r>
      <w:r>
        <w:t>: A</w:t>
      </w:r>
      <w:r w:rsidRPr="00C031D2">
        <w:t>n infection of the bladder (also known as cystitis) usually caused by bacteria from the gastrointestinal tract.</w:t>
      </w:r>
    </w:p>
    <w:p w14:paraId="3AD2F4F1" w14:textId="30FE4BCD" w:rsidR="00C031D2" w:rsidRDefault="00C031D2" w:rsidP="00136344">
      <w:pPr>
        <w:pStyle w:val="Bulletleft1"/>
      </w:pPr>
      <w:r w:rsidRPr="00C031D2">
        <w:t>Uncomplicated UTI</w:t>
      </w:r>
      <w:r>
        <w:t xml:space="preserve">: </w:t>
      </w:r>
      <w:r w:rsidRPr="00C031D2">
        <w:t>UTI caused by typical pathogens in people with a normal urinary tract and kidney function, and no predisposing co-morbidities.</w:t>
      </w:r>
      <w:r w:rsidR="00223274">
        <w:t xml:space="preserve"> </w:t>
      </w:r>
      <w:r w:rsidR="00B2526F" w:rsidRPr="00B2526F">
        <w:t xml:space="preserve">European Association of Urology </w:t>
      </w:r>
      <w:r w:rsidR="00B2526F">
        <w:t>(</w:t>
      </w:r>
      <w:r w:rsidR="00223274">
        <w:t>EAU</w:t>
      </w:r>
      <w:r w:rsidR="00B2526F">
        <w:t>)</w:t>
      </w:r>
      <w:r w:rsidR="00223274">
        <w:t xml:space="preserve"> guidelines say this group is limited to non-pregnant women.</w:t>
      </w:r>
    </w:p>
    <w:p w14:paraId="506798E6" w14:textId="1C7BE34C" w:rsidR="00C031D2" w:rsidRDefault="00C031D2" w:rsidP="00136344">
      <w:pPr>
        <w:pStyle w:val="Bulletleft1"/>
      </w:pPr>
      <w:r>
        <w:t xml:space="preserve">Complicated UTI: </w:t>
      </w:r>
      <w:r w:rsidR="00223274">
        <w:t>U</w:t>
      </w:r>
      <w:r w:rsidR="00223274" w:rsidRPr="00223274">
        <w:t>TI with an increased likelihood of complications such as persistent infection, treatment failure and recurrent infection.</w:t>
      </w:r>
      <w:r w:rsidR="00D16392">
        <w:t xml:space="preserve"> EAU guidelines say this group include</w:t>
      </w:r>
      <w:r w:rsidR="00142BCF">
        <w:t>s</w:t>
      </w:r>
      <w:r w:rsidR="00D16392">
        <w:t xml:space="preserve"> all men, pregnant women, and people with indwelling urinary catheters.</w:t>
      </w:r>
    </w:p>
    <w:p w14:paraId="4D0E019C" w14:textId="30167AE6" w:rsidR="00223274" w:rsidRDefault="00223274" w:rsidP="00136344">
      <w:pPr>
        <w:pStyle w:val="Bulletleft1"/>
      </w:pPr>
      <w:r>
        <w:t>U</w:t>
      </w:r>
      <w:r w:rsidRPr="00223274">
        <w:t>pper UTI</w:t>
      </w:r>
      <w:r>
        <w:t>: I</w:t>
      </w:r>
      <w:r w:rsidRPr="00223274">
        <w:t>nfection of the upper part of the urinary tract — the ureters and kidneys (pyelonephritis).</w:t>
      </w:r>
    </w:p>
    <w:p w14:paraId="421DA2C8" w14:textId="16B7A9CE" w:rsidR="00D16392" w:rsidRDefault="00D16392" w:rsidP="00136344">
      <w:pPr>
        <w:pStyle w:val="Bulletleft1"/>
      </w:pPr>
      <w:r w:rsidRPr="00D16392">
        <w:t>Recurrent UTI</w:t>
      </w:r>
      <w:r>
        <w:t>: U</w:t>
      </w:r>
      <w:r w:rsidRPr="00D16392">
        <w:t>sually defined as two or more episodes of UTI in six months or three or more episodes in one year. It is more common in women</w:t>
      </w:r>
      <w:r>
        <w:t xml:space="preserve"> and can be due </w:t>
      </w:r>
      <w:r>
        <w:lastRenderedPageBreak/>
        <w:t>to relapse (infection due to the same strain of organism) or reinfection (infection due to a different organism).</w:t>
      </w:r>
    </w:p>
    <w:p w14:paraId="347DF995" w14:textId="61DBEABC" w:rsidR="00D16392" w:rsidRDefault="00D16392" w:rsidP="00136344">
      <w:pPr>
        <w:pStyle w:val="Bulletleft1"/>
      </w:pPr>
      <w:r>
        <w:t>Catheter associated UTI: A symptomatic infection of the bladder or kidneys in a person who is catheterised or who has had a urinary catheter in place within the previous 48 hours.</w:t>
      </w:r>
    </w:p>
    <w:p w14:paraId="4CC9171F" w14:textId="787809A2" w:rsidR="00F8076C" w:rsidRDefault="00F8076C" w:rsidP="00136344">
      <w:pPr>
        <w:pStyle w:val="Bulletleft1"/>
      </w:pPr>
      <w:r w:rsidRPr="00F8076C">
        <w:t>Bacteriuria</w:t>
      </w:r>
      <w:r>
        <w:t>:</w:t>
      </w:r>
      <w:r w:rsidRPr="00F8076C">
        <w:t xml:space="preserve"> </w:t>
      </w:r>
      <w:r>
        <w:t>T</w:t>
      </w:r>
      <w:r w:rsidRPr="00F8076C">
        <w:t>he presence of bacteria in the urine — the person may or may not be symptomatic.</w:t>
      </w:r>
    </w:p>
    <w:p w14:paraId="50DFE98F" w14:textId="77777777" w:rsidR="00CB44D6" w:rsidRPr="00CB44D6" w:rsidRDefault="00CB44D6" w:rsidP="00CB44D6"/>
    <w:p w14:paraId="3FAC4426" w14:textId="77777777" w:rsidR="002C296A" w:rsidRPr="00FF20A8" w:rsidRDefault="002C296A" w:rsidP="002C296A">
      <w:pPr>
        <w:pStyle w:val="Numberedheading2"/>
      </w:pPr>
      <w:bookmarkStart w:id="67" w:name="_Toc71289589"/>
      <w:bookmarkStart w:id="68" w:name="_Toc71289688"/>
      <w:bookmarkStart w:id="69" w:name="_Toc71290381"/>
      <w:bookmarkStart w:id="70" w:name="_Toc71542846"/>
      <w:bookmarkStart w:id="71" w:name="_Toc107929187"/>
      <w:bookmarkStart w:id="72" w:name="_Toc112832995"/>
      <w:r>
        <w:t>Incidence and prevalence</w:t>
      </w:r>
      <w:bookmarkEnd w:id="67"/>
      <w:bookmarkEnd w:id="68"/>
      <w:bookmarkEnd w:id="69"/>
      <w:bookmarkEnd w:id="70"/>
      <w:bookmarkEnd w:id="71"/>
      <w:bookmarkEnd w:id="72"/>
    </w:p>
    <w:p w14:paraId="57856CE2" w14:textId="001928A5" w:rsidR="008A7182" w:rsidRDefault="000A17DA" w:rsidP="000A17DA">
      <w:pPr>
        <w:pStyle w:val="Paragraph"/>
      </w:pPr>
      <w:r>
        <w:t>T</w:t>
      </w:r>
      <w:r w:rsidRPr="000A17DA">
        <w:t>he incidence of UTIs is influenced by age, sex or by predisposing factors</w:t>
      </w:r>
      <w:bookmarkStart w:id="73" w:name="_Ref107482728"/>
      <w:r w:rsidR="00C8607E">
        <w:rPr>
          <w:rStyle w:val="FootnoteReference"/>
        </w:rPr>
        <w:footnoteReference w:id="3"/>
      </w:r>
      <w:bookmarkEnd w:id="73"/>
      <w:r>
        <w:t xml:space="preserve">. </w:t>
      </w:r>
      <w:r w:rsidR="002A60D0">
        <w:t xml:space="preserve">Incidence </w:t>
      </w:r>
      <w:r>
        <w:t xml:space="preserve">is highest in young women. Around 10–20% of women will experience a symptomatic UTI at some time. </w:t>
      </w:r>
      <w:r w:rsidR="006B3FED" w:rsidRPr="006B3FED">
        <w:t>A population-based survey of adult women in England reported that over a third reported having had at least one UTI in their lifetime</w:t>
      </w:r>
      <w:bookmarkStart w:id="74" w:name="_Ref107838323"/>
      <w:r w:rsidR="006B3FED">
        <w:rPr>
          <w:rStyle w:val="FootnoteReference"/>
        </w:rPr>
        <w:footnoteReference w:id="4"/>
      </w:r>
      <w:bookmarkEnd w:id="74"/>
      <w:r w:rsidR="006B3FED" w:rsidRPr="006B3FED">
        <w:t>.</w:t>
      </w:r>
      <w:r w:rsidR="00246A0A">
        <w:t xml:space="preserve"> A</w:t>
      </w:r>
      <w:r w:rsidR="00246A0A" w:rsidRPr="00246A0A">
        <w:t>lmost half of all women will experience at least one episode of cystitis during their lifetime</w:t>
      </w:r>
      <w:r w:rsidR="00246A0A">
        <w:rPr>
          <w:rStyle w:val="FootnoteReference"/>
        </w:rPr>
        <w:footnoteReference w:id="5"/>
      </w:r>
      <w:r w:rsidR="00246A0A">
        <w:t>.</w:t>
      </w:r>
      <w:r w:rsidR="00187A81">
        <w:t xml:space="preserve"> </w:t>
      </w:r>
      <w:r w:rsidR="00187A81" w:rsidRPr="00187A81">
        <w:t>20–30% of women who have had a UTI will have a recurrence</w:t>
      </w:r>
      <w:bookmarkStart w:id="75" w:name="_Ref107482551"/>
      <w:r w:rsidR="00187A81">
        <w:rPr>
          <w:rStyle w:val="FootnoteReference"/>
        </w:rPr>
        <w:footnoteReference w:id="6"/>
      </w:r>
      <w:bookmarkEnd w:id="75"/>
    </w:p>
    <w:p w14:paraId="4951EBA7" w14:textId="7F5EEE2E" w:rsidR="00187A81" w:rsidRDefault="000A17DA" w:rsidP="000A17DA">
      <w:pPr>
        <w:pStyle w:val="Paragraph"/>
      </w:pPr>
      <w:r>
        <w:t>Most infections in adult men are complicated and related to abnormalities of the urinary tract, although a low incidence occurs spontaneously in otherwise healthy young men</w:t>
      </w:r>
      <w:r w:rsidR="00C8607E" w:rsidRPr="00FC6A36">
        <w:rPr>
          <w:vertAlign w:val="superscript"/>
        </w:rPr>
        <w:fldChar w:fldCharType="begin"/>
      </w:r>
      <w:r w:rsidR="00C8607E" w:rsidRPr="00FC6A36">
        <w:rPr>
          <w:vertAlign w:val="superscript"/>
        </w:rPr>
        <w:instrText xml:space="preserve"> NOTEREF _Ref107482728 \h </w:instrText>
      </w:r>
      <w:r w:rsidR="00FC6A36">
        <w:rPr>
          <w:vertAlign w:val="superscript"/>
        </w:rPr>
        <w:instrText xml:space="preserve"> \* MERGEFORMAT </w:instrText>
      </w:r>
      <w:r w:rsidR="00C8607E" w:rsidRPr="00FC6A36">
        <w:rPr>
          <w:vertAlign w:val="superscript"/>
        </w:rPr>
      </w:r>
      <w:r w:rsidR="00C8607E" w:rsidRPr="00FC6A36">
        <w:rPr>
          <w:vertAlign w:val="superscript"/>
        </w:rPr>
        <w:fldChar w:fldCharType="separate"/>
      </w:r>
      <w:r w:rsidR="00C8607E" w:rsidRPr="00FC6A36">
        <w:rPr>
          <w:vertAlign w:val="superscript"/>
        </w:rPr>
        <w:t>3</w:t>
      </w:r>
      <w:r w:rsidR="00C8607E" w:rsidRPr="00FC6A36">
        <w:rPr>
          <w:vertAlign w:val="superscript"/>
        </w:rPr>
        <w:fldChar w:fldCharType="end"/>
      </w:r>
      <w:r>
        <w:t xml:space="preserve">. </w:t>
      </w:r>
    </w:p>
    <w:p w14:paraId="67695718" w14:textId="77777777" w:rsidR="00362D87" w:rsidRDefault="000A17DA" w:rsidP="004B4663">
      <w:pPr>
        <w:pStyle w:val="Paragraph"/>
      </w:pPr>
      <w:r>
        <w:t>UTI incidence increases with age for both sexes and is one of the most common infections associated with older people</w:t>
      </w:r>
      <w:r w:rsidR="00C8607E" w:rsidRPr="00C8607E">
        <w:rPr>
          <w:vertAlign w:val="superscript"/>
        </w:rPr>
        <w:fldChar w:fldCharType="begin"/>
      </w:r>
      <w:r w:rsidR="00C8607E" w:rsidRPr="00C8607E">
        <w:rPr>
          <w:vertAlign w:val="superscript"/>
        </w:rPr>
        <w:instrText xml:space="preserve"> NOTEREF _Ref107481825 \h </w:instrText>
      </w:r>
      <w:r w:rsidR="00C8607E">
        <w:rPr>
          <w:vertAlign w:val="superscript"/>
        </w:rPr>
        <w:instrText xml:space="preserve"> \* MERGEFORMAT </w:instrText>
      </w:r>
      <w:r w:rsidR="00C8607E" w:rsidRPr="00C8607E">
        <w:rPr>
          <w:vertAlign w:val="superscript"/>
        </w:rPr>
      </w:r>
      <w:r w:rsidR="00C8607E" w:rsidRPr="00C8607E">
        <w:rPr>
          <w:vertAlign w:val="superscript"/>
        </w:rPr>
        <w:fldChar w:fldCharType="separate"/>
      </w:r>
      <w:r w:rsidR="00C8607E" w:rsidRPr="00C8607E">
        <w:rPr>
          <w:vertAlign w:val="superscript"/>
        </w:rPr>
        <w:t>3</w:t>
      </w:r>
      <w:r w:rsidR="00C8607E" w:rsidRPr="00C8607E">
        <w:rPr>
          <w:vertAlign w:val="superscript"/>
        </w:rPr>
        <w:fldChar w:fldCharType="end"/>
      </w:r>
      <w:r>
        <w:t xml:space="preserve">. </w:t>
      </w:r>
    </w:p>
    <w:p w14:paraId="7849F326" w14:textId="3D00EBF8" w:rsidR="004B4663" w:rsidRDefault="004B4663" w:rsidP="004B4663">
      <w:pPr>
        <w:pStyle w:val="Paragraph"/>
      </w:pPr>
      <w:r w:rsidRPr="004B4663">
        <w:t>UTI is the most common hospital-acquired infection in the UK, accounting for 23% of all infections</w:t>
      </w:r>
      <w:r w:rsidR="00C8607E" w:rsidRPr="00C8607E">
        <w:rPr>
          <w:vertAlign w:val="superscript"/>
        </w:rPr>
        <w:fldChar w:fldCharType="begin"/>
      </w:r>
      <w:r w:rsidR="00C8607E" w:rsidRPr="00C8607E">
        <w:rPr>
          <w:vertAlign w:val="superscript"/>
        </w:rPr>
        <w:instrText xml:space="preserve"> NOTEREF _Ref107482551 \h </w:instrText>
      </w:r>
      <w:r w:rsidR="00C8607E">
        <w:rPr>
          <w:vertAlign w:val="superscript"/>
        </w:rPr>
        <w:instrText xml:space="preserve"> \* MERGEFORMAT </w:instrText>
      </w:r>
      <w:r w:rsidR="00C8607E" w:rsidRPr="00C8607E">
        <w:rPr>
          <w:vertAlign w:val="superscript"/>
        </w:rPr>
      </w:r>
      <w:r w:rsidR="00C8607E" w:rsidRPr="00C8607E">
        <w:rPr>
          <w:vertAlign w:val="superscript"/>
        </w:rPr>
        <w:fldChar w:fldCharType="separate"/>
      </w:r>
      <w:r w:rsidR="00C8607E" w:rsidRPr="00C8607E">
        <w:rPr>
          <w:vertAlign w:val="superscript"/>
        </w:rPr>
        <w:t>6</w:t>
      </w:r>
      <w:r w:rsidR="00C8607E" w:rsidRPr="00C8607E">
        <w:rPr>
          <w:vertAlign w:val="superscript"/>
        </w:rPr>
        <w:fldChar w:fldCharType="end"/>
      </w:r>
      <w:r w:rsidRPr="004B4663">
        <w:t xml:space="preserve">. </w:t>
      </w:r>
      <w:proofErr w:type="gramStart"/>
      <w:r>
        <w:t>T</w:t>
      </w:r>
      <w:r w:rsidRPr="004B4663">
        <w:t>he majority of</w:t>
      </w:r>
      <w:proofErr w:type="gramEnd"/>
      <w:r w:rsidRPr="004B4663">
        <w:t xml:space="preserve"> </w:t>
      </w:r>
      <w:r w:rsidR="00136344" w:rsidRPr="004B4663">
        <w:t>hospital acquired</w:t>
      </w:r>
      <w:r w:rsidRPr="004B4663">
        <w:t xml:space="preserve"> UTIs are associated with catheter use</w:t>
      </w:r>
      <w:r>
        <w:t>.</w:t>
      </w:r>
      <w:r w:rsidR="006D6361">
        <w:t xml:space="preserve"> </w:t>
      </w:r>
      <w:r w:rsidR="008A7182" w:rsidRPr="008A7182">
        <w:t xml:space="preserve">UTI is </w:t>
      </w:r>
      <w:r w:rsidR="006D6361">
        <w:t xml:space="preserve">also </w:t>
      </w:r>
      <w:r w:rsidR="008A7182" w:rsidRPr="008A7182">
        <w:t>one of the most common conditions presenting in primary care.</w:t>
      </w:r>
    </w:p>
    <w:p w14:paraId="2A04D7CA" w14:textId="20732476" w:rsidR="002C296A" w:rsidRDefault="00F710BF" w:rsidP="002C296A">
      <w:pPr>
        <w:pStyle w:val="Numberedheading2"/>
      </w:pPr>
      <w:bookmarkStart w:id="76" w:name="_Toc71289590"/>
      <w:bookmarkStart w:id="77" w:name="_Toc71289689"/>
      <w:bookmarkStart w:id="78" w:name="_Toc71290382"/>
      <w:bookmarkStart w:id="79" w:name="_Toc71542847"/>
      <w:bookmarkStart w:id="80" w:name="_Toc107929188"/>
      <w:bookmarkStart w:id="81" w:name="_Toc112832996"/>
      <w:r>
        <w:t>M</w:t>
      </w:r>
      <w:r w:rsidR="00D44D8A">
        <w:t>anagement</w:t>
      </w:r>
      <w:bookmarkEnd w:id="76"/>
      <w:bookmarkEnd w:id="77"/>
      <w:bookmarkEnd w:id="78"/>
      <w:bookmarkEnd w:id="79"/>
      <w:bookmarkEnd w:id="80"/>
      <w:bookmarkEnd w:id="81"/>
    </w:p>
    <w:p w14:paraId="0F1A0CA7" w14:textId="148253D4" w:rsidR="00D32846" w:rsidRDefault="00D32846" w:rsidP="00D32846">
      <w:pPr>
        <w:pStyle w:val="Paragraph"/>
      </w:pPr>
      <w:bookmarkStart w:id="82" w:name="_Toc340835232"/>
      <w:bookmarkStart w:id="83" w:name="_Toc71289591"/>
      <w:bookmarkStart w:id="84" w:name="_Toc71289690"/>
      <w:bookmarkStart w:id="85" w:name="_Toc71290383"/>
      <w:bookmarkStart w:id="86" w:name="_Toc71542848"/>
      <w:bookmarkEnd w:id="82"/>
      <w:r>
        <w:t xml:space="preserve">For patients with symptoms of urinary tract infection and bacteriuria the main aim of treatment is relief of symptoms. For asymptomatic patients the main outcome from treatment is prevention of future symptomatic episodes. </w:t>
      </w:r>
    </w:p>
    <w:p w14:paraId="334A234B" w14:textId="1D4DCA8E" w:rsidR="00883BFB" w:rsidRDefault="00883BFB" w:rsidP="00883BFB">
      <w:pPr>
        <w:pStyle w:val="Paragraph"/>
      </w:pPr>
      <w:proofErr w:type="gramStart"/>
      <w:r>
        <w:lastRenderedPageBreak/>
        <w:t>The majority of</w:t>
      </w:r>
      <w:proofErr w:type="gramEnd"/>
      <w:r>
        <w:t xml:space="preserve"> non-pregnant women with symptoms of UTI present in the community</w:t>
      </w:r>
      <w:r w:rsidR="003F5A2A" w:rsidRPr="003F5A2A">
        <w:rPr>
          <w:vertAlign w:val="superscript"/>
        </w:rPr>
        <w:fldChar w:fldCharType="begin"/>
      </w:r>
      <w:r w:rsidR="003F5A2A" w:rsidRPr="003F5A2A">
        <w:rPr>
          <w:vertAlign w:val="superscript"/>
        </w:rPr>
        <w:instrText xml:space="preserve"> NOTEREF _Ref107838323 \h </w:instrText>
      </w:r>
      <w:r w:rsidR="003F5A2A">
        <w:rPr>
          <w:vertAlign w:val="superscript"/>
        </w:rPr>
        <w:instrText xml:space="preserve"> \* MERGEFORMAT </w:instrText>
      </w:r>
      <w:r w:rsidR="003F5A2A" w:rsidRPr="003F5A2A">
        <w:rPr>
          <w:vertAlign w:val="superscript"/>
        </w:rPr>
      </w:r>
      <w:r w:rsidR="003F5A2A" w:rsidRPr="003F5A2A">
        <w:rPr>
          <w:vertAlign w:val="superscript"/>
        </w:rPr>
        <w:fldChar w:fldCharType="separate"/>
      </w:r>
      <w:r w:rsidR="003F5A2A" w:rsidRPr="003F5A2A">
        <w:rPr>
          <w:vertAlign w:val="superscript"/>
        </w:rPr>
        <w:t>4</w:t>
      </w:r>
      <w:r w:rsidR="003F5A2A" w:rsidRPr="003F5A2A">
        <w:rPr>
          <w:vertAlign w:val="superscript"/>
        </w:rPr>
        <w:fldChar w:fldCharType="end"/>
      </w:r>
      <w:r>
        <w:t>. Women with symptoms of UTI account for a significant proportion of acute presentations to GP practices and out-of-hours services.</w:t>
      </w:r>
    </w:p>
    <w:p w14:paraId="71436EFD" w14:textId="2E6224DD" w:rsidR="00C9172F" w:rsidRDefault="00C9172F" w:rsidP="00C9172F">
      <w:pPr>
        <w:pStyle w:val="Paragraph"/>
      </w:pPr>
      <w:r>
        <w:t>The diagnosis of UTI can be difficult in older patients, who are more likely to have asymptomatic bacteriuria, and may experience increased frailty and comorbidities. In these patients</w:t>
      </w:r>
      <w:r w:rsidR="006573BF">
        <w:t>,</w:t>
      </w:r>
      <w:r>
        <w:t xml:space="preserve"> urine culture ceases to be a diagnostic test unless there are other signs of infection. Frail elderly patients, particularly those with dementia in long-term care facilities, may receive unnecessary antibiotic treatment due to asymptomatic bacteriuria and non-specific symptoms with consequent risk of adverse effects and no clinical benefit.</w:t>
      </w:r>
    </w:p>
    <w:p w14:paraId="426817B4" w14:textId="786B2624" w:rsidR="006573BF" w:rsidRDefault="00D32846" w:rsidP="00D32846">
      <w:pPr>
        <w:pStyle w:val="Paragraph"/>
      </w:pPr>
      <w:r w:rsidRPr="00E848DB">
        <w:t xml:space="preserve">Prudent antibiotic prescribing is a key component of the UK’s action plans for reducing antimicrobial resistance. Unnecessary antibiotic treatment of asymptomatic bacteriuria is associated with significantly increased risk of clinical adverse events including Clostridium difficile infection or methicillin resistant Staphylococcus aureus infection, and the development of </w:t>
      </w:r>
      <w:proofErr w:type="gramStart"/>
      <w:r w:rsidRPr="00E848DB">
        <w:t>antibiotic-resistant</w:t>
      </w:r>
      <w:proofErr w:type="gramEnd"/>
      <w:r w:rsidRPr="00E848DB">
        <w:t xml:space="preserve"> UTIs.</w:t>
      </w:r>
      <w:r>
        <w:t xml:space="preserve"> </w:t>
      </w:r>
    </w:p>
    <w:p w14:paraId="56C3CD5B" w14:textId="6DEBAF30" w:rsidR="00E013CB" w:rsidRDefault="00E97AE0" w:rsidP="002D430E">
      <w:pPr>
        <w:pStyle w:val="Paragraph"/>
      </w:pPr>
      <w:r>
        <w:t xml:space="preserve">Criteria for the diagnosis of UTI vary and are dependent on the patient and the context. </w:t>
      </w:r>
      <w:r w:rsidR="002D430E">
        <w:t xml:space="preserve">Public Health England developed a </w:t>
      </w:r>
      <w:hyperlink r:id="rId18" w:history="1">
        <w:r w:rsidR="002D430E" w:rsidRPr="003825E7">
          <w:rPr>
            <w:rStyle w:val="Hyperlink"/>
          </w:rPr>
          <w:t>tool aimed at improving the diagnosis of UTI and more appropriate antibiotic use</w:t>
        </w:r>
        <w:r w:rsidR="002E5FFA" w:rsidRPr="003825E7">
          <w:rPr>
            <w:rStyle w:val="Hyperlink"/>
          </w:rPr>
          <w:t xml:space="preserve"> in primary care</w:t>
        </w:r>
      </w:hyperlink>
      <w:r w:rsidR="002D430E">
        <w:t>. This tool is currently being reviewed and updated</w:t>
      </w:r>
      <w:r w:rsidR="002E5FFA">
        <w:t xml:space="preserve"> by the UK Health Security Agency</w:t>
      </w:r>
      <w:r w:rsidR="002D430E">
        <w:t xml:space="preserve">. </w:t>
      </w:r>
    </w:p>
    <w:p w14:paraId="2F3307A8" w14:textId="12D525A1" w:rsidR="000C135B" w:rsidRDefault="00466B16" w:rsidP="002B311E">
      <w:pPr>
        <w:pStyle w:val="Numberedheading2"/>
      </w:pPr>
      <w:bookmarkStart w:id="87" w:name="_Toc107929189"/>
      <w:bookmarkStart w:id="88" w:name="_Toc112832997"/>
      <w:r>
        <w:t>Resource impact</w:t>
      </w:r>
      <w:bookmarkEnd w:id="83"/>
      <w:bookmarkEnd w:id="84"/>
      <w:bookmarkEnd w:id="85"/>
      <w:bookmarkEnd w:id="86"/>
      <w:bookmarkEnd w:id="87"/>
      <w:bookmarkEnd w:id="88"/>
    </w:p>
    <w:p w14:paraId="161152D4" w14:textId="1438C52D" w:rsidR="002B311E" w:rsidRPr="003F70B8" w:rsidRDefault="002B311E" w:rsidP="00D32846">
      <w:pPr>
        <w:pStyle w:val="Paragraph"/>
      </w:pPr>
      <w:r w:rsidRPr="002B311E">
        <w:t xml:space="preserve">This quality standard is not expected to be associated with a significant resource impact. No significant resource impact was identified for any of the underlying recommendations in guidelines NG109; NG112 and NG113 published in 2018. This is because the </w:t>
      </w:r>
      <w:proofErr w:type="gramStart"/>
      <w:r w:rsidRPr="002B311E">
        <w:t>main focus</w:t>
      </w:r>
      <w:proofErr w:type="gramEnd"/>
      <w:r w:rsidRPr="002B311E">
        <w:t xml:space="preserve"> of these guidelines was the use of antibiotics which are inexpensive treatments. Suggested improvement areas that are based on other underlying NICE and SIGN guidelines are also not expected to have a significant resource impact, however it is difficult to assess current UK practice for some of these areas.</w:t>
      </w:r>
    </w:p>
    <w:p w14:paraId="61F0A828" w14:textId="77777777" w:rsidR="002C296A" w:rsidRDefault="00381592" w:rsidP="002C296A">
      <w:pPr>
        <w:pStyle w:val="Numberedheading1"/>
      </w:pPr>
      <w:r>
        <w:br w:type="page"/>
      </w:r>
      <w:bookmarkStart w:id="89" w:name="_Toc112832998"/>
      <w:r w:rsidR="002C296A">
        <w:lastRenderedPageBreak/>
        <w:t>Summary of suggestions</w:t>
      </w:r>
      <w:bookmarkEnd w:id="89"/>
    </w:p>
    <w:p w14:paraId="686FEBE8" w14:textId="77777777" w:rsidR="002C296A" w:rsidRPr="007D4B1A" w:rsidRDefault="002C296A" w:rsidP="002C296A">
      <w:pPr>
        <w:pStyle w:val="Numberedheading2"/>
      </w:pPr>
      <w:bookmarkStart w:id="90" w:name="_Toc71289593"/>
      <w:bookmarkStart w:id="91" w:name="_Toc71289692"/>
      <w:bookmarkStart w:id="92" w:name="_Toc71290385"/>
      <w:bookmarkStart w:id="93" w:name="_Toc71542850"/>
      <w:bookmarkStart w:id="94" w:name="_Toc107929191"/>
      <w:bookmarkStart w:id="95" w:name="_Toc112832999"/>
      <w:r>
        <w:t>Responses</w:t>
      </w:r>
      <w:bookmarkEnd w:id="90"/>
      <w:bookmarkEnd w:id="91"/>
      <w:bookmarkEnd w:id="92"/>
      <w:bookmarkEnd w:id="93"/>
      <w:bookmarkEnd w:id="94"/>
      <w:bookmarkEnd w:id="95"/>
    </w:p>
    <w:p w14:paraId="28BA1A45" w14:textId="52CB2FBE" w:rsidR="00F6784F" w:rsidRDefault="00F6784F" w:rsidP="00F6784F">
      <w:pPr>
        <w:pStyle w:val="Paragraph"/>
      </w:pPr>
      <w:r>
        <w:t xml:space="preserve">In total </w:t>
      </w:r>
      <w:bookmarkStart w:id="96" w:name="_Hlk64289010"/>
      <w:r w:rsidR="00222FA7">
        <w:t>2</w:t>
      </w:r>
      <w:r w:rsidR="00FA2526">
        <w:t>4</w:t>
      </w:r>
      <w:r>
        <w:t xml:space="preserve"> </w:t>
      </w:r>
      <w:bookmarkEnd w:id="96"/>
      <w:r>
        <w:t xml:space="preserve">registered stakeholders </w:t>
      </w:r>
      <w:r w:rsidR="00222FA7">
        <w:t xml:space="preserve">and specialist committee members </w:t>
      </w:r>
      <w:r>
        <w:t>responded to the 2-week engagement exercise.</w:t>
      </w:r>
    </w:p>
    <w:p w14:paraId="068E8DA1" w14:textId="2BE33DEB" w:rsidR="00F6784F" w:rsidRDefault="00222FA7" w:rsidP="00F6784F">
      <w:pPr>
        <w:pStyle w:val="Bulletparagraph"/>
      </w:pPr>
      <w:r w:rsidRPr="00222FA7">
        <w:t>1</w:t>
      </w:r>
      <w:r w:rsidR="00A37C54">
        <w:t>5</w:t>
      </w:r>
      <w:r w:rsidR="00BA6B0E">
        <w:t xml:space="preserve"> </w:t>
      </w:r>
      <w:r w:rsidR="00F6784F">
        <w:t>stakeholders suggested areas</w:t>
      </w:r>
    </w:p>
    <w:p w14:paraId="677077DE" w14:textId="203A490B" w:rsidR="0067273A" w:rsidRDefault="0067273A" w:rsidP="00F6784F">
      <w:pPr>
        <w:pStyle w:val="Bulletparagraph"/>
      </w:pPr>
      <w:r>
        <w:t>2 stakeholders submitted a response saying they had no comments to make</w:t>
      </w:r>
    </w:p>
    <w:p w14:paraId="07124416" w14:textId="2A5D23C7" w:rsidR="00F6784F" w:rsidRDefault="003F5A2A" w:rsidP="00F6784F">
      <w:pPr>
        <w:pStyle w:val="Bulletparagraphlast"/>
      </w:pPr>
      <w:r>
        <w:t>7</w:t>
      </w:r>
      <w:r w:rsidR="00222FA7">
        <w:t xml:space="preserve"> </w:t>
      </w:r>
      <w:r w:rsidR="00F6784F">
        <w:t>specialist committee members suggested areas</w:t>
      </w:r>
    </w:p>
    <w:p w14:paraId="62CAB08B" w14:textId="64747701" w:rsidR="00F6784F" w:rsidRDefault="00F6784F" w:rsidP="00F6784F">
      <w:pPr>
        <w:pStyle w:val="Paragraph"/>
      </w:pPr>
      <w:r w:rsidRPr="00F6784F">
        <w:t xml:space="preserve">The responses have been summarised in table </w:t>
      </w:r>
      <w:r w:rsidR="002604BC">
        <w:t>1</w:t>
      </w:r>
      <w:r w:rsidRPr="00F6784F">
        <w:t xml:space="preserve"> for further consideration by the committee.</w:t>
      </w:r>
      <w:r w:rsidR="003F5A2A">
        <w:t xml:space="preserve"> Note that the suggestions of one SCM were not obtained in time to be included in this section of the report </w:t>
      </w:r>
      <w:r w:rsidR="002604BC">
        <w:t xml:space="preserve">but </w:t>
      </w:r>
      <w:r w:rsidR="003F5A2A">
        <w:t>are included in appendix 1</w:t>
      </w:r>
      <w:r w:rsidR="002604BC">
        <w:t xml:space="preserve"> instead</w:t>
      </w:r>
      <w:r w:rsidR="003F5A2A">
        <w:t>.</w:t>
      </w:r>
    </w:p>
    <w:p w14:paraId="7F48EC5A" w14:textId="6239B0A7" w:rsidR="005A61AD" w:rsidRPr="006E608E" w:rsidRDefault="005A61AD" w:rsidP="00B65D9F">
      <w:pPr>
        <w:pStyle w:val="Caption"/>
      </w:pPr>
      <w:r w:rsidRPr="00222FA7">
        <w:t xml:space="preserve">Table </w:t>
      </w:r>
      <w:r w:rsidR="003F5A2A">
        <w:t>1</w:t>
      </w:r>
      <w:r w:rsidRPr="00222FA7">
        <w:t xml:space="preserve"> Summary of suggested quality improvement areas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Caption w:val="Summary of information available for suggested areas for improvement"/>
        <w:tblDescription w:val="Information about quality improvement areas that were identified by stakeholders during the stakeholder engagement exercise, such as whether the areas are in scope, supported by guideline recommendations, current practice and covered by existing quality standard statements. A decision on the priority to discuss is also given."/>
      </w:tblPr>
      <w:tblGrid>
        <w:gridCol w:w="6351"/>
        <w:gridCol w:w="2665"/>
      </w:tblGrid>
      <w:tr w:rsidR="006D79FC" w:rsidRPr="00910B42" w14:paraId="69B3D5B5" w14:textId="77777777" w:rsidTr="006D79FC">
        <w:tc>
          <w:tcPr>
            <w:tcW w:w="3522" w:type="pct"/>
            <w:shd w:val="clear" w:color="auto" w:fill="auto"/>
          </w:tcPr>
          <w:p w14:paraId="3E0750BF" w14:textId="77777777" w:rsidR="006D79FC" w:rsidRPr="000F2B40" w:rsidRDefault="006D79FC" w:rsidP="00000087">
            <w:pPr>
              <w:pStyle w:val="Tabletitle"/>
            </w:pPr>
            <w:bookmarkStart w:id="97" w:name="_Toc340835234"/>
            <w:bookmarkStart w:id="98" w:name="_Hlk58398339"/>
            <w:bookmarkEnd w:id="97"/>
            <w:r w:rsidRPr="000F2B40">
              <w:t>Suggested area for improvement</w:t>
            </w:r>
          </w:p>
        </w:tc>
        <w:tc>
          <w:tcPr>
            <w:tcW w:w="1478" w:type="pct"/>
          </w:tcPr>
          <w:p w14:paraId="39B18122" w14:textId="77777777" w:rsidR="006D79FC" w:rsidRPr="00B65D9F" w:rsidRDefault="006D79FC" w:rsidP="00000087">
            <w:pPr>
              <w:pStyle w:val="Tabletitle"/>
              <w:rPr>
                <w:b w:val="0"/>
              </w:rPr>
            </w:pPr>
            <w:r w:rsidRPr="003A57C1">
              <w:t xml:space="preserve">Stakeholder </w:t>
            </w:r>
          </w:p>
        </w:tc>
      </w:tr>
      <w:tr w:rsidR="006D79FC" w:rsidRPr="00910B42" w14:paraId="1BC65DCF" w14:textId="77777777" w:rsidTr="006D79FC">
        <w:trPr>
          <w:trHeight w:val="382"/>
        </w:trPr>
        <w:tc>
          <w:tcPr>
            <w:tcW w:w="3522" w:type="pct"/>
            <w:tcBorders>
              <w:top w:val="single" w:sz="4" w:space="0" w:color="auto"/>
              <w:left w:val="single" w:sz="4" w:space="0" w:color="auto"/>
              <w:bottom w:val="nil"/>
              <w:right w:val="single" w:sz="4" w:space="0" w:color="auto"/>
            </w:tcBorders>
            <w:shd w:val="clear" w:color="auto" w:fill="auto"/>
          </w:tcPr>
          <w:p w14:paraId="187663D6" w14:textId="656F87E9" w:rsidR="006D79FC" w:rsidRPr="00E770DC" w:rsidRDefault="006D79FC" w:rsidP="00E770DC">
            <w:pPr>
              <w:pStyle w:val="Bulletstable"/>
              <w:numPr>
                <w:ilvl w:val="0"/>
                <w:numId w:val="0"/>
              </w:numPr>
              <w:ind w:left="284" w:hanging="284"/>
              <w:rPr>
                <w:b/>
                <w:bCs/>
                <w:szCs w:val="24"/>
              </w:rPr>
            </w:pPr>
            <w:r w:rsidRPr="002B7C21">
              <w:rPr>
                <w:b/>
                <w:bCs/>
                <w:szCs w:val="24"/>
              </w:rPr>
              <w:t>Diagnosing UTIs</w:t>
            </w:r>
          </w:p>
        </w:tc>
        <w:tc>
          <w:tcPr>
            <w:tcW w:w="1478" w:type="pct"/>
            <w:tcBorders>
              <w:bottom w:val="nil"/>
            </w:tcBorders>
          </w:tcPr>
          <w:p w14:paraId="10E0D133" w14:textId="77777777" w:rsidR="006D79FC" w:rsidRPr="00910B42" w:rsidRDefault="006D79FC" w:rsidP="00000087">
            <w:pPr>
              <w:pStyle w:val="Tabletext"/>
            </w:pPr>
          </w:p>
        </w:tc>
      </w:tr>
      <w:tr w:rsidR="006D79FC" w:rsidRPr="00910B42" w14:paraId="727D151C" w14:textId="77777777" w:rsidTr="006D79FC">
        <w:trPr>
          <w:trHeight w:val="382"/>
        </w:trPr>
        <w:tc>
          <w:tcPr>
            <w:tcW w:w="3522" w:type="pct"/>
            <w:tcBorders>
              <w:top w:val="nil"/>
              <w:left w:val="single" w:sz="4" w:space="0" w:color="auto"/>
              <w:bottom w:val="nil"/>
              <w:right w:val="single" w:sz="4" w:space="0" w:color="auto"/>
            </w:tcBorders>
            <w:shd w:val="clear" w:color="auto" w:fill="auto"/>
          </w:tcPr>
          <w:p w14:paraId="24097E3B" w14:textId="77777777" w:rsidR="006D79FC" w:rsidRPr="00E35C68" w:rsidRDefault="006D79FC" w:rsidP="00000087">
            <w:pPr>
              <w:pStyle w:val="Bulletstable"/>
            </w:pPr>
            <w:r w:rsidRPr="00E35C68">
              <w:t>Dipstick testing and assessment</w:t>
            </w:r>
          </w:p>
        </w:tc>
        <w:tc>
          <w:tcPr>
            <w:tcW w:w="1478" w:type="pct"/>
            <w:tcBorders>
              <w:top w:val="nil"/>
              <w:bottom w:val="nil"/>
            </w:tcBorders>
          </w:tcPr>
          <w:p w14:paraId="5D8C82A6" w14:textId="7D33363D" w:rsidR="006D79FC" w:rsidRPr="00BA6B0E" w:rsidRDefault="006D79FC" w:rsidP="006D79FC">
            <w:pPr>
              <w:pStyle w:val="Tabletext"/>
              <w:rPr>
                <w:highlight w:val="cyan"/>
              </w:rPr>
            </w:pPr>
            <w:r>
              <w:t>A</w:t>
            </w:r>
            <w:r w:rsidR="00E770DC">
              <w:t>dv</w:t>
            </w:r>
            <w:r>
              <w:t xml:space="preserve"> Pharma, BAUS, BGS, CU, H.io, SCM1, SCM2, SCM5, SCM6, RCP, UKHSA, WH</w:t>
            </w:r>
          </w:p>
        </w:tc>
      </w:tr>
      <w:tr w:rsidR="006D79FC" w:rsidRPr="00910B42" w14:paraId="6AD6C67F" w14:textId="77777777" w:rsidTr="006D79FC">
        <w:trPr>
          <w:trHeight w:val="382"/>
        </w:trPr>
        <w:tc>
          <w:tcPr>
            <w:tcW w:w="3522" w:type="pct"/>
            <w:tcBorders>
              <w:top w:val="nil"/>
              <w:left w:val="single" w:sz="4" w:space="0" w:color="auto"/>
              <w:right w:val="single" w:sz="4" w:space="0" w:color="auto"/>
            </w:tcBorders>
            <w:shd w:val="clear" w:color="auto" w:fill="auto"/>
          </w:tcPr>
          <w:p w14:paraId="439FC836" w14:textId="77777777" w:rsidR="006D79FC" w:rsidRPr="00910B42" w:rsidRDefault="006D79FC" w:rsidP="00000087">
            <w:pPr>
              <w:pStyle w:val="Bulletstable"/>
            </w:pPr>
            <w:r>
              <w:t xml:space="preserve">Urine samples, </w:t>
            </w:r>
            <w:proofErr w:type="gramStart"/>
            <w:r>
              <w:t>cultures</w:t>
            </w:r>
            <w:proofErr w:type="gramEnd"/>
            <w:r>
              <w:t xml:space="preserve"> and lab testing</w:t>
            </w:r>
          </w:p>
        </w:tc>
        <w:tc>
          <w:tcPr>
            <w:tcW w:w="1478" w:type="pct"/>
            <w:tcBorders>
              <w:top w:val="nil"/>
            </w:tcBorders>
          </w:tcPr>
          <w:p w14:paraId="53098148" w14:textId="6801A006" w:rsidR="006D79FC" w:rsidRDefault="006D79FC" w:rsidP="00000087">
            <w:pPr>
              <w:pStyle w:val="Tabletext"/>
            </w:pPr>
            <w:r>
              <w:t>BAUS, BIA, CU, SCM1,</w:t>
            </w:r>
          </w:p>
          <w:p w14:paraId="2EB1820C" w14:textId="77777777" w:rsidR="006D79FC" w:rsidRPr="00910B42" w:rsidRDefault="006D79FC" w:rsidP="00000087">
            <w:pPr>
              <w:pStyle w:val="Tabletext"/>
            </w:pPr>
            <w:r>
              <w:t>NHSE&amp;I, SCM3, SCM4</w:t>
            </w:r>
          </w:p>
        </w:tc>
      </w:tr>
      <w:tr w:rsidR="006D79FC" w:rsidRPr="00910B42" w14:paraId="429BB7A9" w14:textId="77777777" w:rsidTr="006D79FC">
        <w:trPr>
          <w:cantSplit/>
          <w:trHeight w:val="382"/>
        </w:trPr>
        <w:tc>
          <w:tcPr>
            <w:tcW w:w="3522" w:type="pct"/>
            <w:tcBorders>
              <w:top w:val="single" w:sz="4" w:space="0" w:color="auto"/>
              <w:left w:val="single" w:sz="4" w:space="0" w:color="auto"/>
              <w:bottom w:val="nil"/>
              <w:right w:val="single" w:sz="4" w:space="0" w:color="auto"/>
            </w:tcBorders>
            <w:shd w:val="clear" w:color="auto" w:fill="auto"/>
          </w:tcPr>
          <w:p w14:paraId="60C55B7E" w14:textId="26EE5A4E" w:rsidR="006D79FC" w:rsidRPr="00E770DC" w:rsidRDefault="006D79FC" w:rsidP="00E770DC">
            <w:pPr>
              <w:pStyle w:val="Bulletstable"/>
              <w:numPr>
                <w:ilvl w:val="0"/>
                <w:numId w:val="0"/>
              </w:numPr>
              <w:ind w:left="284" w:hanging="284"/>
              <w:rPr>
                <w:b/>
                <w:bCs/>
                <w:szCs w:val="24"/>
              </w:rPr>
            </w:pPr>
            <w:r>
              <w:rPr>
                <w:b/>
                <w:bCs/>
                <w:szCs w:val="24"/>
              </w:rPr>
              <w:t>Treatment</w:t>
            </w:r>
          </w:p>
        </w:tc>
        <w:tc>
          <w:tcPr>
            <w:tcW w:w="1478" w:type="pct"/>
            <w:tcBorders>
              <w:bottom w:val="nil"/>
            </w:tcBorders>
          </w:tcPr>
          <w:p w14:paraId="0E53DEEC" w14:textId="77777777" w:rsidR="006D79FC" w:rsidRPr="00910B42" w:rsidRDefault="006D79FC" w:rsidP="00000087">
            <w:pPr>
              <w:pStyle w:val="Tabletext"/>
            </w:pPr>
          </w:p>
        </w:tc>
      </w:tr>
      <w:tr w:rsidR="006D79FC" w:rsidRPr="00910B42" w14:paraId="61B387F1" w14:textId="77777777" w:rsidTr="006D79FC">
        <w:trPr>
          <w:cantSplit/>
          <w:trHeight w:val="382"/>
        </w:trPr>
        <w:tc>
          <w:tcPr>
            <w:tcW w:w="3522" w:type="pct"/>
            <w:tcBorders>
              <w:top w:val="nil"/>
              <w:left w:val="single" w:sz="4" w:space="0" w:color="auto"/>
              <w:bottom w:val="nil"/>
              <w:right w:val="single" w:sz="4" w:space="0" w:color="auto"/>
            </w:tcBorders>
            <w:shd w:val="clear" w:color="auto" w:fill="auto"/>
          </w:tcPr>
          <w:p w14:paraId="6AE1A383" w14:textId="77777777" w:rsidR="006D79FC" w:rsidRPr="00E35C68" w:rsidRDefault="006D79FC" w:rsidP="00000087">
            <w:pPr>
              <w:pStyle w:val="Bulletstable"/>
            </w:pPr>
            <w:r>
              <w:t>Self-care /delayed prescribing</w:t>
            </w:r>
          </w:p>
        </w:tc>
        <w:tc>
          <w:tcPr>
            <w:tcW w:w="1478" w:type="pct"/>
            <w:tcBorders>
              <w:top w:val="nil"/>
              <w:bottom w:val="nil"/>
            </w:tcBorders>
          </w:tcPr>
          <w:p w14:paraId="67A5E0F2" w14:textId="29DCC2F1" w:rsidR="006D79FC" w:rsidRPr="00BA6B0E" w:rsidRDefault="006D79FC" w:rsidP="00E770DC">
            <w:pPr>
              <w:pStyle w:val="Tabletext"/>
              <w:rPr>
                <w:highlight w:val="cyan"/>
              </w:rPr>
            </w:pPr>
            <w:r>
              <w:t>CU, CCA, RCP, SCM1, SCM2,</w:t>
            </w:r>
            <w:r w:rsidR="00E770DC">
              <w:t xml:space="preserve"> </w:t>
            </w:r>
            <w:r>
              <w:t>SCM3, SCM6</w:t>
            </w:r>
          </w:p>
        </w:tc>
      </w:tr>
      <w:tr w:rsidR="006D79FC" w:rsidRPr="00910B42" w14:paraId="6B8B13F2" w14:textId="77777777" w:rsidTr="006D79FC">
        <w:trPr>
          <w:cantSplit/>
          <w:trHeight w:val="382"/>
        </w:trPr>
        <w:tc>
          <w:tcPr>
            <w:tcW w:w="3522" w:type="pct"/>
            <w:tcBorders>
              <w:top w:val="nil"/>
              <w:left w:val="single" w:sz="4" w:space="0" w:color="auto"/>
              <w:bottom w:val="nil"/>
              <w:right w:val="single" w:sz="4" w:space="0" w:color="auto"/>
            </w:tcBorders>
            <w:shd w:val="clear" w:color="auto" w:fill="auto"/>
          </w:tcPr>
          <w:p w14:paraId="3F731532" w14:textId="77777777" w:rsidR="006D79FC" w:rsidRPr="00910B42" w:rsidRDefault="006D79FC" w:rsidP="00000087">
            <w:pPr>
              <w:pStyle w:val="Bulletstable"/>
            </w:pPr>
            <w:r>
              <w:t>Choice of antibiotic and course duration</w:t>
            </w:r>
          </w:p>
        </w:tc>
        <w:tc>
          <w:tcPr>
            <w:tcW w:w="1478" w:type="pct"/>
            <w:tcBorders>
              <w:top w:val="nil"/>
              <w:bottom w:val="nil"/>
            </w:tcBorders>
          </w:tcPr>
          <w:p w14:paraId="3D01078A" w14:textId="5AD3DEFC" w:rsidR="006D79FC" w:rsidRPr="00910B42" w:rsidRDefault="006D79FC" w:rsidP="00000087">
            <w:pPr>
              <w:pStyle w:val="Tabletext"/>
            </w:pPr>
            <w:r>
              <w:t>A</w:t>
            </w:r>
            <w:r w:rsidR="00E770DC">
              <w:t>dv</w:t>
            </w:r>
            <w:r>
              <w:t xml:space="preserve"> Pharma, BGS, CU, NHSE&amp;I, SCM 2, SCM3, SCM5, SCM6</w:t>
            </w:r>
          </w:p>
        </w:tc>
      </w:tr>
      <w:tr w:rsidR="006D79FC" w:rsidRPr="00910B42" w14:paraId="10D514F9" w14:textId="77777777" w:rsidTr="006D79FC">
        <w:trPr>
          <w:cantSplit/>
          <w:trHeight w:val="382"/>
        </w:trPr>
        <w:tc>
          <w:tcPr>
            <w:tcW w:w="3522" w:type="pct"/>
            <w:tcBorders>
              <w:top w:val="nil"/>
              <w:left w:val="single" w:sz="4" w:space="0" w:color="auto"/>
              <w:right w:val="single" w:sz="4" w:space="0" w:color="auto"/>
            </w:tcBorders>
            <w:shd w:val="clear" w:color="auto" w:fill="auto"/>
          </w:tcPr>
          <w:p w14:paraId="51890A72" w14:textId="77777777" w:rsidR="006D79FC" w:rsidRPr="00910B42" w:rsidRDefault="006D79FC" w:rsidP="00000087">
            <w:pPr>
              <w:pStyle w:val="Bulletstable"/>
            </w:pPr>
            <w:r>
              <w:t>Alternative treatments</w:t>
            </w:r>
          </w:p>
        </w:tc>
        <w:tc>
          <w:tcPr>
            <w:tcW w:w="1478" w:type="pct"/>
            <w:tcBorders>
              <w:top w:val="nil"/>
            </w:tcBorders>
          </w:tcPr>
          <w:p w14:paraId="1162A809" w14:textId="6856CC3D" w:rsidR="006D79FC" w:rsidRPr="00910B42" w:rsidRDefault="006D79FC" w:rsidP="00000087">
            <w:pPr>
              <w:pStyle w:val="Tabletext"/>
            </w:pPr>
            <w:r>
              <w:t>A</w:t>
            </w:r>
            <w:r w:rsidR="00E770DC">
              <w:t>sp</w:t>
            </w:r>
            <w:r>
              <w:t xml:space="preserve"> Pharma</w:t>
            </w:r>
          </w:p>
        </w:tc>
      </w:tr>
      <w:tr w:rsidR="006D79FC" w:rsidRPr="00910B42" w14:paraId="0CE59DBE" w14:textId="77777777" w:rsidTr="006D79FC">
        <w:trPr>
          <w:trHeight w:val="382"/>
        </w:trPr>
        <w:tc>
          <w:tcPr>
            <w:tcW w:w="3522" w:type="pct"/>
            <w:tcBorders>
              <w:top w:val="single" w:sz="4" w:space="0" w:color="auto"/>
              <w:left w:val="single" w:sz="4" w:space="0" w:color="auto"/>
              <w:bottom w:val="nil"/>
              <w:right w:val="single" w:sz="4" w:space="0" w:color="auto"/>
            </w:tcBorders>
            <w:shd w:val="clear" w:color="auto" w:fill="auto"/>
          </w:tcPr>
          <w:p w14:paraId="5DC71782" w14:textId="2720C5EA" w:rsidR="006D79FC" w:rsidRPr="00E770DC" w:rsidRDefault="006D79FC" w:rsidP="00E770DC">
            <w:pPr>
              <w:pStyle w:val="Bulletstable"/>
              <w:numPr>
                <w:ilvl w:val="0"/>
                <w:numId w:val="0"/>
              </w:numPr>
              <w:ind w:left="284" w:hanging="284"/>
              <w:rPr>
                <w:b/>
                <w:bCs/>
                <w:szCs w:val="24"/>
              </w:rPr>
            </w:pPr>
            <w:r>
              <w:rPr>
                <w:b/>
                <w:bCs/>
                <w:szCs w:val="24"/>
              </w:rPr>
              <w:t>Catheter associated UTI</w:t>
            </w:r>
            <w:r w:rsidR="00FB7D21">
              <w:rPr>
                <w:b/>
                <w:bCs/>
                <w:szCs w:val="24"/>
              </w:rPr>
              <w:t xml:space="preserve"> (prevention and management)</w:t>
            </w:r>
          </w:p>
        </w:tc>
        <w:tc>
          <w:tcPr>
            <w:tcW w:w="1478" w:type="pct"/>
            <w:tcBorders>
              <w:bottom w:val="nil"/>
            </w:tcBorders>
          </w:tcPr>
          <w:p w14:paraId="6FA43CF7" w14:textId="77777777" w:rsidR="00FB7D21" w:rsidRDefault="00FB7D21" w:rsidP="00FB7D21">
            <w:pPr>
              <w:pStyle w:val="Tabletext"/>
            </w:pPr>
            <w:r>
              <w:t>Adv Pharma,</w:t>
            </w:r>
          </w:p>
          <w:p w14:paraId="39DDCBF1" w14:textId="0AC3B76F" w:rsidR="006D79FC" w:rsidRPr="00910B42" w:rsidRDefault="00FB7D21" w:rsidP="00FB7D21">
            <w:pPr>
              <w:pStyle w:val="Tabletext"/>
            </w:pPr>
            <w:r>
              <w:t>CRB, NHS E&amp;I</w:t>
            </w:r>
          </w:p>
        </w:tc>
      </w:tr>
      <w:tr w:rsidR="006D79FC" w:rsidRPr="00910B42" w14:paraId="26FFEAF8" w14:textId="77777777" w:rsidTr="006D79FC">
        <w:trPr>
          <w:trHeight w:val="382"/>
        </w:trPr>
        <w:tc>
          <w:tcPr>
            <w:tcW w:w="3522" w:type="pct"/>
            <w:tcBorders>
              <w:top w:val="single" w:sz="4" w:space="0" w:color="auto"/>
              <w:left w:val="single" w:sz="4" w:space="0" w:color="auto"/>
              <w:bottom w:val="nil"/>
              <w:right w:val="single" w:sz="4" w:space="0" w:color="auto"/>
            </w:tcBorders>
            <w:shd w:val="clear" w:color="auto" w:fill="auto"/>
          </w:tcPr>
          <w:p w14:paraId="31B24B4C" w14:textId="0A89DEDD" w:rsidR="006D79FC" w:rsidRPr="00E770DC" w:rsidRDefault="006D79FC" w:rsidP="00E770DC">
            <w:pPr>
              <w:pStyle w:val="Bulletstable"/>
              <w:numPr>
                <w:ilvl w:val="0"/>
                <w:numId w:val="0"/>
              </w:numPr>
              <w:ind w:left="284" w:hanging="284"/>
              <w:rPr>
                <w:b/>
                <w:bCs/>
                <w:szCs w:val="24"/>
              </w:rPr>
            </w:pPr>
            <w:r>
              <w:rPr>
                <w:b/>
                <w:bCs/>
                <w:szCs w:val="24"/>
              </w:rPr>
              <w:t>Recurrent UTI</w:t>
            </w:r>
          </w:p>
        </w:tc>
        <w:tc>
          <w:tcPr>
            <w:tcW w:w="1478" w:type="pct"/>
            <w:tcBorders>
              <w:bottom w:val="nil"/>
            </w:tcBorders>
          </w:tcPr>
          <w:p w14:paraId="1FFF7A34" w14:textId="77777777" w:rsidR="006D79FC" w:rsidRPr="00910B42" w:rsidRDefault="006D79FC" w:rsidP="00000087">
            <w:pPr>
              <w:pStyle w:val="Tabletext"/>
            </w:pPr>
          </w:p>
        </w:tc>
      </w:tr>
      <w:tr w:rsidR="006D79FC" w:rsidRPr="00910B42" w14:paraId="38E7ABD1" w14:textId="77777777" w:rsidTr="006D79FC">
        <w:trPr>
          <w:trHeight w:val="382"/>
        </w:trPr>
        <w:tc>
          <w:tcPr>
            <w:tcW w:w="3522" w:type="pct"/>
            <w:tcBorders>
              <w:top w:val="nil"/>
              <w:left w:val="single" w:sz="4" w:space="0" w:color="auto"/>
              <w:bottom w:val="nil"/>
              <w:right w:val="single" w:sz="4" w:space="0" w:color="auto"/>
            </w:tcBorders>
            <w:shd w:val="clear" w:color="auto" w:fill="auto"/>
          </w:tcPr>
          <w:p w14:paraId="42E5E9E9" w14:textId="2E185DCB" w:rsidR="006D79FC" w:rsidRPr="00E35C68" w:rsidRDefault="00666456" w:rsidP="007C6ED4">
            <w:pPr>
              <w:pStyle w:val="Bulletstable"/>
              <w:numPr>
                <w:ilvl w:val="0"/>
                <w:numId w:val="29"/>
              </w:numPr>
              <w:rPr>
                <w:szCs w:val="24"/>
              </w:rPr>
            </w:pPr>
            <w:r>
              <w:rPr>
                <w:szCs w:val="24"/>
              </w:rPr>
              <w:t xml:space="preserve">UTI and the </w:t>
            </w:r>
            <w:r w:rsidR="006D79FC">
              <w:rPr>
                <w:szCs w:val="24"/>
              </w:rPr>
              <w:t>menopause</w:t>
            </w:r>
          </w:p>
        </w:tc>
        <w:tc>
          <w:tcPr>
            <w:tcW w:w="1478" w:type="pct"/>
            <w:tcBorders>
              <w:top w:val="nil"/>
              <w:bottom w:val="nil"/>
            </w:tcBorders>
          </w:tcPr>
          <w:p w14:paraId="1FCDE570" w14:textId="7706B50F" w:rsidR="006D79FC" w:rsidRPr="00BA6B0E" w:rsidRDefault="006D79FC" w:rsidP="00737153">
            <w:pPr>
              <w:pStyle w:val="Tabletext"/>
              <w:rPr>
                <w:highlight w:val="cyan"/>
              </w:rPr>
            </w:pPr>
            <w:r>
              <w:t>BAUS, POGP, WH</w:t>
            </w:r>
          </w:p>
        </w:tc>
      </w:tr>
      <w:tr w:rsidR="006D79FC" w:rsidRPr="00910B42" w14:paraId="7F156F57" w14:textId="77777777" w:rsidTr="006D79FC">
        <w:trPr>
          <w:trHeight w:val="382"/>
        </w:trPr>
        <w:tc>
          <w:tcPr>
            <w:tcW w:w="3522" w:type="pct"/>
            <w:tcBorders>
              <w:top w:val="nil"/>
              <w:left w:val="single" w:sz="4" w:space="0" w:color="auto"/>
              <w:bottom w:val="nil"/>
              <w:right w:val="single" w:sz="4" w:space="0" w:color="auto"/>
            </w:tcBorders>
            <w:shd w:val="clear" w:color="auto" w:fill="auto"/>
          </w:tcPr>
          <w:p w14:paraId="2AB73842" w14:textId="48BED1DE" w:rsidR="006D79FC" w:rsidRPr="00910B42" w:rsidRDefault="006D79FC" w:rsidP="00000087">
            <w:pPr>
              <w:pStyle w:val="Bulletstable"/>
            </w:pPr>
            <w:r>
              <w:t>Management</w:t>
            </w:r>
            <w:r w:rsidR="00666456">
              <w:t xml:space="preserve"> and treatment</w:t>
            </w:r>
          </w:p>
        </w:tc>
        <w:tc>
          <w:tcPr>
            <w:tcW w:w="1478" w:type="pct"/>
            <w:tcBorders>
              <w:top w:val="nil"/>
              <w:bottom w:val="nil"/>
            </w:tcBorders>
          </w:tcPr>
          <w:p w14:paraId="683CC9C5" w14:textId="08D7EAC2" w:rsidR="006D79FC" w:rsidRPr="00910B42" w:rsidRDefault="00737153" w:rsidP="00737153">
            <w:pPr>
              <w:pStyle w:val="Tabletext"/>
            </w:pPr>
            <w:r>
              <w:t xml:space="preserve">Asp Pharma, </w:t>
            </w:r>
            <w:r w:rsidR="006D79FC">
              <w:t xml:space="preserve">BAUS, </w:t>
            </w:r>
            <w:r>
              <w:t xml:space="preserve">BGS, </w:t>
            </w:r>
            <w:r w:rsidR="006D79FC">
              <w:t xml:space="preserve">BIA, </w:t>
            </w:r>
            <w:r>
              <w:t xml:space="preserve">NHSE&amp;I, </w:t>
            </w:r>
            <w:r w:rsidR="006D79FC">
              <w:t>RCGP,</w:t>
            </w:r>
            <w:r w:rsidR="00163672">
              <w:t xml:space="preserve"> RCP,</w:t>
            </w:r>
            <w:r w:rsidR="006D79FC">
              <w:t xml:space="preserve"> SCM4, </w:t>
            </w:r>
            <w:r w:rsidR="00163672">
              <w:t xml:space="preserve">SCM5, </w:t>
            </w:r>
            <w:r w:rsidR="006D79FC">
              <w:t>SCM6, WH</w:t>
            </w:r>
          </w:p>
        </w:tc>
      </w:tr>
      <w:tr w:rsidR="006D79FC" w:rsidRPr="00910B42" w14:paraId="0B472F50" w14:textId="77777777" w:rsidTr="006D79FC">
        <w:trPr>
          <w:trHeight w:val="382"/>
        </w:trPr>
        <w:tc>
          <w:tcPr>
            <w:tcW w:w="3522" w:type="pct"/>
            <w:tcBorders>
              <w:top w:val="nil"/>
              <w:left w:val="single" w:sz="4" w:space="0" w:color="auto"/>
              <w:bottom w:val="single" w:sz="4" w:space="0" w:color="auto"/>
              <w:right w:val="single" w:sz="4" w:space="0" w:color="auto"/>
            </w:tcBorders>
            <w:shd w:val="clear" w:color="auto" w:fill="auto"/>
          </w:tcPr>
          <w:p w14:paraId="745D6892" w14:textId="77777777" w:rsidR="006D79FC" w:rsidRDefault="006D79FC" w:rsidP="00000087">
            <w:pPr>
              <w:pStyle w:val="Bulletstable"/>
            </w:pPr>
            <w:r>
              <w:t>Referral</w:t>
            </w:r>
          </w:p>
        </w:tc>
        <w:tc>
          <w:tcPr>
            <w:tcW w:w="1478" w:type="pct"/>
            <w:tcBorders>
              <w:top w:val="nil"/>
              <w:bottom w:val="single" w:sz="4" w:space="0" w:color="auto"/>
            </w:tcBorders>
          </w:tcPr>
          <w:p w14:paraId="3E818E91" w14:textId="650A5E4F" w:rsidR="006D79FC" w:rsidRPr="00910B42" w:rsidRDefault="006D79FC" w:rsidP="00000087">
            <w:pPr>
              <w:pStyle w:val="Tabletext"/>
            </w:pPr>
            <w:r>
              <w:t>RCP</w:t>
            </w:r>
            <w:r w:rsidR="006A10CF">
              <w:t>, SCM6</w:t>
            </w:r>
          </w:p>
        </w:tc>
      </w:tr>
      <w:tr w:rsidR="006D79FC" w:rsidRPr="00910B42" w14:paraId="35A83D28" w14:textId="77777777" w:rsidTr="006A10CF">
        <w:trPr>
          <w:trHeight w:val="382"/>
        </w:trPr>
        <w:tc>
          <w:tcPr>
            <w:tcW w:w="3522" w:type="pct"/>
            <w:tcBorders>
              <w:top w:val="single" w:sz="4" w:space="0" w:color="auto"/>
              <w:left w:val="single" w:sz="4" w:space="0" w:color="auto"/>
              <w:bottom w:val="nil"/>
              <w:right w:val="single" w:sz="4" w:space="0" w:color="auto"/>
            </w:tcBorders>
            <w:shd w:val="clear" w:color="auto" w:fill="auto"/>
          </w:tcPr>
          <w:p w14:paraId="44EED359" w14:textId="77777777" w:rsidR="006D79FC" w:rsidRPr="00F7226D" w:rsidRDefault="006D79FC" w:rsidP="00000087">
            <w:pPr>
              <w:pStyle w:val="Tabletext"/>
              <w:rPr>
                <w:b/>
                <w:bCs/>
              </w:rPr>
            </w:pPr>
            <w:r w:rsidRPr="00F7226D">
              <w:rPr>
                <w:b/>
                <w:bCs/>
              </w:rPr>
              <w:lastRenderedPageBreak/>
              <w:t>Additional areas</w:t>
            </w:r>
          </w:p>
        </w:tc>
        <w:tc>
          <w:tcPr>
            <w:tcW w:w="1478" w:type="pct"/>
            <w:tcBorders>
              <w:top w:val="single" w:sz="4" w:space="0" w:color="auto"/>
              <w:bottom w:val="nil"/>
            </w:tcBorders>
          </w:tcPr>
          <w:p w14:paraId="192EDB85" w14:textId="77777777" w:rsidR="006D79FC" w:rsidRPr="00910B42" w:rsidRDefault="006D79FC" w:rsidP="00000087">
            <w:pPr>
              <w:pStyle w:val="Tabletext"/>
            </w:pPr>
          </w:p>
        </w:tc>
      </w:tr>
      <w:tr w:rsidR="006D79FC" w:rsidRPr="00910B42" w14:paraId="24157906" w14:textId="77777777" w:rsidTr="006A10CF">
        <w:trPr>
          <w:trHeight w:val="382"/>
        </w:trPr>
        <w:tc>
          <w:tcPr>
            <w:tcW w:w="3522" w:type="pct"/>
            <w:tcBorders>
              <w:top w:val="nil"/>
              <w:left w:val="single" w:sz="4" w:space="0" w:color="auto"/>
              <w:bottom w:val="single" w:sz="4" w:space="0" w:color="auto"/>
              <w:right w:val="single" w:sz="4" w:space="0" w:color="auto"/>
            </w:tcBorders>
            <w:shd w:val="clear" w:color="auto" w:fill="auto"/>
          </w:tcPr>
          <w:p w14:paraId="123EF815" w14:textId="77777777" w:rsidR="006D79FC" w:rsidRPr="00F7226D" w:rsidRDefault="006D79FC" w:rsidP="00000087">
            <w:pPr>
              <w:pStyle w:val="Bulletstable"/>
            </w:pPr>
            <w:r>
              <w:t>Coding / recording of UTIs in primary care</w:t>
            </w:r>
          </w:p>
        </w:tc>
        <w:tc>
          <w:tcPr>
            <w:tcW w:w="1478" w:type="pct"/>
            <w:tcBorders>
              <w:top w:val="nil"/>
              <w:bottom w:val="single" w:sz="4" w:space="0" w:color="auto"/>
            </w:tcBorders>
          </w:tcPr>
          <w:p w14:paraId="14BFFB39" w14:textId="77777777" w:rsidR="006D79FC" w:rsidRPr="00910B42" w:rsidRDefault="006D79FC" w:rsidP="00000087">
            <w:pPr>
              <w:pStyle w:val="Tabletext"/>
            </w:pPr>
            <w:r>
              <w:t>SCM5</w:t>
            </w:r>
          </w:p>
        </w:tc>
      </w:tr>
    </w:tbl>
    <w:bookmarkEnd w:id="98"/>
    <w:p w14:paraId="36A4BD06" w14:textId="7B6626F7" w:rsidR="00B65D9F" w:rsidRPr="00E770DC" w:rsidRDefault="00E87C6E" w:rsidP="00E87C6E">
      <w:pPr>
        <w:pStyle w:val="Paragraph"/>
      </w:pPr>
      <w:r w:rsidRPr="00E770DC">
        <w:t xml:space="preserve">Abbreviations: </w:t>
      </w:r>
    </w:p>
    <w:tbl>
      <w:tblPr>
        <w:tblW w:w="7513" w:type="dxa"/>
        <w:tblLook w:val="04A0" w:firstRow="1" w:lastRow="0" w:firstColumn="1" w:lastColumn="0" w:noHBand="0" w:noVBand="1"/>
      </w:tblPr>
      <w:tblGrid>
        <w:gridCol w:w="1560"/>
        <w:gridCol w:w="5953"/>
      </w:tblGrid>
      <w:tr w:rsidR="00E770DC" w14:paraId="0DE47DEB" w14:textId="77777777" w:rsidTr="00000087">
        <w:trPr>
          <w:trHeight w:val="315"/>
        </w:trPr>
        <w:tc>
          <w:tcPr>
            <w:tcW w:w="1560" w:type="dxa"/>
            <w:shd w:val="clear" w:color="auto" w:fill="auto"/>
            <w:noWrap/>
            <w:vAlign w:val="bottom"/>
            <w:hideMark/>
          </w:tcPr>
          <w:p w14:paraId="11DE5AAE" w14:textId="7B73202F" w:rsidR="00E770DC" w:rsidRPr="0095240A" w:rsidRDefault="00E770DC" w:rsidP="00000087">
            <w:pPr>
              <w:pStyle w:val="Tabletext"/>
            </w:pPr>
            <w:r w:rsidRPr="0095240A">
              <w:t>A</w:t>
            </w:r>
            <w:r>
              <w:t>dv</w:t>
            </w:r>
            <w:r w:rsidRPr="0095240A">
              <w:t xml:space="preserve"> Pharma</w:t>
            </w:r>
          </w:p>
        </w:tc>
        <w:tc>
          <w:tcPr>
            <w:tcW w:w="5953" w:type="dxa"/>
            <w:shd w:val="clear" w:color="auto" w:fill="auto"/>
            <w:vAlign w:val="center"/>
            <w:hideMark/>
          </w:tcPr>
          <w:p w14:paraId="1A496CED" w14:textId="77777777" w:rsidR="00E770DC" w:rsidRPr="0095240A" w:rsidRDefault="00E770DC" w:rsidP="00000087">
            <w:pPr>
              <w:pStyle w:val="Tabletext"/>
            </w:pPr>
            <w:r w:rsidRPr="0095240A">
              <w:t>ADVANZ Pharma</w:t>
            </w:r>
          </w:p>
        </w:tc>
      </w:tr>
      <w:tr w:rsidR="00E770DC" w14:paraId="033A9175" w14:textId="77777777" w:rsidTr="00000087">
        <w:trPr>
          <w:trHeight w:val="315"/>
        </w:trPr>
        <w:tc>
          <w:tcPr>
            <w:tcW w:w="1560" w:type="dxa"/>
            <w:shd w:val="clear" w:color="auto" w:fill="auto"/>
            <w:noWrap/>
            <w:vAlign w:val="bottom"/>
            <w:hideMark/>
          </w:tcPr>
          <w:p w14:paraId="11BF4E3B" w14:textId="77777777" w:rsidR="00E770DC" w:rsidRPr="0095240A" w:rsidRDefault="00E770DC" w:rsidP="00000087">
            <w:pPr>
              <w:pStyle w:val="Tabletext"/>
            </w:pPr>
            <w:r w:rsidRPr="0095240A">
              <w:t>Asp Pharma</w:t>
            </w:r>
          </w:p>
        </w:tc>
        <w:tc>
          <w:tcPr>
            <w:tcW w:w="5953" w:type="dxa"/>
            <w:shd w:val="clear" w:color="auto" w:fill="auto"/>
            <w:vAlign w:val="center"/>
            <w:hideMark/>
          </w:tcPr>
          <w:p w14:paraId="7328E733" w14:textId="77777777" w:rsidR="00E770DC" w:rsidRPr="0095240A" w:rsidRDefault="00E770DC" w:rsidP="00000087">
            <w:pPr>
              <w:pStyle w:val="Tabletext"/>
            </w:pPr>
            <w:r w:rsidRPr="0095240A">
              <w:t>Aspire Pharma Limited</w:t>
            </w:r>
          </w:p>
        </w:tc>
      </w:tr>
      <w:tr w:rsidR="00E770DC" w14:paraId="0A2541C7" w14:textId="77777777" w:rsidTr="00000087">
        <w:trPr>
          <w:trHeight w:val="315"/>
        </w:trPr>
        <w:tc>
          <w:tcPr>
            <w:tcW w:w="1560" w:type="dxa"/>
            <w:shd w:val="clear" w:color="auto" w:fill="auto"/>
            <w:noWrap/>
            <w:vAlign w:val="bottom"/>
            <w:hideMark/>
          </w:tcPr>
          <w:p w14:paraId="78EAE7C7" w14:textId="77777777" w:rsidR="00E770DC" w:rsidRPr="0095240A" w:rsidRDefault="00E770DC" w:rsidP="00000087">
            <w:pPr>
              <w:pStyle w:val="Tabletext"/>
            </w:pPr>
            <w:r w:rsidRPr="0095240A">
              <w:t>BAUS</w:t>
            </w:r>
          </w:p>
        </w:tc>
        <w:tc>
          <w:tcPr>
            <w:tcW w:w="5953" w:type="dxa"/>
            <w:shd w:val="clear" w:color="auto" w:fill="auto"/>
            <w:vAlign w:val="center"/>
            <w:hideMark/>
          </w:tcPr>
          <w:p w14:paraId="66CAB8ED" w14:textId="77777777" w:rsidR="00E770DC" w:rsidRPr="0095240A" w:rsidRDefault="00E770DC" w:rsidP="00000087">
            <w:pPr>
              <w:pStyle w:val="Tabletext"/>
            </w:pPr>
            <w:r w:rsidRPr="0095240A">
              <w:t>British Association of Urological Surgeons</w:t>
            </w:r>
          </w:p>
        </w:tc>
      </w:tr>
      <w:tr w:rsidR="00E770DC" w14:paraId="58F44953" w14:textId="77777777" w:rsidTr="00000087">
        <w:trPr>
          <w:trHeight w:val="315"/>
        </w:trPr>
        <w:tc>
          <w:tcPr>
            <w:tcW w:w="1560" w:type="dxa"/>
            <w:shd w:val="clear" w:color="auto" w:fill="auto"/>
            <w:noWrap/>
            <w:vAlign w:val="bottom"/>
            <w:hideMark/>
          </w:tcPr>
          <w:p w14:paraId="5259356D" w14:textId="77777777" w:rsidR="00E770DC" w:rsidRPr="0095240A" w:rsidRDefault="00E770DC" w:rsidP="00000087">
            <w:pPr>
              <w:pStyle w:val="Tabletext"/>
            </w:pPr>
            <w:r w:rsidRPr="0095240A">
              <w:t>BGS</w:t>
            </w:r>
          </w:p>
        </w:tc>
        <w:tc>
          <w:tcPr>
            <w:tcW w:w="5953" w:type="dxa"/>
            <w:shd w:val="clear" w:color="auto" w:fill="auto"/>
            <w:vAlign w:val="center"/>
            <w:hideMark/>
          </w:tcPr>
          <w:p w14:paraId="43637109" w14:textId="77777777" w:rsidR="00E770DC" w:rsidRPr="0095240A" w:rsidRDefault="00E770DC" w:rsidP="00000087">
            <w:pPr>
              <w:pStyle w:val="Tabletext"/>
            </w:pPr>
            <w:r w:rsidRPr="0095240A">
              <w:t>British Geriatrics Society</w:t>
            </w:r>
          </w:p>
        </w:tc>
      </w:tr>
      <w:tr w:rsidR="00E770DC" w14:paraId="21C6E517" w14:textId="77777777" w:rsidTr="00000087">
        <w:trPr>
          <w:trHeight w:val="315"/>
        </w:trPr>
        <w:tc>
          <w:tcPr>
            <w:tcW w:w="1560" w:type="dxa"/>
            <w:shd w:val="clear" w:color="auto" w:fill="auto"/>
            <w:noWrap/>
            <w:vAlign w:val="bottom"/>
            <w:hideMark/>
          </w:tcPr>
          <w:p w14:paraId="2EADD3F0" w14:textId="77777777" w:rsidR="00E770DC" w:rsidRPr="0095240A" w:rsidRDefault="00E770DC" w:rsidP="00000087">
            <w:pPr>
              <w:pStyle w:val="Tabletext"/>
            </w:pPr>
            <w:r w:rsidRPr="0095240A">
              <w:t>BIA</w:t>
            </w:r>
          </w:p>
        </w:tc>
        <w:tc>
          <w:tcPr>
            <w:tcW w:w="5953" w:type="dxa"/>
            <w:shd w:val="clear" w:color="auto" w:fill="auto"/>
            <w:vAlign w:val="center"/>
            <w:hideMark/>
          </w:tcPr>
          <w:p w14:paraId="5DA86F69" w14:textId="77777777" w:rsidR="00E770DC" w:rsidRPr="0095240A" w:rsidRDefault="00E770DC" w:rsidP="00000087">
            <w:pPr>
              <w:pStyle w:val="Tabletext"/>
            </w:pPr>
            <w:r w:rsidRPr="0095240A">
              <w:t>British Infection Association</w:t>
            </w:r>
          </w:p>
        </w:tc>
      </w:tr>
      <w:tr w:rsidR="00E770DC" w14:paraId="11485DFB" w14:textId="77777777" w:rsidTr="00000087">
        <w:trPr>
          <w:trHeight w:val="315"/>
        </w:trPr>
        <w:tc>
          <w:tcPr>
            <w:tcW w:w="1560" w:type="dxa"/>
            <w:shd w:val="clear" w:color="auto" w:fill="auto"/>
            <w:noWrap/>
            <w:vAlign w:val="bottom"/>
            <w:hideMark/>
          </w:tcPr>
          <w:p w14:paraId="664F63F1" w14:textId="77777777" w:rsidR="00E770DC" w:rsidRPr="0095240A" w:rsidRDefault="00E770DC" w:rsidP="00000087">
            <w:pPr>
              <w:pStyle w:val="Tabletext"/>
            </w:pPr>
            <w:r w:rsidRPr="0095240A">
              <w:t>CCA</w:t>
            </w:r>
          </w:p>
        </w:tc>
        <w:tc>
          <w:tcPr>
            <w:tcW w:w="5953" w:type="dxa"/>
            <w:shd w:val="clear" w:color="auto" w:fill="auto"/>
            <w:vAlign w:val="center"/>
            <w:hideMark/>
          </w:tcPr>
          <w:p w14:paraId="0EBA046C" w14:textId="77777777" w:rsidR="00E770DC" w:rsidRPr="0095240A" w:rsidRDefault="00E770DC" w:rsidP="00000087">
            <w:pPr>
              <w:pStyle w:val="Tabletext"/>
            </w:pPr>
            <w:r w:rsidRPr="0095240A">
              <w:t>Company Chemists Association</w:t>
            </w:r>
          </w:p>
        </w:tc>
      </w:tr>
      <w:tr w:rsidR="00E770DC" w14:paraId="704180D2" w14:textId="77777777" w:rsidTr="00000087">
        <w:trPr>
          <w:trHeight w:val="315"/>
        </w:trPr>
        <w:tc>
          <w:tcPr>
            <w:tcW w:w="1560" w:type="dxa"/>
            <w:shd w:val="clear" w:color="auto" w:fill="auto"/>
            <w:noWrap/>
            <w:vAlign w:val="bottom"/>
            <w:hideMark/>
          </w:tcPr>
          <w:p w14:paraId="204A293F" w14:textId="77777777" w:rsidR="00E770DC" w:rsidRPr="0095240A" w:rsidRDefault="00E770DC" w:rsidP="00000087">
            <w:pPr>
              <w:pStyle w:val="Tabletext"/>
            </w:pPr>
            <w:r w:rsidRPr="0095240A">
              <w:t>CRB Inc</w:t>
            </w:r>
          </w:p>
        </w:tc>
        <w:tc>
          <w:tcPr>
            <w:tcW w:w="5953" w:type="dxa"/>
            <w:shd w:val="clear" w:color="auto" w:fill="auto"/>
            <w:vAlign w:val="center"/>
            <w:hideMark/>
          </w:tcPr>
          <w:p w14:paraId="581D1F2A" w14:textId="77777777" w:rsidR="00E770DC" w:rsidRPr="0095240A" w:rsidRDefault="00E770DC" w:rsidP="00000087">
            <w:pPr>
              <w:pStyle w:val="Tabletext"/>
            </w:pPr>
            <w:r w:rsidRPr="0095240A">
              <w:t>C.R. Bard Inc.</w:t>
            </w:r>
          </w:p>
        </w:tc>
      </w:tr>
      <w:tr w:rsidR="00E770DC" w14:paraId="59C22F00" w14:textId="77777777" w:rsidTr="00000087">
        <w:trPr>
          <w:trHeight w:val="315"/>
        </w:trPr>
        <w:tc>
          <w:tcPr>
            <w:tcW w:w="1560" w:type="dxa"/>
            <w:shd w:val="clear" w:color="auto" w:fill="auto"/>
            <w:noWrap/>
            <w:vAlign w:val="bottom"/>
            <w:hideMark/>
          </w:tcPr>
          <w:p w14:paraId="1BF7EE14" w14:textId="77777777" w:rsidR="00E770DC" w:rsidRPr="0095240A" w:rsidRDefault="00E770DC" w:rsidP="00000087">
            <w:pPr>
              <w:pStyle w:val="Tabletext"/>
            </w:pPr>
            <w:r w:rsidRPr="0095240A">
              <w:t>CU</w:t>
            </w:r>
          </w:p>
        </w:tc>
        <w:tc>
          <w:tcPr>
            <w:tcW w:w="5953" w:type="dxa"/>
            <w:shd w:val="clear" w:color="auto" w:fill="auto"/>
            <w:vAlign w:val="center"/>
            <w:hideMark/>
          </w:tcPr>
          <w:p w14:paraId="11753D6D" w14:textId="77777777" w:rsidR="00E770DC" w:rsidRPr="0095240A" w:rsidRDefault="00E770DC" w:rsidP="00000087">
            <w:pPr>
              <w:pStyle w:val="Tabletext"/>
            </w:pPr>
            <w:r w:rsidRPr="0095240A">
              <w:t>Cardiff University</w:t>
            </w:r>
          </w:p>
        </w:tc>
      </w:tr>
      <w:tr w:rsidR="00E770DC" w14:paraId="708735A8" w14:textId="77777777" w:rsidTr="00000087">
        <w:trPr>
          <w:trHeight w:val="315"/>
        </w:trPr>
        <w:tc>
          <w:tcPr>
            <w:tcW w:w="1560" w:type="dxa"/>
            <w:shd w:val="clear" w:color="auto" w:fill="auto"/>
            <w:noWrap/>
            <w:vAlign w:val="bottom"/>
            <w:hideMark/>
          </w:tcPr>
          <w:p w14:paraId="0991F9E1" w14:textId="77777777" w:rsidR="00E770DC" w:rsidRPr="0095240A" w:rsidRDefault="00E770DC" w:rsidP="00000087">
            <w:pPr>
              <w:pStyle w:val="Tabletext"/>
            </w:pPr>
            <w:r w:rsidRPr="0095240A">
              <w:t>H</w:t>
            </w:r>
            <w:r>
              <w:t>.</w:t>
            </w:r>
            <w:r w:rsidRPr="0095240A">
              <w:t>io</w:t>
            </w:r>
          </w:p>
        </w:tc>
        <w:tc>
          <w:tcPr>
            <w:tcW w:w="5953" w:type="dxa"/>
            <w:shd w:val="clear" w:color="auto" w:fill="auto"/>
            <w:vAlign w:val="center"/>
            <w:hideMark/>
          </w:tcPr>
          <w:p w14:paraId="402BEF46" w14:textId="77777777" w:rsidR="00E770DC" w:rsidRPr="0095240A" w:rsidRDefault="00E770DC" w:rsidP="00000087">
            <w:pPr>
              <w:pStyle w:val="Tabletext"/>
            </w:pPr>
            <w:r w:rsidRPr="0095240A">
              <w:t>Healthy.io</w:t>
            </w:r>
          </w:p>
        </w:tc>
      </w:tr>
      <w:tr w:rsidR="00E770DC" w14:paraId="2A0B5583" w14:textId="77777777" w:rsidTr="00000087">
        <w:trPr>
          <w:trHeight w:val="315"/>
        </w:trPr>
        <w:tc>
          <w:tcPr>
            <w:tcW w:w="1560" w:type="dxa"/>
            <w:shd w:val="clear" w:color="auto" w:fill="auto"/>
            <w:noWrap/>
            <w:vAlign w:val="bottom"/>
            <w:hideMark/>
          </w:tcPr>
          <w:p w14:paraId="0E225716" w14:textId="77777777" w:rsidR="00E770DC" w:rsidRPr="0095240A" w:rsidRDefault="00E770DC" w:rsidP="00000087">
            <w:pPr>
              <w:pStyle w:val="Tabletext"/>
            </w:pPr>
            <w:r w:rsidRPr="0095240A">
              <w:t>NHSE&amp;I</w:t>
            </w:r>
          </w:p>
        </w:tc>
        <w:tc>
          <w:tcPr>
            <w:tcW w:w="5953" w:type="dxa"/>
            <w:shd w:val="clear" w:color="auto" w:fill="auto"/>
            <w:vAlign w:val="center"/>
            <w:hideMark/>
          </w:tcPr>
          <w:p w14:paraId="56738D94" w14:textId="77777777" w:rsidR="00E770DC" w:rsidRPr="0095240A" w:rsidRDefault="00E770DC" w:rsidP="00000087">
            <w:pPr>
              <w:pStyle w:val="Tabletext"/>
            </w:pPr>
            <w:r w:rsidRPr="0095240A">
              <w:t>NHS England and NHS Improvement</w:t>
            </w:r>
          </w:p>
        </w:tc>
      </w:tr>
      <w:tr w:rsidR="00E770DC" w14:paraId="0ECAFF34" w14:textId="77777777" w:rsidTr="00000087">
        <w:trPr>
          <w:trHeight w:val="315"/>
        </w:trPr>
        <w:tc>
          <w:tcPr>
            <w:tcW w:w="1560" w:type="dxa"/>
            <w:shd w:val="clear" w:color="auto" w:fill="auto"/>
            <w:noWrap/>
            <w:vAlign w:val="bottom"/>
            <w:hideMark/>
          </w:tcPr>
          <w:p w14:paraId="0FDC47E7" w14:textId="77777777" w:rsidR="00E770DC" w:rsidRPr="0095240A" w:rsidRDefault="00E770DC" w:rsidP="00000087">
            <w:pPr>
              <w:pStyle w:val="Tabletext"/>
            </w:pPr>
            <w:r w:rsidRPr="0095240A">
              <w:t>POGP</w:t>
            </w:r>
          </w:p>
        </w:tc>
        <w:tc>
          <w:tcPr>
            <w:tcW w:w="5953" w:type="dxa"/>
            <w:shd w:val="clear" w:color="auto" w:fill="auto"/>
            <w:vAlign w:val="center"/>
            <w:hideMark/>
          </w:tcPr>
          <w:p w14:paraId="10BF1D12" w14:textId="77777777" w:rsidR="00E770DC" w:rsidRPr="0095240A" w:rsidRDefault="00E770DC" w:rsidP="00000087">
            <w:pPr>
              <w:pStyle w:val="Tabletext"/>
            </w:pPr>
            <w:r w:rsidRPr="0095240A">
              <w:t>Pelvic Obstetric &amp; Gynaecological Physiotherapy</w:t>
            </w:r>
          </w:p>
        </w:tc>
      </w:tr>
      <w:tr w:rsidR="00E770DC" w14:paraId="238EB27A" w14:textId="77777777" w:rsidTr="00000087">
        <w:trPr>
          <w:trHeight w:val="315"/>
        </w:trPr>
        <w:tc>
          <w:tcPr>
            <w:tcW w:w="1560" w:type="dxa"/>
            <w:shd w:val="clear" w:color="auto" w:fill="auto"/>
            <w:noWrap/>
            <w:vAlign w:val="bottom"/>
            <w:hideMark/>
          </w:tcPr>
          <w:p w14:paraId="1CAD2231" w14:textId="77777777" w:rsidR="00E770DC" w:rsidRPr="0095240A" w:rsidRDefault="00E770DC" w:rsidP="00000087">
            <w:pPr>
              <w:pStyle w:val="Tabletext"/>
            </w:pPr>
            <w:r w:rsidRPr="0095240A">
              <w:t>RCGP</w:t>
            </w:r>
          </w:p>
        </w:tc>
        <w:tc>
          <w:tcPr>
            <w:tcW w:w="5953" w:type="dxa"/>
            <w:shd w:val="clear" w:color="auto" w:fill="auto"/>
            <w:vAlign w:val="center"/>
            <w:hideMark/>
          </w:tcPr>
          <w:p w14:paraId="39058366" w14:textId="77777777" w:rsidR="00E770DC" w:rsidRPr="0095240A" w:rsidRDefault="00E770DC" w:rsidP="00000087">
            <w:pPr>
              <w:pStyle w:val="Tabletext"/>
            </w:pPr>
            <w:r w:rsidRPr="0095240A">
              <w:t>Royal College of General Practitioners</w:t>
            </w:r>
          </w:p>
        </w:tc>
      </w:tr>
      <w:tr w:rsidR="00E770DC" w14:paraId="366DC100" w14:textId="77777777" w:rsidTr="00000087">
        <w:trPr>
          <w:trHeight w:val="315"/>
        </w:trPr>
        <w:tc>
          <w:tcPr>
            <w:tcW w:w="1560" w:type="dxa"/>
            <w:shd w:val="clear" w:color="auto" w:fill="auto"/>
            <w:noWrap/>
            <w:vAlign w:val="bottom"/>
            <w:hideMark/>
          </w:tcPr>
          <w:p w14:paraId="3461C4AB" w14:textId="77777777" w:rsidR="00E770DC" w:rsidRPr="0095240A" w:rsidRDefault="00E770DC" w:rsidP="00000087">
            <w:pPr>
              <w:pStyle w:val="Tabletext"/>
            </w:pPr>
            <w:r w:rsidRPr="0095240A">
              <w:t>RCP</w:t>
            </w:r>
          </w:p>
        </w:tc>
        <w:tc>
          <w:tcPr>
            <w:tcW w:w="5953" w:type="dxa"/>
            <w:shd w:val="clear" w:color="auto" w:fill="auto"/>
            <w:vAlign w:val="center"/>
            <w:hideMark/>
          </w:tcPr>
          <w:p w14:paraId="25C29F80" w14:textId="77777777" w:rsidR="00E770DC" w:rsidRPr="0095240A" w:rsidRDefault="00E770DC" w:rsidP="00000087">
            <w:pPr>
              <w:pStyle w:val="Tabletext"/>
            </w:pPr>
            <w:r w:rsidRPr="0095240A">
              <w:t>The Royal College of Pathologists</w:t>
            </w:r>
          </w:p>
        </w:tc>
      </w:tr>
      <w:tr w:rsidR="00E770DC" w14:paraId="12BFF052" w14:textId="77777777" w:rsidTr="00000087">
        <w:trPr>
          <w:trHeight w:val="315"/>
        </w:trPr>
        <w:tc>
          <w:tcPr>
            <w:tcW w:w="1560" w:type="dxa"/>
            <w:shd w:val="clear" w:color="auto" w:fill="auto"/>
            <w:noWrap/>
            <w:vAlign w:val="bottom"/>
            <w:hideMark/>
          </w:tcPr>
          <w:p w14:paraId="2B91EC20" w14:textId="108FC9E3" w:rsidR="00E770DC" w:rsidRPr="0095240A" w:rsidRDefault="00E770DC" w:rsidP="00000087">
            <w:pPr>
              <w:pStyle w:val="Tabletext"/>
            </w:pPr>
            <w:r w:rsidRPr="0095240A">
              <w:t>SCM1</w:t>
            </w:r>
            <w:r>
              <w:t xml:space="preserve"> to SCM6</w:t>
            </w:r>
          </w:p>
        </w:tc>
        <w:tc>
          <w:tcPr>
            <w:tcW w:w="5953" w:type="dxa"/>
            <w:shd w:val="clear" w:color="auto" w:fill="auto"/>
            <w:vAlign w:val="center"/>
            <w:hideMark/>
          </w:tcPr>
          <w:p w14:paraId="181C5A46" w14:textId="7E00BE2E" w:rsidR="00E770DC" w:rsidRPr="0095240A" w:rsidRDefault="00E770DC" w:rsidP="00000087">
            <w:pPr>
              <w:pStyle w:val="Tabletext"/>
            </w:pPr>
            <w:r>
              <w:t>Specialist Committee Members</w:t>
            </w:r>
          </w:p>
        </w:tc>
      </w:tr>
      <w:tr w:rsidR="00E770DC" w14:paraId="69679437" w14:textId="77777777" w:rsidTr="00000087">
        <w:trPr>
          <w:trHeight w:val="315"/>
        </w:trPr>
        <w:tc>
          <w:tcPr>
            <w:tcW w:w="1560" w:type="dxa"/>
            <w:shd w:val="clear" w:color="auto" w:fill="auto"/>
            <w:noWrap/>
            <w:vAlign w:val="bottom"/>
            <w:hideMark/>
          </w:tcPr>
          <w:p w14:paraId="1C177155" w14:textId="77777777" w:rsidR="00E770DC" w:rsidRPr="0095240A" w:rsidRDefault="00E770DC" w:rsidP="00000087">
            <w:pPr>
              <w:pStyle w:val="Tabletext"/>
            </w:pPr>
            <w:r w:rsidRPr="0095240A">
              <w:t>UKHSA</w:t>
            </w:r>
          </w:p>
        </w:tc>
        <w:tc>
          <w:tcPr>
            <w:tcW w:w="5953" w:type="dxa"/>
            <w:shd w:val="clear" w:color="auto" w:fill="auto"/>
            <w:vAlign w:val="center"/>
            <w:hideMark/>
          </w:tcPr>
          <w:p w14:paraId="4A639568" w14:textId="77777777" w:rsidR="00E770DC" w:rsidRPr="0095240A" w:rsidRDefault="00E770DC" w:rsidP="00000087">
            <w:pPr>
              <w:pStyle w:val="Tabletext"/>
            </w:pPr>
            <w:r w:rsidRPr="0095240A">
              <w:t>UKHSA</w:t>
            </w:r>
          </w:p>
        </w:tc>
      </w:tr>
      <w:tr w:rsidR="00E770DC" w14:paraId="138B5071" w14:textId="77777777" w:rsidTr="00000087">
        <w:trPr>
          <w:trHeight w:val="315"/>
        </w:trPr>
        <w:tc>
          <w:tcPr>
            <w:tcW w:w="1560" w:type="dxa"/>
            <w:shd w:val="clear" w:color="auto" w:fill="auto"/>
            <w:noWrap/>
            <w:vAlign w:val="bottom"/>
            <w:hideMark/>
          </w:tcPr>
          <w:p w14:paraId="45ADEF3A" w14:textId="77777777" w:rsidR="00E770DC" w:rsidRPr="0095240A" w:rsidRDefault="00E770DC" w:rsidP="00000087">
            <w:pPr>
              <w:pStyle w:val="Tabletext"/>
            </w:pPr>
            <w:r w:rsidRPr="0095240A">
              <w:t>WH</w:t>
            </w:r>
          </w:p>
        </w:tc>
        <w:tc>
          <w:tcPr>
            <w:tcW w:w="5953" w:type="dxa"/>
            <w:shd w:val="clear" w:color="auto" w:fill="auto"/>
            <w:vAlign w:val="center"/>
            <w:hideMark/>
          </w:tcPr>
          <w:p w14:paraId="3CBF5777" w14:textId="77777777" w:rsidR="00E770DC" w:rsidRPr="0095240A" w:rsidRDefault="00E770DC" w:rsidP="00000087">
            <w:pPr>
              <w:pStyle w:val="Tabletext"/>
            </w:pPr>
            <w:r w:rsidRPr="0095240A">
              <w:t>Whittington Health</w:t>
            </w:r>
          </w:p>
        </w:tc>
      </w:tr>
    </w:tbl>
    <w:p w14:paraId="1699EEF0" w14:textId="1B797775" w:rsidR="00F6784F" w:rsidRDefault="00F6784F" w:rsidP="00F6784F">
      <w:pPr>
        <w:pStyle w:val="Paragraph"/>
      </w:pPr>
      <w:r>
        <w:t>F</w:t>
      </w:r>
      <w:r w:rsidRPr="00E12A17">
        <w:t>ull detail</w:t>
      </w:r>
      <w:r>
        <w:t>s</w:t>
      </w:r>
      <w:r w:rsidRPr="00E12A17">
        <w:t xml:space="preserve"> o</w:t>
      </w:r>
      <w:r>
        <w:t>f all</w:t>
      </w:r>
      <w:r w:rsidRPr="00E12A17">
        <w:t xml:space="preserve"> the suggestions </w:t>
      </w:r>
      <w:r>
        <w:t>provided are given in appendix </w:t>
      </w:r>
      <w:r w:rsidR="0053706F">
        <w:t>2</w:t>
      </w:r>
      <w:r w:rsidRPr="00E12A17">
        <w:t xml:space="preserve"> for information.</w:t>
      </w:r>
    </w:p>
    <w:p w14:paraId="75840781" w14:textId="77777777" w:rsidR="003B6DDC" w:rsidRDefault="003B6DDC" w:rsidP="003116A1">
      <w:pPr>
        <w:pStyle w:val="Numberedheading1"/>
      </w:pPr>
      <w:r>
        <w:br w:type="page"/>
      </w:r>
      <w:bookmarkStart w:id="99" w:name="_Toc112833000"/>
      <w:r w:rsidR="002C296A">
        <w:lastRenderedPageBreak/>
        <w:t>Suggested improvement area</w:t>
      </w:r>
      <w:r>
        <w:t>s</w:t>
      </w:r>
      <w:bookmarkEnd w:id="99"/>
    </w:p>
    <w:p w14:paraId="6520DF2A" w14:textId="77777777" w:rsidR="003116A1" w:rsidRPr="003116A1" w:rsidRDefault="003116A1" w:rsidP="003116A1">
      <w:pPr>
        <w:pStyle w:val="Paragraph"/>
      </w:pPr>
      <w:r w:rsidRPr="003116A1">
        <w:t xml:space="preserve">Section 4 presents a summary of the suggested </w:t>
      </w:r>
      <w:r w:rsidR="003A57C1">
        <w:t xml:space="preserve">improvement </w:t>
      </w:r>
      <w:r w:rsidRPr="003116A1">
        <w:t xml:space="preserve">areas, </w:t>
      </w:r>
      <w:r w:rsidR="006A5EF3">
        <w:t xml:space="preserve">with </w:t>
      </w:r>
      <w:r w:rsidR="006F0D0C" w:rsidRPr="003116A1">
        <w:t xml:space="preserve">provisional </w:t>
      </w:r>
      <w:r w:rsidRPr="003116A1">
        <w:t xml:space="preserve">recommendations that may support statement development and </w:t>
      </w:r>
      <w:r w:rsidR="006A5EF3">
        <w:t xml:space="preserve">information on </w:t>
      </w:r>
      <w:r w:rsidRPr="003116A1">
        <w:t xml:space="preserve">current </w:t>
      </w:r>
      <w:r w:rsidR="006F0D0C">
        <w:t xml:space="preserve">UK </w:t>
      </w:r>
      <w:r w:rsidRPr="003116A1">
        <w:t>practice.</w:t>
      </w:r>
    </w:p>
    <w:p w14:paraId="391E3F7A" w14:textId="10C052FD" w:rsidR="002C296A" w:rsidRPr="00433117" w:rsidRDefault="00B2429D" w:rsidP="003B6DDC">
      <w:pPr>
        <w:pStyle w:val="Numberedheading2"/>
      </w:pPr>
      <w:bookmarkStart w:id="100" w:name="_Toc112833001"/>
      <w:r>
        <w:t>Diagnosing UTIs</w:t>
      </w:r>
      <w:bookmarkEnd w:id="100"/>
    </w:p>
    <w:p w14:paraId="003FDB73" w14:textId="77777777" w:rsidR="00BF4FC1" w:rsidRPr="003A57C1" w:rsidRDefault="00BF4FC1" w:rsidP="00BF4FC1">
      <w:pPr>
        <w:pStyle w:val="Heading3"/>
      </w:pPr>
      <w:r>
        <w:t>Dipstick testing and assessment</w:t>
      </w:r>
    </w:p>
    <w:p w14:paraId="2CD277A9" w14:textId="57F3687C" w:rsidR="00BF4FC1" w:rsidRDefault="00BF4FC1" w:rsidP="00BF4FC1">
      <w:pPr>
        <w:pStyle w:val="Paragraphnonumbers"/>
      </w:pPr>
      <w:r>
        <w:t xml:space="preserve">Stakeholders suggested that diagnosis of UTIs should not rely on dipstick testing as it can be inaccurate and inappropriate. Specific populations that it may not be appropriate for include, older frail people, women aged over 65, </w:t>
      </w:r>
      <w:r w:rsidR="00A94DF3">
        <w:t xml:space="preserve">and </w:t>
      </w:r>
      <w:r>
        <w:t>people with catheters. A full clinical assessment should be carried out to diagnose UTIs. T</w:t>
      </w:r>
      <w:r w:rsidRPr="008D18FB">
        <w:t xml:space="preserve">he importance of </w:t>
      </w:r>
      <w:r>
        <w:t xml:space="preserve">assessing for serious illness such as </w:t>
      </w:r>
      <w:r w:rsidRPr="008D18FB">
        <w:t>pyelonephritis</w:t>
      </w:r>
      <w:r>
        <w:t>, sepsis and urosepsis was highlighted</w:t>
      </w:r>
      <w:r w:rsidRPr="008D18FB">
        <w:t xml:space="preserve">. </w:t>
      </w:r>
      <w:r>
        <w:t xml:space="preserve">Some components of an assessment were suggested, such as asking </w:t>
      </w:r>
      <w:r w:rsidRPr="004E12A7">
        <w:t>about vaginal discharge and irritation</w:t>
      </w:r>
      <w:r w:rsidR="00573F7C">
        <w:t xml:space="preserve"> and using patient questionnaires to understand symptoms</w:t>
      </w:r>
      <w:r>
        <w:t>. Specific criteria for diagnosis</w:t>
      </w:r>
      <w:r w:rsidR="00A94DF3">
        <w:t xml:space="preserve"> including </w:t>
      </w:r>
      <w:r>
        <w:t xml:space="preserve">two or more symptoms and </w:t>
      </w:r>
      <w:r w:rsidRPr="00CF1765">
        <w:t>a positive dipstick test result for nitrite</w:t>
      </w:r>
      <w:r>
        <w:t xml:space="preserve"> were suggested</w:t>
      </w:r>
      <w:r w:rsidRPr="00CF1765">
        <w:t>.</w:t>
      </w:r>
    </w:p>
    <w:p w14:paraId="7D9A52EA" w14:textId="77777777" w:rsidR="00BF4FC1" w:rsidRPr="007B1C0E" w:rsidRDefault="00BF4FC1" w:rsidP="00335AF3">
      <w:pPr>
        <w:pStyle w:val="Heading4"/>
      </w:pPr>
      <w:r>
        <w:t>S</w:t>
      </w:r>
      <w:r w:rsidRPr="00CD3D03">
        <w:t xml:space="preserve">elected recommendations </w:t>
      </w:r>
    </w:p>
    <w:p w14:paraId="246BD033" w14:textId="77777777" w:rsidR="00BF4FC1" w:rsidRPr="00154BEC" w:rsidRDefault="00BF4FC1" w:rsidP="00BF4FC1">
      <w:pPr>
        <w:pStyle w:val="Paragraph"/>
        <w:rPr>
          <w:highlight w:val="green"/>
        </w:rPr>
      </w:pPr>
      <w:r w:rsidRPr="00DD0629">
        <w:t>A SIGN guideline is referenced in the following text. SIGN does not use specific recommendation numbers</w:t>
      </w:r>
      <w:r>
        <w:t>,</w:t>
      </w:r>
      <w:r w:rsidRPr="00DD0629">
        <w:t xml:space="preserve"> so in this </w:t>
      </w:r>
      <w:r>
        <w:t xml:space="preserve">report </w:t>
      </w:r>
      <w:r w:rsidRPr="00DD0629">
        <w:t xml:space="preserve">the recommendations have been assigned the section of the guideline they are found in. Also, the symbol R represents a </w:t>
      </w:r>
      <w:r>
        <w:t xml:space="preserve">guideline </w:t>
      </w:r>
      <w:r w:rsidRPr="00DD0629">
        <w:t xml:space="preserve">recommendation, the symbol </w:t>
      </w:r>
      <w:r w:rsidRPr="00DD0629">
        <w:sym w:font="Wingdings" w:char="F0FC"/>
      </w:r>
      <w:r w:rsidRPr="00DD0629">
        <w:t xml:space="preserve"> represents ‘recommended best practice based on the clinical experience of the guideline development group’. </w:t>
      </w:r>
    </w:p>
    <w:p w14:paraId="571EEB4D" w14:textId="77777777" w:rsidR="00BF4FC1" w:rsidRPr="00BD4F28" w:rsidRDefault="00BF4FC1" w:rsidP="00BF4FC1">
      <w:pPr>
        <w:pStyle w:val="Paragraph"/>
      </w:pPr>
      <w:r w:rsidRPr="00BD4F28">
        <w:t>SIGN</w:t>
      </w:r>
      <w:r>
        <w:t>’s guideline on management of lower urinary tract infection in adult women</w:t>
      </w:r>
      <w:r w:rsidRPr="00BD4F28">
        <w:t xml:space="preserve"> </w:t>
      </w:r>
      <w:r>
        <w:t>(SIGN 160)</w:t>
      </w:r>
    </w:p>
    <w:p w14:paraId="5835BA58" w14:textId="77777777" w:rsidR="00BF4FC1" w:rsidRDefault="00BF4FC1" w:rsidP="00BF4FC1">
      <w:pPr>
        <w:pStyle w:val="Paragraph"/>
      </w:pPr>
      <w:r w:rsidRPr="009217BA">
        <w:t xml:space="preserve">3.1.3 </w:t>
      </w:r>
      <w:r>
        <w:t>Dipstick testing (women aged under 65)</w:t>
      </w:r>
    </w:p>
    <w:p w14:paraId="203AA5DA" w14:textId="77777777" w:rsidR="00BF4FC1" w:rsidRDefault="00BF4FC1" w:rsidP="00BF4FC1">
      <w:pPr>
        <w:pStyle w:val="Paragraph"/>
        <w:numPr>
          <w:ilvl w:val="0"/>
          <w:numId w:val="7"/>
        </w:numPr>
      </w:pPr>
      <w:r>
        <w:t>Diagnose a UTI in the presence of two or more urinary symptoms (dysuria, frequency, urgency, visible haematuria or nocturia) and a positive dipstick test result for nitrite.</w:t>
      </w:r>
    </w:p>
    <w:p w14:paraId="04F9548C" w14:textId="77777777" w:rsidR="00BF4FC1" w:rsidRPr="00A9673D" w:rsidRDefault="00BF4FC1" w:rsidP="00BF4FC1">
      <w:pPr>
        <w:pStyle w:val="Paragraph"/>
      </w:pPr>
      <w:r w:rsidRPr="00A9673D">
        <w:t xml:space="preserve">4.1.2 Clinical assessment </w:t>
      </w:r>
      <w:r>
        <w:t>(women aged 65 and over)</w:t>
      </w:r>
    </w:p>
    <w:p w14:paraId="6C2D22BF" w14:textId="77777777" w:rsidR="00BF4FC1" w:rsidRPr="00A9673D" w:rsidRDefault="00BF4FC1" w:rsidP="00BF4FC1">
      <w:pPr>
        <w:pStyle w:val="Paragraph"/>
        <w:numPr>
          <w:ilvl w:val="0"/>
          <w:numId w:val="8"/>
        </w:numPr>
      </w:pPr>
      <w:r w:rsidRPr="00A9673D">
        <w:t xml:space="preserve">Be aware that women aged 65 years and over, especially those in long-term care facilities, may not display the usual symptoms and signs of UTI that are seen in younger women. </w:t>
      </w:r>
    </w:p>
    <w:p w14:paraId="1A9AF9D1" w14:textId="77777777" w:rsidR="00BF4FC1" w:rsidRPr="00A9673D" w:rsidRDefault="00BF4FC1" w:rsidP="00BF4FC1">
      <w:pPr>
        <w:pStyle w:val="Paragraph"/>
        <w:numPr>
          <w:ilvl w:val="0"/>
          <w:numId w:val="8"/>
        </w:numPr>
      </w:pPr>
      <w:r w:rsidRPr="00A9673D">
        <w:t>Be aware that functional deterioration and/or changes to performance of activities of daily living may be indicators of infection in frail older people.</w:t>
      </w:r>
    </w:p>
    <w:p w14:paraId="466E874A" w14:textId="77777777" w:rsidR="00BF4FC1" w:rsidRPr="00A9673D" w:rsidRDefault="00BF4FC1" w:rsidP="00BF4FC1">
      <w:pPr>
        <w:pStyle w:val="Paragraph"/>
        <w:numPr>
          <w:ilvl w:val="0"/>
          <w:numId w:val="9"/>
        </w:numPr>
      </w:pPr>
      <w:r w:rsidRPr="00A9673D">
        <w:lastRenderedPageBreak/>
        <w:t xml:space="preserve">A holistic assessment is needed in the frail elderly to rule out other causes with both classical and non-classical signs of UTI. Signs and symptoms which may lead to functional decline include dehydration, constipation, electrolyte abnormality, polypharmacy, </w:t>
      </w:r>
      <w:proofErr w:type="gramStart"/>
      <w:r w:rsidRPr="00A9673D">
        <w:t>pain</w:t>
      </w:r>
      <w:proofErr w:type="gramEnd"/>
      <w:r w:rsidRPr="00A9673D">
        <w:t xml:space="preserve"> and urinary retention.</w:t>
      </w:r>
    </w:p>
    <w:p w14:paraId="1948FCD9" w14:textId="77777777" w:rsidR="00BF4FC1" w:rsidRDefault="00BF4FC1" w:rsidP="00BF4FC1">
      <w:pPr>
        <w:pStyle w:val="Paragraph"/>
        <w:numPr>
          <w:ilvl w:val="0"/>
          <w:numId w:val="9"/>
        </w:numPr>
      </w:pPr>
      <w:r w:rsidRPr="00A9673D">
        <w:t xml:space="preserve">Consider sepsis, non-urinary </w:t>
      </w:r>
      <w:proofErr w:type="gramStart"/>
      <w:r w:rsidRPr="00A9673D">
        <w:t>infections</w:t>
      </w:r>
      <w:proofErr w:type="gramEnd"/>
      <w:r w:rsidRPr="00A9673D">
        <w:t xml:space="preserve"> and other causes of delirium in an unwell older adult with abnormal vital signs (for example, fever, tachycardia, hypotension, respiratory rate and saturations)</w:t>
      </w:r>
    </w:p>
    <w:p w14:paraId="2018D7F1" w14:textId="77777777" w:rsidR="00BF4FC1" w:rsidRPr="00A9673D" w:rsidRDefault="00BF4FC1" w:rsidP="00BF4FC1">
      <w:pPr>
        <w:pStyle w:val="Paragraph"/>
      </w:pPr>
      <w:r>
        <w:t>4.1.3 Urinalysis and dipstick testing (women aged 65 and over)</w:t>
      </w:r>
    </w:p>
    <w:p w14:paraId="7420FA7C" w14:textId="77777777" w:rsidR="00BF4FC1" w:rsidRDefault="00BF4FC1" w:rsidP="00BF4FC1">
      <w:pPr>
        <w:pStyle w:val="Paragraph"/>
        <w:numPr>
          <w:ilvl w:val="0"/>
          <w:numId w:val="10"/>
        </w:numPr>
      </w:pPr>
      <w:r>
        <w:t xml:space="preserve">Use of dipsticks for diagnosis of UTI in women aged 65 years and above in long-term care facilities or in frail elderly people requiring assisted living services is not recommended. </w:t>
      </w:r>
    </w:p>
    <w:p w14:paraId="30366142" w14:textId="77777777" w:rsidR="00BF4FC1" w:rsidRDefault="00BF4FC1" w:rsidP="00BF4FC1">
      <w:pPr>
        <w:pStyle w:val="Paragraph"/>
      </w:pPr>
      <w:r>
        <w:t>6.1.1 Clinical assessment (catheterised women)</w:t>
      </w:r>
    </w:p>
    <w:p w14:paraId="313DDE58" w14:textId="77777777" w:rsidR="00BF4FC1" w:rsidRDefault="00BF4FC1" w:rsidP="00BF4FC1">
      <w:pPr>
        <w:pStyle w:val="Paragraph"/>
        <w:numPr>
          <w:ilvl w:val="0"/>
          <w:numId w:val="10"/>
        </w:numPr>
      </w:pPr>
      <w:r>
        <w:t>Clinical signs and symptoms compatible with CA-UTI should be used to diagnose infection in catheterised patients with urine culture and sensitivity testing employed to confirm the diagnosis and pathogen.</w:t>
      </w:r>
    </w:p>
    <w:p w14:paraId="2D87A6BE" w14:textId="77777777" w:rsidR="00BF4FC1" w:rsidRDefault="00BF4FC1" w:rsidP="00BF4FC1">
      <w:pPr>
        <w:pStyle w:val="Paragraph"/>
      </w:pPr>
      <w:r>
        <w:t>6.1.2 Dipstick testing (catheterised women)</w:t>
      </w:r>
    </w:p>
    <w:p w14:paraId="48149985" w14:textId="77777777" w:rsidR="00BF4FC1" w:rsidRDefault="00BF4FC1" w:rsidP="00BF4FC1">
      <w:pPr>
        <w:pStyle w:val="Paragraph"/>
        <w:numPr>
          <w:ilvl w:val="0"/>
          <w:numId w:val="10"/>
        </w:numPr>
      </w:pPr>
      <w:r>
        <w:t>Urinary dipsticks should not be used as part of the diagnostic assessment for UTI in patients with indwelling catheters.</w:t>
      </w:r>
    </w:p>
    <w:p w14:paraId="59525CA1" w14:textId="77777777" w:rsidR="00BF4FC1" w:rsidRDefault="00BF4FC1" w:rsidP="00BF4FC1">
      <w:pPr>
        <w:pStyle w:val="Paragraph"/>
      </w:pPr>
      <w:r>
        <w:t>NICE’s clinical knowledge summary on u</w:t>
      </w:r>
      <w:r w:rsidRPr="005B7948">
        <w:t xml:space="preserve">rinary tract infection (lower) </w:t>
      </w:r>
      <w:r>
        <w:t>–</w:t>
      </w:r>
      <w:r w:rsidRPr="005B7948">
        <w:t xml:space="preserve"> men</w:t>
      </w:r>
      <w:r>
        <w:t>: Diagnosing a UTI</w:t>
      </w:r>
    </w:p>
    <w:p w14:paraId="47B87A1C" w14:textId="77777777" w:rsidR="00BF4FC1" w:rsidRDefault="00BF4FC1" w:rsidP="00BF4FC1">
      <w:pPr>
        <w:pStyle w:val="Paragraph"/>
        <w:numPr>
          <w:ilvl w:val="0"/>
          <w:numId w:val="11"/>
        </w:numPr>
      </w:pPr>
      <w:r w:rsidRPr="00502874">
        <w:t>In men aged under 65 years suspected of having a urinary tract infection (UTI) consider other causes of urinary symptoms</w:t>
      </w:r>
      <w:r>
        <w:t>.</w:t>
      </w:r>
    </w:p>
    <w:p w14:paraId="0B31540D" w14:textId="77777777" w:rsidR="00BF4FC1" w:rsidRDefault="00BF4FC1" w:rsidP="00BF4FC1">
      <w:pPr>
        <w:pStyle w:val="Paragraph"/>
        <w:numPr>
          <w:ilvl w:val="0"/>
          <w:numId w:val="11"/>
        </w:numPr>
      </w:pPr>
      <w:r>
        <w:t>In men aged 65 years or over suspected of having a UTI: Conduct a full clinical assessment before making a diagnosis of UTI.</w:t>
      </w:r>
    </w:p>
    <w:p w14:paraId="7E721BF5" w14:textId="77777777" w:rsidR="00BF4FC1" w:rsidRDefault="00BF4FC1" w:rsidP="00BF4FC1">
      <w:pPr>
        <w:pStyle w:val="Paragraph"/>
        <w:numPr>
          <w:ilvl w:val="0"/>
          <w:numId w:val="11"/>
        </w:numPr>
      </w:pPr>
      <w:r>
        <w:t>I</w:t>
      </w:r>
      <w:r w:rsidRPr="00502874">
        <w:t>n men with symptoms suggestive of a UTI, confirm the diagnosis by urine culture and sensitivity, by arranging collection of a mid-steam urine (MSU) or catheter specimen of urine (CSU), to determine the infecting micro-organism.</w:t>
      </w:r>
    </w:p>
    <w:p w14:paraId="7AA790C5" w14:textId="77777777" w:rsidR="00BF4FC1" w:rsidRDefault="00BF4FC1" w:rsidP="00BF4FC1">
      <w:pPr>
        <w:pStyle w:val="Paragraph"/>
        <w:numPr>
          <w:ilvl w:val="0"/>
          <w:numId w:val="11"/>
        </w:numPr>
      </w:pPr>
      <w:r w:rsidRPr="00502874">
        <w:t>Do not use urine dipstick tests or microscopy to diagnose UTI in men:</w:t>
      </w:r>
    </w:p>
    <w:p w14:paraId="0969BEB2" w14:textId="77777777" w:rsidR="00BF4FC1" w:rsidRDefault="00BF4FC1" w:rsidP="00BF4FC1">
      <w:pPr>
        <w:pStyle w:val="Paragraph"/>
      </w:pPr>
      <w:r w:rsidRPr="004900AF">
        <w:t>NICE’s clinical knowledge summary</w:t>
      </w:r>
      <w:r>
        <w:t xml:space="preserve"> on </w:t>
      </w:r>
      <w:r w:rsidRPr="004900AF">
        <w:t xml:space="preserve">Pyelonephritis </w:t>
      </w:r>
      <w:r>
        <w:t>–</w:t>
      </w:r>
      <w:r w:rsidRPr="004900AF">
        <w:t xml:space="preserve"> acute</w:t>
      </w:r>
      <w:r>
        <w:t>: Diagnosis</w:t>
      </w:r>
    </w:p>
    <w:p w14:paraId="38C56025" w14:textId="77777777" w:rsidR="00BF4FC1" w:rsidRPr="00A9673D" w:rsidRDefault="00BF4FC1" w:rsidP="00BF4FC1">
      <w:pPr>
        <w:pStyle w:val="Paragraph"/>
        <w:numPr>
          <w:ilvl w:val="0"/>
          <w:numId w:val="12"/>
        </w:numPr>
      </w:pPr>
      <w:r w:rsidRPr="004900AF">
        <w:t>Acute pyelonephritis is diagnosed by taking a detailed medical history and a physical examination.</w:t>
      </w:r>
    </w:p>
    <w:p w14:paraId="07064F1A" w14:textId="77777777" w:rsidR="00BF4FC1" w:rsidRPr="00B0030E" w:rsidRDefault="00BF4FC1" w:rsidP="00BF4FC1">
      <w:pPr>
        <w:pStyle w:val="Heading4"/>
      </w:pPr>
      <w:r w:rsidRPr="00B0030E">
        <w:lastRenderedPageBreak/>
        <w:t>Current UK practice</w:t>
      </w:r>
    </w:p>
    <w:p w14:paraId="6AC3A656" w14:textId="35659DAF" w:rsidR="00BF4FC1" w:rsidRPr="001A542E" w:rsidRDefault="00BF4FC1" w:rsidP="00BF4FC1">
      <w:pPr>
        <w:pStyle w:val="Paragraph"/>
        <w:rPr>
          <w:rFonts w:cs="Arial"/>
        </w:rPr>
      </w:pPr>
      <w:r w:rsidRPr="0088276D">
        <w:t xml:space="preserve">No </w:t>
      </w:r>
      <w:r w:rsidR="00BF4F7E" w:rsidRPr="0088276D">
        <w:t xml:space="preserve">national data or published large studies </w:t>
      </w:r>
      <w:r w:rsidRPr="0088276D">
        <w:t xml:space="preserve">on current practice </w:t>
      </w:r>
      <w:r w:rsidR="00BF4F7E" w:rsidRPr="0088276D">
        <w:t xml:space="preserve">have been identified. </w:t>
      </w:r>
    </w:p>
    <w:p w14:paraId="6ED12168" w14:textId="77777777" w:rsidR="00BF4FC1" w:rsidRPr="003A57C1" w:rsidRDefault="00BF4FC1" w:rsidP="00BF4FC1">
      <w:pPr>
        <w:pStyle w:val="Heading3"/>
      </w:pPr>
      <w:r w:rsidRPr="00B56C27">
        <w:t xml:space="preserve">Urine </w:t>
      </w:r>
      <w:r>
        <w:t xml:space="preserve">samples, </w:t>
      </w:r>
      <w:proofErr w:type="gramStart"/>
      <w:r w:rsidRPr="00B56C27">
        <w:t>cultures</w:t>
      </w:r>
      <w:proofErr w:type="gramEnd"/>
      <w:r w:rsidRPr="00B56C27">
        <w:t xml:space="preserve"> and lab testing</w:t>
      </w:r>
    </w:p>
    <w:p w14:paraId="67FB8FC2" w14:textId="77777777" w:rsidR="00BF4FC1" w:rsidRDefault="00BF4FC1" w:rsidP="00BF4FC1">
      <w:pPr>
        <w:pStyle w:val="Paragraphnonumbers"/>
      </w:pPr>
      <w:r>
        <w:t xml:space="preserve">Targeted use of urine cultures for people with suspected UTI was suggested as there is variation in practice. Comments recommended sending urine samples for culture for </w:t>
      </w:r>
      <w:r w:rsidRPr="00B60617">
        <w:t>pregnant women</w:t>
      </w:r>
      <w:r>
        <w:t xml:space="preserve">, </w:t>
      </w:r>
      <w:r w:rsidRPr="00B60617">
        <w:t>adults with acute pyelonephritis</w:t>
      </w:r>
      <w:r>
        <w:t xml:space="preserve">, people aged 65 and over and those with a UTI which is </w:t>
      </w:r>
      <w:r w:rsidRPr="00E14CE4">
        <w:t>not respond</w:t>
      </w:r>
      <w:r>
        <w:t>ing</w:t>
      </w:r>
      <w:r w:rsidRPr="00E14CE4">
        <w:t xml:space="preserve"> to initial antibiotic treatment</w:t>
      </w:r>
      <w:r>
        <w:t>.</w:t>
      </w:r>
    </w:p>
    <w:p w14:paraId="38C704C8" w14:textId="77777777" w:rsidR="00BF4FC1" w:rsidRDefault="00BF4FC1" w:rsidP="00BF4FC1">
      <w:pPr>
        <w:pStyle w:val="Paragraphnonumbers"/>
      </w:pPr>
      <w:r>
        <w:t xml:space="preserve">Improved sensitivity of testing was also suggested as there are different techniques and thresholds in use. Improving how urine samples are collected, </w:t>
      </w:r>
      <w:proofErr w:type="gramStart"/>
      <w:r>
        <w:t>stored</w:t>
      </w:r>
      <w:proofErr w:type="gramEnd"/>
      <w:r>
        <w:t xml:space="preserve"> and transported is important to ensure the success of a diagnostic test and would reduce the number of samples being rejected by a GP practice or laboratory. Improving the quality of laboratory testing was also suggested as an area for quality improvement.</w:t>
      </w:r>
    </w:p>
    <w:p w14:paraId="460F376F" w14:textId="77777777" w:rsidR="00BF4FC1" w:rsidRPr="007B1C0E" w:rsidRDefault="00BF4FC1" w:rsidP="00BF4FC1">
      <w:pPr>
        <w:pStyle w:val="Heading4"/>
      </w:pPr>
      <w:r>
        <w:t>S</w:t>
      </w:r>
      <w:r w:rsidRPr="00CD3D03">
        <w:t xml:space="preserve">elected recommendations </w:t>
      </w:r>
    </w:p>
    <w:p w14:paraId="50CE81CD" w14:textId="77777777" w:rsidR="00BF4FC1" w:rsidRPr="00BD4F28" w:rsidRDefault="00BF4FC1" w:rsidP="00BF4FC1">
      <w:pPr>
        <w:pStyle w:val="Paragraph"/>
      </w:pPr>
      <w:r w:rsidRPr="00BD4F28">
        <w:t>SIGN</w:t>
      </w:r>
      <w:r>
        <w:t>’s guideline on management of lower urinary tract infection in adult women</w:t>
      </w:r>
      <w:r w:rsidRPr="00BD4F28">
        <w:t xml:space="preserve"> </w:t>
      </w:r>
      <w:r>
        <w:t>(SIGN 160)</w:t>
      </w:r>
    </w:p>
    <w:p w14:paraId="1D568591" w14:textId="77777777" w:rsidR="00BF4FC1" w:rsidRDefault="00BF4FC1" w:rsidP="00BF4FC1">
      <w:pPr>
        <w:pStyle w:val="Paragraph"/>
      </w:pPr>
      <w:r w:rsidRPr="009217BA">
        <w:t xml:space="preserve">3.1.3 </w:t>
      </w:r>
      <w:r>
        <w:t>Dipstick testing (women aged under 65)</w:t>
      </w:r>
    </w:p>
    <w:p w14:paraId="1B4EDB54" w14:textId="77777777" w:rsidR="00BF4FC1" w:rsidRDefault="00BF4FC1" w:rsidP="00BF4FC1">
      <w:pPr>
        <w:pStyle w:val="Paragraph"/>
        <w:numPr>
          <w:ilvl w:val="0"/>
          <w:numId w:val="7"/>
        </w:numPr>
      </w:pPr>
      <w:r>
        <w:t>Diagnose a UTI in the presence of two or more urinary symptoms (dysuria, frequency, urgency, visible haematuria or nocturia) and a positive dipstick test result for nitrite.</w:t>
      </w:r>
    </w:p>
    <w:p w14:paraId="3B40DC37" w14:textId="77777777" w:rsidR="00BF4FC1" w:rsidRDefault="00BF4FC1" w:rsidP="00BF4FC1">
      <w:pPr>
        <w:pStyle w:val="Paragraph"/>
        <w:numPr>
          <w:ilvl w:val="0"/>
          <w:numId w:val="13"/>
        </w:numPr>
      </w:pPr>
      <w:r>
        <w:t>On diagnosis of UTI in the presence of two or more urinary symptoms and a positive dipstick test result for nitrite, a urine specimen should only be sent for culture if the patient has a history of resistant urinary isolates, has taken any antibiotics in the past six months or fails to respond to empirical antibiotics.</w:t>
      </w:r>
    </w:p>
    <w:p w14:paraId="424CF462" w14:textId="77777777" w:rsidR="00BF4FC1" w:rsidRDefault="00BF4FC1" w:rsidP="00BF4FC1">
      <w:pPr>
        <w:pStyle w:val="Paragraph"/>
        <w:numPr>
          <w:ilvl w:val="0"/>
          <w:numId w:val="13"/>
        </w:numPr>
      </w:pPr>
      <w:r>
        <w:t>Consider sending a urine specimen for culture to inform the diagnosis in patients who present with suspected UTI and two or more urinary symptoms and a negative dipstick test result for nitrite.</w:t>
      </w:r>
    </w:p>
    <w:p w14:paraId="1D483B9B" w14:textId="77777777" w:rsidR="00BF4FC1" w:rsidRPr="00A9673D" w:rsidRDefault="00BF4FC1" w:rsidP="00BF4FC1">
      <w:pPr>
        <w:pStyle w:val="Paragraph"/>
      </w:pPr>
      <w:r>
        <w:t>4.1.3 Urinalysis and dipstick testing (women aged 65 and over)</w:t>
      </w:r>
    </w:p>
    <w:p w14:paraId="77236147" w14:textId="77777777" w:rsidR="00BF4FC1" w:rsidRDefault="00BF4FC1" w:rsidP="00BF4FC1">
      <w:pPr>
        <w:pStyle w:val="Paragraph"/>
        <w:numPr>
          <w:ilvl w:val="0"/>
          <w:numId w:val="10"/>
        </w:numPr>
      </w:pPr>
      <w:r>
        <w:t xml:space="preserve">Use of dipsticks for diagnosis of UTI in women aged 65 years and above in long-term care facilities or in frail elderly people requiring assisted living services is not recommended. </w:t>
      </w:r>
    </w:p>
    <w:p w14:paraId="2357D4EF" w14:textId="77777777" w:rsidR="00BF4FC1" w:rsidRDefault="00BF4FC1" w:rsidP="00BF4FC1">
      <w:pPr>
        <w:pStyle w:val="Paragraph"/>
        <w:numPr>
          <w:ilvl w:val="0"/>
          <w:numId w:val="14"/>
        </w:numPr>
      </w:pPr>
      <w:r>
        <w:t>In women aged 65 years and over with symptoms suggestive of UTI a positive test for nitrite in the urine is a marker for bacteriuria, and this should be assessed in the context of the background incidence of asymptomatic bacteriuria.</w:t>
      </w:r>
    </w:p>
    <w:p w14:paraId="7B909D47" w14:textId="77777777" w:rsidR="00BF4FC1" w:rsidRDefault="00BF4FC1" w:rsidP="00BF4FC1">
      <w:pPr>
        <w:pStyle w:val="Paragraph"/>
        <w:numPr>
          <w:ilvl w:val="0"/>
          <w:numId w:val="14"/>
        </w:numPr>
      </w:pPr>
      <w:r>
        <w:lastRenderedPageBreak/>
        <w:t>Send a urine specimen for culture to confirm the pathogen and antibiotic susceptibility in women aged 65 years and above prior to starting antibiotics for a UTI.</w:t>
      </w:r>
    </w:p>
    <w:p w14:paraId="75EE9F6E" w14:textId="77777777" w:rsidR="00BF4FC1" w:rsidRDefault="00BF4FC1" w:rsidP="00BF4FC1">
      <w:pPr>
        <w:pStyle w:val="Paragraph"/>
      </w:pPr>
      <w:r>
        <w:t>6.1.1 Clinical assessment (catheterised women)</w:t>
      </w:r>
    </w:p>
    <w:p w14:paraId="5E673BDD" w14:textId="77777777" w:rsidR="00BF4FC1" w:rsidRDefault="00BF4FC1" w:rsidP="00BF4FC1">
      <w:pPr>
        <w:pStyle w:val="Paragraph"/>
        <w:numPr>
          <w:ilvl w:val="0"/>
          <w:numId w:val="10"/>
        </w:numPr>
      </w:pPr>
      <w:r>
        <w:t>Clinical signs and symptoms compatible with CA-UTI should be used to diagnose infection in catheterised patients with urine culture and sensitivity testing employed to confirm the diagnosis and pathogen.</w:t>
      </w:r>
    </w:p>
    <w:p w14:paraId="47988E57" w14:textId="51C31B6C" w:rsidR="00EF0D90" w:rsidRDefault="00EF0D90" w:rsidP="00EF0D90">
      <w:pPr>
        <w:pStyle w:val="Paragraph"/>
      </w:pPr>
      <w:r>
        <w:t>NICE’s clinical knowledge summary on u</w:t>
      </w:r>
      <w:r w:rsidRPr="005B7948">
        <w:t xml:space="preserve">rinary tract infection (lower) </w:t>
      </w:r>
      <w:r>
        <w:t>–</w:t>
      </w:r>
      <w:r w:rsidRPr="005B7948">
        <w:t xml:space="preserve"> </w:t>
      </w:r>
      <w:r>
        <w:t>wo</w:t>
      </w:r>
      <w:r w:rsidRPr="005B7948">
        <w:t>men</w:t>
      </w:r>
      <w:r>
        <w:t>: Assessment</w:t>
      </w:r>
    </w:p>
    <w:p w14:paraId="20F69F89" w14:textId="77777777" w:rsidR="00EF0D90" w:rsidRDefault="00EF0D90" w:rsidP="00EF0D90">
      <w:pPr>
        <w:pStyle w:val="Paragraph"/>
        <w:numPr>
          <w:ilvl w:val="0"/>
          <w:numId w:val="12"/>
        </w:numPr>
      </w:pPr>
      <w:r>
        <w:t>A sample should be sent for urine culture in all women with suspected lower UTI who:</w:t>
      </w:r>
    </w:p>
    <w:p w14:paraId="30531241" w14:textId="77777777" w:rsidR="00EF0D90" w:rsidRDefault="00EF0D90" w:rsidP="00EF0D90">
      <w:pPr>
        <w:pStyle w:val="Paragraph"/>
        <w:numPr>
          <w:ilvl w:val="1"/>
          <w:numId w:val="12"/>
        </w:numPr>
        <w:spacing w:before="0" w:after="0"/>
        <w:ind w:left="1077" w:hanging="357"/>
      </w:pPr>
      <w:r>
        <w:t>Are pregnant.</w:t>
      </w:r>
    </w:p>
    <w:p w14:paraId="7DF00606" w14:textId="77777777" w:rsidR="00EF0D90" w:rsidRDefault="00EF0D90" w:rsidP="00EF0D90">
      <w:pPr>
        <w:pStyle w:val="Paragraph"/>
        <w:numPr>
          <w:ilvl w:val="1"/>
          <w:numId w:val="12"/>
        </w:numPr>
        <w:spacing w:before="0" w:after="0"/>
        <w:ind w:left="1077" w:hanging="357"/>
      </w:pPr>
      <w:r>
        <w:t>Are older than 65 years.</w:t>
      </w:r>
    </w:p>
    <w:p w14:paraId="7C242024" w14:textId="77777777" w:rsidR="00EF0D90" w:rsidRDefault="00EF0D90" w:rsidP="00EF0D90">
      <w:pPr>
        <w:pStyle w:val="Paragraph"/>
        <w:numPr>
          <w:ilvl w:val="1"/>
          <w:numId w:val="12"/>
        </w:numPr>
        <w:spacing w:before="0" w:after="0"/>
        <w:ind w:left="1077" w:hanging="357"/>
      </w:pPr>
      <w:r>
        <w:t>Have symptoms that are persistent or do not resolve with antibiotic treatment.</w:t>
      </w:r>
    </w:p>
    <w:p w14:paraId="10F210F9" w14:textId="77777777" w:rsidR="00EF0D90" w:rsidRDefault="00EF0D90" w:rsidP="00EF0D90">
      <w:pPr>
        <w:pStyle w:val="Paragraph"/>
        <w:numPr>
          <w:ilvl w:val="1"/>
          <w:numId w:val="12"/>
        </w:numPr>
        <w:spacing w:before="0" w:after="0"/>
        <w:ind w:left="1077" w:hanging="357"/>
      </w:pPr>
      <w:r>
        <w:t>Have recurrent UTI (2 episodes in 6 months or 3 in 12 months).</w:t>
      </w:r>
    </w:p>
    <w:p w14:paraId="3181D8BB" w14:textId="77777777" w:rsidR="00EF0D90" w:rsidRDefault="00EF0D90" w:rsidP="00EF0D90">
      <w:pPr>
        <w:pStyle w:val="Paragraph"/>
        <w:numPr>
          <w:ilvl w:val="1"/>
          <w:numId w:val="12"/>
        </w:numPr>
        <w:spacing w:before="0" w:after="0"/>
        <w:ind w:left="1077" w:hanging="357"/>
      </w:pPr>
      <w:r>
        <w:t>Have a urinary catheter in situ or have recently been catheterised.</w:t>
      </w:r>
    </w:p>
    <w:p w14:paraId="705A243E" w14:textId="77777777" w:rsidR="00EF0D90" w:rsidRDefault="00EF0D90" w:rsidP="00EF0D90">
      <w:pPr>
        <w:pStyle w:val="Paragraph"/>
        <w:numPr>
          <w:ilvl w:val="1"/>
          <w:numId w:val="12"/>
        </w:numPr>
        <w:spacing w:before="0" w:after="0"/>
        <w:ind w:left="1077" w:hanging="357"/>
      </w:pPr>
      <w:r>
        <w:t xml:space="preserve">Have risk factors for resistance or complicated UTI such as abnormalities of genitourinary tract, renal impairment, residence in a </w:t>
      </w:r>
      <w:proofErr w:type="gramStart"/>
      <w:r>
        <w:t>long term</w:t>
      </w:r>
      <w:proofErr w:type="gramEnd"/>
      <w:r>
        <w:t xml:space="preserve"> care facility, hospitalisation for more than 7 days in the last 6 months, recent travel to a country with increased resistance or previous resistant UTI.</w:t>
      </w:r>
    </w:p>
    <w:p w14:paraId="4D2D556F" w14:textId="77777777" w:rsidR="00EF0D90" w:rsidRDefault="00EF0D90" w:rsidP="00EF0D90">
      <w:pPr>
        <w:pStyle w:val="Paragraph"/>
        <w:numPr>
          <w:ilvl w:val="1"/>
          <w:numId w:val="12"/>
        </w:numPr>
        <w:spacing w:before="0" w:after="0"/>
        <w:ind w:left="1077" w:hanging="357"/>
      </w:pPr>
      <w:r>
        <w:t>Have atypical symptoms.</w:t>
      </w:r>
    </w:p>
    <w:p w14:paraId="44FFDCF2" w14:textId="5F33675A" w:rsidR="00EF0D90" w:rsidRDefault="00EF0D90" w:rsidP="00EF0D90">
      <w:pPr>
        <w:pStyle w:val="Paragraph"/>
        <w:numPr>
          <w:ilvl w:val="1"/>
          <w:numId w:val="12"/>
        </w:numPr>
        <w:spacing w:before="0" w:after="0"/>
        <w:ind w:left="1077" w:hanging="357"/>
      </w:pPr>
      <w:r>
        <w:t>Have visible or non-visible (on urine dipstick) haematuria.</w:t>
      </w:r>
    </w:p>
    <w:p w14:paraId="397085B2" w14:textId="1E14653F" w:rsidR="00BF4FC1" w:rsidRDefault="00BF4FC1" w:rsidP="00BF4FC1">
      <w:pPr>
        <w:pStyle w:val="Paragraph"/>
      </w:pPr>
      <w:r>
        <w:t>NICE’s clinical knowledge summary on u</w:t>
      </w:r>
      <w:r w:rsidRPr="005B7948">
        <w:t xml:space="preserve">rinary tract infection (lower) </w:t>
      </w:r>
      <w:r>
        <w:t>–</w:t>
      </w:r>
      <w:r w:rsidRPr="005B7948">
        <w:t xml:space="preserve"> men</w:t>
      </w:r>
      <w:r>
        <w:t>: Diagnosing a UTI</w:t>
      </w:r>
    </w:p>
    <w:p w14:paraId="2CC5D389" w14:textId="77777777" w:rsidR="00BF4FC1" w:rsidRDefault="00BF4FC1" w:rsidP="00BF4FC1">
      <w:pPr>
        <w:pStyle w:val="Paragraph"/>
        <w:numPr>
          <w:ilvl w:val="0"/>
          <w:numId w:val="11"/>
        </w:numPr>
      </w:pPr>
      <w:r w:rsidRPr="00BD2E23">
        <w:t xml:space="preserve">In men with symptoms suggestive of a UTI, confirm the diagnosis by urine culture and sensitivity, by arranging collection of a mid-steam urine (MSU) or catheter specimen of urine (CSU), to determine the infecting micro-organism. </w:t>
      </w:r>
    </w:p>
    <w:p w14:paraId="3C50E864" w14:textId="77777777" w:rsidR="00BF4FC1" w:rsidRDefault="00BF4FC1" w:rsidP="00BF4FC1">
      <w:pPr>
        <w:pStyle w:val="Paragraph"/>
        <w:numPr>
          <w:ilvl w:val="1"/>
          <w:numId w:val="11"/>
        </w:numPr>
      </w:pPr>
      <w:r w:rsidRPr="00BD2E23">
        <w:t>Only send a urine sample for culture in a man with an indwelling catheter if there are features of systemic infection.</w:t>
      </w:r>
    </w:p>
    <w:p w14:paraId="06F011F5" w14:textId="77777777" w:rsidR="00BF4FC1" w:rsidRDefault="00BF4FC1" w:rsidP="00BF4FC1">
      <w:pPr>
        <w:pStyle w:val="Paragraph"/>
      </w:pPr>
      <w:r w:rsidRPr="004900AF">
        <w:t>NICE’s clinical knowledge summary</w:t>
      </w:r>
      <w:r>
        <w:t xml:space="preserve"> on </w:t>
      </w:r>
      <w:r w:rsidRPr="004900AF">
        <w:t xml:space="preserve">Pyelonephritis </w:t>
      </w:r>
      <w:r>
        <w:t>–</w:t>
      </w:r>
      <w:r w:rsidRPr="004900AF">
        <w:t xml:space="preserve"> acute</w:t>
      </w:r>
      <w:r>
        <w:t>: Diagnosis</w:t>
      </w:r>
    </w:p>
    <w:p w14:paraId="42ED9E60" w14:textId="77777777" w:rsidR="00BF4FC1" w:rsidRDefault="00BF4FC1" w:rsidP="00BF4FC1">
      <w:pPr>
        <w:pStyle w:val="Paragraph"/>
        <w:numPr>
          <w:ilvl w:val="0"/>
          <w:numId w:val="12"/>
        </w:numPr>
      </w:pPr>
      <w:r w:rsidRPr="00172412">
        <w:t>In all people suspected of having acute pyelonephritis, arrange collection of a mid-steam urine (MSU) or catheter specimen of urine (CSU), to determine the infecting micro-organism.</w:t>
      </w:r>
    </w:p>
    <w:p w14:paraId="30E18F75" w14:textId="77777777" w:rsidR="00BF4FC1" w:rsidRDefault="00BF4FC1" w:rsidP="00BF4FC1">
      <w:pPr>
        <w:pStyle w:val="Paragraph"/>
      </w:pPr>
      <w:r>
        <w:t xml:space="preserve">NICE’s guideline on </w:t>
      </w:r>
      <w:r w:rsidRPr="00610C04">
        <w:t>Urinary tract infection (lower): antimicrobial prescribing</w:t>
      </w:r>
      <w:r>
        <w:t xml:space="preserve"> (NG109)</w:t>
      </w:r>
    </w:p>
    <w:p w14:paraId="58495963" w14:textId="1715F87B" w:rsidR="00BF4FC1" w:rsidRDefault="00BF4FC1" w:rsidP="00BF4FC1">
      <w:pPr>
        <w:pStyle w:val="Paragraph"/>
      </w:pPr>
      <w:r>
        <w:lastRenderedPageBreak/>
        <w:t xml:space="preserve">1.1.6 </w:t>
      </w:r>
      <w:r w:rsidRPr="00CD651E">
        <w:t xml:space="preserve">Obtain a midstream urine sample from pregnant women and men before antibiotics are </w:t>
      </w:r>
      <w:proofErr w:type="spellStart"/>
      <w:proofErr w:type="gramStart"/>
      <w:r w:rsidRPr="00CD651E">
        <w:t>taken,and</w:t>
      </w:r>
      <w:proofErr w:type="spellEnd"/>
      <w:proofErr w:type="gramEnd"/>
      <w:r w:rsidRPr="00CD651E">
        <w:t xml:space="preserve"> send for culture and susceptibility testing.</w:t>
      </w:r>
    </w:p>
    <w:p w14:paraId="10F71BA9" w14:textId="77777777" w:rsidR="00BF4FC1" w:rsidRDefault="00BF4FC1" w:rsidP="00BF4FC1">
      <w:pPr>
        <w:pStyle w:val="Paragraph"/>
      </w:pPr>
      <w:r>
        <w:t xml:space="preserve">NICE’s guideline on </w:t>
      </w:r>
      <w:r w:rsidRPr="00610C04">
        <w:t>Pyelonephritis (acute): antimicrobial prescribing</w:t>
      </w:r>
      <w:r>
        <w:t xml:space="preserve"> (NG111)</w:t>
      </w:r>
    </w:p>
    <w:p w14:paraId="72ECDD10" w14:textId="7AAEF3E0" w:rsidR="00BF4FC1" w:rsidRDefault="00BF4FC1" w:rsidP="00BF4FC1">
      <w:pPr>
        <w:pStyle w:val="Paragraph"/>
      </w:pPr>
      <w:r>
        <w:t xml:space="preserve">1.1.2 </w:t>
      </w:r>
      <w:r w:rsidRPr="00610C04">
        <w:t>In people aged 16 years and over with acute pyelonephritis, obtain a midstream urine sample before antibiotics are taken and send for culture and susceptibility testing.</w:t>
      </w:r>
    </w:p>
    <w:p w14:paraId="2ECA7257" w14:textId="77777777" w:rsidR="00335AF3" w:rsidRPr="00B0030E" w:rsidRDefault="00335AF3" w:rsidP="00335AF3">
      <w:pPr>
        <w:pStyle w:val="Heading4"/>
      </w:pPr>
      <w:r w:rsidRPr="00B0030E">
        <w:t>Current UK practice</w:t>
      </w:r>
    </w:p>
    <w:p w14:paraId="3A814BB2" w14:textId="3218B533" w:rsidR="00580B4F" w:rsidRDefault="00926FBD" w:rsidP="001A003A">
      <w:pPr>
        <w:pStyle w:val="Paragraph"/>
        <w:spacing w:before="0" w:after="0"/>
      </w:pPr>
      <w:r>
        <w:t xml:space="preserve">The </w:t>
      </w:r>
      <w:hyperlink r:id="rId19" w:history="1">
        <w:r w:rsidRPr="00926FBD">
          <w:rPr>
            <w:rStyle w:val="Hyperlink"/>
          </w:rPr>
          <w:t>Pathology GIRFT Programme National Specialty Report</w:t>
        </w:r>
      </w:hyperlink>
      <w:r>
        <w:t xml:space="preserve"> </w:t>
      </w:r>
      <w:r w:rsidR="00F84350">
        <w:t xml:space="preserve">identifies </w:t>
      </w:r>
      <w:r w:rsidR="00F84350" w:rsidRPr="00F84350">
        <w:t>considerable variation in the use of urine cultures in primary care</w:t>
      </w:r>
      <w:r w:rsidR="00F84350">
        <w:t xml:space="preserve">. The national average was 105 urine specimens from primary care per 1,000 list size. </w:t>
      </w:r>
      <w:r w:rsidR="00580B4F">
        <w:t xml:space="preserve">The report also found a </w:t>
      </w:r>
      <w:r w:rsidR="00580B4F" w:rsidRPr="00580B4F">
        <w:t>six-fold variation in the rejection of urine samples from primary care</w:t>
      </w:r>
      <w:r w:rsidR="00580B4F">
        <w:t xml:space="preserve"> and a ten-fold variation in rejection rates for urine samples from trusts.</w:t>
      </w:r>
    </w:p>
    <w:p w14:paraId="014410B1" w14:textId="78EC3E64" w:rsidR="00C46449" w:rsidRDefault="00AC503C" w:rsidP="003657A1">
      <w:pPr>
        <w:pStyle w:val="Paragraph"/>
        <w:rPr>
          <w:rFonts w:cs="Arial"/>
        </w:rPr>
      </w:pPr>
      <w:hyperlink r:id="rId20" w:history="1">
        <w:r w:rsidR="000E6B85" w:rsidRPr="000E6B85">
          <w:rPr>
            <w:rStyle w:val="Hyperlink"/>
            <w:rFonts w:cs="Arial"/>
          </w:rPr>
          <w:t xml:space="preserve">Mar </w:t>
        </w:r>
        <w:proofErr w:type="spellStart"/>
        <w:r w:rsidR="000E6B85" w:rsidRPr="000E6B85">
          <w:rPr>
            <w:rStyle w:val="Hyperlink"/>
            <w:rFonts w:cs="Arial"/>
          </w:rPr>
          <w:t>Pujades</w:t>
        </w:r>
        <w:proofErr w:type="spellEnd"/>
        <w:r w:rsidR="000E6B85" w:rsidRPr="000E6B85">
          <w:rPr>
            <w:rStyle w:val="Hyperlink"/>
            <w:rFonts w:cs="Arial"/>
          </w:rPr>
          <w:t>-Rodriguez et al</w:t>
        </w:r>
      </w:hyperlink>
      <w:r w:rsidR="000E6B85" w:rsidRPr="000E6B85">
        <w:rPr>
          <w:rFonts w:cs="Arial"/>
        </w:rPr>
        <w:t xml:space="preserve"> </w:t>
      </w:r>
      <w:r w:rsidR="000E6B85">
        <w:rPr>
          <w:rFonts w:cs="Arial"/>
        </w:rPr>
        <w:t>published a</w:t>
      </w:r>
      <w:r w:rsidR="00C46449">
        <w:rPr>
          <w:rFonts w:cs="Arial"/>
        </w:rPr>
        <w:t xml:space="preserve"> </w:t>
      </w:r>
      <w:r w:rsidR="004F63DC">
        <w:rPr>
          <w:rFonts w:cs="Arial"/>
        </w:rPr>
        <w:t xml:space="preserve">retrospective </w:t>
      </w:r>
      <w:r w:rsidR="00C46449">
        <w:rPr>
          <w:rFonts w:cs="Arial"/>
        </w:rPr>
        <w:t>study</w:t>
      </w:r>
      <w:r w:rsidR="00C82029">
        <w:rPr>
          <w:rFonts w:cs="Arial"/>
        </w:rPr>
        <w:t xml:space="preserve"> based on </w:t>
      </w:r>
      <w:r w:rsidR="00C46449" w:rsidRPr="00C46449">
        <w:rPr>
          <w:rFonts w:cs="Arial"/>
        </w:rPr>
        <w:t xml:space="preserve">a cohort of all patients with </w:t>
      </w:r>
      <w:r w:rsidR="004F63DC">
        <w:rPr>
          <w:rFonts w:cs="Arial"/>
        </w:rPr>
        <w:t xml:space="preserve">a </w:t>
      </w:r>
      <w:r w:rsidR="00C46449" w:rsidRPr="00C46449">
        <w:rPr>
          <w:rFonts w:cs="Arial"/>
        </w:rPr>
        <w:t xml:space="preserve">lower UTI diagnosis between 2011 and 2015 in 390 </w:t>
      </w:r>
      <w:r w:rsidR="000E6B85">
        <w:rPr>
          <w:rFonts w:cs="Arial"/>
        </w:rPr>
        <w:t>GP p</w:t>
      </w:r>
      <w:r w:rsidR="00C46449" w:rsidRPr="00C46449">
        <w:rPr>
          <w:rFonts w:cs="Arial"/>
        </w:rPr>
        <w:t>ractices</w:t>
      </w:r>
      <w:r w:rsidR="000E6B85">
        <w:rPr>
          <w:rFonts w:cs="Arial"/>
        </w:rPr>
        <w:t xml:space="preserve">. </w:t>
      </w:r>
      <w:r w:rsidR="004F63DC">
        <w:rPr>
          <w:rFonts w:cs="Arial"/>
        </w:rPr>
        <w:t xml:space="preserve">Data were extracted from </w:t>
      </w:r>
      <w:proofErr w:type="spellStart"/>
      <w:r w:rsidR="00C46449" w:rsidRPr="00C46449">
        <w:rPr>
          <w:rFonts w:cs="Arial"/>
        </w:rPr>
        <w:t>ResearchOne</w:t>
      </w:r>
      <w:proofErr w:type="spellEnd"/>
      <w:r w:rsidR="000E6B85">
        <w:rPr>
          <w:rFonts w:cs="Arial"/>
        </w:rPr>
        <w:t xml:space="preserve">; </w:t>
      </w:r>
      <w:r w:rsidR="00C46449" w:rsidRPr="00C46449">
        <w:rPr>
          <w:rFonts w:cs="Arial"/>
        </w:rPr>
        <w:t xml:space="preserve">a healthcare research database drawn from electronic patient health records from </w:t>
      </w:r>
      <w:r w:rsidR="00C46449">
        <w:rPr>
          <w:rFonts w:cs="Arial"/>
        </w:rPr>
        <w:t xml:space="preserve">GP </w:t>
      </w:r>
      <w:r w:rsidR="00C46449" w:rsidRPr="00C46449">
        <w:rPr>
          <w:rFonts w:cs="Arial"/>
        </w:rPr>
        <w:t>practices spread throughout England</w:t>
      </w:r>
      <w:r w:rsidR="00C46449">
        <w:rPr>
          <w:rFonts w:cs="Arial"/>
        </w:rPr>
        <w:t xml:space="preserve">. </w:t>
      </w:r>
      <w:r w:rsidR="003657A1">
        <w:rPr>
          <w:rFonts w:cs="Arial"/>
        </w:rPr>
        <w:t xml:space="preserve">The results showed that </w:t>
      </w:r>
      <w:r w:rsidR="007B3DB0">
        <w:rPr>
          <w:rFonts w:cs="Arial"/>
        </w:rPr>
        <w:t>22</w:t>
      </w:r>
      <w:r w:rsidR="003657A1" w:rsidRPr="003657A1">
        <w:rPr>
          <w:rFonts w:cs="Arial"/>
        </w:rPr>
        <w:t xml:space="preserve">% </w:t>
      </w:r>
      <w:r w:rsidR="000E6B85">
        <w:rPr>
          <w:rFonts w:cs="Arial"/>
        </w:rPr>
        <w:t xml:space="preserve">of </w:t>
      </w:r>
      <w:r w:rsidR="00C82029">
        <w:rPr>
          <w:rFonts w:cs="Arial"/>
        </w:rPr>
        <w:t xml:space="preserve">UTI episodes </w:t>
      </w:r>
      <w:r w:rsidR="000E6B85">
        <w:rPr>
          <w:rFonts w:cs="Arial"/>
        </w:rPr>
        <w:t>for</w:t>
      </w:r>
      <w:r w:rsidR="007B3DB0">
        <w:rPr>
          <w:rFonts w:cs="Arial"/>
        </w:rPr>
        <w:t xml:space="preserve"> </w:t>
      </w:r>
      <w:r w:rsidR="003657A1" w:rsidRPr="003657A1">
        <w:rPr>
          <w:rFonts w:cs="Arial"/>
        </w:rPr>
        <w:t xml:space="preserve">pregnant women </w:t>
      </w:r>
      <w:r w:rsidR="007B3DB0">
        <w:rPr>
          <w:rFonts w:cs="Arial"/>
        </w:rPr>
        <w:t xml:space="preserve">had a </w:t>
      </w:r>
      <w:r w:rsidR="007B3DB0" w:rsidRPr="007B3DB0">
        <w:rPr>
          <w:rFonts w:cs="Arial"/>
        </w:rPr>
        <w:t>urine sample for culture or microscopy collected</w:t>
      </w:r>
      <w:r w:rsidR="007B3DB0">
        <w:rPr>
          <w:rFonts w:cs="Arial"/>
        </w:rPr>
        <w:t xml:space="preserve"> within 10 days. For </w:t>
      </w:r>
      <w:r w:rsidR="003657A1" w:rsidRPr="003657A1">
        <w:rPr>
          <w:rFonts w:cs="Arial"/>
        </w:rPr>
        <w:t>men aged 18-64yrs</w:t>
      </w:r>
      <w:r w:rsidR="007B3DB0">
        <w:rPr>
          <w:rFonts w:cs="Arial"/>
        </w:rPr>
        <w:t xml:space="preserve">, </w:t>
      </w:r>
      <w:r w:rsidR="003657A1" w:rsidRPr="003657A1">
        <w:rPr>
          <w:rFonts w:cs="Arial"/>
        </w:rPr>
        <w:t xml:space="preserve">30.6% </w:t>
      </w:r>
      <w:r w:rsidR="00C82029">
        <w:rPr>
          <w:rFonts w:cs="Arial"/>
        </w:rPr>
        <w:t>of episodes had a sample collected.</w:t>
      </w:r>
      <w:r w:rsidR="000E6B85">
        <w:rPr>
          <w:rFonts w:cs="Arial"/>
        </w:rPr>
        <w:t xml:space="preserve"> </w:t>
      </w:r>
      <w:r w:rsidR="002143B8">
        <w:rPr>
          <w:rFonts w:cs="Arial"/>
        </w:rPr>
        <w:t xml:space="preserve">These findings suggest that samples are not being taken or sent in line with guideline recommendations. It is unclear, however, to what extent GP practices were recording and coding this information correctly on the electronic </w:t>
      </w:r>
      <w:r w:rsidR="000E2775">
        <w:rPr>
          <w:rFonts w:cs="Arial"/>
        </w:rPr>
        <w:t xml:space="preserve">patient </w:t>
      </w:r>
      <w:r w:rsidR="002143B8">
        <w:rPr>
          <w:rFonts w:cs="Arial"/>
        </w:rPr>
        <w:t>records.</w:t>
      </w:r>
      <w:r w:rsidR="00E93803">
        <w:rPr>
          <w:rFonts w:cs="Arial"/>
        </w:rPr>
        <w:t xml:space="preserve"> It is also not known if practice has changed since 2015.</w:t>
      </w:r>
    </w:p>
    <w:p w14:paraId="03E99146" w14:textId="77777777" w:rsidR="00BF4FC1" w:rsidRPr="004612EA" w:rsidRDefault="00BF4FC1" w:rsidP="00BF4FC1">
      <w:pPr>
        <w:pStyle w:val="Heading3"/>
      </w:pPr>
      <w:r w:rsidRPr="004612EA">
        <w:t>Resource impact</w:t>
      </w:r>
    </w:p>
    <w:p w14:paraId="3276D19E" w14:textId="458BBD39" w:rsidR="00BF4FC1" w:rsidRDefault="001A003A" w:rsidP="0034304D">
      <w:pPr>
        <w:pStyle w:val="Paragraph"/>
        <w:spacing w:before="0" w:after="0"/>
      </w:pPr>
      <w:r w:rsidRPr="001A003A">
        <w:t>Resource impact for this area would be challenging to estimate. This is because there is no existing data source on the number of patients for whom a dipstick test is used to inform diagnosis of UTI. The size of the eligible population (to predict usage) would need to be estimated using epidemiological or prescription data for other conditions/indications as proxies. Coupled with the uncertainty surrounding other parameters such as the large variety of tests available from supply chains, variations in prices of different brands, and estimating changes in practice and future usage, this would not provide sufficiently robust resource impact information.</w:t>
      </w:r>
    </w:p>
    <w:p w14:paraId="1354742A" w14:textId="77777777" w:rsidR="00BF4FC1" w:rsidRDefault="00BF4FC1" w:rsidP="00BF4FC1">
      <w:pPr>
        <w:pStyle w:val="Heading3"/>
      </w:pPr>
      <w:bookmarkStart w:id="101" w:name="_Hlk61966644"/>
      <w:r w:rsidRPr="0067426A">
        <w:t>Issues for consideration</w:t>
      </w:r>
    </w:p>
    <w:bookmarkEnd w:id="101"/>
    <w:p w14:paraId="29F939F7" w14:textId="77777777" w:rsidR="00BF4FC1" w:rsidRPr="00B413F2" w:rsidRDefault="00BF4FC1" w:rsidP="00BF4FC1">
      <w:pPr>
        <w:pStyle w:val="Paragraph"/>
        <w:rPr>
          <w:b/>
          <w:bCs/>
        </w:rPr>
      </w:pPr>
      <w:r w:rsidRPr="00A6218A">
        <w:rPr>
          <w:b/>
          <w:bCs/>
        </w:rPr>
        <w:t>For discussion:</w:t>
      </w:r>
    </w:p>
    <w:p w14:paraId="59316FE0" w14:textId="29FE8793" w:rsidR="00BF4FC1" w:rsidRPr="00695B92" w:rsidRDefault="00BF4FC1" w:rsidP="00BF4FC1">
      <w:pPr>
        <w:pStyle w:val="Panelbullet1"/>
        <w:spacing w:after="240"/>
      </w:pPr>
      <w:r w:rsidRPr="00695B92">
        <w:t>What is the priority for improvement?</w:t>
      </w:r>
    </w:p>
    <w:p w14:paraId="589DD896" w14:textId="77777777" w:rsidR="00BF4FC1" w:rsidRPr="00695B92" w:rsidRDefault="00BF4FC1" w:rsidP="00BF4FC1">
      <w:pPr>
        <w:pStyle w:val="Panelbullet1"/>
        <w:spacing w:after="240"/>
      </w:pPr>
      <w:r w:rsidRPr="00695B92">
        <w:t>What is the key action that will lead to improvement?</w:t>
      </w:r>
    </w:p>
    <w:p w14:paraId="3A8AE821" w14:textId="7EF1F328" w:rsidR="00BF4FC1" w:rsidRPr="00695B92" w:rsidRDefault="00D14A90" w:rsidP="00BF4FC1">
      <w:pPr>
        <w:pStyle w:val="Panelbullet1"/>
        <w:spacing w:after="240"/>
      </w:pPr>
      <w:r>
        <w:t>Is there a specific age / sex group where diagnosis of UTIs needs improving?</w:t>
      </w:r>
    </w:p>
    <w:p w14:paraId="3220320D" w14:textId="77777777" w:rsidR="00BF4FC1" w:rsidRPr="00A6218A" w:rsidRDefault="00BF4FC1" w:rsidP="00BF4FC1">
      <w:pPr>
        <w:pStyle w:val="Paragraph"/>
        <w:rPr>
          <w:b/>
          <w:bCs/>
        </w:rPr>
      </w:pPr>
      <w:r w:rsidRPr="00A6218A">
        <w:rPr>
          <w:b/>
          <w:bCs/>
        </w:rPr>
        <w:lastRenderedPageBreak/>
        <w:t>For decision:</w:t>
      </w:r>
    </w:p>
    <w:p w14:paraId="182CDC7D" w14:textId="77777777" w:rsidR="00BF4FC1" w:rsidRDefault="00BF4FC1" w:rsidP="00BF4FC1">
      <w:pPr>
        <w:pStyle w:val="Bulletleft1"/>
      </w:pPr>
      <w:r w:rsidRPr="00624810">
        <w:t>Should this area be prioritised for inclusion in the quality standard?</w:t>
      </w:r>
      <w:r>
        <w:br w:type="page"/>
      </w:r>
    </w:p>
    <w:p w14:paraId="0C1370FE" w14:textId="77777777" w:rsidR="00BF4FC1" w:rsidRPr="00433117" w:rsidRDefault="00BF4FC1" w:rsidP="00BF4FC1">
      <w:pPr>
        <w:pStyle w:val="Numberedheading2"/>
      </w:pPr>
      <w:bookmarkStart w:id="102" w:name="_Toc112833002"/>
      <w:r>
        <w:lastRenderedPageBreak/>
        <w:t>Treatment</w:t>
      </w:r>
      <w:bookmarkEnd w:id="102"/>
    </w:p>
    <w:p w14:paraId="60E281FC" w14:textId="77777777" w:rsidR="00BF4FC1" w:rsidRDefault="00BF4FC1" w:rsidP="00BF4FC1">
      <w:pPr>
        <w:pStyle w:val="Heading3"/>
      </w:pPr>
      <w:r w:rsidRPr="009625A6">
        <w:t>Self-care</w:t>
      </w:r>
      <w:r>
        <w:t xml:space="preserve"> and </w:t>
      </w:r>
      <w:r w:rsidRPr="009625A6">
        <w:t>delayed prescribing</w:t>
      </w:r>
    </w:p>
    <w:p w14:paraId="6CA185D9" w14:textId="57F72C2F" w:rsidR="00BF4FC1" w:rsidRDefault="00BF4FC1" w:rsidP="0034304D">
      <w:pPr>
        <w:pStyle w:val="Paragraph"/>
        <w:spacing w:before="0" w:after="0"/>
      </w:pPr>
      <w:r>
        <w:t>Comments identified self-care, providing advice, pharmacy</w:t>
      </w:r>
      <w:r w:rsidR="00325ABD">
        <w:t>-</w:t>
      </w:r>
      <w:r>
        <w:t>led interventions and a</w:t>
      </w:r>
      <w:r w:rsidRPr="00247C4F">
        <w:t>void</w:t>
      </w:r>
      <w:r>
        <w:t>ing</w:t>
      </w:r>
      <w:r w:rsidRPr="00247C4F">
        <w:t xml:space="preserve"> unnecessary treatment of asymptomatic bacteriuria</w:t>
      </w:r>
      <w:r>
        <w:t xml:space="preserve"> as important for </w:t>
      </w:r>
      <w:r w:rsidRPr="00E60B90">
        <w:t>reduc</w:t>
      </w:r>
      <w:r>
        <w:t xml:space="preserve">ing </w:t>
      </w:r>
      <w:r w:rsidRPr="00E60B90">
        <w:t>antimicrobial resistance and minimis</w:t>
      </w:r>
      <w:r>
        <w:t>ing</w:t>
      </w:r>
      <w:r w:rsidRPr="00E60B90">
        <w:t xml:space="preserve"> adverse effects</w:t>
      </w:r>
      <w:r>
        <w:t xml:space="preserve">. Delayed prescribing would </w:t>
      </w:r>
      <w:r w:rsidRPr="00501A31">
        <w:t xml:space="preserve">encourage self-management as a first step, but </w:t>
      </w:r>
      <w:r>
        <w:t xml:space="preserve">also </w:t>
      </w:r>
      <w:r w:rsidRPr="00501A31">
        <w:t xml:space="preserve">allows access </w:t>
      </w:r>
      <w:r>
        <w:t xml:space="preserve">to </w:t>
      </w:r>
      <w:r w:rsidRPr="00501A31">
        <w:t xml:space="preserve">antimicrobials without another appointment </w:t>
      </w:r>
      <w:r>
        <w:t xml:space="preserve">if someone’s condition </w:t>
      </w:r>
      <w:r w:rsidRPr="00501A31">
        <w:t>worse</w:t>
      </w:r>
      <w:r>
        <w:t>n</w:t>
      </w:r>
      <w:r w:rsidR="00325ABD">
        <w:t>s</w:t>
      </w:r>
      <w:r>
        <w:t xml:space="preserve">. Monitoring and reviewing prescribing data, and collecting information on medicines received by patients, were suggested as ways to improve antimicrobial stewardship. </w:t>
      </w:r>
    </w:p>
    <w:p w14:paraId="0B98C5DA" w14:textId="77777777" w:rsidR="00BF4FC1" w:rsidRDefault="00BF4FC1" w:rsidP="00BF4FC1">
      <w:pPr>
        <w:pStyle w:val="Paragraph"/>
      </w:pPr>
      <w:r>
        <w:t>Target population groups identified for avoiding i</w:t>
      </w:r>
      <w:r w:rsidRPr="00CD5944">
        <w:t xml:space="preserve">nappropriate antibiotic prescribing </w:t>
      </w:r>
      <w:r>
        <w:t xml:space="preserve">included </w:t>
      </w:r>
      <w:r w:rsidRPr="00CD5944">
        <w:t xml:space="preserve">adults with </w:t>
      </w:r>
      <w:r>
        <w:t xml:space="preserve">indwelling </w:t>
      </w:r>
      <w:r w:rsidRPr="00CD5944">
        <w:t>catheters</w:t>
      </w:r>
      <w:r>
        <w:t>,</w:t>
      </w:r>
      <w:r w:rsidRPr="00CD5944">
        <w:t xml:space="preserve"> and non</w:t>
      </w:r>
      <w:r w:rsidRPr="00CD5944">
        <w:rPr>
          <w:rFonts w:ascii="Cambria Math" w:hAnsi="Cambria Math" w:cs="Cambria Math"/>
        </w:rPr>
        <w:t>‑</w:t>
      </w:r>
      <w:r w:rsidRPr="00CD5944">
        <w:t>pregnant women</w:t>
      </w:r>
      <w:r>
        <w:t>.</w:t>
      </w:r>
    </w:p>
    <w:p w14:paraId="7EEB04F2" w14:textId="77777777" w:rsidR="00BF4FC1" w:rsidRPr="00F45FBA" w:rsidRDefault="00BF4FC1" w:rsidP="00BF4FC1">
      <w:pPr>
        <w:pStyle w:val="Heading4"/>
      </w:pPr>
      <w:r>
        <w:t>S</w:t>
      </w:r>
      <w:r w:rsidRPr="00CD3D03">
        <w:t xml:space="preserve">elected recommendations </w:t>
      </w:r>
    </w:p>
    <w:p w14:paraId="1929C66E" w14:textId="59B4CB97" w:rsidR="00BF4FC1" w:rsidRDefault="00BF4FC1" w:rsidP="00BF4FC1">
      <w:pPr>
        <w:pStyle w:val="Paragraph"/>
      </w:pPr>
      <w:r w:rsidRPr="00BD4F28">
        <w:t>SIGN</w:t>
      </w:r>
      <w:r>
        <w:t>’s guideline on management of lower urinary tract infection in adult women (SIGN 160)</w:t>
      </w:r>
      <w:r w:rsidRPr="00BD4F28">
        <w:t xml:space="preserve"> </w:t>
      </w:r>
    </w:p>
    <w:p w14:paraId="5C54039E" w14:textId="77777777" w:rsidR="00933881" w:rsidRDefault="00933881" w:rsidP="00933881">
      <w:pPr>
        <w:pStyle w:val="Paragraph"/>
      </w:pPr>
      <w:r w:rsidRPr="009217BA">
        <w:t>3.</w:t>
      </w:r>
      <w:r>
        <w:t>2</w:t>
      </w:r>
      <w:r w:rsidRPr="009217BA">
        <w:t>.</w:t>
      </w:r>
      <w:r>
        <w:t xml:space="preserve">2.2 </w:t>
      </w:r>
      <w:r w:rsidRPr="009574D1">
        <w:t>Predicting patients more likely to benefit from NSAIDs rather than immediate antimicrobial therap</w:t>
      </w:r>
      <w:r>
        <w:t>y</w:t>
      </w:r>
      <w:r w:rsidRPr="009217BA">
        <w:t xml:space="preserve"> </w:t>
      </w:r>
      <w:r>
        <w:t>(women aged under 65)</w:t>
      </w:r>
    </w:p>
    <w:p w14:paraId="1E1BA73B" w14:textId="105E0BDE" w:rsidR="00933881" w:rsidRDefault="00933881" w:rsidP="00933881">
      <w:pPr>
        <w:pStyle w:val="Paragraph"/>
        <w:numPr>
          <w:ilvl w:val="0"/>
          <w:numId w:val="7"/>
        </w:numPr>
      </w:pPr>
      <w:r>
        <w:t>Consider NSAIDs as first-line treatment in women aged &lt;65 years with suspected uncomplicated lower UTI who describe their symptoms as mild.</w:t>
      </w:r>
    </w:p>
    <w:p w14:paraId="72AE3004" w14:textId="77777777" w:rsidR="00BF4FC1" w:rsidRDefault="00BF4FC1" w:rsidP="00BF4FC1">
      <w:pPr>
        <w:pStyle w:val="Paragraph"/>
      </w:pPr>
      <w:r w:rsidRPr="009217BA">
        <w:t>3.</w:t>
      </w:r>
      <w:r>
        <w:t>2</w:t>
      </w:r>
      <w:r w:rsidRPr="009217BA">
        <w:t>.</w:t>
      </w:r>
      <w:r>
        <w:t>4.4</w:t>
      </w:r>
      <w:r w:rsidRPr="009217BA">
        <w:t xml:space="preserve"> </w:t>
      </w:r>
      <w:r w:rsidRPr="00865458">
        <w:t>Treatment of asymptomatic bacteriuria in non-pregnant wome</w:t>
      </w:r>
      <w:r>
        <w:t xml:space="preserve">n </w:t>
      </w:r>
    </w:p>
    <w:p w14:paraId="4FD6C0D0" w14:textId="40915601" w:rsidR="00BF4FC1" w:rsidRDefault="00BF4FC1" w:rsidP="00F15ECC">
      <w:pPr>
        <w:pStyle w:val="Paragraph"/>
        <w:numPr>
          <w:ilvl w:val="0"/>
          <w:numId w:val="7"/>
        </w:numPr>
      </w:pPr>
      <w:r w:rsidRPr="00865458">
        <w:t>Do not treat asymptomatic bacteriuria in non-pregnant women of any age</w:t>
      </w:r>
      <w:r>
        <w:t>.</w:t>
      </w:r>
    </w:p>
    <w:p w14:paraId="7CAFDE6D" w14:textId="77777777" w:rsidR="00BF4FC1" w:rsidRPr="00AE0D39" w:rsidRDefault="00BF4FC1" w:rsidP="00BF4FC1">
      <w:pPr>
        <w:pStyle w:val="Paragraph"/>
      </w:pPr>
      <w:r w:rsidRPr="00AE0D39">
        <w:t>NICE’s guideline on Urinary tract infection (lower): antimicrobial prescribing (NG109):</w:t>
      </w:r>
    </w:p>
    <w:p w14:paraId="01F4E6E6" w14:textId="77777777" w:rsidR="00BF4FC1" w:rsidRDefault="00BF4FC1" w:rsidP="00BF4FC1">
      <w:pPr>
        <w:pStyle w:val="Paragraph"/>
      </w:pPr>
      <w:r w:rsidRPr="00AE0D39">
        <w:t>1.1.2 Give advice about managing symptoms with self-care (see the recommendations on self-care) to all people with lower UTI.</w:t>
      </w:r>
    </w:p>
    <w:p w14:paraId="2B4ABD3A" w14:textId="6956F7E4" w:rsidR="00BF4FC1" w:rsidRDefault="00BF4FC1" w:rsidP="00BF4FC1">
      <w:pPr>
        <w:pStyle w:val="Paragraph"/>
      </w:pPr>
      <w:r>
        <w:t xml:space="preserve">1.1.3 </w:t>
      </w:r>
      <w:r w:rsidRPr="00AE0D39">
        <w:t>Consider a back-up antibiotic prescription (to use if symptoms do not start to improve within 48 hours or worsen at any time) or an immediate antibiotic prescription (see the recommendations on choice of antibiotic) for women with lower UTI who are not pregnant. Take account of:</w:t>
      </w:r>
    </w:p>
    <w:p w14:paraId="52C7C0CB" w14:textId="77777777" w:rsidR="003B1354" w:rsidRDefault="003B1354" w:rsidP="003B1354">
      <w:pPr>
        <w:pStyle w:val="Bulletleft1"/>
      </w:pPr>
      <w:r>
        <w:t>the severity of symptoms</w:t>
      </w:r>
    </w:p>
    <w:p w14:paraId="1F10AD42" w14:textId="77777777" w:rsidR="003B1354" w:rsidRDefault="003B1354" w:rsidP="003B1354">
      <w:pPr>
        <w:pStyle w:val="Bulletleft1"/>
      </w:pPr>
      <w:r>
        <w:t>the risk of developing complications, which is higher in people with known or suspected structural or functional abnormality of the genitourinary tract or immunosuppression</w:t>
      </w:r>
    </w:p>
    <w:p w14:paraId="18031079" w14:textId="77777777" w:rsidR="003B1354" w:rsidRDefault="003B1354" w:rsidP="003B1354">
      <w:pPr>
        <w:pStyle w:val="Bulletleft1"/>
      </w:pPr>
      <w:r>
        <w:lastRenderedPageBreak/>
        <w:t>the evidence for back-up antibiotic prescriptions, which was only in non-pregnant women with lower UTI where immediate antibiotic treatment was not considered necessary</w:t>
      </w:r>
    </w:p>
    <w:p w14:paraId="181D6E5E" w14:textId="77777777" w:rsidR="003B1354" w:rsidRDefault="003B1354" w:rsidP="003B1354">
      <w:pPr>
        <w:pStyle w:val="Bulletleft1"/>
      </w:pPr>
      <w:r>
        <w:t>previous urine culture and susceptibility results</w:t>
      </w:r>
    </w:p>
    <w:p w14:paraId="2A1E0241" w14:textId="77777777" w:rsidR="003B1354" w:rsidRDefault="003B1354" w:rsidP="003B1354">
      <w:pPr>
        <w:pStyle w:val="Bulletleft1"/>
      </w:pPr>
      <w:r>
        <w:t>previous antibiotic use, which may have led to resistant bacteria</w:t>
      </w:r>
    </w:p>
    <w:p w14:paraId="4870DC11" w14:textId="014B5D66" w:rsidR="003B1354" w:rsidRDefault="003B1354" w:rsidP="003B1354">
      <w:pPr>
        <w:pStyle w:val="Bulletleft1last"/>
      </w:pPr>
      <w:r>
        <w:t>preferences of the woman for antibiotic use</w:t>
      </w:r>
    </w:p>
    <w:p w14:paraId="6D4A3256" w14:textId="77777777" w:rsidR="00BF4FC1" w:rsidRDefault="00BF4FC1" w:rsidP="00BF4FC1">
      <w:pPr>
        <w:pStyle w:val="Paragraph"/>
      </w:pPr>
      <w:r>
        <w:t>1.2.1 Be aware that asymptomatic bacteriuria:</w:t>
      </w:r>
    </w:p>
    <w:p w14:paraId="5279FD09" w14:textId="77777777" w:rsidR="00BF4FC1" w:rsidRDefault="00BF4FC1" w:rsidP="00BF4FC1">
      <w:pPr>
        <w:pStyle w:val="Paragraph"/>
        <w:numPr>
          <w:ilvl w:val="0"/>
          <w:numId w:val="15"/>
        </w:numPr>
        <w:spacing w:before="0" w:after="0"/>
        <w:ind w:left="357" w:hanging="357"/>
      </w:pPr>
      <w:proofErr w:type="gramStart"/>
      <w:r>
        <w:t>is</w:t>
      </w:r>
      <w:proofErr w:type="gramEnd"/>
      <w:r>
        <w:t xml:space="preserve"> significant levels of bacteria (greater than 105 colony forming units/ml) in the urine with no symptoms of UTI</w:t>
      </w:r>
    </w:p>
    <w:p w14:paraId="2CED1C69" w14:textId="77777777" w:rsidR="00BF4FC1" w:rsidRDefault="00BF4FC1" w:rsidP="00BF4FC1">
      <w:pPr>
        <w:pStyle w:val="Paragraph"/>
        <w:numPr>
          <w:ilvl w:val="0"/>
          <w:numId w:val="15"/>
        </w:numPr>
        <w:spacing w:before="0" w:after="0"/>
        <w:ind w:left="357" w:hanging="357"/>
      </w:pPr>
      <w:r>
        <w:t>is not routinely screened for, or treated, in women who are not pregnant, men, young people and children</w:t>
      </w:r>
    </w:p>
    <w:p w14:paraId="1F67AF54" w14:textId="77777777" w:rsidR="00BF4FC1" w:rsidRDefault="00BF4FC1" w:rsidP="00BF4FC1">
      <w:pPr>
        <w:pStyle w:val="Paragraph"/>
        <w:numPr>
          <w:ilvl w:val="0"/>
          <w:numId w:val="15"/>
        </w:numPr>
        <w:spacing w:before="0" w:after="0"/>
        <w:ind w:left="357" w:hanging="357"/>
      </w:pPr>
      <w:r>
        <w:t>is treated with antibiotics in pregnant women because it is a risk factor for pyelonephritis and premature delivery (see the recommendations on choice of antibiotic).</w:t>
      </w:r>
    </w:p>
    <w:p w14:paraId="67BDF26B" w14:textId="77777777" w:rsidR="00BF4FC1" w:rsidRDefault="00BF4FC1" w:rsidP="00BF4FC1">
      <w:pPr>
        <w:pStyle w:val="Paragraph"/>
      </w:pPr>
      <w:r>
        <w:t>1.3.1 Advise people with lower UTI about using paracetamol for pain, or if preferred and suitable ibuprofen.</w:t>
      </w:r>
    </w:p>
    <w:p w14:paraId="7D09E8F4" w14:textId="77777777" w:rsidR="00BF4FC1" w:rsidRDefault="00BF4FC1" w:rsidP="00BF4FC1">
      <w:pPr>
        <w:pStyle w:val="Paragraph"/>
      </w:pPr>
      <w:r>
        <w:t>1.3.2 Advise people with lower UTI about drinking enough fluids to avoid dehydration.</w:t>
      </w:r>
    </w:p>
    <w:p w14:paraId="003AE30A" w14:textId="77777777" w:rsidR="00BF4FC1" w:rsidRDefault="00BF4FC1" w:rsidP="00BF4FC1">
      <w:pPr>
        <w:pStyle w:val="Paragraph"/>
        <w:spacing w:before="0" w:after="0"/>
      </w:pPr>
      <w:r>
        <w:t>1.3.3 Be aware that no evidence was found on cranberry products or urine alkalinising agents to treat lower UTI.</w:t>
      </w:r>
    </w:p>
    <w:p w14:paraId="6E2496A0" w14:textId="77777777" w:rsidR="00BF4FC1" w:rsidRDefault="00BF4FC1" w:rsidP="00BF4FC1">
      <w:pPr>
        <w:pStyle w:val="Paragraph"/>
        <w:spacing w:before="0" w:after="0"/>
      </w:pPr>
    </w:p>
    <w:p w14:paraId="0CB36779" w14:textId="77777777" w:rsidR="00BF4FC1" w:rsidRDefault="00BF4FC1" w:rsidP="00BF4FC1">
      <w:pPr>
        <w:pStyle w:val="Paragraph"/>
        <w:spacing w:before="0" w:after="0"/>
      </w:pPr>
      <w:r>
        <w:t xml:space="preserve">NICE’s guideline on </w:t>
      </w:r>
      <w:r w:rsidRPr="005A1DB2">
        <w:t>Urinary tract infection (catheter-associated): antimicrobial prescribing</w:t>
      </w:r>
      <w:r>
        <w:t xml:space="preserve"> (NG113)</w:t>
      </w:r>
    </w:p>
    <w:p w14:paraId="59954BAC" w14:textId="77777777" w:rsidR="00BF4FC1" w:rsidRDefault="00BF4FC1" w:rsidP="00BF4FC1">
      <w:pPr>
        <w:pStyle w:val="Paragraph"/>
      </w:pPr>
      <w:r>
        <w:t>1.1.1 Be aware that:</w:t>
      </w:r>
    </w:p>
    <w:p w14:paraId="4F84E099" w14:textId="77777777" w:rsidR="00BF4FC1" w:rsidRDefault="00BF4FC1" w:rsidP="00BF4FC1">
      <w:pPr>
        <w:pStyle w:val="Paragraph"/>
        <w:numPr>
          <w:ilvl w:val="0"/>
          <w:numId w:val="16"/>
        </w:numPr>
        <w:spacing w:before="0" w:after="0"/>
        <w:ind w:left="714" w:hanging="357"/>
      </w:pPr>
      <w:r>
        <w:t>a catheter-associated urinary tract infection (UTI) is a symptomatic infection of the bladder or kidneys in a person with a urinary catheter</w:t>
      </w:r>
    </w:p>
    <w:p w14:paraId="37A922A0" w14:textId="77777777" w:rsidR="00BF4FC1" w:rsidRDefault="00BF4FC1" w:rsidP="00BF4FC1">
      <w:pPr>
        <w:pStyle w:val="Paragraph"/>
        <w:numPr>
          <w:ilvl w:val="0"/>
          <w:numId w:val="16"/>
        </w:numPr>
        <w:spacing w:before="0" w:after="0"/>
        <w:ind w:left="714" w:hanging="357"/>
      </w:pPr>
      <w:r>
        <w:t xml:space="preserve">the longer a catheter is in place, the more likely bacteria will be found in the urine; after 1 month </w:t>
      </w:r>
      <w:proofErr w:type="gramStart"/>
      <w:r>
        <w:t>nearly</w:t>
      </w:r>
      <w:proofErr w:type="gramEnd"/>
      <w:r>
        <w:t xml:space="preserve"> all people have bacteriuria</w:t>
      </w:r>
    </w:p>
    <w:p w14:paraId="6EA2342E" w14:textId="77777777" w:rsidR="00BF4FC1" w:rsidRDefault="00BF4FC1" w:rsidP="00BF4FC1">
      <w:pPr>
        <w:pStyle w:val="Paragraph"/>
        <w:numPr>
          <w:ilvl w:val="0"/>
          <w:numId w:val="16"/>
        </w:numPr>
        <w:spacing w:before="0" w:after="0"/>
        <w:ind w:left="714" w:hanging="357"/>
      </w:pPr>
      <w:r>
        <w:t>antibiotic treatment is not routinely needed for asymptomatic bacteriuria in people with a catheter.</w:t>
      </w:r>
    </w:p>
    <w:p w14:paraId="5FB8C3AB" w14:textId="77777777" w:rsidR="00BF4FC1" w:rsidRDefault="00BF4FC1" w:rsidP="00BF4FC1">
      <w:pPr>
        <w:pStyle w:val="Paragraph"/>
        <w:spacing w:before="0" w:after="0"/>
      </w:pPr>
    </w:p>
    <w:p w14:paraId="4E3753CF" w14:textId="77777777" w:rsidR="00BF4FC1" w:rsidRDefault="00BF4FC1" w:rsidP="00BF4FC1">
      <w:pPr>
        <w:pStyle w:val="Paragraph"/>
        <w:spacing w:before="0" w:after="0"/>
      </w:pPr>
      <w:r>
        <w:t xml:space="preserve">1.1.2 </w:t>
      </w:r>
      <w:r w:rsidRPr="00467334">
        <w:t>Give advice about managing symptoms with self-care (see the recommendations on self-care) to all people with catheter-associated UTI.</w:t>
      </w:r>
    </w:p>
    <w:p w14:paraId="3B96FA20" w14:textId="77777777" w:rsidR="00BF4FC1" w:rsidRDefault="00BF4FC1" w:rsidP="00BF4FC1">
      <w:pPr>
        <w:pStyle w:val="Paragraph"/>
      </w:pPr>
      <w:r>
        <w:t>1.2.1 Advise people with catheter-associated UTI about using paracetamol for pain.</w:t>
      </w:r>
    </w:p>
    <w:p w14:paraId="2A0673DE" w14:textId="77777777" w:rsidR="00BF4FC1" w:rsidRDefault="00BF4FC1" w:rsidP="00BF4FC1">
      <w:pPr>
        <w:pStyle w:val="Paragraph"/>
        <w:spacing w:before="0" w:after="0"/>
      </w:pPr>
      <w:r>
        <w:lastRenderedPageBreak/>
        <w:t>1.2.2 Advise people with catheter-associated UTI about drinking enough fluids to avoid dehydration.</w:t>
      </w:r>
    </w:p>
    <w:p w14:paraId="5BC966A9" w14:textId="77777777" w:rsidR="00BF4FC1" w:rsidRDefault="00BF4FC1" w:rsidP="00BF4FC1">
      <w:pPr>
        <w:pStyle w:val="Heading4"/>
      </w:pPr>
      <w:r>
        <w:t>Current UK practice</w:t>
      </w:r>
    </w:p>
    <w:p w14:paraId="58745B74" w14:textId="66177C35" w:rsidR="00BF4FC1" w:rsidRDefault="00AC503C" w:rsidP="006E4B13">
      <w:pPr>
        <w:pStyle w:val="Paragraph"/>
        <w:spacing w:before="0" w:after="0"/>
      </w:pPr>
      <w:hyperlink r:id="rId21" w:history="1">
        <w:r w:rsidR="00D43E98" w:rsidRPr="000E6B85">
          <w:rPr>
            <w:rStyle w:val="Hyperlink"/>
            <w:rFonts w:cs="Arial"/>
          </w:rPr>
          <w:t xml:space="preserve">Mar </w:t>
        </w:r>
        <w:proofErr w:type="spellStart"/>
        <w:r w:rsidR="00D43E98" w:rsidRPr="000E6B85">
          <w:rPr>
            <w:rStyle w:val="Hyperlink"/>
            <w:rFonts w:cs="Arial"/>
          </w:rPr>
          <w:t>Pujades</w:t>
        </w:r>
        <w:proofErr w:type="spellEnd"/>
        <w:r w:rsidR="00D43E98" w:rsidRPr="000E6B85">
          <w:rPr>
            <w:rStyle w:val="Hyperlink"/>
            <w:rFonts w:cs="Arial"/>
          </w:rPr>
          <w:t xml:space="preserve">-Rodriguez et </w:t>
        </w:r>
        <w:proofErr w:type="spellStart"/>
        <w:r w:rsidR="00D43E98" w:rsidRPr="000E6B85">
          <w:rPr>
            <w:rStyle w:val="Hyperlink"/>
            <w:rFonts w:cs="Arial"/>
          </w:rPr>
          <w:t>a</w:t>
        </w:r>
        <w:r w:rsidR="00D43E98">
          <w:rPr>
            <w:rStyle w:val="Hyperlink"/>
            <w:rFonts w:cs="Arial"/>
          </w:rPr>
          <w:t>l’s</w:t>
        </w:r>
        <w:proofErr w:type="spellEnd"/>
      </w:hyperlink>
      <w:r w:rsidR="00D43E98" w:rsidRPr="000E6B85">
        <w:rPr>
          <w:rFonts w:cs="Arial"/>
        </w:rPr>
        <w:t xml:space="preserve"> </w:t>
      </w:r>
      <w:r w:rsidR="00D43E98">
        <w:rPr>
          <w:rFonts w:cs="Arial"/>
        </w:rPr>
        <w:t xml:space="preserve">study of </w:t>
      </w:r>
      <w:r w:rsidR="00D43E98" w:rsidRPr="00C46449">
        <w:rPr>
          <w:rFonts w:cs="Arial"/>
        </w:rPr>
        <w:t xml:space="preserve">patients with lower UTI diagnosis </w:t>
      </w:r>
      <w:r w:rsidR="0084662F">
        <w:rPr>
          <w:rFonts w:cs="Arial"/>
        </w:rPr>
        <w:t xml:space="preserve">between </w:t>
      </w:r>
      <w:r w:rsidR="0084662F" w:rsidRPr="0084662F">
        <w:rPr>
          <w:rFonts w:cs="Arial"/>
        </w:rPr>
        <w:t xml:space="preserve">2011 and 2015 </w:t>
      </w:r>
      <w:r w:rsidR="00D43E98" w:rsidRPr="00C46449">
        <w:rPr>
          <w:rFonts w:cs="Arial"/>
        </w:rPr>
        <w:t xml:space="preserve">in 390 </w:t>
      </w:r>
      <w:r w:rsidR="00D43E98">
        <w:rPr>
          <w:rFonts w:cs="Arial"/>
        </w:rPr>
        <w:t>GP p</w:t>
      </w:r>
      <w:r w:rsidR="00D43E98" w:rsidRPr="00C46449">
        <w:rPr>
          <w:rFonts w:cs="Arial"/>
        </w:rPr>
        <w:t>ractices</w:t>
      </w:r>
      <w:r w:rsidR="00D43E98">
        <w:t xml:space="preserve"> reported that </w:t>
      </w:r>
      <w:r w:rsidR="00E21EF9" w:rsidRPr="00E21EF9">
        <w:t>86% of UTIs were treated with a same-day antibiotic prescription</w:t>
      </w:r>
      <w:r w:rsidR="00D43E98">
        <w:t xml:space="preserve">. </w:t>
      </w:r>
      <w:r w:rsidR="00223713">
        <w:t xml:space="preserve">The authors described this as </w:t>
      </w:r>
      <w:r w:rsidR="00223713" w:rsidRPr="00223713">
        <w:t>reflecting routine clinical practice in primary care</w:t>
      </w:r>
      <w:r w:rsidR="00223713">
        <w:t xml:space="preserve"> and said that </w:t>
      </w:r>
      <w:r w:rsidR="00D43E98">
        <w:t>that t</w:t>
      </w:r>
      <w:r w:rsidR="00E21EF9" w:rsidRPr="00E21EF9">
        <w:t>he proportion of patients being offered delayed prescriptions</w:t>
      </w:r>
      <w:r w:rsidR="0084662F">
        <w:t>,</w:t>
      </w:r>
      <w:r w:rsidR="00E21EF9" w:rsidRPr="00E21EF9">
        <w:t xml:space="preserve"> or symptomatic treatment and follow-up</w:t>
      </w:r>
      <w:r w:rsidR="0084662F">
        <w:t>,</w:t>
      </w:r>
      <w:r w:rsidR="00E21EF9" w:rsidRPr="00E21EF9">
        <w:t xml:space="preserve"> seems to be low</w:t>
      </w:r>
      <w:r w:rsidR="00223713">
        <w:t>.</w:t>
      </w:r>
      <w:r w:rsidR="00D43E98">
        <w:t xml:space="preserve"> </w:t>
      </w:r>
    </w:p>
    <w:p w14:paraId="198566CE" w14:textId="6F0B8770" w:rsidR="000477D6" w:rsidRPr="00810720" w:rsidRDefault="00AC503C" w:rsidP="000477D6">
      <w:pPr>
        <w:pStyle w:val="Paragraph"/>
      </w:pPr>
      <w:hyperlink r:id="rId22" w:history="1">
        <w:proofErr w:type="spellStart"/>
        <w:r w:rsidR="000477D6" w:rsidRPr="00A726C6">
          <w:rPr>
            <w:rStyle w:val="Hyperlink"/>
          </w:rPr>
          <w:t>Gharbi</w:t>
        </w:r>
        <w:proofErr w:type="spellEnd"/>
        <w:r w:rsidR="000477D6" w:rsidRPr="00A726C6">
          <w:rPr>
            <w:rStyle w:val="Hyperlink"/>
          </w:rPr>
          <w:t xml:space="preserve"> et al</w:t>
        </w:r>
      </w:hyperlink>
      <w:r w:rsidR="000477D6">
        <w:t xml:space="preserve"> undertook a </w:t>
      </w:r>
      <w:r w:rsidR="000477D6" w:rsidRPr="000477D6">
        <w:t>retrospective population</w:t>
      </w:r>
      <w:r w:rsidR="00766F95">
        <w:t>-</w:t>
      </w:r>
      <w:r w:rsidR="000477D6" w:rsidRPr="000477D6">
        <w:t xml:space="preserve">based cohort study in England on patients attending </w:t>
      </w:r>
      <w:r w:rsidR="000477D6">
        <w:t xml:space="preserve">GP </w:t>
      </w:r>
      <w:r w:rsidR="000477D6" w:rsidRPr="000477D6">
        <w:t>practices</w:t>
      </w:r>
      <w:r w:rsidR="000B0583">
        <w:t xml:space="preserve"> between 2007 and 2015</w:t>
      </w:r>
      <w:r w:rsidR="000477D6">
        <w:t xml:space="preserve">. Data was extracted from the </w:t>
      </w:r>
      <w:r w:rsidR="000477D6" w:rsidRPr="000477D6">
        <w:t>Clinical Practice Research Datalink</w:t>
      </w:r>
      <w:r w:rsidR="000B0583">
        <w:t xml:space="preserve"> (a </w:t>
      </w:r>
      <w:r w:rsidR="000B0583" w:rsidRPr="000B0583">
        <w:t>primary care electronic health database</w:t>
      </w:r>
      <w:r w:rsidR="000B0583">
        <w:t xml:space="preserve">) </w:t>
      </w:r>
      <w:r w:rsidR="000477D6">
        <w:t xml:space="preserve">for adults aged 65 years or older presenting to </w:t>
      </w:r>
      <w:r w:rsidR="0084662F">
        <w:t xml:space="preserve">a </w:t>
      </w:r>
      <w:r w:rsidR="000477D6">
        <w:t xml:space="preserve">GP with at least one diagnosis of suspected or confirmed lower UTI. </w:t>
      </w:r>
      <w:r w:rsidR="000B0583">
        <w:t xml:space="preserve">Out of </w:t>
      </w:r>
      <w:r w:rsidR="000477D6">
        <w:t>312</w:t>
      </w:r>
      <w:r w:rsidR="00A726C6">
        <w:t>,</w:t>
      </w:r>
      <w:r w:rsidR="000477D6">
        <w:t>896 UTI episodes</w:t>
      </w:r>
      <w:r w:rsidR="000B0583">
        <w:t xml:space="preserve"> identified</w:t>
      </w:r>
      <w:r w:rsidR="00A726C6">
        <w:t xml:space="preserve">, </w:t>
      </w:r>
      <w:r w:rsidR="000477D6">
        <w:t>7.2% did not have a record of antibiotics being prescribed and 6.2% showed a delay in antibiotic prescribing</w:t>
      </w:r>
      <w:r w:rsidR="00A726C6">
        <w:t>.</w:t>
      </w:r>
    </w:p>
    <w:p w14:paraId="02E546DD" w14:textId="77777777" w:rsidR="00BF4FC1" w:rsidRDefault="00BF4FC1" w:rsidP="00BF4FC1">
      <w:pPr>
        <w:pStyle w:val="Heading3"/>
      </w:pPr>
      <w:r>
        <w:t>Choice of antibiotic and course duration</w:t>
      </w:r>
    </w:p>
    <w:p w14:paraId="30DC37F8" w14:textId="760E5B7C" w:rsidR="00BF4FC1" w:rsidRDefault="00BF4FC1" w:rsidP="006E4B13">
      <w:pPr>
        <w:pStyle w:val="Paragraph"/>
        <w:spacing w:before="0" w:after="0"/>
      </w:pPr>
      <w:r>
        <w:t xml:space="preserve">Prescribing of antibiotics for older people was suggested as a key area, with early initiation of recommended first line antibiotics. Some comments identified the key priority as ensuring a short course of antibiotics (3 days) </w:t>
      </w:r>
      <w:r w:rsidRPr="00B16F53">
        <w:t xml:space="preserve">for </w:t>
      </w:r>
      <w:r w:rsidRPr="008C330D">
        <w:t>treatment of uncomplicated lower UTI in adult women</w:t>
      </w:r>
      <w:r>
        <w:t xml:space="preserve"> as this is </w:t>
      </w:r>
      <w:r w:rsidRPr="008C330D">
        <w:t xml:space="preserve">beneficial in terms of adverse effects and impact on antimicrobial resistance.  </w:t>
      </w:r>
      <w:r>
        <w:t xml:space="preserve">Others suggested that the key area is that 3 days duration is not suitable for </w:t>
      </w:r>
      <w:r w:rsidRPr="008C0EAF">
        <w:t>lower UTI</w:t>
      </w:r>
      <w:r>
        <w:t>s</w:t>
      </w:r>
      <w:r w:rsidRPr="008C0EAF">
        <w:t xml:space="preserve"> in men</w:t>
      </w:r>
      <w:r>
        <w:t xml:space="preserve">, </w:t>
      </w:r>
      <w:r w:rsidRPr="008C0EAF">
        <w:t>pregnant women</w:t>
      </w:r>
      <w:r w:rsidR="00F76AA7">
        <w:t>,</w:t>
      </w:r>
      <w:r>
        <w:t xml:space="preserve"> complicated UTIs</w:t>
      </w:r>
      <w:r w:rsidR="00F76AA7">
        <w:t xml:space="preserve"> and recurrent UTIs</w:t>
      </w:r>
      <w:r>
        <w:t xml:space="preserve">. Specific criteria were also given in relation to types of antibiotics not to be used: do not use nitrofurantoin, oral </w:t>
      </w:r>
      <w:proofErr w:type="spellStart"/>
      <w:r>
        <w:t>fosfomycin</w:t>
      </w:r>
      <w:proofErr w:type="spellEnd"/>
      <w:r>
        <w:t xml:space="preserve">, and </w:t>
      </w:r>
      <w:proofErr w:type="spellStart"/>
      <w:r>
        <w:t>pivmecillinam</w:t>
      </w:r>
      <w:proofErr w:type="spellEnd"/>
      <w:r>
        <w:t xml:space="preserve"> to treat pyelonephritis; and do not use trimethoprim if it has been given in the previous 3 months, unless a </w:t>
      </w:r>
      <w:r w:rsidRPr="00930D75">
        <w:t>specimen of urine</w:t>
      </w:r>
      <w:r>
        <w:t xml:space="preserve"> shows sensitivity. </w:t>
      </w:r>
    </w:p>
    <w:p w14:paraId="0B5BFAF8" w14:textId="77777777" w:rsidR="00BF4FC1" w:rsidRPr="00F45FBA" w:rsidRDefault="00BF4FC1" w:rsidP="00BF4FC1">
      <w:pPr>
        <w:pStyle w:val="Heading4"/>
      </w:pPr>
      <w:r>
        <w:t>S</w:t>
      </w:r>
      <w:r w:rsidRPr="00CD3D03">
        <w:t xml:space="preserve">elected recommendations </w:t>
      </w:r>
    </w:p>
    <w:p w14:paraId="62B7A65A" w14:textId="77777777" w:rsidR="00BF4FC1" w:rsidRPr="00BD4F28" w:rsidRDefault="00BF4FC1" w:rsidP="003F4EC4">
      <w:pPr>
        <w:pStyle w:val="Paragraph"/>
        <w:spacing w:before="0" w:after="0"/>
      </w:pPr>
      <w:r w:rsidRPr="00BD4F28">
        <w:t>SIGN</w:t>
      </w:r>
      <w:r>
        <w:t>’s guideline on management of lower urinary tract infection in adult women</w:t>
      </w:r>
      <w:r w:rsidRPr="00BD4F28">
        <w:t xml:space="preserve"> </w:t>
      </w:r>
      <w:r>
        <w:t>(SIGN 160)</w:t>
      </w:r>
    </w:p>
    <w:p w14:paraId="3A75B59E" w14:textId="77777777" w:rsidR="00BF4FC1" w:rsidRDefault="00BF4FC1" w:rsidP="00BF4FC1">
      <w:pPr>
        <w:pStyle w:val="Paragraph"/>
      </w:pPr>
      <w:r w:rsidRPr="009217BA">
        <w:t>3.</w:t>
      </w:r>
      <w:r>
        <w:t>2</w:t>
      </w:r>
      <w:r w:rsidRPr="009217BA">
        <w:t>.</w:t>
      </w:r>
      <w:r>
        <w:t>4.2</w:t>
      </w:r>
      <w:r w:rsidRPr="009217BA">
        <w:t xml:space="preserve"> </w:t>
      </w:r>
      <w:r>
        <w:t>Duration of t</w:t>
      </w:r>
      <w:r w:rsidRPr="00865458">
        <w:t xml:space="preserve">reatment </w:t>
      </w:r>
      <w:r>
        <w:t>(women aged under 65)</w:t>
      </w:r>
    </w:p>
    <w:p w14:paraId="50C54FF4" w14:textId="77777777" w:rsidR="00BF4FC1" w:rsidRDefault="00BF4FC1" w:rsidP="00BF4FC1">
      <w:pPr>
        <w:pStyle w:val="Paragraph"/>
        <w:numPr>
          <w:ilvl w:val="0"/>
          <w:numId w:val="7"/>
        </w:numPr>
      </w:pPr>
      <w:r>
        <w:t>Use short (3-day) courses of antimicrobials for treatment for LUTI, as this is clinically effective and minimises the risk of adverse events.</w:t>
      </w:r>
    </w:p>
    <w:p w14:paraId="3C993083" w14:textId="77777777" w:rsidR="00BF4FC1" w:rsidRDefault="00BF4FC1" w:rsidP="00BF4FC1">
      <w:pPr>
        <w:pStyle w:val="Paragraph"/>
      </w:pPr>
      <w:r>
        <w:t>4.2.2.1 Choice of agent (women aged 65 and over)</w:t>
      </w:r>
    </w:p>
    <w:p w14:paraId="5BE6E881" w14:textId="77777777" w:rsidR="00BF4FC1" w:rsidRDefault="00BF4FC1" w:rsidP="00BF4FC1">
      <w:pPr>
        <w:pStyle w:val="Paragraph"/>
        <w:numPr>
          <w:ilvl w:val="0"/>
          <w:numId w:val="7"/>
        </w:numPr>
      </w:pPr>
      <w:r>
        <w:t xml:space="preserve">Consider use of a narrow-spectrum antimicrobial with activity against common </w:t>
      </w:r>
      <w:proofErr w:type="spellStart"/>
      <w:r>
        <w:t>uropathogens</w:t>
      </w:r>
      <w:proofErr w:type="spellEnd"/>
      <w:r>
        <w:t xml:space="preserve"> for treatment of LUTI in women aged 65 years and over. Consider </w:t>
      </w:r>
      <w:r>
        <w:lastRenderedPageBreak/>
        <w:t xml:space="preserve">individual patient factors such as impaired renal function, </w:t>
      </w:r>
      <w:proofErr w:type="gramStart"/>
      <w:r>
        <w:t>polypharmacy</w:t>
      </w:r>
      <w:proofErr w:type="gramEnd"/>
      <w:r>
        <w:t xml:space="preserve"> and adverse effects, such as CDI and antimicrobial resistance.</w:t>
      </w:r>
    </w:p>
    <w:p w14:paraId="6AEC89DB" w14:textId="77777777" w:rsidR="00BF4FC1" w:rsidRDefault="00BF4FC1" w:rsidP="00BF4FC1">
      <w:pPr>
        <w:pStyle w:val="Paragraph"/>
      </w:pPr>
      <w:r>
        <w:t>NICE’s guideline on u</w:t>
      </w:r>
      <w:r w:rsidRPr="001C5F01">
        <w:t xml:space="preserve">rinary tract infection (lower): antimicrobial prescribing </w:t>
      </w:r>
      <w:r>
        <w:t>(NG109)</w:t>
      </w:r>
    </w:p>
    <w:p w14:paraId="0F717EA3" w14:textId="77777777" w:rsidR="00BF4FC1" w:rsidRDefault="00BF4FC1" w:rsidP="00BF4FC1">
      <w:pPr>
        <w:pStyle w:val="Paragraph"/>
      </w:pPr>
      <w:r>
        <w:t>1.4.1 When prescribing antibiotic treatment for lower UTI, take account of local antimicrobial resistance data and follow:</w:t>
      </w:r>
    </w:p>
    <w:p w14:paraId="1013F23C" w14:textId="77777777" w:rsidR="00BF4FC1" w:rsidRDefault="00BF4FC1" w:rsidP="007C6ED4">
      <w:pPr>
        <w:pStyle w:val="Paragraph"/>
        <w:numPr>
          <w:ilvl w:val="0"/>
          <w:numId w:val="18"/>
        </w:numPr>
        <w:spacing w:before="0" w:after="0"/>
        <w:ind w:left="357" w:hanging="357"/>
      </w:pPr>
      <w:r>
        <w:t>table 1 for non-pregnant women aged 16 years and over</w:t>
      </w:r>
    </w:p>
    <w:p w14:paraId="6840920E" w14:textId="77777777" w:rsidR="00BF4FC1" w:rsidRDefault="00BF4FC1" w:rsidP="007C6ED4">
      <w:pPr>
        <w:pStyle w:val="Paragraph"/>
        <w:numPr>
          <w:ilvl w:val="0"/>
          <w:numId w:val="18"/>
        </w:numPr>
        <w:spacing w:before="0" w:after="0"/>
        <w:ind w:left="357" w:hanging="357"/>
      </w:pPr>
      <w:r>
        <w:t>table 2 for pregnant women aged 12 years and over</w:t>
      </w:r>
    </w:p>
    <w:p w14:paraId="10300E03" w14:textId="77777777" w:rsidR="00BF4FC1" w:rsidRDefault="00BF4FC1" w:rsidP="007C6ED4">
      <w:pPr>
        <w:pStyle w:val="Paragraph"/>
        <w:numPr>
          <w:ilvl w:val="0"/>
          <w:numId w:val="18"/>
        </w:numPr>
        <w:spacing w:before="0" w:after="0"/>
        <w:ind w:left="357" w:hanging="357"/>
      </w:pPr>
      <w:r>
        <w:t>table 3 for men aged 16 years and over</w:t>
      </w:r>
    </w:p>
    <w:p w14:paraId="1E964449" w14:textId="3A87C0A2" w:rsidR="00BF4FC1" w:rsidRDefault="00BF4FC1" w:rsidP="00BF4FC1">
      <w:pPr>
        <w:pStyle w:val="Paragraph"/>
        <w:spacing w:before="0" w:after="0"/>
      </w:pPr>
      <w:r>
        <w:t>[Tables not included for brevity. They cover first and second choice antibiotics, dosage, and course length.</w:t>
      </w:r>
      <w:r w:rsidR="00227341">
        <w:t xml:space="preserve"> Full tables </w:t>
      </w:r>
      <w:r w:rsidR="00E01B68">
        <w:t>are available</w:t>
      </w:r>
      <w:r w:rsidR="00227341">
        <w:t xml:space="preserve"> </w:t>
      </w:r>
      <w:hyperlink r:id="rId23" w:history="1">
        <w:r w:rsidR="00227341" w:rsidRPr="00227341">
          <w:rPr>
            <w:rStyle w:val="Hyperlink"/>
          </w:rPr>
          <w:t>here</w:t>
        </w:r>
      </w:hyperlink>
      <w:r w:rsidR="00227341">
        <w:t>.</w:t>
      </w:r>
      <w:r>
        <w:t>]</w:t>
      </w:r>
    </w:p>
    <w:p w14:paraId="05C66B08" w14:textId="77777777" w:rsidR="00BF4FC1" w:rsidRDefault="00BF4FC1" w:rsidP="00BF4FC1">
      <w:pPr>
        <w:pStyle w:val="Paragraph"/>
        <w:spacing w:before="0" w:after="0"/>
      </w:pPr>
    </w:p>
    <w:p w14:paraId="2804C276" w14:textId="77777777" w:rsidR="00BF4FC1" w:rsidRDefault="00BF4FC1" w:rsidP="00BF4FC1">
      <w:pPr>
        <w:pStyle w:val="Paragraph"/>
        <w:spacing w:before="0" w:after="0"/>
      </w:pPr>
      <w:r>
        <w:t>NICE’s guideline on p</w:t>
      </w:r>
      <w:r w:rsidRPr="001C5F01">
        <w:t>yelonephritis (acute): antimicrobial prescribing</w:t>
      </w:r>
      <w:r>
        <w:t xml:space="preserve"> (NG111)</w:t>
      </w:r>
    </w:p>
    <w:p w14:paraId="59A4F751" w14:textId="77777777" w:rsidR="00BF4FC1" w:rsidRDefault="00BF4FC1" w:rsidP="00BF4FC1">
      <w:pPr>
        <w:pStyle w:val="Paragraph"/>
      </w:pPr>
      <w:r>
        <w:t>1.3.1 When prescribing an antibiotic for acute pyelonephritis, take account of local antimicrobial resistance (AMR) data from Public Health England and follow:</w:t>
      </w:r>
    </w:p>
    <w:p w14:paraId="28B0BF16" w14:textId="77777777" w:rsidR="00BF4FC1" w:rsidRDefault="00BF4FC1" w:rsidP="007C6ED4">
      <w:pPr>
        <w:pStyle w:val="Paragraph"/>
        <w:numPr>
          <w:ilvl w:val="0"/>
          <w:numId w:val="19"/>
        </w:numPr>
        <w:spacing w:before="0" w:after="0"/>
        <w:ind w:left="357" w:hanging="357"/>
      </w:pPr>
      <w:r>
        <w:t>table 1 for non-pregnant women and men aged 16 years and over</w:t>
      </w:r>
    </w:p>
    <w:p w14:paraId="1F9F6E9C" w14:textId="77777777" w:rsidR="00BF4FC1" w:rsidRDefault="00BF4FC1" w:rsidP="007C6ED4">
      <w:pPr>
        <w:pStyle w:val="Paragraph"/>
        <w:numPr>
          <w:ilvl w:val="0"/>
          <w:numId w:val="19"/>
        </w:numPr>
        <w:spacing w:before="0" w:after="0"/>
        <w:ind w:left="357" w:hanging="357"/>
      </w:pPr>
      <w:r>
        <w:t>table 2 for pregnant women aged 12 years and over</w:t>
      </w:r>
    </w:p>
    <w:p w14:paraId="42631251" w14:textId="4F0E8CC6" w:rsidR="00BF4FC1" w:rsidRDefault="00BF4FC1" w:rsidP="00BF4FC1">
      <w:pPr>
        <w:pStyle w:val="Paragraph"/>
        <w:spacing w:before="0" w:after="0"/>
      </w:pPr>
      <w:r>
        <w:t>[Tables not included for brevity. They cover first and second choice antibiotics, dosage, and course length.</w:t>
      </w:r>
      <w:r w:rsidR="00227341">
        <w:t xml:space="preserve"> Full tables </w:t>
      </w:r>
      <w:r w:rsidR="00E01B68">
        <w:t>are available</w:t>
      </w:r>
      <w:r w:rsidR="00227341">
        <w:t xml:space="preserve"> </w:t>
      </w:r>
      <w:hyperlink r:id="rId24" w:history="1">
        <w:r w:rsidR="00227341" w:rsidRPr="00227341">
          <w:rPr>
            <w:rStyle w:val="Hyperlink"/>
          </w:rPr>
          <w:t>here</w:t>
        </w:r>
      </w:hyperlink>
      <w:r w:rsidR="00227341">
        <w:t>.</w:t>
      </w:r>
      <w:r>
        <w:t>]</w:t>
      </w:r>
    </w:p>
    <w:p w14:paraId="6DC27761" w14:textId="77777777" w:rsidR="00BF4FC1" w:rsidRPr="00E23D33" w:rsidRDefault="00BF4FC1" w:rsidP="00E23D33">
      <w:pPr>
        <w:pStyle w:val="Heading4"/>
      </w:pPr>
      <w:r w:rsidRPr="00E23D33">
        <w:t>Current UK practice</w:t>
      </w:r>
    </w:p>
    <w:p w14:paraId="4B73800B" w14:textId="6C4837AD" w:rsidR="00A161BD" w:rsidRDefault="00AC503C" w:rsidP="00547CF2">
      <w:pPr>
        <w:pStyle w:val="Paragraph"/>
        <w:spacing w:before="0" w:after="0"/>
      </w:pPr>
      <w:hyperlink r:id="rId25" w:history="1">
        <w:r w:rsidR="00FE6C70" w:rsidRPr="000E6B85">
          <w:rPr>
            <w:rStyle w:val="Hyperlink"/>
            <w:rFonts w:cs="Arial"/>
          </w:rPr>
          <w:t xml:space="preserve">Mar </w:t>
        </w:r>
        <w:proofErr w:type="spellStart"/>
        <w:r w:rsidR="00FE6C70" w:rsidRPr="000E6B85">
          <w:rPr>
            <w:rStyle w:val="Hyperlink"/>
            <w:rFonts w:cs="Arial"/>
          </w:rPr>
          <w:t>Pujades</w:t>
        </w:r>
        <w:proofErr w:type="spellEnd"/>
        <w:r w:rsidR="00FE6C70" w:rsidRPr="000E6B85">
          <w:rPr>
            <w:rStyle w:val="Hyperlink"/>
            <w:rFonts w:cs="Arial"/>
          </w:rPr>
          <w:t xml:space="preserve">-Rodriguez et </w:t>
        </w:r>
        <w:proofErr w:type="spellStart"/>
        <w:r w:rsidR="00FE6C70" w:rsidRPr="000E6B85">
          <w:rPr>
            <w:rStyle w:val="Hyperlink"/>
            <w:rFonts w:cs="Arial"/>
          </w:rPr>
          <w:t>a</w:t>
        </w:r>
        <w:r w:rsidR="00FE6C70">
          <w:rPr>
            <w:rStyle w:val="Hyperlink"/>
            <w:rFonts w:cs="Arial"/>
          </w:rPr>
          <w:t>l’s</w:t>
        </w:r>
        <w:proofErr w:type="spellEnd"/>
      </w:hyperlink>
      <w:r w:rsidR="00FE6C70" w:rsidRPr="000E6B85">
        <w:rPr>
          <w:rFonts w:cs="Arial"/>
        </w:rPr>
        <w:t xml:space="preserve"> </w:t>
      </w:r>
      <w:r w:rsidR="00547CF2">
        <w:rPr>
          <w:rFonts w:cs="Arial"/>
        </w:rPr>
        <w:t xml:space="preserve">retrospective </w:t>
      </w:r>
      <w:r w:rsidR="00FE6C70">
        <w:rPr>
          <w:rFonts w:cs="Arial"/>
        </w:rPr>
        <w:t xml:space="preserve">study of </w:t>
      </w:r>
      <w:r w:rsidR="00FE6C70" w:rsidRPr="00C46449">
        <w:rPr>
          <w:rFonts w:cs="Arial"/>
        </w:rPr>
        <w:t xml:space="preserve">patients </w:t>
      </w:r>
      <w:r w:rsidR="00D36BC9" w:rsidRPr="00D36BC9">
        <w:t xml:space="preserve">diagnosed with lower UTI in primary care practices in England, found that </w:t>
      </w:r>
      <w:r w:rsidR="00D36BC9">
        <w:t xml:space="preserve">86% </w:t>
      </w:r>
      <w:r w:rsidR="00D36BC9" w:rsidRPr="00D36BC9">
        <w:t>received empirical antibiotic therapy on the day of diagnosis, and 83% had no evidence of urine sample collection for microbiological investigation in their electronic health records</w:t>
      </w:r>
      <w:r w:rsidR="00D36BC9">
        <w:t xml:space="preserve">. The findings showed that </w:t>
      </w:r>
      <w:r w:rsidR="00A161BD">
        <w:t xml:space="preserve">initial </w:t>
      </w:r>
      <w:r w:rsidR="00D36BC9" w:rsidRPr="00D36BC9">
        <w:t xml:space="preserve">treatment was generally limited to two antibiotics, </w:t>
      </w:r>
      <w:proofErr w:type="gramStart"/>
      <w:r w:rsidR="00D36BC9" w:rsidRPr="00D36BC9">
        <w:t>trimethoprim</w:t>
      </w:r>
      <w:proofErr w:type="gramEnd"/>
      <w:r w:rsidR="00D36BC9" w:rsidRPr="00D36BC9">
        <w:t xml:space="preserve"> and nitrofurantoin (</w:t>
      </w:r>
      <w:r w:rsidR="00E90E1F">
        <w:t>57%</w:t>
      </w:r>
      <w:r w:rsidR="00D36BC9" w:rsidRPr="00D36BC9">
        <w:t xml:space="preserve"> and </w:t>
      </w:r>
      <w:r w:rsidR="00E90E1F">
        <w:t>24</w:t>
      </w:r>
      <w:r w:rsidR="00D36BC9" w:rsidRPr="00D36BC9">
        <w:t xml:space="preserve">%, respectively). </w:t>
      </w:r>
      <w:r w:rsidR="00A161BD">
        <w:t xml:space="preserve">The authors concluded that </w:t>
      </w:r>
      <w:r w:rsidR="00A161BD" w:rsidRPr="00A161BD">
        <w:t>prescribing in general follows national guidance for situation</w:t>
      </w:r>
      <w:r w:rsidR="007732C4">
        <w:t>s</w:t>
      </w:r>
      <w:r w:rsidR="00A161BD" w:rsidRPr="00A161BD">
        <w:t xml:space="preserve"> when the risk of resistance </w:t>
      </w:r>
      <w:proofErr w:type="gramStart"/>
      <w:r w:rsidR="00A161BD" w:rsidRPr="00A161BD">
        <w:t>is considered to be</w:t>
      </w:r>
      <w:proofErr w:type="gramEnd"/>
      <w:r w:rsidR="00A161BD" w:rsidRPr="00A161BD">
        <w:t xml:space="preserve"> low</w:t>
      </w:r>
      <w:r w:rsidR="00A161BD">
        <w:t>.</w:t>
      </w:r>
    </w:p>
    <w:p w14:paraId="297783BB" w14:textId="5FC98E93" w:rsidR="00213473" w:rsidRDefault="00D36BC9" w:rsidP="00BF4FC1">
      <w:pPr>
        <w:pStyle w:val="Paragraph"/>
      </w:pPr>
      <w:r w:rsidRPr="00D36BC9">
        <w:t xml:space="preserve">Antibiotic re-prescription </w:t>
      </w:r>
      <w:r w:rsidR="00A83D54">
        <w:t xml:space="preserve">for the same UTI episode </w:t>
      </w:r>
      <w:r w:rsidRPr="00D36BC9">
        <w:t>was uncommon (</w:t>
      </w:r>
      <w:r w:rsidR="00880CE9">
        <w:t xml:space="preserve">recorded in </w:t>
      </w:r>
      <w:r w:rsidRPr="00D36BC9">
        <w:t>4.1% of UTI episodes)</w:t>
      </w:r>
      <w:r>
        <w:t>.</w:t>
      </w:r>
      <w:r w:rsidR="00A161BD">
        <w:t xml:space="preserve"> However, </w:t>
      </w:r>
      <w:r w:rsidR="00880CE9">
        <w:t xml:space="preserve">more than </w:t>
      </w:r>
      <w:r w:rsidR="00880CE9" w:rsidRPr="00880CE9">
        <w:t xml:space="preserve">one in five episodes of antibiotic re-prescription were treated with the same antibiotic as was initially prescribed. </w:t>
      </w:r>
      <w:r w:rsidR="00213473">
        <w:t xml:space="preserve">The authors described it </w:t>
      </w:r>
      <w:r w:rsidR="00880CE9" w:rsidRPr="00880CE9">
        <w:t>illogical to re-prescribe the same antibiotic when treatment failure is considered clinically</w:t>
      </w:r>
      <w:r w:rsidR="00213473">
        <w:t>.</w:t>
      </w:r>
    </w:p>
    <w:p w14:paraId="4E3FB326" w14:textId="390BFF36" w:rsidR="00D568E6" w:rsidRDefault="00AC503C" w:rsidP="00BF4FC1">
      <w:pPr>
        <w:pStyle w:val="Paragraph"/>
      </w:pPr>
      <w:hyperlink r:id="rId26" w:history="1">
        <w:proofErr w:type="spellStart"/>
        <w:r w:rsidR="00D568E6" w:rsidRPr="00A726C6">
          <w:rPr>
            <w:rStyle w:val="Hyperlink"/>
          </w:rPr>
          <w:t>Gharbi</w:t>
        </w:r>
        <w:proofErr w:type="spellEnd"/>
        <w:r w:rsidR="00D568E6" w:rsidRPr="00A726C6">
          <w:rPr>
            <w:rStyle w:val="Hyperlink"/>
          </w:rPr>
          <w:t xml:space="preserve"> et </w:t>
        </w:r>
        <w:proofErr w:type="spellStart"/>
        <w:r w:rsidR="00D568E6" w:rsidRPr="00A726C6">
          <w:rPr>
            <w:rStyle w:val="Hyperlink"/>
          </w:rPr>
          <w:t>a</w:t>
        </w:r>
        <w:r w:rsidR="00D568E6">
          <w:rPr>
            <w:rStyle w:val="Hyperlink"/>
          </w:rPr>
          <w:t>l’s</w:t>
        </w:r>
        <w:proofErr w:type="spellEnd"/>
      </w:hyperlink>
      <w:r w:rsidR="00D568E6">
        <w:t xml:space="preserve"> </w:t>
      </w:r>
      <w:r w:rsidR="00D568E6" w:rsidRPr="000477D6">
        <w:t xml:space="preserve">retrospective </w:t>
      </w:r>
      <w:r w:rsidR="00D568E6">
        <w:t xml:space="preserve">study of patients aged 65 and over found that of </w:t>
      </w:r>
      <w:r w:rsidR="00D568E6" w:rsidRPr="00D568E6">
        <w:t>participants prescribed antibiotics for a UTI episode, 7</w:t>
      </w:r>
      <w:r w:rsidR="00332D1B">
        <w:t>4%</w:t>
      </w:r>
      <w:r w:rsidR="00D568E6" w:rsidRPr="00D568E6">
        <w:t xml:space="preserve"> received either trimethoprim (5</w:t>
      </w:r>
      <w:r w:rsidR="00332D1B">
        <w:t>5</w:t>
      </w:r>
      <w:r w:rsidR="00D568E6" w:rsidRPr="00D568E6">
        <w:t>%) or nitrofurantoin (</w:t>
      </w:r>
      <w:r w:rsidR="00332D1B">
        <w:t>19%</w:t>
      </w:r>
      <w:r w:rsidR="00D568E6" w:rsidRPr="00D568E6">
        <w:t>)</w:t>
      </w:r>
      <w:r w:rsidR="00332D1B">
        <w:t>.</w:t>
      </w:r>
    </w:p>
    <w:p w14:paraId="1C4A93B6" w14:textId="48B41162" w:rsidR="00E23D33" w:rsidRDefault="00AC503C" w:rsidP="00BF4FC1">
      <w:pPr>
        <w:pStyle w:val="Paragraph"/>
      </w:pPr>
      <w:hyperlink r:id="rId27" w:history="1">
        <w:proofErr w:type="spellStart"/>
        <w:r w:rsidR="00E23D33" w:rsidRPr="00394BD5">
          <w:rPr>
            <w:rStyle w:val="Hyperlink"/>
          </w:rPr>
          <w:t>Pouwels</w:t>
        </w:r>
        <w:proofErr w:type="spellEnd"/>
        <w:r w:rsidR="00E23D33" w:rsidRPr="00394BD5">
          <w:rPr>
            <w:rStyle w:val="Hyperlink"/>
          </w:rPr>
          <w:t xml:space="preserve"> et al</w:t>
        </w:r>
      </w:hyperlink>
      <w:r w:rsidR="00E23D33">
        <w:t xml:space="preserve"> carried out a study to look at </w:t>
      </w:r>
      <w:r w:rsidR="00E23D33" w:rsidRPr="00E23D33">
        <w:t>whether the durations of antibiotic prescriptions followed guidelines</w:t>
      </w:r>
      <w:r w:rsidR="00E23D33">
        <w:t xml:space="preserve"> for specific infections. They extracted data from </w:t>
      </w:r>
      <w:r w:rsidR="00E23D33" w:rsidRPr="00E23D33">
        <w:t>The Health Improvement Network</w:t>
      </w:r>
      <w:r w:rsidR="00E23D33">
        <w:t xml:space="preserve"> (</w:t>
      </w:r>
      <w:r w:rsidR="00E23D33" w:rsidRPr="00E23D33">
        <w:t>a primary care electronic database that contains anonymised data on patients, practices, and consultations</w:t>
      </w:r>
      <w:r w:rsidR="00E23D33">
        <w:t xml:space="preserve">) for the period 2013-15. </w:t>
      </w:r>
      <w:r w:rsidR="000457D8">
        <w:t xml:space="preserve">The data were compared to </w:t>
      </w:r>
      <w:r w:rsidR="000457D8" w:rsidRPr="000457D8">
        <w:t>treatment durations for first line antibiotics recommended by Public Health England</w:t>
      </w:r>
      <w:r w:rsidR="000457D8">
        <w:t xml:space="preserve"> for that period. For acute cystitis in non-pregnant women, 55% of</w:t>
      </w:r>
      <w:r w:rsidR="00BA5842" w:rsidRPr="00BA5842">
        <w:t xml:space="preserve"> antibiotic prescriptions were for longer than </w:t>
      </w:r>
      <w:r w:rsidR="00BA5842">
        <w:t xml:space="preserve">the 3-day </w:t>
      </w:r>
      <w:r w:rsidR="000457D8">
        <w:t xml:space="preserve">recommended duration. </w:t>
      </w:r>
    </w:p>
    <w:p w14:paraId="3F0BB4CB" w14:textId="532ED3F7" w:rsidR="00D133CA" w:rsidRDefault="00AC503C" w:rsidP="00BF4FC1">
      <w:pPr>
        <w:pStyle w:val="Paragraph"/>
      </w:pPr>
      <w:hyperlink r:id="rId28" w:history="1">
        <w:r w:rsidR="00D133CA" w:rsidRPr="004D2E54">
          <w:rPr>
            <w:rStyle w:val="Hyperlink"/>
          </w:rPr>
          <w:t>Ahmed et al</w:t>
        </w:r>
      </w:hyperlink>
      <w:r w:rsidR="00D133CA">
        <w:t xml:space="preserve"> </w:t>
      </w:r>
      <w:r w:rsidR="005B1D16">
        <w:t>carried out a r</w:t>
      </w:r>
      <w:r w:rsidR="005B1D16" w:rsidRPr="005B1D16">
        <w:t>etrospective study to examine trends in empiric</w:t>
      </w:r>
      <w:r w:rsidR="00FD3F42">
        <w:t>al</w:t>
      </w:r>
      <w:r w:rsidR="005B1D16" w:rsidRPr="005B1D16">
        <w:t xml:space="preserve"> antibiotic prescribing using records </w:t>
      </w:r>
      <w:r w:rsidR="005B1D16">
        <w:t xml:space="preserve">extracted from the </w:t>
      </w:r>
      <w:r w:rsidR="005B1D16" w:rsidRPr="005B1D16">
        <w:t>Clinical Practice Research Datalink</w:t>
      </w:r>
      <w:r w:rsidR="005B1D16">
        <w:t xml:space="preserve">. They extracted records for </w:t>
      </w:r>
      <w:r w:rsidR="005B1D16" w:rsidRPr="005B1D16">
        <w:t xml:space="preserve">almost one million patients aged </w:t>
      </w:r>
      <w:r w:rsidR="005B1D16">
        <w:t>6</w:t>
      </w:r>
      <w:r w:rsidR="005B1D16" w:rsidRPr="005B1D16">
        <w:t>5 years old</w:t>
      </w:r>
      <w:r w:rsidR="005B1D16">
        <w:t xml:space="preserve"> or older</w:t>
      </w:r>
      <w:r w:rsidR="005B1D16" w:rsidRPr="005B1D16">
        <w:t xml:space="preserve">, registered with 393 </w:t>
      </w:r>
      <w:r w:rsidR="005B1D16">
        <w:t xml:space="preserve">GP </w:t>
      </w:r>
      <w:r w:rsidR="005B1D16" w:rsidRPr="005B1D16">
        <w:t>practices in England</w:t>
      </w:r>
      <w:r w:rsidR="00F36BDF">
        <w:t xml:space="preserve"> between 2004 and 2014</w:t>
      </w:r>
      <w:r w:rsidR="005B1D16" w:rsidRPr="005B1D16">
        <w:t xml:space="preserve">. </w:t>
      </w:r>
      <w:r w:rsidR="005B1D16">
        <w:t>Their findings showed that p</w:t>
      </w:r>
      <w:r w:rsidR="005B1D16" w:rsidRPr="005B1D16">
        <w:t>rescribing of broad-spectrum antibiotics decreased over the study period. There were increases in the proportion of older men (from 45% to 74%) and women (from 55% to 82%) with UTI, prescribed a UTI specific antibiotic</w:t>
      </w:r>
      <w:r w:rsidR="00F36BDF">
        <w:t xml:space="preserve"> (</w:t>
      </w:r>
      <w:r w:rsidR="00F36BDF" w:rsidRPr="00F36BDF">
        <w:t>nitrofurantoin or trimethoprim</w:t>
      </w:r>
      <w:r w:rsidR="00F36BDF">
        <w:t>)</w:t>
      </w:r>
      <w:r w:rsidR="005B1D16" w:rsidRPr="005B1D16">
        <w:t>.</w:t>
      </w:r>
      <w:r w:rsidR="00F36BDF">
        <w:t xml:space="preserve"> </w:t>
      </w:r>
      <w:r w:rsidR="00F36BDF" w:rsidRPr="00F36BDF">
        <w:t xml:space="preserve">There were also increases in the proportion of older men </w:t>
      </w:r>
      <w:r w:rsidR="004D2E54">
        <w:t xml:space="preserve">prescribed antibiotics for 7-days </w:t>
      </w:r>
      <w:r w:rsidR="004D2E54" w:rsidRPr="00F36BDF">
        <w:t>(</w:t>
      </w:r>
      <w:r w:rsidR="004D2E54">
        <w:t xml:space="preserve">from </w:t>
      </w:r>
      <w:r w:rsidR="004D2E54" w:rsidRPr="00F36BDF">
        <w:t xml:space="preserve">42% to 69%) </w:t>
      </w:r>
      <w:r w:rsidR="00F36BDF" w:rsidRPr="00F36BDF">
        <w:t xml:space="preserve">and women prescribed antibiotics for </w:t>
      </w:r>
      <w:r w:rsidR="004D2E54">
        <w:t xml:space="preserve">3-days </w:t>
      </w:r>
      <w:r w:rsidR="004D2E54" w:rsidRPr="004D2E54">
        <w:t>(</w:t>
      </w:r>
      <w:r w:rsidR="004D2E54">
        <w:t xml:space="preserve">from </w:t>
      </w:r>
      <w:r w:rsidR="004D2E54" w:rsidRPr="004D2E54">
        <w:t>15% to 26%)</w:t>
      </w:r>
      <w:r w:rsidR="004D2E54">
        <w:t xml:space="preserve">. </w:t>
      </w:r>
    </w:p>
    <w:p w14:paraId="0EDA4499" w14:textId="77777777" w:rsidR="00BF4FC1" w:rsidRDefault="00BF4FC1" w:rsidP="00BF4FC1">
      <w:pPr>
        <w:pStyle w:val="Heading3"/>
      </w:pPr>
      <w:r>
        <w:t>Alternative treatments</w:t>
      </w:r>
    </w:p>
    <w:p w14:paraId="52B7678A" w14:textId="77777777" w:rsidR="007732C4" w:rsidRDefault="00BF4FC1" w:rsidP="00BF4FC1">
      <w:pPr>
        <w:pStyle w:val="Paragraphnonumbers"/>
      </w:pPr>
      <w:r>
        <w:t>A stakeholder suggested that e</w:t>
      </w:r>
      <w:r w:rsidRPr="00576A15">
        <w:t xml:space="preserve">ffective alternatives to antibiotics are available for management of UTIs, such as </w:t>
      </w:r>
      <w:r>
        <w:t>g</w:t>
      </w:r>
      <w:r w:rsidRPr="00576A15">
        <w:t>lycosaminoglycan (GAG) layer replacement therapy</w:t>
      </w:r>
      <w:r>
        <w:t>.</w:t>
      </w:r>
      <w:r w:rsidR="00933881">
        <w:t xml:space="preserve"> </w:t>
      </w:r>
    </w:p>
    <w:p w14:paraId="4830B38E" w14:textId="77777777" w:rsidR="007732C4" w:rsidRPr="00F45FBA" w:rsidRDefault="007732C4" w:rsidP="007732C4">
      <w:pPr>
        <w:pStyle w:val="Heading4"/>
      </w:pPr>
      <w:r>
        <w:t>S</w:t>
      </w:r>
      <w:r w:rsidRPr="00CD3D03">
        <w:t xml:space="preserve">elected recommendations </w:t>
      </w:r>
    </w:p>
    <w:p w14:paraId="668654AE" w14:textId="561A5875" w:rsidR="00BF4FC1" w:rsidRDefault="00933881" w:rsidP="00BF4FC1">
      <w:pPr>
        <w:pStyle w:val="Paragraphnonumbers"/>
      </w:pPr>
      <w:r>
        <w:t>No suitable recommendations have been found for this suggested area.</w:t>
      </w:r>
    </w:p>
    <w:p w14:paraId="1F98BFDE" w14:textId="77777777" w:rsidR="00140807" w:rsidRPr="00E23D33" w:rsidRDefault="00140807" w:rsidP="00140807">
      <w:pPr>
        <w:pStyle w:val="Heading4"/>
      </w:pPr>
      <w:r w:rsidRPr="00E23D33">
        <w:t>Current UK practice</w:t>
      </w:r>
    </w:p>
    <w:p w14:paraId="3EA676CA" w14:textId="52C569A1" w:rsidR="00140807" w:rsidRDefault="00140807" w:rsidP="00140807">
      <w:pPr>
        <w:pStyle w:val="Paragraph"/>
      </w:pPr>
      <w:r w:rsidRPr="00140807">
        <w:t>No national data or published large studies on current practice have been identified.</w:t>
      </w:r>
    </w:p>
    <w:p w14:paraId="6260ADF5" w14:textId="6361EBF8" w:rsidR="00BF4FC1" w:rsidRPr="004612EA" w:rsidRDefault="00BF4FC1" w:rsidP="00BF4FC1">
      <w:pPr>
        <w:pStyle w:val="Numberedheading3"/>
      </w:pPr>
      <w:r w:rsidRPr="004612EA">
        <w:t>Resource impact</w:t>
      </w:r>
    </w:p>
    <w:p w14:paraId="31FE74EF" w14:textId="653A42F3" w:rsidR="00BF4FC1" w:rsidRDefault="00F579D9" w:rsidP="00F579D9">
      <w:pPr>
        <w:pStyle w:val="Paragraph"/>
        <w:spacing w:before="0" w:after="0"/>
      </w:pPr>
      <w:r w:rsidRPr="00F579D9">
        <w:t>Please see section 2</w:t>
      </w:r>
      <w:r>
        <w:t>.5</w:t>
      </w:r>
      <w:r w:rsidRPr="00F579D9">
        <w:t xml:space="preserve"> </w:t>
      </w:r>
      <w:r>
        <w:t>in this report.</w:t>
      </w:r>
    </w:p>
    <w:p w14:paraId="09D8C201" w14:textId="77777777" w:rsidR="00BF4FC1" w:rsidRPr="0067426A" w:rsidRDefault="00BF4FC1" w:rsidP="00BF4FC1">
      <w:pPr>
        <w:pStyle w:val="Numberedheading3"/>
      </w:pPr>
      <w:r w:rsidRPr="0067426A">
        <w:t>Issues for consideration</w:t>
      </w:r>
    </w:p>
    <w:p w14:paraId="5B975749" w14:textId="77777777" w:rsidR="00BF4FC1" w:rsidRPr="00B413F2" w:rsidRDefault="00BF4FC1" w:rsidP="00BF4FC1">
      <w:pPr>
        <w:pStyle w:val="Paragraph"/>
        <w:rPr>
          <w:b/>
          <w:bCs/>
        </w:rPr>
      </w:pPr>
      <w:r w:rsidRPr="00A6218A">
        <w:rPr>
          <w:b/>
          <w:bCs/>
        </w:rPr>
        <w:t>For discussion:</w:t>
      </w:r>
    </w:p>
    <w:p w14:paraId="57FC6AD4" w14:textId="6ABC38AC" w:rsidR="00BF4FC1" w:rsidRPr="00327521" w:rsidRDefault="00BF4FC1" w:rsidP="00327521">
      <w:pPr>
        <w:pStyle w:val="Panelbullet1"/>
        <w:shd w:val="clear" w:color="auto" w:fill="FFFFFF" w:themeFill="background1"/>
        <w:spacing w:after="240"/>
      </w:pPr>
      <w:r w:rsidRPr="00327521">
        <w:t>What is the priority for improvement</w:t>
      </w:r>
      <w:r w:rsidR="00327521" w:rsidRPr="00327521">
        <w:t xml:space="preserve"> in relation to treatment</w:t>
      </w:r>
      <w:r w:rsidRPr="00327521">
        <w:t>?</w:t>
      </w:r>
    </w:p>
    <w:p w14:paraId="099B22A8" w14:textId="77777777" w:rsidR="00BF4FC1" w:rsidRPr="00327521" w:rsidRDefault="00BF4FC1" w:rsidP="00327521">
      <w:pPr>
        <w:pStyle w:val="Panelbullet1"/>
        <w:shd w:val="clear" w:color="auto" w:fill="FFFFFF" w:themeFill="background1"/>
        <w:spacing w:after="240"/>
      </w:pPr>
      <w:r w:rsidRPr="00327521">
        <w:t>What is the key action that will lead to improvement?</w:t>
      </w:r>
    </w:p>
    <w:p w14:paraId="26F94A0A" w14:textId="0C324883" w:rsidR="00327521" w:rsidRPr="00327521" w:rsidRDefault="00327521" w:rsidP="00327521">
      <w:pPr>
        <w:pStyle w:val="Panelbullet1"/>
        <w:shd w:val="clear" w:color="auto" w:fill="FFFFFF" w:themeFill="background1"/>
      </w:pPr>
      <w:r w:rsidRPr="00327521">
        <w:t xml:space="preserve">Is there a specific age / sex group where </w:t>
      </w:r>
      <w:r>
        <w:t xml:space="preserve">treatment </w:t>
      </w:r>
      <w:r w:rsidRPr="00327521">
        <w:t>needs improving?</w:t>
      </w:r>
    </w:p>
    <w:p w14:paraId="08E1F534" w14:textId="77777777" w:rsidR="00BF4FC1" w:rsidRPr="00327521" w:rsidRDefault="00BF4FC1" w:rsidP="00327521">
      <w:pPr>
        <w:pStyle w:val="Panelbullet1"/>
        <w:shd w:val="clear" w:color="auto" w:fill="FFFFFF" w:themeFill="background1"/>
        <w:spacing w:after="240"/>
      </w:pPr>
      <w:r w:rsidRPr="00327521">
        <w:t>Can we develop a specific, measurable statement?</w:t>
      </w:r>
    </w:p>
    <w:p w14:paraId="5F887CBE" w14:textId="77777777" w:rsidR="00BF4FC1" w:rsidRPr="00A6218A" w:rsidRDefault="00BF4FC1" w:rsidP="00BF4FC1">
      <w:pPr>
        <w:pStyle w:val="Paragraph"/>
        <w:rPr>
          <w:b/>
          <w:bCs/>
        </w:rPr>
      </w:pPr>
      <w:r w:rsidRPr="00A6218A">
        <w:rPr>
          <w:b/>
          <w:bCs/>
        </w:rPr>
        <w:lastRenderedPageBreak/>
        <w:t>For decision:</w:t>
      </w:r>
    </w:p>
    <w:p w14:paraId="12266F5A" w14:textId="77777777" w:rsidR="00BF4FC1" w:rsidRDefault="00BF4FC1" w:rsidP="00BF4FC1">
      <w:pPr>
        <w:pStyle w:val="Bulletleft1"/>
      </w:pPr>
      <w:r w:rsidRPr="00624810">
        <w:t>Should this area be prioritised for inclusion in the quality standard?</w:t>
      </w:r>
    </w:p>
    <w:p w14:paraId="678A7981" w14:textId="77777777" w:rsidR="00BF4FC1" w:rsidRDefault="00BF4FC1" w:rsidP="00BF4FC1">
      <w:pPr>
        <w:pStyle w:val="Paragraph"/>
      </w:pPr>
      <w:r w:rsidRPr="00427135">
        <w:br w:type="page"/>
      </w:r>
    </w:p>
    <w:p w14:paraId="46643157" w14:textId="77777777" w:rsidR="00BF4FC1" w:rsidRPr="00433117" w:rsidRDefault="00BF4FC1" w:rsidP="00BF4FC1">
      <w:pPr>
        <w:pStyle w:val="Numberedheading2"/>
      </w:pPr>
      <w:bookmarkStart w:id="103" w:name="_Toc112833003"/>
      <w:r w:rsidRPr="007C40E4">
        <w:lastRenderedPageBreak/>
        <w:t>Catheter associated UTI</w:t>
      </w:r>
      <w:bookmarkEnd w:id="103"/>
    </w:p>
    <w:p w14:paraId="162BC14E" w14:textId="77777777" w:rsidR="00BF4FC1" w:rsidRDefault="00BF4FC1" w:rsidP="00BF4FC1">
      <w:pPr>
        <w:pStyle w:val="Paragraph"/>
      </w:pPr>
      <w:r>
        <w:t>Protocols for standardisation of c</w:t>
      </w:r>
      <w:r w:rsidRPr="00FE6F85">
        <w:t xml:space="preserve">atheter insertion and tailored individual programmes based on clinical need </w:t>
      </w:r>
      <w:r>
        <w:t xml:space="preserve">were suggested to reduce the risk of catheter associated UTIs. One suggestion to achieve this was to ensure that patient records include the reason for catheterisation, consideration of alternatives, timelines for insertion and review and referral information. An alternative suggestion was to ensure </w:t>
      </w:r>
      <w:bookmarkStart w:id="104" w:name="_Hlk107300326"/>
      <w:r>
        <w:t>e</w:t>
      </w:r>
      <w:r w:rsidRPr="00416A41">
        <w:t xml:space="preserve">very patient </w:t>
      </w:r>
      <w:r>
        <w:t xml:space="preserve">has </w:t>
      </w:r>
      <w:r w:rsidRPr="00416A41">
        <w:t>a transferable urinary catheter record / care plan or passport.</w:t>
      </w:r>
    </w:p>
    <w:bookmarkEnd w:id="104"/>
    <w:p w14:paraId="494BFDCF" w14:textId="77777777" w:rsidR="00BF4FC1" w:rsidRDefault="00BF4FC1" w:rsidP="00BF4FC1">
      <w:pPr>
        <w:pStyle w:val="Paragraphnonumbers"/>
      </w:pPr>
      <w:r w:rsidRPr="00244647">
        <w:t>For people with a catheter associated UTI, it was suggested that the catheter should be removed or changed if it has been in place for more than 7 days.</w:t>
      </w:r>
    </w:p>
    <w:p w14:paraId="1785A59A" w14:textId="77777777" w:rsidR="005229DD" w:rsidRDefault="005229DD" w:rsidP="005229DD">
      <w:pPr>
        <w:pStyle w:val="Heading4"/>
      </w:pPr>
      <w:r>
        <w:t>Existing quality statements</w:t>
      </w:r>
    </w:p>
    <w:p w14:paraId="7DD4E5AA" w14:textId="0FF07A04" w:rsidR="00FB7D21" w:rsidRDefault="00FB7D21" w:rsidP="00BF4FC1">
      <w:pPr>
        <w:pStyle w:val="Paragraph"/>
      </w:pPr>
      <w:r>
        <w:t xml:space="preserve">NICE’s quality standard on </w:t>
      </w:r>
      <w:r w:rsidRPr="00FB7D21">
        <w:t>Infection prevention and control</w:t>
      </w:r>
      <w:r>
        <w:t xml:space="preserve"> (QS61)</w:t>
      </w:r>
    </w:p>
    <w:p w14:paraId="50AB0892" w14:textId="4B749829" w:rsidR="00FB7D21" w:rsidRDefault="00FB7D21" w:rsidP="00BF4FC1">
      <w:pPr>
        <w:pStyle w:val="Paragraph"/>
      </w:pPr>
      <w:r>
        <w:t xml:space="preserve">Statement 4: </w:t>
      </w:r>
      <w:r w:rsidRPr="00FB7D21">
        <w:t>People who need a urinary catheter have their risk of infection minimised by the completion of specified procedures necessary for the safe insertion and maintenance of the catheter and its removal as soon as it is no longer needed.</w:t>
      </w:r>
    </w:p>
    <w:p w14:paraId="52FE4651" w14:textId="2CDF9CEF" w:rsidR="00C52853" w:rsidRDefault="00C52853" w:rsidP="00BF4FC1">
      <w:pPr>
        <w:pStyle w:val="Paragraph"/>
      </w:pPr>
      <w:r>
        <w:t xml:space="preserve">Definition of ‘specified procedures’ </w:t>
      </w:r>
      <w:proofErr w:type="gramStart"/>
      <w:r>
        <w:t>includes:</w:t>
      </w:r>
      <w:proofErr w:type="gramEnd"/>
      <w:r>
        <w:t xml:space="preserve"> </w:t>
      </w:r>
      <w:r w:rsidRPr="00C52853">
        <w:t>Catheterisation should be used only after considering alternative methods of management. The person's clinical need for catheterisation should be reviewed regularly and the urinary catheter removed as soon as possible. The need for catheterisation, as well as details about insertion, changes and care should be documented.</w:t>
      </w:r>
    </w:p>
    <w:p w14:paraId="25CA4DB0" w14:textId="77777777" w:rsidR="005229DD" w:rsidRPr="00F45FBA" w:rsidRDefault="005229DD" w:rsidP="005229DD">
      <w:pPr>
        <w:pStyle w:val="Heading4"/>
      </w:pPr>
      <w:r>
        <w:t>S</w:t>
      </w:r>
      <w:r w:rsidRPr="00CD3D03">
        <w:t xml:space="preserve">elected recommendations </w:t>
      </w:r>
    </w:p>
    <w:p w14:paraId="65E160EF" w14:textId="4E79C7D6" w:rsidR="00BF4FC1" w:rsidRDefault="00BF4FC1" w:rsidP="00BF4FC1">
      <w:pPr>
        <w:pStyle w:val="Paragraph"/>
      </w:pPr>
      <w:r>
        <w:t xml:space="preserve">NICE’s guideline on </w:t>
      </w:r>
      <w:r w:rsidRPr="0042221D">
        <w:t>Urinary tract infection (catheter-associated): antimicrobial prescribing</w:t>
      </w:r>
      <w:r>
        <w:t xml:space="preserve"> (NG113)</w:t>
      </w:r>
    </w:p>
    <w:p w14:paraId="1250972F" w14:textId="77777777" w:rsidR="00BF4FC1" w:rsidRDefault="00BF4FC1" w:rsidP="00BF4FC1">
      <w:pPr>
        <w:pStyle w:val="Paragraph"/>
      </w:pPr>
      <w:r>
        <w:t xml:space="preserve">1.1.3 </w:t>
      </w:r>
      <w:r w:rsidRPr="0042221D">
        <w:t>Consider removing or, if this cannot be done, changing the catheter as soon as possible in people with a catheter-associated UTI if it has been in place for more than 7 days. Do not allow catheter removal or change to delay antibiotic treatment.</w:t>
      </w:r>
    </w:p>
    <w:p w14:paraId="38C48ED6" w14:textId="0EFF44FC" w:rsidR="00BF4FC1" w:rsidRDefault="00BF4FC1" w:rsidP="00BF4FC1">
      <w:pPr>
        <w:pStyle w:val="Heading4"/>
      </w:pPr>
      <w:r>
        <w:t>Current UK practice</w:t>
      </w:r>
    </w:p>
    <w:p w14:paraId="70E14008" w14:textId="77777777" w:rsidR="00140807" w:rsidRDefault="00140807" w:rsidP="00140807">
      <w:pPr>
        <w:pStyle w:val="Paragraph"/>
        <w:spacing w:before="0" w:after="0"/>
      </w:pPr>
      <w:r w:rsidRPr="00140807">
        <w:t>No national data or published large studies on current practice have been identified.</w:t>
      </w:r>
    </w:p>
    <w:p w14:paraId="67A87A63" w14:textId="40A43BF7" w:rsidR="00BF4FC1" w:rsidRDefault="00BF4FC1" w:rsidP="00BF4FC1">
      <w:pPr>
        <w:pStyle w:val="Numberedheading3"/>
      </w:pPr>
      <w:r w:rsidRPr="004612EA">
        <w:t>Resource impact</w:t>
      </w:r>
    </w:p>
    <w:p w14:paraId="66DA625E" w14:textId="77777777" w:rsidR="009E55B6" w:rsidRPr="007F3DAF" w:rsidRDefault="009E55B6" w:rsidP="009E55B6">
      <w:pPr>
        <w:pStyle w:val="Paragraph"/>
        <w:spacing w:before="0" w:after="0"/>
      </w:pPr>
      <w:r>
        <w:t>Please see section 2.5 earlier in this report.</w:t>
      </w:r>
    </w:p>
    <w:p w14:paraId="456C0F37" w14:textId="77777777" w:rsidR="00BF4FC1" w:rsidRPr="0067426A" w:rsidRDefault="00BF4FC1" w:rsidP="00BF4FC1">
      <w:pPr>
        <w:pStyle w:val="Numberedheading3"/>
      </w:pPr>
      <w:r w:rsidRPr="0067426A">
        <w:t>Issues for consideration</w:t>
      </w:r>
    </w:p>
    <w:p w14:paraId="5D90965B" w14:textId="77777777" w:rsidR="00BF4FC1" w:rsidRPr="00B413F2" w:rsidRDefault="00BF4FC1" w:rsidP="00BF4FC1">
      <w:pPr>
        <w:pStyle w:val="Paragraph"/>
        <w:rPr>
          <w:b/>
          <w:bCs/>
        </w:rPr>
      </w:pPr>
      <w:r w:rsidRPr="00A6218A">
        <w:rPr>
          <w:b/>
          <w:bCs/>
        </w:rPr>
        <w:t>For discussion:</w:t>
      </w:r>
    </w:p>
    <w:p w14:paraId="568A1F4A" w14:textId="77777777" w:rsidR="00011E49" w:rsidRDefault="00011E49" w:rsidP="00BF4FC1">
      <w:pPr>
        <w:pStyle w:val="Panelbullet1"/>
        <w:spacing w:after="240"/>
      </w:pPr>
      <w:r>
        <w:lastRenderedPageBreak/>
        <w:t>Is a statement needed given statement 4 in QS61?</w:t>
      </w:r>
    </w:p>
    <w:p w14:paraId="5C5EF102" w14:textId="77777777" w:rsidR="00BF4FC1" w:rsidRPr="00A6218A" w:rsidRDefault="00BF4FC1" w:rsidP="00BF4FC1">
      <w:pPr>
        <w:pStyle w:val="Paragraph"/>
        <w:rPr>
          <w:b/>
          <w:bCs/>
        </w:rPr>
      </w:pPr>
      <w:r w:rsidRPr="00A6218A">
        <w:rPr>
          <w:b/>
          <w:bCs/>
        </w:rPr>
        <w:t>For decision:</w:t>
      </w:r>
    </w:p>
    <w:p w14:paraId="4150CE8A" w14:textId="77777777" w:rsidR="00BF4FC1" w:rsidRDefault="00BF4FC1" w:rsidP="00BF4FC1">
      <w:pPr>
        <w:pStyle w:val="Bulletleft1"/>
      </w:pPr>
      <w:r w:rsidRPr="00624810">
        <w:t>Should this area be prioritised for inclusion in the quality standard?</w:t>
      </w:r>
    </w:p>
    <w:p w14:paraId="541064CA" w14:textId="77777777" w:rsidR="00BF4FC1" w:rsidRDefault="00BF4FC1" w:rsidP="00BF4FC1">
      <w:pPr>
        <w:rPr>
          <w:rFonts w:ascii="Arial" w:hAnsi="Arial"/>
        </w:rPr>
      </w:pPr>
      <w:r>
        <w:br w:type="page"/>
      </w:r>
    </w:p>
    <w:p w14:paraId="13F77F5D" w14:textId="77777777" w:rsidR="00BF4FC1" w:rsidRPr="00433117" w:rsidRDefault="00BF4FC1" w:rsidP="00BF4FC1">
      <w:pPr>
        <w:pStyle w:val="Numberedheading2"/>
      </w:pPr>
      <w:bookmarkStart w:id="105" w:name="_Toc112833004"/>
      <w:r>
        <w:lastRenderedPageBreak/>
        <w:t xml:space="preserve">Recurrent </w:t>
      </w:r>
      <w:r w:rsidRPr="007C40E4">
        <w:t>UTI</w:t>
      </w:r>
      <w:bookmarkEnd w:id="105"/>
    </w:p>
    <w:p w14:paraId="18DDCE6E" w14:textId="25156239" w:rsidR="00BF4FC1" w:rsidRDefault="00C61095" w:rsidP="00BF4FC1">
      <w:pPr>
        <w:pStyle w:val="Heading3"/>
      </w:pPr>
      <w:r>
        <w:t xml:space="preserve">UTI and the </w:t>
      </w:r>
      <w:r w:rsidR="00BF4FC1">
        <w:t>menopause</w:t>
      </w:r>
    </w:p>
    <w:p w14:paraId="0A1D9904" w14:textId="2FD6C951" w:rsidR="00BF4FC1" w:rsidRDefault="00BF4FC1" w:rsidP="00BF4FC1">
      <w:pPr>
        <w:pStyle w:val="Paragraph"/>
      </w:pPr>
      <w:r>
        <w:t>Several stakeholders focussed suggestions for priorities on the menopause. Improved r</w:t>
      </w:r>
      <w:r w:rsidRPr="00057DCC">
        <w:t xml:space="preserve">ecognition of </w:t>
      </w:r>
      <w:r>
        <w:t xml:space="preserve">the </w:t>
      </w:r>
      <w:r w:rsidRPr="00057DCC">
        <w:t>menopause as being a contributory factor to recurrent UTI</w:t>
      </w:r>
      <w:r>
        <w:t xml:space="preserve"> is needed and vaginal </w:t>
      </w:r>
      <w:r w:rsidRPr="00057DCC">
        <w:t xml:space="preserve">oestrogen </w:t>
      </w:r>
      <w:r>
        <w:t xml:space="preserve">therapy </w:t>
      </w:r>
      <w:r w:rsidRPr="0062494E">
        <w:t>for peri and post</w:t>
      </w:r>
      <w:r w:rsidR="000243A6">
        <w:t>-</w:t>
      </w:r>
      <w:r w:rsidRPr="0062494E">
        <w:t>menopausal women with recurrent UTI</w:t>
      </w:r>
      <w:r>
        <w:t xml:space="preserve"> </w:t>
      </w:r>
      <w:r w:rsidR="005F3808">
        <w:t xml:space="preserve">was </w:t>
      </w:r>
      <w:r>
        <w:t>suggested. U</w:t>
      </w:r>
      <w:r w:rsidRPr="00A570A1">
        <w:t xml:space="preserve">rogenital atrophy, a chronic condition due to </w:t>
      </w:r>
      <w:r>
        <w:t>o</w:t>
      </w:r>
      <w:r w:rsidRPr="00A570A1">
        <w:t xml:space="preserve">estrogen deficiency and associated </w:t>
      </w:r>
      <w:r>
        <w:t xml:space="preserve">with </w:t>
      </w:r>
      <w:r w:rsidRPr="00A570A1">
        <w:t>UTI</w:t>
      </w:r>
      <w:r>
        <w:t xml:space="preserve">s was also identified with pelvic floor training suggested to </w:t>
      </w:r>
      <w:r w:rsidRPr="00057DCC">
        <w:t>reduce signs and symptoms</w:t>
      </w:r>
      <w:r>
        <w:t xml:space="preserve">. </w:t>
      </w:r>
    </w:p>
    <w:p w14:paraId="6BBCF989" w14:textId="77777777" w:rsidR="00C61095" w:rsidRPr="00F45FBA" w:rsidRDefault="00C61095" w:rsidP="00C61095">
      <w:pPr>
        <w:pStyle w:val="Heading4"/>
      </w:pPr>
      <w:r>
        <w:t>S</w:t>
      </w:r>
      <w:r w:rsidRPr="00CD3D03">
        <w:t xml:space="preserve">elected recommendations </w:t>
      </w:r>
    </w:p>
    <w:p w14:paraId="37449A77" w14:textId="50B3A218" w:rsidR="00C61095" w:rsidRPr="00BD4F28" w:rsidRDefault="009A0607" w:rsidP="00C61095">
      <w:pPr>
        <w:pStyle w:val="Paragraph"/>
      </w:pPr>
      <w:r>
        <w:t>NICE’s guideline on</w:t>
      </w:r>
      <w:r w:rsidRPr="009A0607">
        <w:t xml:space="preserve"> Urinary tract infection (recurrent): antimicrobial prescribing</w:t>
      </w:r>
      <w:r>
        <w:t xml:space="preserve"> (NG112)</w:t>
      </w:r>
    </w:p>
    <w:p w14:paraId="618F1160" w14:textId="4F6F60FC" w:rsidR="00C61095" w:rsidRDefault="00C61095" w:rsidP="00C61095">
      <w:pPr>
        <w:pStyle w:val="Paragraph"/>
      </w:pPr>
      <w:r>
        <w:t>1.1.5 Consider the lowest effective dose of vaginal oestrogen (for example, estriol cream) for postmenopausal women with recurrent UTI if behavioural and personal hygiene measures alone are not effective or not appropriate. Discuss the following with the woman to ensure shared decision-making:</w:t>
      </w:r>
    </w:p>
    <w:p w14:paraId="489A7960" w14:textId="77777777" w:rsidR="00C61095" w:rsidRDefault="00C61095" w:rsidP="007C6ED4">
      <w:pPr>
        <w:pStyle w:val="Paragraph"/>
        <w:numPr>
          <w:ilvl w:val="0"/>
          <w:numId w:val="21"/>
        </w:numPr>
        <w:spacing w:before="0" w:after="0"/>
        <w:ind w:left="357" w:hanging="357"/>
      </w:pPr>
      <w:r>
        <w:t>the severity and frequency of previous symptoms</w:t>
      </w:r>
    </w:p>
    <w:p w14:paraId="692F281F" w14:textId="77777777" w:rsidR="00C61095" w:rsidRDefault="00C61095" w:rsidP="007C6ED4">
      <w:pPr>
        <w:pStyle w:val="Paragraph"/>
        <w:numPr>
          <w:ilvl w:val="0"/>
          <w:numId w:val="21"/>
        </w:numPr>
        <w:spacing w:before="0" w:after="0"/>
        <w:ind w:left="357" w:hanging="357"/>
      </w:pPr>
      <w:r>
        <w:t>the risk of developing complications from recurrent UTIs</w:t>
      </w:r>
    </w:p>
    <w:p w14:paraId="51231BB5" w14:textId="77777777" w:rsidR="00C61095" w:rsidRDefault="00C61095" w:rsidP="007C6ED4">
      <w:pPr>
        <w:pStyle w:val="Paragraph"/>
        <w:numPr>
          <w:ilvl w:val="0"/>
          <w:numId w:val="21"/>
        </w:numPr>
        <w:spacing w:before="0" w:after="0"/>
        <w:ind w:left="357" w:hanging="357"/>
      </w:pPr>
      <w:r>
        <w:t>the possible benefits of treatment, including for other related symptoms, such as vaginal dryness</w:t>
      </w:r>
    </w:p>
    <w:p w14:paraId="4AEABE8D" w14:textId="77777777" w:rsidR="00C61095" w:rsidRDefault="00C61095" w:rsidP="007C6ED4">
      <w:pPr>
        <w:pStyle w:val="Paragraph"/>
        <w:numPr>
          <w:ilvl w:val="0"/>
          <w:numId w:val="21"/>
        </w:numPr>
        <w:spacing w:before="0" w:after="0"/>
        <w:ind w:left="357" w:hanging="357"/>
      </w:pPr>
      <w:r>
        <w:t>the possible adverse effects such as breast tenderness and vaginal bleeding (which should be reported because it may require investigation)</w:t>
      </w:r>
    </w:p>
    <w:p w14:paraId="2A9D1239" w14:textId="77777777" w:rsidR="00C61095" w:rsidRDefault="00C61095" w:rsidP="007C6ED4">
      <w:pPr>
        <w:pStyle w:val="Paragraph"/>
        <w:numPr>
          <w:ilvl w:val="0"/>
          <w:numId w:val="21"/>
        </w:numPr>
        <w:spacing w:before="0" w:after="0"/>
        <w:ind w:left="357" w:hanging="357"/>
      </w:pPr>
      <w:r>
        <w:t>the uncertainty of endometrial safety with long-term or repeated use</w:t>
      </w:r>
    </w:p>
    <w:p w14:paraId="66D0D6DE" w14:textId="77777777" w:rsidR="00C61095" w:rsidRDefault="00C61095" w:rsidP="007C6ED4">
      <w:pPr>
        <w:pStyle w:val="Paragraph"/>
        <w:numPr>
          <w:ilvl w:val="0"/>
          <w:numId w:val="21"/>
        </w:numPr>
        <w:spacing w:before="0" w:after="0"/>
        <w:ind w:left="357" w:hanging="357"/>
      </w:pPr>
      <w:r>
        <w:t>preferences of the woman for treatment with vaginal oestrogen.</w:t>
      </w:r>
    </w:p>
    <w:p w14:paraId="74CFEB65" w14:textId="2C0B25D8" w:rsidR="00C61095" w:rsidRDefault="00C61095" w:rsidP="00C61095">
      <w:pPr>
        <w:pStyle w:val="Paragraph"/>
      </w:pPr>
      <w:r>
        <w:t>Review treatment within 12 months, or earlier if agreed with the woman. In October 2018, this was an off-label use of vaginal oestrogen products. See NICE's information on prescribing medicines.</w:t>
      </w:r>
    </w:p>
    <w:p w14:paraId="3E1A6729" w14:textId="77777777" w:rsidR="00140807" w:rsidRDefault="00140807" w:rsidP="00140807">
      <w:pPr>
        <w:pStyle w:val="Heading4"/>
      </w:pPr>
      <w:r>
        <w:t>Current UK practice</w:t>
      </w:r>
    </w:p>
    <w:p w14:paraId="15F45D4C" w14:textId="77777777" w:rsidR="00140807" w:rsidRDefault="00140807" w:rsidP="00140807">
      <w:pPr>
        <w:pStyle w:val="Paragraph"/>
        <w:spacing w:before="0" w:after="0"/>
      </w:pPr>
      <w:r w:rsidRPr="00140807">
        <w:t>No national data or published large studies on current practice have been identified.</w:t>
      </w:r>
    </w:p>
    <w:p w14:paraId="2C83D39E" w14:textId="5AABF86F" w:rsidR="00BF4FC1" w:rsidRDefault="00BF4FC1" w:rsidP="00BF4FC1">
      <w:pPr>
        <w:pStyle w:val="Heading3"/>
      </w:pPr>
      <w:r>
        <w:t>Management</w:t>
      </w:r>
      <w:r w:rsidR="00C61095">
        <w:t xml:space="preserve"> and treatment</w:t>
      </w:r>
    </w:p>
    <w:p w14:paraId="11D10D5F" w14:textId="73B7FB94" w:rsidR="00C61095" w:rsidRPr="0087356E" w:rsidRDefault="00C61095" w:rsidP="00C61095">
      <w:pPr>
        <w:pStyle w:val="Paragraph"/>
        <w:rPr>
          <w:highlight w:val="yellow"/>
        </w:rPr>
      </w:pPr>
      <w:r>
        <w:t xml:space="preserve">Suggested priority areas divide into two broad categories: use of </w:t>
      </w:r>
      <w:r w:rsidRPr="00693202">
        <w:t>prophylactic antibiotics and non-pharmaceutical interventions.</w:t>
      </w:r>
      <w:r w:rsidR="00A42976">
        <w:t xml:space="preserve"> </w:t>
      </w:r>
      <w:r>
        <w:t xml:space="preserve">Prevention </w:t>
      </w:r>
      <w:r w:rsidRPr="00693202">
        <w:t xml:space="preserve">could be achieved through low dose prophylactic antibiotics and non-pharmaceutical interventions. Others suggested the focus should be reviewing and / or stopping long term antibiotics prescribed for UTI prophylaxis. There were variations in the </w:t>
      </w:r>
      <w:r>
        <w:t xml:space="preserve">suggested </w:t>
      </w:r>
      <w:r w:rsidRPr="00693202">
        <w:lastRenderedPageBreak/>
        <w:t xml:space="preserve">populations (older people and all people) and timescales (3-6 months, at least every 6 months). </w:t>
      </w:r>
      <w:r>
        <w:t>Another suggestion was to restrict a</w:t>
      </w:r>
      <w:r w:rsidRPr="00A570A1">
        <w:t>ntibiotic prophylaxis for patients with indwelling urinary catheters</w:t>
      </w:r>
      <w:r>
        <w:t xml:space="preserve"> to those with a </w:t>
      </w:r>
      <w:r w:rsidRPr="00A570A1">
        <w:t>history of catheter associated UTI or who had a traumatic catheterisation</w:t>
      </w:r>
      <w:r>
        <w:t xml:space="preserve">. </w:t>
      </w:r>
    </w:p>
    <w:p w14:paraId="585A31D5" w14:textId="1FD88F7F" w:rsidR="00BF4FC1" w:rsidRDefault="00BF4FC1" w:rsidP="00BF4FC1">
      <w:pPr>
        <w:pStyle w:val="Paragraphnonumbers"/>
      </w:pPr>
      <w:r w:rsidRPr="00283A5E">
        <w:t>Some stakeholders suggested the use of non-antibiotic alternatives for treatment of recurrent UTI</w:t>
      </w:r>
      <w:r>
        <w:t>. These included m</w:t>
      </w:r>
      <w:r w:rsidRPr="001A6CF7">
        <w:t>ethenamine</w:t>
      </w:r>
      <w:r>
        <w:t xml:space="preserve">, </w:t>
      </w:r>
      <w:r w:rsidRPr="00344EDC">
        <w:t>methenamine</w:t>
      </w:r>
      <w:r>
        <w:t xml:space="preserve"> </w:t>
      </w:r>
      <w:proofErr w:type="spellStart"/>
      <w:r>
        <w:t>hippurate</w:t>
      </w:r>
      <w:proofErr w:type="spellEnd"/>
      <w:r>
        <w:t xml:space="preserve"> and D-mannose. </w:t>
      </w:r>
    </w:p>
    <w:p w14:paraId="1736A5A1" w14:textId="77777777" w:rsidR="00BF4FC1" w:rsidRPr="00F45FBA" w:rsidRDefault="00BF4FC1" w:rsidP="00BF4FC1">
      <w:pPr>
        <w:pStyle w:val="Heading4"/>
      </w:pPr>
      <w:r>
        <w:t>S</w:t>
      </w:r>
      <w:r w:rsidRPr="00CD3D03">
        <w:t xml:space="preserve">elected recommendations </w:t>
      </w:r>
    </w:p>
    <w:p w14:paraId="267CBE86" w14:textId="77777777" w:rsidR="00BF4FC1" w:rsidRPr="00BD4F28" w:rsidRDefault="00BF4FC1" w:rsidP="00BF4FC1">
      <w:pPr>
        <w:pStyle w:val="Paragraph"/>
      </w:pPr>
      <w:r w:rsidRPr="00BD4F28">
        <w:t>SIGN</w:t>
      </w:r>
      <w:r>
        <w:t>’s guideline on management of lower urinary tract infection in adult women</w:t>
      </w:r>
      <w:r w:rsidRPr="00BD4F28">
        <w:t xml:space="preserve"> </w:t>
      </w:r>
      <w:r>
        <w:t>(SIGN 160)</w:t>
      </w:r>
    </w:p>
    <w:p w14:paraId="60701AFC" w14:textId="7287C9D1" w:rsidR="00BF4FC1" w:rsidRDefault="001C4671" w:rsidP="001C4671">
      <w:pPr>
        <w:pStyle w:val="Paragraph"/>
      </w:pPr>
      <w:r>
        <w:t>See section 4.2 above for recs on self-care.</w:t>
      </w:r>
    </w:p>
    <w:p w14:paraId="47C8239E" w14:textId="77777777" w:rsidR="00BF4FC1" w:rsidRDefault="00BF4FC1" w:rsidP="00BF4FC1">
      <w:pPr>
        <w:pStyle w:val="Paragraph"/>
      </w:pPr>
      <w:r>
        <w:t xml:space="preserve">5.1.2 </w:t>
      </w:r>
      <w:r w:rsidRPr="00A443FE">
        <w:t>Pharmacological treatment: antimicrobial</w:t>
      </w:r>
      <w:r>
        <w:t>s (</w:t>
      </w:r>
      <w:r w:rsidRPr="00A443FE">
        <w:t>women with recurrent lower UTI</w:t>
      </w:r>
      <w:r>
        <w:t>)</w:t>
      </w:r>
    </w:p>
    <w:p w14:paraId="640B37B8" w14:textId="77777777" w:rsidR="00BF4FC1" w:rsidRDefault="00BF4FC1" w:rsidP="007C6ED4">
      <w:pPr>
        <w:pStyle w:val="Paragraph"/>
        <w:numPr>
          <w:ilvl w:val="0"/>
          <w:numId w:val="20"/>
        </w:numPr>
      </w:pPr>
      <w:r>
        <w:t>Consider prophylactic antimicrobials for women experiencing recurrent UTI after discussion of self-care approaches and the risks and benefits of antimicrobial treatment involved.</w:t>
      </w:r>
    </w:p>
    <w:p w14:paraId="1D656716" w14:textId="77777777" w:rsidR="00BF4FC1" w:rsidRDefault="00BF4FC1" w:rsidP="007C6ED4">
      <w:pPr>
        <w:pStyle w:val="Paragraph"/>
        <w:numPr>
          <w:ilvl w:val="0"/>
          <w:numId w:val="20"/>
        </w:numPr>
      </w:pPr>
      <w:r>
        <w:t>Long-term prophylactic antimicrobials for prevention of recurrent UTI should be used with caution in women aged 65 years and over, and careful consideration given to the risks and benefits involved.</w:t>
      </w:r>
    </w:p>
    <w:p w14:paraId="56307748" w14:textId="77777777" w:rsidR="00BF4FC1" w:rsidRDefault="00BF4FC1" w:rsidP="007C6ED4">
      <w:pPr>
        <w:pStyle w:val="Paragraph"/>
        <w:numPr>
          <w:ilvl w:val="0"/>
          <w:numId w:val="17"/>
        </w:numPr>
      </w:pPr>
      <w:r>
        <w:t>To minimise the development of resistance antimicrobial prophylaxis should be used as a fixed course of three to six months in women with recurrent UTI.</w:t>
      </w:r>
    </w:p>
    <w:p w14:paraId="31037866" w14:textId="77777777" w:rsidR="00BF4FC1" w:rsidRDefault="00BF4FC1" w:rsidP="00BF4FC1">
      <w:pPr>
        <w:pStyle w:val="Paragraph"/>
      </w:pPr>
      <w:r>
        <w:t>NICE’s guideline on u</w:t>
      </w:r>
      <w:r w:rsidRPr="000B53AB">
        <w:t>rinary tract infection (recurrent): antimicrobial prescribing</w:t>
      </w:r>
      <w:r>
        <w:t xml:space="preserve"> (NG112)</w:t>
      </w:r>
    </w:p>
    <w:p w14:paraId="3EED573D" w14:textId="77777777" w:rsidR="00BF4FC1" w:rsidRDefault="00BF4FC1" w:rsidP="00BF4FC1">
      <w:pPr>
        <w:pStyle w:val="Paragraph"/>
      </w:pPr>
      <w:r>
        <w:t xml:space="preserve">1.1.7 </w:t>
      </w:r>
      <w:r w:rsidRPr="00700F38">
        <w:t>For women with recurrent UTI who are not pregnant, consider a trial of antibiotic prophylaxis only if behavioural and personal hygiene measures, and vaginal oestrogen (in postmenopausal women) are not effective or not appropriate.</w:t>
      </w:r>
    </w:p>
    <w:p w14:paraId="32389D7F" w14:textId="77777777" w:rsidR="00BF4FC1" w:rsidRDefault="00BF4FC1" w:rsidP="00BF4FC1">
      <w:pPr>
        <w:pStyle w:val="Paragraph"/>
      </w:pPr>
      <w:r>
        <w:t xml:space="preserve">1.1.8 </w:t>
      </w:r>
      <w:r w:rsidRPr="00700F38">
        <w:t>For women with recurrent UTI who are not pregnant, ensure that any current UTI has been adequately treated then consider single-dose antibiotic prophylaxis for use when exposed to an identifiable trigger (see the recommendations on choice of antibiotic prophylaxis). Take account of:</w:t>
      </w:r>
    </w:p>
    <w:p w14:paraId="40FEDEEA" w14:textId="77777777" w:rsidR="00BF4FC1" w:rsidRDefault="00BF4FC1" w:rsidP="007C6ED4">
      <w:pPr>
        <w:pStyle w:val="Paragraph"/>
        <w:numPr>
          <w:ilvl w:val="0"/>
          <w:numId w:val="22"/>
        </w:numPr>
        <w:spacing w:before="0" w:after="0"/>
        <w:ind w:left="357" w:hanging="357"/>
      </w:pPr>
      <w:r>
        <w:t>the severity and frequency of previous symptoms</w:t>
      </w:r>
    </w:p>
    <w:p w14:paraId="0CBA7F51" w14:textId="77777777" w:rsidR="00BF4FC1" w:rsidRDefault="00BF4FC1" w:rsidP="007C6ED4">
      <w:pPr>
        <w:pStyle w:val="Paragraph"/>
        <w:numPr>
          <w:ilvl w:val="0"/>
          <w:numId w:val="22"/>
        </w:numPr>
        <w:spacing w:before="0" w:after="0"/>
        <w:ind w:left="357" w:hanging="357"/>
      </w:pPr>
      <w:r>
        <w:t>the risk of developing complications</w:t>
      </w:r>
    </w:p>
    <w:p w14:paraId="69B304C4" w14:textId="77777777" w:rsidR="00BF4FC1" w:rsidRDefault="00BF4FC1" w:rsidP="007C6ED4">
      <w:pPr>
        <w:pStyle w:val="Paragraph"/>
        <w:numPr>
          <w:ilvl w:val="0"/>
          <w:numId w:val="22"/>
        </w:numPr>
        <w:spacing w:before="0" w:after="0"/>
        <w:ind w:left="357" w:hanging="357"/>
      </w:pPr>
      <w:r>
        <w:t>previous urine culture and susceptibility results</w:t>
      </w:r>
    </w:p>
    <w:p w14:paraId="13CAB1D7" w14:textId="77777777" w:rsidR="00BF4FC1" w:rsidRDefault="00BF4FC1" w:rsidP="007C6ED4">
      <w:pPr>
        <w:pStyle w:val="Paragraph"/>
        <w:numPr>
          <w:ilvl w:val="0"/>
          <w:numId w:val="22"/>
        </w:numPr>
        <w:spacing w:before="0" w:after="0"/>
        <w:ind w:left="357" w:hanging="357"/>
      </w:pPr>
      <w:r>
        <w:t>previous antibiotic use, which may have led to resistant bacteria</w:t>
      </w:r>
    </w:p>
    <w:p w14:paraId="62154864" w14:textId="77777777" w:rsidR="00BF4FC1" w:rsidRDefault="00BF4FC1" w:rsidP="007C6ED4">
      <w:pPr>
        <w:pStyle w:val="Paragraph"/>
        <w:numPr>
          <w:ilvl w:val="0"/>
          <w:numId w:val="22"/>
        </w:numPr>
        <w:spacing w:before="0" w:after="0"/>
        <w:ind w:left="357" w:hanging="357"/>
      </w:pPr>
      <w:r>
        <w:t>the woman's preferences for antibiotic use.</w:t>
      </w:r>
    </w:p>
    <w:p w14:paraId="65870283" w14:textId="77777777" w:rsidR="00BF4FC1" w:rsidRDefault="00BF4FC1" w:rsidP="00BF4FC1">
      <w:pPr>
        <w:pStyle w:val="Paragraph"/>
      </w:pPr>
      <w:r>
        <w:lastRenderedPageBreak/>
        <w:t>1.1.9 When single-dose antibiotic prophylaxis is given, give advice about:</w:t>
      </w:r>
    </w:p>
    <w:p w14:paraId="077841CC" w14:textId="77777777" w:rsidR="00BF4FC1" w:rsidRDefault="00BF4FC1" w:rsidP="007C6ED4">
      <w:pPr>
        <w:pStyle w:val="Paragraph"/>
        <w:numPr>
          <w:ilvl w:val="0"/>
          <w:numId w:val="23"/>
        </w:numPr>
        <w:spacing w:before="0" w:after="0"/>
        <w:ind w:left="357" w:hanging="357"/>
      </w:pPr>
      <w:r>
        <w:t>how to use the antibiotic</w:t>
      </w:r>
    </w:p>
    <w:p w14:paraId="2B80D94C" w14:textId="77777777" w:rsidR="00BF4FC1" w:rsidRDefault="00BF4FC1" w:rsidP="007C6ED4">
      <w:pPr>
        <w:pStyle w:val="Paragraph"/>
        <w:numPr>
          <w:ilvl w:val="0"/>
          <w:numId w:val="23"/>
        </w:numPr>
        <w:spacing w:before="0" w:after="0"/>
        <w:ind w:left="357" w:hanging="357"/>
      </w:pPr>
      <w:r>
        <w:t>possible adverse effects of antibiotics, particularly diarrhoea and nausea</w:t>
      </w:r>
    </w:p>
    <w:p w14:paraId="091CF634" w14:textId="77777777" w:rsidR="00BF4FC1" w:rsidRDefault="00BF4FC1" w:rsidP="007C6ED4">
      <w:pPr>
        <w:pStyle w:val="Paragraph"/>
        <w:numPr>
          <w:ilvl w:val="0"/>
          <w:numId w:val="23"/>
        </w:numPr>
        <w:spacing w:before="0" w:after="0"/>
        <w:ind w:left="357" w:hanging="357"/>
      </w:pPr>
      <w:r>
        <w:t>returning for review within 6 months</w:t>
      </w:r>
    </w:p>
    <w:p w14:paraId="371DE835" w14:textId="77777777" w:rsidR="00BF4FC1" w:rsidRDefault="00BF4FC1" w:rsidP="007C6ED4">
      <w:pPr>
        <w:pStyle w:val="Paragraph"/>
        <w:numPr>
          <w:ilvl w:val="0"/>
          <w:numId w:val="23"/>
        </w:numPr>
        <w:spacing w:before="0" w:after="0"/>
        <w:ind w:left="357" w:hanging="357"/>
      </w:pPr>
      <w:r>
        <w:t>seeking medical help if there are symptoms of an acute UTI.</w:t>
      </w:r>
    </w:p>
    <w:p w14:paraId="778F5366" w14:textId="77777777" w:rsidR="00BF4FC1" w:rsidRDefault="00BF4FC1" w:rsidP="00BF4FC1">
      <w:pPr>
        <w:pStyle w:val="Paragraph"/>
      </w:pPr>
      <w:r>
        <w:t>1.1.11 When a trial of daily antibiotic prophylaxis is given, give advice about:</w:t>
      </w:r>
    </w:p>
    <w:p w14:paraId="507F7979" w14:textId="77777777" w:rsidR="00BF4FC1" w:rsidRDefault="00BF4FC1" w:rsidP="007C6ED4">
      <w:pPr>
        <w:pStyle w:val="Paragraph"/>
        <w:numPr>
          <w:ilvl w:val="0"/>
          <w:numId w:val="31"/>
        </w:numPr>
        <w:spacing w:before="0" w:after="0"/>
      </w:pPr>
      <w:r>
        <w:t>the risk of resistance with long-term antibiotics, which means they may be less effective in the future</w:t>
      </w:r>
    </w:p>
    <w:p w14:paraId="4563F5E4" w14:textId="77777777" w:rsidR="00BF4FC1" w:rsidRDefault="00BF4FC1" w:rsidP="007C6ED4">
      <w:pPr>
        <w:pStyle w:val="Paragraph"/>
        <w:numPr>
          <w:ilvl w:val="0"/>
          <w:numId w:val="31"/>
        </w:numPr>
        <w:spacing w:before="0" w:after="0"/>
      </w:pPr>
      <w:r>
        <w:t>possible adverse effects of long-term antibiotics</w:t>
      </w:r>
    </w:p>
    <w:p w14:paraId="26DD0AFD" w14:textId="77777777" w:rsidR="00BF4FC1" w:rsidRDefault="00BF4FC1" w:rsidP="007C6ED4">
      <w:pPr>
        <w:pStyle w:val="Paragraph"/>
        <w:numPr>
          <w:ilvl w:val="0"/>
          <w:numId w:val="31"/>
        </w:numPr>
        <w:spacing w:before="0" w:after="0"/>
      </w:pPr>
      <w:r>
        <w:t>returning for review within 6 months</w:t>
      </w:r>
    </w:p>
    <w:p w14:paraId="08FB599D" w14:textId="77777777" w:rsidR="00BF4FC1" w:rsidRDefault="00BF4FC1" w:rsidP="007C6ED4">
      <w:pPr>
        <w:pStyle w:val="Paragraph"/>
        <w:numPr>
          <w:ilvl w:val="0"/>
          <w:numId w:val="31"/>
        </w:numPr>
        <w:spacing w:before="0" w:after="0"/>
      </w:pPr>
      <w:r>
        <w:t>seeking medical help if there are symptoms of an acute UTI.</w:t>
      </w:r>
    </w:p>
    <w:p w14:paraId="31897781" w14:textId="77777777" w:rsidR="00BF4FC1" w:rsidRDefault="00BF4FC1" w:rsidP="00BF4FC1">
      <w:pPr>
        <w:pStyle w:val="Paragraph"/>
      </w:pPr>
      <w:r>
        <w:t>1.1.16 Review antibiotic prophylaxis for recurrent UTI at least every 6 months, with the review to include:</w:t>
      </w:r>
    </w:p>
    <w:p w14:paraId="01BA56AD" w14:textId="77777777" w:rsidR="00BF4FC1" w:rsidRDefault="00BF4FC1" w:rsidP="007C6ED4">
      <w:pPr>
        <w:pStyle w:val="Paragraph"/>
        <w:numPr>
          <w:ilvl w:val="0"/>
          <w:numId w:val="24"/>
        </w:numPr>
        <w:spacing w:before="0" w:after="0"/>
        <w:ind w:left="357" w:hanging="357"/>
      </w:pPr>
      <w:r>
        <w:t>assessing the success of prophylaxis</w:t>
      </w:r>
    </w:p>
    <w:p w14:paraId="649BD0E9" w14:textId="77777777" w:rsidR="00BF4FC1" w:rsidRDefault="00BF4FC1" w:rsidP="007C6ED4">
      <w:pPr>
        <w:pStyle w:val="Paragraph"/>
        <w:numPr>
          <w:ilvl w:val="0"/>
          <w:numId w:val="24"/>
        </w:numPr>
        <w:spacing w:before="0" w:after="0"/>
        <w:ind w:left="357" w:hanging="357"/>
      </w:pPr>
      <w:r>
        <w:t>discussion of continuing, stopping or changing prophylaxis (</w:t>
      </w:r>
      <w:proofErr w:type="gramStart"/>
      <w:r>
        <w:t>taking into account</w:t>
      </w:r>
      <w:proofErr w:type="gramEnd"/>
      <w:r>
        <w:t xml:space="preserve"> the person's preferences for antibiotic use and the risk of antimicrobial resistance)</w:t>
      </w:r>
    </w:p>
    <w:p w14:paraId="48AA5EFA" w14:textId="77777777" w:rsidR="00BF4FC1" w:rsidRDefault="00BF4FC1" w:rsidP="007C6ED4">
      <w:pPr>
        <w:pStyle w:val="Paragraph"/>
        <w:numPr>
          <w:ilvl w:val="0"/>
          <w:numId w:val="24"/>
        </w:numPr>
        <w:spacing w:before="0" w:after="0"/>
        <w:ind w:left="357" w:hanging="357"/>
      </w:pPr>
      <w:r>
        <w:t>a reminder about behavioural and personal hygiene measures and self-care treatments (see the recommendations on self-care).</w:t>
      </w:r>
    </w:p>
    <w:p w14:paraId="4B0A6F9E" w14:textId="77777777" w:rsidR="00BF4FC1" w:rsidRDefault="00BF4FC1" w:rsidP="007C6ED4">
      <w:pPr>
        <w:pStyle w:val="Paragraph"/>
        <w:numPr>
          <w:ilvl w:val="0"/>
          <w:numId w:val="24"/>
        </w:numPr>
        <w:spacing w:before="0" w:after="0"/>
        <w:ind w:left="357" w:hanging="357"/>
      </w:pPr>
      <w:r>
        <w:t>If antibiotic prophylaxis is stopped, ensure that people have rapid access to treatment if they have an acute UTI.</w:t>
      </w:r>
    </w:p>
    <w:p w14:paraId="51E29AD8" w14:textId="77777777" w:rsidR="00BF4FC1" w:rsidRDefault="00BF4FC1" w:rsidP="00BF4FC1">
      <w:pPr>
        <w:pStyle w:val="Paragraph"/>
      </w:pPr>
      <w:r>
        <w:t>1.2.1 Be aware that:</w:t>
      </w:r>
    </w:p>
    <w:p w14:paraId="7D5B21D6" w14:textId="77777777" w:rsidR="00BF4FC1" w:rsidRDefault="00BF4FC1" w:rsidP="007C6ED4">
      <w:pPr>
        <w:pStyle w:val="Paragraph"/>
        <w:numPr>
          <w:ilvl w:val="0"/>
          <w:numId w:val="25"/>
        </w:numPr>
        <w:spacing w:before="0" w:after="0"/>
        <w:ind w:left="357" w:hanging="357"/>
      </w:pPr>
      <w:r>
        <w:t>Some women with recurrent UTI may wish to try D</w:t>
      </w:r>
      <w:r>
        <w:rPr>
          <w:rFonts w:ascii="Cambria Math" w:hAnsi="Cambria Math" w:cs="Cambria Math"/>
        </w:rPr>
        <w:t>‑</w:t>
      </w:r>
      <w:r>
        <w:t>mannose if they are not pregnant (the evidence for D</w:t>
      </w:r>
      <w:r>
        <w:rPr>
          <w:rFonts w:ascii="Cambria Math" w:hAnsi="Cambria Math" w:cs="Cambria Math"/>
        </w:rPr>
        <w:t>‑</w:t>
      </w:r>
      <w:r>
        <w:t>mannose was based on a study in which it was taken as 200 ml of 1% solution once daily in the evening). D</w:t>
      </w:r>
      <w:r>
        <w:rPr>
          <w:rFonts w:ascii="Cambria Math" w:hAnsi="Cambria Math" w:cs="Cambria Math"/>
        </w:rPr>
        <w:t>‑</w:t>
      </w:r>
      <w:r>
        <w:t>mannose is a sugar that is available to buy as powder or tablets; it is not a medicine.</w:t>
      </w:r>
    </w:p>
    <w:p w14:paraId="2073401A" w14:textId="77777777" w:rsidR="00BF4FC1" w:rsidRDefault="00BF4FC1" w:rsidP="00BF4FC1">
      <w:pPr>
        <w:pStyle w:val="Paragraph"/>
      </w:pPr>
      <w:r>
        <w:t>NICE’s guideline on u</w:t>
      </w:r>
      <w:r w:rsidRPr="001C2A60">
        <w:t>rinary tract infection (catheter-associated): antimicrobial prescribing</w:t>
      </w:r>
      <w:r>
        <w:t xml:space="preserve"> (NG113)</w:t>
      </w:r>
    </w:p>
    <w:p w14:paraId="006EFB64" w14:textId="77777777" w:rsidR="00BF4FC1" w:rsidRDefault="00BF4FC1" w:rsidP="00BF4FC1">
      <w:pPr>
        <w:pStyle w:val="Paragraph"/>
      </w:pPr>
      <w:r>
        <w:t xml:space="preserve">1.4 </w:t>
      </w:r>
      <w:r w:rsidRPr="00246C9A">
        <w:t xml:space="preserve">Do not routinely offer antibiotic prophylaxis to prevent </w:t>
      </w:r>
      <w:proofErr w:type="gramStart"/>
      <w:r w:rsidRPr="00246C9A">
        <w:t>catheter-associated</w:t>
      </w:r>
      <w:proofErr w:type="gramEnd"/>
      <w:r w:rsidRPr="00246C9A">
        <w:t xml:space="preserve"> UTIs in people with a short-term or a long-term (indwelling or intermittent) catheter.</w:t>
      </w:r>
    </w:p>
    <w:p w14:paraId="3CAEEBEB" w14:textId="77777777" w:rsidR="00BF4FC1" w:rsidRDefault="00BF4FC1" w:rsidP="00BF4FC1">
      <w:pPr>
        <w:pStyle w:val="Paragraph"/>
      </w:pPr>
      <w:r>
        <w:t>NICE’s guideline on h</w:t>
      </w:r>
      <w:r w:rsidRPr="00246C9A">
        <w:t xml:space="preserve">ealthcare-associated infections </w:t>
      </w:r>
      <w:r>
        <w:t>(CG139)</w:t>
      </w:r>
    </w:p>
    <w:p w14:paraId="1D9D5FE1" w14:textId="77777777" w:rsidR="00BF4FC1" w:rsidRDefault="00BF4FC1" w:rsidP="00BF4FC1">
      <w:pPr>
        <w:pStyle w:val="Paragraph"/>
      </w:pPr>
      <w:r>
        <w:t>1.2.5.13 When changing catheters in patients with a long-term indwelling urinary catheter:</w:t>
      </w:r>
    </w:p>
    <w:p w14:paraId="397400F2" w14:textId="77777777" w:rsidR="00BF4FC1" w:rsidRDefault="00BF4FC1" w:rsidP="007C6ED4">
      <w:pPr>
        <w:pStyle w:val="Paragraph"/>
        <w:numPr>
          <w:ilvl w:val="0"/>
          <w:numId w:val="26"/>
        </w:numPr>
        <w:spacing w:before="0" w:after="0"/>
        <w:ind w:left="357" w:hanging="357"/>
      </w:pPr>
      <w:r>
        <w:t>do not offer antibiotic prophylaxis routinely</w:t>
      </w:r>
    </w:p>
    <w:p w14:paraId="32552552" w14:textId="77777777" w:rsidR="00BF4FC1" w:rsidRDefault="00BF4FC1" w:rsidP="007C6ED4">
      <w:pPr>
        <w:pStyle w:val="Paragraph"/>
        <w:numPr>
          <w:ilvl w:val="0"/>
          <w:numId w:val="26"/>
        </w:numPr>
        <w:spacing w:before="0" w:after="0"/>
        <w:ind w:left="357" w:hanging="357"/>
      </w:pPr>
      <w:r>
        <w:lastRenderedPageBreak/>
        <w:t>consider antibiotic prophylaxis for patients who:</w:t>
      </w:r>
    </w:p>
    <w:p w14:paraId="078599BA" w14:textId="77777777" w:rsidR="00BF4FC1" w:rsidRDefault="00BF4FC1" w:rsidP="007C6ED4">
      <w:pPr>
        <w:pStyle w:val="Paragraph"/>
        <w:numPr>
          <w:ilvl w:val="1"/>
          <w:numId w:val="26"/>
        </w:numPr>
        <w:spacing w:before="0" w:after="0"/>
      </w:pPr>
      <w:r>
        <w:t>have a history of symptomatic urinary tract infection after catheter change or</w:t>
      </w:r>
    </w:p>
    <w:p w14:paraId="2B672D5E" w14:textId="77777777" w:rsidR="00BF4FC1" w:rsidRDefault="00BF4FC1" w:rsidP="007C6ED4">
      <w:pPr>
        <w:pStyle w:val="Paragraph"/>
        <w:numPr>
          <w:ilvl w:val="1"/>
          <w:numId w:val="26"/>
        </w:numPr>
        <w:spacing w:before="0" w:after="0"/>
      </w:pPr>
      <w:r>
        <w:t>experience trauma during catheterisation.</w:t>
      </w:r>
    </w:p>
    <w:p w14:paraId="30443CDA" w14:textId="77777777" w:rsidR="00BF4FC1" w:rsidRDefault="00BF4FC1" w:rsidP="00BF4FC1">
      <w:pPr>
        <w:pStyle w:val="Paragraph"/>
        <w:spacing w:before="0" w:after="0"/>
      </w:pPr>
    </w:p>
    <w:p w14:paraId="09062A9E" w14:textId="77777777" w:rsidR="00140807" w:rsidRDefault="00140807" w:rsidP="00140807">
      <w:pPr>
        <w:pStyle w:val="Heading4"/>
      </w:pPr>
      <w:r>
        <w:t>Current UK practice</w:t>
      </w:r>
    </w:p>
    <w:p w14:paraId="4C9D9DEE" w14:textId="77777777" w:rsidR="00140807" w:rsidRDefault="00140807" w:rsidP="00140807">
      <w:pPr>
        <w:pStyle w:val="Paragraph"/>
        <w:spacing w:before="0" w:after="0"/>
      </w:pPr>
      <w:r w:rsidRPr="00140807">
        <w:t>No national data or published large studies on current practice have been identified.</w:t>
      </w:r>
    </w:p>
    <w:p w14:paraId="25C96679" w14:textId="77777777" w:rsidR="00BF4FC1" w:rsidRDefault="00BF4FC1" w:rsidP="00BF4FC1">
      <w:pPr>
        <w:pStyle w:val="Heading3"/>
      </w:pPr>
      <w:r>
        <w:t>Referral</w:t>
      </w:r>
    </w:p>
    <w:p w14:paraId="3A6CFC62" w14:textId="43BA6C3F" w:rsidR="00BF4FC1" w:rsidRDefault="00BF4FC1" w:rsidP="00BF4FC1">
      <w:pPr>
        <w:pStyle w:val="Paragraphnonumbers"/>
        <w:rPr>
          <w:color w:val="000000"/>
        </w:rPr>
      </w:pPr>
      <w:r w:rsidRPr="00A376D6">
        <w:rPr>
          <w:color w:val="000000"/>
        </w:rPr>
        <w:t>Referring men with upper urinary tract infections</w:t>
      </w:r>
      <w:r>
        <w:rPr>
          <w:color w:val="000000"/>
        </w:rPr>
        <w:t xml:space="preserve"> </w:t>
      </w:r>
      <w:r w:rsidR="00B70BEE">
        <w:rPr>
          <w:color w:val="000000"/>
        </w:rPr>
        <w:t xml:space="preserve">for </w:t>
      </w:r>
      <w:r w:rsidR="0068068C" w:rsidRPr="0068068C">
        <w:rPr>
          <w:color w:val="000000"/>
        </w:rPr>
        <w:t>urological investigation</w:t>
      </w:r>
      <w:r w:rsidR="00B70BEE">
        <w:rPr>
          <w:color w:val="000000"/>
        </w:rPr>
        <w:t xml:space="preserve"> was suggested </w:t>
      </w:r>
      <w:r>
        <w:rPr>
          <w:color w:val="000000"/>
        </w:rPr>
        <w:t xml:space="preserve">as these </w:t>
      </w:r>
      <w:r w:rsidRPr="002B2D42">
        <w:rPr>
          <w:color w:val="000000"/>
        </w:rPr>
        <w:t>infections can indicate the presence of lower urinary tract abnormalities.</w:t>
      </w:r>
      <w:r w:rsidR="0068068C">
        <w:rPr>
          <w:color w:val="000000"/>
        </w:rPr>
        <w:t xml:space="preserve"> </w:t>
      </w:r>
      <w:r w:rsidR="00B70BEE">
        <w:rPr>
          <w:color w:val="000000"/>
        </w:rPr>
        <w:t>Another comment suggested there is a need to identify who the specialists are.</w:t>
      </w:r>
    </w:p>
    <w:p w14:paraId="021B1FEF" w14:textId="77777777" w:rsidR="00BF4FC1" w:rsidRDefault="00BF4FC1" w:rsidP="00BF4FC1">
      <w:pPr>
        <w:pStyle w:val="Paragraph"/>
        <w:spacing w:before="0" w:after="0"/>
      </w:pPr>
      <w:r>
        <w:t xml:space="preserve">NICE’s guideline on </w:t>
      </w:r>
      <w:r w:rsidRPr="00A40AE7">
        <w:t>Urinary tract infection (recurrent): antimicrobial prescribing</w:t>
      </w:r>
      <w:r>
        <w:t xml:space="preserve"> (NG112)</w:t>
      </w:r>
    </w:p>
    <w:p w14:paraId="65A4CF9D" w14:textId="77777777" w:rsidR="00BF4FC1" w:rsidRPr="00F45FBA" w:rsidRDefault="00BF4FC1" w:rsidP="00BF4FC1">
      <w:pPr>
        <w:pStyle w:val="Heading4"/>
      </w:pPr>
      <w:r>
        <w:t>S</w:t>
      </w:r>
      <w:r w:rsidRPr="00CD3D03">
        <w:t xml:space="preserve">elected recommendations </w:t>
      </w:r>
    </w:p>
    <w:p w14:paraId="7EBDB84A" w14:textId="77777777" w:rsidR="00BF4FC1" w:rsidRDefault="00BF4FC1" w:rsidP="00BF4FC1">
      <w:pPr>
        <w:pStyle w:val="Paragraph"/>
      </w:pPr>
      <w:r>
        <w:t>1.1.4 Refer or seek specialist advice on further investigation and management for:</w:t>
      </w:r>
    </w:p>
    <w:p w14:paraId="4F53E232" w14:textId="77777777" w:rsidR="00BF4FC1" w:rsidRDefault="00BF4FC1" w:rsidP="007C6ED4">
      <w:pPr>
        <w:pStyle w:val="Paragraph"/>
        <w:numPr>
          <w:ilvl w:val="0"/>
          <w:numId w:val="27"/>
        </w:numPr>
        <w:spacing w:before="0" w:after="0"/>
        <w:ind w:left="357" w:hanging="357"/>
      </w:pPr>
      <w:r>
        <w:t>men aged 16 years and over</w:t>
      </w:r>
    </w:p>
    <w:p w14:paraId="601986FB" w14:textId="77777777" w:rsidR="00BF4FC1" w:rsidRDefault="00BF4FC1" w:rsidP="007C6ED4">
      <w:pPr>
        <w:pStyle w:val="Paragraph"/>
        <w:numPr>
          <w:ilvl w:val="0"/>
          <w:numId w:val="27"/>
        </w:numPr>
        <w:spacing w:before="0" w:after="0"/>
        <w:ind w:left="357" w:hanging="357"/>
      </w:pPr>
      <w:r>
        <w:t>people with recurrent upper UTI</w:t>
      </w:r>
    </w:p>
    <w:p w14:paraId="4E5C3DD3" w14:textId="77777777" w:rsidR="00BF4FC1" w:rsidRDefault="00BF4FC1" w:rsidP="007C6ED4">
      <w:pPr>
        <w:pStyle w:val="Paragraph"/>
        <w:numPr>
          <w:ilvl w:val="0"/>
          <w:numId w:val="27"/>
        </w:numPr>
        <w:spacing w:before="0" w:after="0"/>
        <w:ind w:left="357" w:hanging="357"/>
      </w:pPr>
      <w:r>
        <w:t>people with recurrent lower UTI when the underlying cause is unknown</w:t>
      </w:r>
    </w:p>
    <w:p w14:paraId="43BC9E0B" w14:textId="77777777" w:rsidR="00BF4FC1" w:rsidRDefault="00BF4FC1" w:rsidP="007C6ED4">
      <w:pPr>
        <w:pStyle w:val="Paragraph"/>
        <w:numPr>
          <w:ilvl w:val="0"/>
          <w:numId w:val="27"/>
        </w:numPr>
        <w:spacing w:before="0" w:after="0"/>
        <w:ind w:left="357" w:hanging="357"/>
      </w:pPr>
      <w:r>
        <w:t>pregnant women</w:t>
      </w:r>
    </w:p>
    <w:p w14:paraId="3607F665" w14:textId="77777777" w:rsidR="00BF4FC1" w:rsidRDefault="00BF4FC1" w:rsidP="007C6ED4">
      <w:pPr>
        <w:pStyle w:val="Paragraph"/>
        <w:numPr>
          <w:ilvl w:val="0"/>
          <w:numId w:val="27"/>
        </w:numPr>
        <w:spacing w:before="0" w:after="0"/>
        <w:ind w:left="357" w:hanging="357"/>
      </w:pPr>
      <w:r>
        <w:t>children and young people under 16 years in line with the NICE guideline on urinary tract infection in under 16s</w:t>
      </w:r>
    </w:p>
    <w:p w14:paraId="6A8457D5" w14:textId="77777777" w:rsidR="00BF4FC1" w:rsidRDefault="00BF4FC1" w:rsidP="007C6ED4">
      <w:pPr>
        <w:pStyle w:val="Paragraph"/>
        <w:numPr>
          <w:ilvl w:val="0"/>
          <w:numId w:val="27"/>
        </w:numPr>
        <w:spacing w:before="0" w:after="0"/>
        <w:ind w:left="357" w:hanging="357"/>
      </w:pPr>
      <w:r>
        <w:t>people with suspected cancer in line with the NICE guideline on suspected cancer: recognition and referral.</w:t>
      </w:r>
    </w:p>
    <w:p w14:paraId="60272597" w14:textId="77777777" w:rsidR="00BF4FC1" w:rsidRDefault="00BF4FC1" w:rsidP="00BF4FC1">
      <w:pPr>
        <w:pStyle w:val="Paragraph"/>
      </w:pPr>
      <w:r>
        <w:t>NICE’s guideline on Pyelonephritis (acute): antimicrobial prescribing (NG111)</w:t>
      </w:r>
    </w:p>
    <w:p w14:paraId="58D9F908" w14:textId="77777777" w:rsidR="00BF4FC1" w:rsidRDefault="00BF4FC1" w:rsidP="00BF4FC1">
      <w:pPr>
        <w:pStyle w:val="Paragraph"/>
      </w:pPr>
      <w:r>
        <w:t>1.1.9 Refer people aged 16 years and over with acute pyelonephritis to hospital if they have any symptoms or signs suggesting a more serious illness or condition (for example, sepsis).</w:t>
      </w:r>
    </w:p>
    <w:p w14:paraId="3D338651" w14:textId="77777777" w:rsidR="00BF4FC1" w:rsidRDefault="00BF4FC1" w:rsidP="00BF4FC1">
      <w:pPr>
        <w:pStyle w:val="Paragraph"/>
      </w:pPr>
      <w:r>
        <w:t>1.1.10 Consider referring or seeking specialist advice for people aged 16 years and over with acute pyelonephritis if they:</w:t>
      </w:r>
    </w:p>
    <w:p w14:paraId="7CB4A62B" w14:textId="77777777" w:rsidR="00BF4FC1" w:rsidRDefault="00BF4FC1" w:rsidP="007C6ED4">
      <w:pPr>
        <w:pStyle w:val="Paragraph"/>
        <w:numPr>
          <w:ilvl w:val="0"/>
          <w:numId w:val="28"/>
        </w:numPr>
        <w:spacing w:before="0" w:after="0"/>
        <w:ind w:left="0" w:firstLine="0"/>
      </w:pPr>
      <w:r>
        <w:t>are significantly dehydrated or unable to take oral fluids and medicines or</w:t>
      </w:r>
    </w:p>
    <w:p w14:paraId="3957AA2B" w14:textId="77777777" w:rsidR="00BF4FC1" w:rsidRDefault="00BF4FC1" w:rsidP="007C6ED4">
      <w:pPr>
        <w:pStyle w:val="Paragraph"/>
        <w:numPr>
          <w:ilvl w:val="0"/>
          <w:numId w:val="28"/>
        </w:numPr>
        <w:spacing w:before="0" w:after="0"/>
        <w:ind w:left="0" w:firstLine="0"/>
      </w:pPr>
      <w:r>
        <w:t>are pregnant or</w:t>
      </w:r>
    </w:p>
    <w:p w14:paraId="732818D9" w14:textId="77777777" w:rsidR="00BF4FC1" w:rsidRDefault="00BF4FC1" w:rsidP="007C6ED4">
      <w:pPr>
        <w:pStyle w:val="Paragraph"/>
        <w:numPr>
          <w:ilvl w:val="0"/>
          <w:numId w:val="28"/>
        </w:numPr>
        <w:spacing w:before="0" w:after="0"/>
        <w:ind w:left="720" w:hanging="720"/>
      </w:pPr>
      <w:r>
        <w:lastRenderedPageBreak/>
        <w:t>have a higher risk of developing complications (for example, people with known or suspected structural or functional abnormality of the genitourinary tract or underlying disease [such as diabetes or immunosuppression]).</w:t>
      </w:r>
    </w:p>
    <w:p w14:paraId="67078E90" w14:textId="77777777" w:rsidR="00CA1E94" w:rsidRDefault="00CA1E94" w:rsidP="00CA1E94">
      <w:pPr>
        <w:pStyle w:val="Heading4"/>
      </w:pPr>
      <w:r>
        <w:t>Current UK practice</w:t>
      </w:r>
    </w:p>
    <w:p w14:paraId="27F51683" w14:textId="77777777" w:rsidR="00CA1E94" w:rsidRDefault="00CA1E94" w:rsidP="00CA1E94">
      <w:pPr>
        <w:pStyle w:val="Paragraph"/>
        <w:spacing w:before="0" w:after="0"/>
      </w:pPr>
      <w:r w:rsidRPr="00140807">
        <w:t>No national data or published large studies on current practice have been identified.</w:t>
      </w:r>
    </w:p>
    <w:p w14:paraId="073E79E8" w14:textId="77777777" w:rsidR="00BF4FC1" w:rsidRDefault="00BF4FC1" w:rsidP="00BF4FC1">
      <w:pPr>
        <w:pStyle w:val="Paragraph"/>
        <w:spacing w:before="0" w:after="0"/>
      </w:pPr>
    </w:p>
    <w:p w14:paraId="02D76D83" w14:textId="2A00AEB8" w:rsidR="00BF4FC1" w:rsidRDefault="00BF4FC1" w:rsidP="00BF4FC1">
      <w:pPr>
        <w:pStyle w:val="Numberedheading3"/>
      </w:pPr>
      <w:r w:rsidRPr="004612EA">
        <w:t>Resource impact</w:t>
      </w:r>
    </w:p>
    <w:p w14:paraId="773B80D0" w14:textId="072074BA" w:rsidR="007F3DAF" w:rsidRPr="007F3DAF" w:rsidRDefault="007F3DAF" w:rsidP="009E55B6">
      <w:pPr>
        <w:pStyle w:val="Paragraph"/>
        <w:spacing w:before="0" w:after="0"/>
      </w:pPr>
      <w:r>
        <w:t>Please see section 2.5 earlier in this report.</w:t>
      </w:r>
    </w:p>
    <w:p w14:paraId="1D90DEDC" w14:textId="77777777" w:rsidR="00BF4FC1" w:rsidRPr="0067426A" w:rsidRDefault="00BF4FC1" w:rsidP="00BF4FC1">
      <w:pPr>
        <w:pStyle w:val="Numberedheading3"/>
      </w:pPr>
      <w:r w:rsidRPr="0067426A">
        <w:t>Issues for consideration</w:t>
      </w:r>
    </w:p>
    <w:p w14:paraId="59C24E1A" w14:textId="77777777" w:rsidR="00BF4FC1" w:rsidRPr="00B413F2" w:rsidRDefault="00BF4FC1" w:rsidP="00BF4FC1">
      <w:pPr>
        <w:pStyle w:val="Paragraph"/>
        <w:rPr>
          <w:b/>
          <w:bCs/>
        </w:rPr>
      </w:pPr>
      <w:r w:rsidRPr="00A6218A">
        <w:rPr>
          <w:b/>
          <w:bCs/>
        </w:rPr>
        <w:t>For discussion:</w:t>
      </w:r>
    </w:p>
    <w:p w14:paraId="0E3B246C" w14:textId="77777777" w:rsidR="00BF4FC1" w:rsidRPr="005F3808" w:rsidRDefault="00BF4FC1" w:rsidP="00BF4FC1">
      <w:pPr>
        <w:pStyle w:val="Panelbullet1"/>
        <w:spacing w:after="240"/>
      </w:pPr>
      <w:r w:rsidRPr="005F3808">
        <w:t>What is the priority for improvement?</w:t>
      </w:r>
    </w:p>
    <w:p w14:paraId="0DF10912" w14:textId="77777777" w:rsidR="00BF4FC1" w:rsidRPr="005F3808" w:rsidRDefault="00BF4FC1" w:rsidP="00BF4FC1">
      <w:pPr>
        <w:pStyle w:val="Panelbullet1"/>
        <w:spacing w:after="240"/>
      </w:pPr>
      <w:r w:rsidRPr="005F3808">
        <w:t>What is the key action that will lead to improvement?</w:t>
      </w:r>
    </w:p>
    <w:p w14:paraId="72F5B61A" w14:textId="77777777" w:rsidR="00BF4FC1" w:rsidRPr="005F3808" w:rsidRDefault="00BF4FC1" w:rsidP="00BF4FC1">
      <w:pPr>
        <w:pStyle w:val="Panelbullet1"/>
        <w:spacing w:after="240"/>
      </w:pPr>
      <w:r w:rsidRPr="005F3808">
        <w:t>Could we focus on a specific audience or setting?</w:t>
      </w:r>
    </w:p>
    <w:p w14:paraId="5757F6FC" w14:textId="77777777" w:rsidR="00BF4FC1" w:rsidRPr="005F3808" w:rsidRDefault="00BF4FC1" w:rsidP="00BF4FC1">
      <w:pPr>
        <w:pStyle w:val="Panelbullet1"/>
        <w:spacing w:after="240"/>
      </w:pPr>
      <w:r w:rsidRPr="005F3808">
        <w:t>Can we develop a specific, measurable statement?</w:t>
      </w:r>
    </w:p>
    <w:p w14:paraId="64AAFEFB" w14:textId="77777777" w:rsidR="00BF4FC1" w:rsidRPr="00A6218A" w:rsidRDefault="00BF4FC1" w:rsidP="00BF4FC1">
      <w:pPr>
        <w:pStyle w:val="Paragraph"/>
        <w:rPr>
          <w:b/>
          <w:bCs/>
        </w:rPr>
      </w:pPr>
      <w:r w:rsidRPr="00A6218A">
        <w:rPr>
          <w:b/>
          <w:bCs/>
        </w:rPr>
        <w:t>For decision:</w:t>
      </w:r>
    </w:p>
    <w:p w14:paraId="46BCDF5B" w14:textId="0EE083AC" w:rsidR="005F3808" w:rsidRDefault="00BF4FC1" w:rsidP="005F3808">
      <w:pPr>
        <w:pStyle w:val="Bulletleft1"/>
      </w:pPr>
      <w:r w:rsidRPr="00624810">
        <w:t>Should this area be prioritised for inclusion in the quality standard?</w:t>
      </w:r>
    </w:p>
    <w:p w14:paraId="562820D8" w14:textId="77777777" w:rsidR="005F3808" w:rsidRDefault="005F3808">
      <w:pPr>
        <w:rPr>
          <w:rFonts w:ascii="Arial" w:hAnsi="Arial"/>
        </w:rPr>
      </w:pPr>
      <w:r>
        <w:br w:type="page"/>
      </w:r>
    </w:p>
    <w:p w14:paraId="31F17677" w14:textId="5C80E39F" w:rsidR="00626943" w:rsidRPr="00427135" w:rsidRDefault="00626943" w:rsidP="00427135">
      <w:pPr>
        <w:pStyle w:val="Numberedheading2"/>
      </w:pPr>
      <w:bookmarkStart w:id="106" w:name="_Toc112833005"/>
      <w:r w:rsidRPr="00427135">
        <w:lastRenderedPageBreak/>
        <w:t>Additional areas</w:t>
      </w:r>
      <w:bookmarkEnd w:id="106"/>
      <w:r w:rsidRPr="00427135">
        <w:t xml:space="preserve"> </w:t>
      </w:r>
    </w:p>
    <w:p w14:paraId="175A844E" w14:textId="77777777" w:rsidR="00626943" w:rsidRPr="00E80EE3" w:rsidRDefault="00626943" w:rsidP="00427135">
      <w:pPr>
        <w:pStyle w:val="Heading3"/>
      </w:pPr>
      <w:r w:rsidRPr="00E80EE3">
        <w:t>Summary of suggestions</w:t>
      </w:r>
    </w:p>
    <w:p w14:paraId="06926C59" w14:textId="77777777" w:rsidR="00626943" w:rsidRPr="00E80EE3" w:rsidRDefault="00626943" w:rsidP="00427135">
      <w:pPr>
        <w:pStyle w:val="Paragraph"/>
      </w:pPr>
      <w:r w:rsidRPr="00E80EE3">
        <w:t>The improvement areas below were suggested as part of the stakeholder engagement exercise. However</w:t>
      </w:r>
      <w:r w:rsidR="00DD0BD8">
        <w:t>,</w:t>
      </w:r>
      <w:r w:rsidRPr="00E80EE3">
        <w:t xml:space="preserve"> they were felt to be</w:t>
      </w:r>
      <w:r>
        <w:t xml:space="preserve"> either unsuitable for development as quality statements, outside the remit of this</w:t>
      </w:r>
      <w:r w:rsidRPr="00E80EE3">
        <w:t xml:space="preserve"> </w:t>
      </w:r>
      <w:proofErr w:type="gramStart"/>
      <w:r>
        <w:t xml:space="preserve">particular </w:t>
      </w:r>
      <w:r w:rsidRPr="00E80EE3">
        <w:t>quality</w:t>
      </w:r>
      <w:proofErr w:type="gramEnd"/>
      <w:r w:rsidRPr="00E80EE3">
        <w:t xml:space="preserve"> standard referral or </w:t>
      </w:r>
      <w:r w:rsidR="00DD0BD8">
        <w:t>need</w:t>
      </w:r>
      <w:r w:rsidRPr="00E80EE3">
        <w:t xml:space="preserve"> further discussion by the </w:t>
      </w:r>
      <w:r w:rsidR="00C92D69">
        <w:t>c</w:t>
      </w:r>
      <w:r w:rsidRPr="00E80EE3">
        <w:t xml:space="preserve">ommittee to establish potential for statement development. </w:t>
      </w:r>
    </w:p>
    <w:p w14:paraId="3A5334CD" w14:textId="77777777" w:rsidR="00626943" w:rsidRDefault="00626943" w:rsidP="00427135">
      <w:pPr>
        <w:pStyle w:val="Paragraph"/>
      </w:pPr>
      <w:r w:rsidRPr="00E80EE3">
        <w:t xml:space="preserve">There will be an opportunity for the </w:t>
      </w:r>
      <w:r w:rsidR="00C92D69">
        <w:t>committee</w:t>
      </w:r>
      <w:r w:rsidRPr="00E80EE3">
        <w:t xml:space="preserve"> to discuss these areas at the end of the </w:t>
      </w:r>
      <w:r w:rsidR="00F04347" w:rsidRPr="00C54EE8">
        <w:t>Advisory Committee meeting</w:t>
      </w:r>
      <w:r w:rsidRPr="00E80EE3">
        <w:t>.</w:t>
      </w:r>
    </w:p>
    <w:p w14:paraId="251D653B" w14:textId="395B8B6B" w:rsidR="00910D5A" w:rsidRDefault="00910D5A" w:rsidP="00F04347">
      <w:pPr>
        <w:pStyle w:val="Caption"/>
      </w:pPr>
      <w:r w:rsidRPr="00CF7ECA">
        <w:t xml:space="preserve">Table </w:t>
      </w:r>
      <w:r w:rsidR="00CF7ECA" w:rsidRPr="00CF7ECA">
        <w:t>2</w:t>
      </w:r>
      <w:r w:rsidR="00F96905" w:rsidRPr="00F96905">
        <w:t xml:space="preserve"> Summary of information available for </w:t>
      </w:r>
      <w:r w:rsidR="00F96905">
        <w:t>additional</w:t>
      </w:r>
      <w:r w:rsidR="00F96905" w:rsidRPr="00F96905">
        <w:t xml:space="preserve"> areas</w:t>
      </w:r>
    </w:p>
    <w:tbl>
      <w:tblPr>
        <w:tblW w:w="48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Caption w:val="Summary of information available for additional areas"/>
        <w:tblDescription w:val="Information about additional quality improvement areas identified by stakeholders during the stakeholder engagement exercise, such as whether the areas are in scope, supported by guideline recommendations, current practice and covered by existing quality standard statements.  "/>
      </w:tblPr>
      <w:tblGrid>
        <w:gridCol w:w="3670"/>
        <w:gridCol w:w="1275"/>
        <w:gridCol w:w="1282"/>
        <w:gridCol w:w="1275"/>
        <w:gridCol w:w="1281"/>
      </w:tblGrid>
      <w:tr w:rsidR="00910D5A" w:rsidRPr="00910B42" w14:paraId="08DF45BE" w14:textId="77777777" w:rsidTr="00266A54">
        <w:trPr>
          <w:tblHeader/>
        </w:trPr>
        <w:tc>
          <w:tcPr>
            <w:tcW w:w="2089" w:type="pct"/>
            <w:shd w:val="clear" w:color="auto" w:fill="auto"/>
          </w:tcPr>
          <w:p w14:paraId="73C14A38" w14:textId="77777777" w:rsidR="00910D5A" w:rsidRPr="00910B42" w:rsidRDefault="00910D5A" w:rsidP="00F04347">
            <w:pPr>
              <w:pStyle w:val="Tabletitle"/>
            </w:pPr>
            <w:r w:rsidRPr="5A137D12">
              <w:t>Suggested area for improvement</w:t>
            </w:r>
          </w:p>
        </w:tc>
        <w:tc>
          <w:tcPr>
            <w:tcW w:w="726" w:type="pct"/>
          </w:tcPr>
          <w:p w14:paraId="5949329D" w14:textId="77777777" w:rsidR="00910D5A" w:rsidRPr="00910B42" w:rsidRDefault="00910D5A" w:rsidP="00F04347">
            <w:pPr>
              <w:pStyle w:val="Tabletitle"/>
            </w:pPr>
            <w:r>
              <w:t>Within remit of NICE QS</w:t>
            </w:r>
          </w:p>
        </w:tc>
        <w:tc>
          <w:tcPr>
            <w:tcW w:w="730" w:type="pct"/>
          </w:tcPr>
          <w:p w14:paraId="68279D01" w14:textId="77777777" w:rsidR="00910D5A" w:rsidRDefault="00910D5A" w:rsidP="00F04347">
            <w:pPr>
              <w:pStyle w:val="Tabletitle"/>
            </w:pPr>
            <w:r w:rsidRPr="00910B42">
              <w:t>In scope</w:t>
            </w:r>
          </w:p>
          <w:p w14:paraId="52BF25C0" w14:textId="77777777" w:rsidR="00910D5A" w:rsidRPr="00910B42" w:rsidRDefault="00910D5A" w:rsidP="00F04347">
            <w:pPr>
              <w:pStyle w:val="Tabletitle"/>
            </w:pPr>
          </w:p>
        </w:tc>
        <w:tc>
          <w:tcPr>
            <w:tcW w:w="726" w:type="pct"/>
          </w:tcPr>
          <w:p w14:paraId="0A18104B" w14:textId="77777777" w:rsidR="00910D5A" w:rsidRPr="00910B42" w:rsidRDefault="00910D5A" w:rsidP="00F04347">
            <w:pPr>
              <w:pStyle w:val="Tabletitle"/>
            </w:pPr>
            <w:r w:rsidRPr="00910B42">
              <w:t>Guideline recs</w:t>
            </w:r>
          </w:p>
        </w:tc>
        <w:tc>
          <w:tcPr>
            <w:tcW w:w="729" w:type="pct"/>
          </w:tcPr>
          <w:p w14:paraId="5835C30B" w14:textId="77777777" w:rsidR="00910D5A" w:rsidRDefault="00910D5A" w:rsidP="00F04347">
            <w:pPr>
              <w:pStyle w:val="Tabletitle"/>
            </w:pPr>
            <w:r>
              <w:t xml:space="preserve">Relevant </w:t>
            </w:r>
          </w:p>
          <w:p w14:paraId="218866DF" w14:textId="77777777" w:rsidR="00910D5A" w:rsidRPr="00910B42" w:rsidRDefault="00910D5A" w:rsidP="00F04347">
            <w:pPr>
              <w:pStyle w:val="Tabletitle"/>
            </w:pPr>
            <w:r>
              <w:t>e</w:t>
            </w:r>
            <w:r w:rsidRPr="00910B42">
              <w:t xml:space="preserve">xisting QS </w:t>
            </w:r>
          </w:p>
        </w:tc>
      </w:tr>
      <w:tr w:rsidR="00910D5A" w:rsidRPr="00910B42" w14:paraId="239E84EA" w14:textId="77777777" w:rsidTr="00266A54">
        <w:trPr>
          <w:trHeight w:val="382"/>
        </w:trPr>
        <w:tc>
          <w:tcPr>
            <w:tcW w:w="2089" w:type="pct"/>
            <w:tcBorders>
              <w:top w:val="single" w:sz="4" w:space="0" w:color="auto"/>
              <w:left w:val="single" w:sz="4" w:space="0" w:color="auto"/>
              <w:right w:val="single" w:sz="4" w:space="0" w:color="auto"/>
            </w:tcBorders>
            <w:shd w:val="clear" w:color="auto" w:fill="auto"/>
          </w:tcPr>
          <w:p w14:paraId="78833D7F" w14:textId="25FB9429" w:rsidR="00910D5A" w:rsidRPr="00910B42" w:rsidRDefault="001C4671" w:rsidP="001C4671">
            <w:pPr>
              <w:pStyle w:val="Tabletext"/>
            </w:pPr>
            <w:r>
              <w:t>Coding / recording of UTIs in primary care</w:t>
            </w:r>
          </w:p>
        </w:tc>
        <w:tc>
          <w:tcPr>
            <w:tcW w:w="726" w:type="pct"/>
          </w:tcPr>
          <w:p w14:paraId="5DDB292C" w14:textId="66696E00" w:rsidR="00910D5A" w:rsidRPr="00CF7ECA" w:rsidRDefault="00CF7ECA" w:rsidP="00F04347">
            <w:pPr>
              <w:pStyle w:val="Tabletext"/>
            </w:pPr>
            <w:r w:rsidRPr="00CF7ECA">
              <w:t>Yes</w:t>
            </w:r>
          </w:p>
        </w:tc>
        <w:tc>
          <w:tcPr>
            <w:tcW w:w="730" w:type="pct"/>
          </w:tcPr>
          <w:p w14:paraId="3BC75686" w14:textId="5F7C7B05" w:rsidR="00910D5A" w:rsidRPr="00CF7ECA" w:rsidRDefault="00CF7ECA" w:rsidP="00F04347">
            <w:pPr>
              <w:pStyle w:val="Tabletext"/>
            </w:pPr>
            <w:r w:rsidRPr="00CF7ECA">
              <w:t>Yes</w:t>
            </w:r>
          </w:p>
        </w:tc>
        <w:tc>
          <w:tcPr>
            <w:tcW w:w="726" w:type="pct"/>
          </w:tcPr>
          <w:p w14:paraId="694F2ED7" w14:textId="65203A58" w:rsidR="00910D5A" w:rsidRPr="00CF7ECA" w:rsidRDefault="00CF7ECA" w:rsidP="00F04347">
            <w:pPr>
              <w:pStyle w:val="Tabletext"/>
            </w:pPr>
            <w:r w:rsidRPr="00CF7ECA">
              <w:t>No</w:t>
            </w:r>
          </w:p>
        </w:tc>
        <w:tc>
          <w:tcPr>
            <w:tcW w:w="729" w:type="pct"/>
          </w:tcPr>
          <w:p w14:paraId="1DC4D7FB" w14:textId="714DCE6F" w:rsidR="00910D5A" w:rsidRPr="00CF7ECA" w:rsidRDefault="00CF7ECA" w:rsidP="00F04347">
            <w:pPr>
              <w:pStyle w:val="Tabletext"/>
            </w:pPr>
            <w:r w:rsidRPr="00CF7ECA">
              <w:t>No</w:t>
            </w:r>
          </w:p>
        </w:tc>
      </w:tr>
    </w:tbl>
    <w:p w14:paraId="45CED38C" w14:textId="5DFD8681" w:rsidR="007C6EB9" w:rsidRPr="00E9784F" w:rsidRDefault="008B2083" w:rsidP="007C6EB9">
      <w:pPr>
        <w:pStyle w:val="Heading3"/>
        <w:rPr>
          <w:highlight w:val="cyan"/>
        </w:rPr>
      </w:pPr>
      <w:bookmarkStart w:id="107" w:name="_Toc404063922"/>
      <w:bookmarkStart w:id="108" w:name="_Toc404587493"/>
      <w:bookmarkStart w:id="109" w:name="_Toc432164930"/>
      <w:bookmarkStart w:id="110" w:name="_Toc467141920"/>
      <w:bookmarkStart w:id="111" w:name="_Toc467141971"/>
      <w:r w:rsidRPr="008B2083">
        <w:t>Coding / recording of UTIs in primary care</w:t>
      </w:r>
      <w:r w:rsidRPr="008B2083">
        <w:rPr>
          <w:highlight w:val="cyan"/>
        </w:rPr>
        <w:t xml:space="preserve"> </w:t>
      </w:r>
    </w:p>
    <w:p w14:paraId="70FB4F30" w14:textId="43BC1F4C" w:rsidR="008B2083" w:rsidRDefault="008B2083" w:rsidP="006A10CF">
      <w:pPr>
        <w:pStyle w:val="Paragraph"/>
        <w:spacing w:before="0" w:after="0"/>
      </w:pPr>
      <w:r>
        <w:t>It was suggested that p</w:t>
      </w:r>
      <w:r w:rsidRPr="008B2083">
        <w:t>eople prescribed an antimicrobial have the clinical indication documented in their clinical record</w:t>
      </w:r>
      <w:r>
        <w:t xml:space="preserve">. </w:t>
      </w:r>
      <w:r w:rsidR="00022E2D">
        <w:t xml:space="preserve">A pilot audit </w:t>
      </w:r>
      <w:r w:rsidR="0095288F">
        <w:t xml:space="preserve">in Wales </w:t>
      </w:r>
      <w:r w:rsidR="00022E2D">
        <w:t xml:space="preserve">suggests coding of UTIs is low. </w:t>
      </w:r>
      <w:r>
        <w:t xml:space="preserve">This </w:t>
      </w:r>
      <w:r w:rsidR="00CF7ECA">
        <w:t xml:space="preserve">area </w:t>
      </w:r>
      <w:r>
        <w:t>has not been progressed</w:t>
      </w:r>
      <w:r w:rsidR="00022E2D">
        <w:t>. Recording and coding is a method by which quality improvement can be evidenced</w:t>
      </w:r>
      <w:r w:rsidR="00D16AEF">
        <w:t xml:space="preserve"> rather than an action that represents high quality care or support. </w:t>
      </w:r>
      <w:r w:rsidR="008A40B9">
        <w:t>S</w:t>
      </w:r>
      <w:r w:rsidR="008A40B9" w:rsidRPr="008A40B9">
        <w:t>uggested methods of data collection may be referred to in the data sources for quality measures</w:t>
      </w:r>
    </w:p>
    <w:bookmarkEnd w:id="107"/>
    <w:bookmarkEnd w:id="108"/>
    <w:bookmarkEnd w:id="109"/>
    <w:bookmarkEnd w:id="110"/>
    <w:bookmarkEnd w:id="111"/>
    <w:p w14:paraId="5CF160FE" w14:textId="77777777" w:rsidR="00E9784F" w:rsidRPr="00A813F7" w:rsidRDefault="00E9784F" w:rsidP="00A813F7">
      <w:pPr>
        <w:pStyle w:val="Paragraph"/>
      </w:pPr>
    </w:p>
    <w:p w14:paraId="3322C698" w14:textId="2AC3EC36" w:rsidR="008D5584" w:rsidRPr="00E80EE3" w:rsidRDefault="008D5584" w:rsidP="00A813F7">
      <w:pPr>
        <w:pStyle w:val="Paragraph"/>
      </w:pPr>
      <w:r w:rsidRPr="00A813F7">
        <w:t xml:space="preserve">© NICE </w:t>
      </w:r>
      <w:r w:rsidR="001C4671">
        <w:t>2022</w:t>
      </w:r>
      <w:r w:rsidRPr="00A813F7">
        <w:t xml:space="preserve">. All rights reserved. </w:t>
      </w:r>
      <w:r w:rsidR="008A5E6E" w:rsidRPr="00A813F7">
        <w:t xml:space="preserve">Subject to </w:t>
      </w:r>
      <w:hyperlink r:id="rId29" w:anchor="notice-of-rights" w:history="1">
        <w:r w:rsidR="008A5E6E">
          <w:rPr>
            <w:rStyle w:val="Hyperlink"/>
            <w:rFonts w:cs="Arial"/>
          </w:rPr>
          <w:t>Notice of rights</w:t>
        </w:r>
      </w:hyperlink>
      <w:r w:rsidRPr="00A813F7">
        <w:t>.</w:t>
      </w:r>
    </w:p>
    <w:p w14:paraId="58297249" w14:textId="0249180E" w:rsidR="00F20713" w:rsidRDefault="000E401D" w:rsidP="00A71A70">
      <w:pPr>
        <w:pStyle w:val="Heading1"/>
      </w:pPr>
      <w:bookmarkStart w:id="112" w:name="_Appendix_1:_Additional"/>
      <w:bookmarkEnd w:id="112"/>
      <w:r>
        <w:br w:type="page"/>
      </w:r>
      <w:bookmarkStart w:id="113" w:name="_Toc112833006"/>
      <w:r w:rsidR="00F20713" w:rsidRPr="00F20713">
        <w:lastRenderedPageBreak/>
        <w:t>Appendix 1</w:t>
      </w:r>
      <w:r w:rsidR="0001392D">
        <w:t xml:space="preserve">: </w:t>
      </w:r>
      <w:r w:rsidR="004963F1">
        <w:t xml:space="preserve">Additional </w:t>
      </w:r>
      <w:r w:rsidR="0053706F">
        <w:t xml:space="preserve">SCM </w:t>
      </w:r>
      <w:r w:rsidR="004963F1">
        <w:t>comments received (</w:t>
      </w:r>
      <w:r w:rsidR="000E6B43">
        <w:t>not included in section</w:t>
      </w:r>
      <w:r w:rsidR="002604BC">
        <w:t>s</w:t>
      </w:r>
      <w:r w:rsidR="000E6B43">
        <w:t xml:space="preserve"> 3 &amp; 4 of this report</w:t>
      </w:r>
      <w:r w:rsidR="004963F1">
        <w:t>)</w:t>
      </w:r>
      <w:bookmarkEnd w:id="113"/>
    </w:p>
    <w:tbl>
      <w:tblPr>
        <w:tblW w:w="495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Caption w:val="Suggestions from stakeholder engagement exercise – registered stakeholders"/>
        <w:tblDescription w:val="Information from registered stakeholders on their suggestions for key areas for quality improvement, including why each area is important for quality improvement and any supporting information."/>
      </w:tblPr>
      <w:tblGrid>
        <w:gridCol w:w="2074"/>
        <w:gridCol w:w="3308"/>
        <w:gridCol w:w="3544"/>
      </w:tblGrid>
      <w:tr w:rsidR="00E93C14" w:rsidRPr="004B662B" w14:paraId="05B88389" w14:textId="77777777" w:rsidTr="004B662B">
        <w:trPr>
          <w:tblHeader/>
        </w:trPr>
        <w:tc>
          <w:tcPr>
            <w:tcW w:w="1162" w:type="pct"/>
            <w:shd w:val="clear" w:color="auto" w:fill="F2F2F2" w:themeFill="background1" w:themeFillShade="F2"/>
          </w:tcPr>
          <w:p w14:paraId="158127AE" w14:textId="77777777" w:rsidR="00E93C14" w:rsidRPr="004B662B" w:rsidRDefault="00E93C14" w:rsidP="004B662B">
            <w:pPr>
              <w:pStyle w:val="TableText1"/>
              <w:rPr>
                <w:b/>
                <w:bCs/>
                <w:sz w:val="20"/>
              </w:rPr>
            </w:pPr>
            <w:r w:rsidRPr="004B662B">
              <w:rPr>
                <w:b/>
                <w:bCs/>
                <w:sz w:val="20"/>
              </w:rPr>
              <w:t>Suggested key area for quality improvement</w:t>
            </w:r>
          </w:p>
        </w:tc>
        <w:tc>
          <w:tcPr>
            <w:tcW w:w="1853" w:type="pct"/>
            <w:shd w:val="clear" w:color="auto" w:fill="F2F2F2" w:themeFill="background1" w:themeFillShade="F2"/>
          </w:tcPr>
          <w:p w14:paraId="16DBF789" w14:textId="77777777" w:rsidR="00E93C14" w:rsidRPr="004B662B" w:rsidRDefault="00E93C14" w:rsidP="004B662B">
            <w:pPr>
              <w:pStyle w:val="TableText1"/>
              <w:rPr>
                <w:b/>
                <w:bCs/>
                <w:sz w:val="20"/>
              </w:rPr>
            </w:pPr>
            <w:r w:rsidRPr="004B662B">
              <w:rPr>
                <w:b/>
                <w:bCs/>
                <w:sz w:val="20"/>
              </w:rPr>
              <w:t>Why is this a key area for quality improvement?</w:t>
            </w:r>
          </w:p>
        </w:tc>
        <w:tc>
          <w:tcPr>
            <w:tcW w:w="1985" w:type="pct"/>
            <w:shd w:val="clear" w:color="auto" w:fill="F2F2F2" w:themeFill="background1" w:themeFillShade="F2"/>
          </w:tcPr>
          <w:p w14:paraId="0FB3F486" w14:textId="77777777" w:rsidR="00E93C14" w:rsidRPr="004B662B" w:rsidRDefault="00E93C14" w:rsidP="004B662B">
            <w:pPr>
              <w:pStyle w:val="TableText1"/>
              <w:rPr>
                <w:b/>
                <w:bCs/>
                <w:sz w:val="20"/>
              </w:rPr>
            </w:pPr>
            <w:r w:rsidRPr="004B662B">
              <w:rPr>
                <w:b/>
                <w:bCs/>
                <w:sz w:val="20"/>
              </w:rPr>
              <w:t>Supporting information</w:t>
            </w:r>
          </w:p>
        </w:tc>
      </w:tr>
      <w:tr w:rsidR="00E93C14" w:rsidRPr="00C92280" w14:paraId="24C8487F" w14:textId="77777777" w:rsidTr="002514A8">
        <w:trPr>
          <w:trHeight w:val="282"/>
        </w:trPr>
        <w:tc>
          <w:tcPr>
            <w:tcW w:w="1162" w:type="pct"/>
          </w:tcPr>
          <w:p w14:paraId="114057A6" w14:textId="34C7CE7C" w:rsidR="00E93C14" w:rsidRPr="004B662B" w:rsidRDefault="00E93C14" w:rsidP="004B662B">
            <w:pPr>
              <w:pStyle w:val="TableText1"/>
              <w:rPr>
                <w:sz w:val="20"/>
                <w:highlight w:val="cyan"/>
              </w:rPr>
            </w:pPr>
            <w:r w:rsidRPr="004B662B">
              <w:rPr>
                <w:sz w:val="20"/>
              </w:rPr>
              <w:t>1</w:t>
            </w:r>
            <w:r w:rsidR="002514A8" w:rsidRPr="004B662B">
              <w:rPr>
                <w:sz w:val="20"/>
              </w:rPr>
              <w:t>.</w:t>
            </w:r>
            <w:r w:rsidR="00B44482" w:rsidRPr="004B662B">
              <w:rPr>
                <w:sz w:val="20"/>
              </w:rPr>
              <w:t xml:space="preserve"> </w:t>
            </w:r>
            <w:r w:rsidRPr="004B662B">
              <w:rPr>
                <w:sz w:val="20"/>
              </w:rPr>
              <w:t>Patients with UTI requiring IV antibiotics should have blood cultures sent prior to starting the antibiotics</w:t>
            </w:r>
          </w:p>
        </w:tc>
        <w:tc>
          <w:tcPr>
            <w:tcW w:w="1853" w:type="pct"/>
          </w:tcPr>
          <w:p w14:paraId="77E30E43" w14:textId="77777777" w:rsidR="00E93C14" w:rsidRPr="004B662B" w:rsidRDefault="00E93C14" w:rsidP="004B662B">
            <w:pPr>
              <w:pStyle w:val="TableText1"/>
              <w:rPr>
                <w:sz w:val="20"/>
              </w:rPr>
            </w:pPr>
            <w:r w:rsidRPr="004B662B">
              <w:rPr>
                <w:sz w:val="20"/>
              </w:rPr>
              <w:t>Culture results are critical to antimicrobial stewardship and allow directed therapy to be used in treatment (IV and oral).</w:t>
            </w:r>
          </w:p>
          <w:p w14:paraId="5CA70651" w14:textId="77777777" w:rsidR="00E93C14" w:rsidRPr="004B662B" w:rsidRDefault="00E93C14" w:rsidP="004B662B">
            <w:pPr>
              <w:pStyle w:val="TableText1"/>
              <w:rPr>
                <w:sz w:val="20"/>
              </w:rPr>
            </w:pPr>
          </w:p>
          <w:p w14:paraId="5523AA3B" w14:textId="4BF45E92" w:rsidR="00E93C14" w:rsidRPr="004B662B" w:rsidRDefault="00E93C14" w:rsidP="004B662B">
            <w:pPr>
              <w:pStyle w:val="TableText1"/>
              <w:rPr>
                <w:sz w:val="20"/>
              </w:rPr>
            </w:pPr>
            <w:r w:rsidRPr="004B662B">
              <w:rPr>
                <w:sz w:val="20"/>
              </w:rPr>
              <w:t>Blood culture positivity falls by almost half when antibiotics are given prior to the collection of the sample.</w:t>
            </w:r>
          </w:p>
          <w:p w14:paraId="78DCE66B" w14:textId="77777777" w:rsidR="00E93C14" w:rsidRPr="004B662B" w:rsidRDefault="00E93C14" w:rsidP="004B662B">
            <w:pPr>
              <w:pStyle w:val="TableText1"/>
              <w:rPr>
                <w:sz w:val="20"/>
              </w:rPr>
            </w:pPr>
          </w:p>
          <w:p w14:paraId="6C6F2E7A" w14:textId="4D809FD7" w:rsidR="00E93C14" w:rsidRPr="004B662B" w:rsidRDefault="00E93C14" w:rsidP="004B662B">
            <w:pPr>
              <w:pStyle w:val="TableText1"/>
              <w:rPr>
                <w:sz w:val="20"/>
                <w:highlight w:val="cyan"/>
              </w:rPr>
            </w:pPr>
            <w:r w:rsidRPr="004B662B">
              <w:rPr>
                <w:sz w:val="20"/>
              </w:rPr>
              <w:t xml:space="preserve">Targeting antibiotics to a known pathogen has Individual patient benefits (ability to pick the most suitable and least harmful antibiotic option possible) and population level benefits (as it reduces the use of </w:t>
            </w:r>
            <w:proofErr w:type="gramStart"/>
            <w:r w:rsidRPr="004B662B">
              <w:rPr>
                <w:sz w:val="20"/>
              </w:rPr>
              <w:t>broad spectrum</w:t>
            </w:r>
            <w:proofErr w:type="gramEnd"/>
            <w:r w:rsidRPr="004B662B">
              <w:rPr>
                <w:sz w:val="20"/>
              </w:rPr>
              <w:t xml:space="preserve"> antimicrobial use) in terms of antimicrobial stewardship to reduce rates of antimicrobial resistance.</w:t>
            </w:r>
          </w:p>
        </w:tc>
        <w:tc>
          <w:tcPr>
            <w:tcW w:w="1985" w:type="pct"/>
          </w:tcPr>
          <w:p w14:paraId="2A6806C2" w14:textId="77777777" w:rsidR="00E93C14" w:rsidRPr="004B662B" w:rsidRDefault="00E93C14" w:rsidP="004B662B">
            <w:pPr>
              <w:pStyle w:val="TableText1"/>
              <w:rPr>
                <w:sz w:val="20"/>
              </w:rPr>
            </w:pPr>
            <w:r w:rsidRPr="004B662B">
              <w:rPr>
                <w:sz w:val="20"/>
              </w:rPr>
              <w:t>Blood culture positivity was 50.6% (78/154) among patients with sepsis who did not receive antibiotics and only 27.7% (112/405) in those who were already receiving antibiotics (p &lt;0.001)</w:t>
            </w:r>
          </w:p>
          <w:p w14:paraId="73D7FB98" w14:textId="77777777" w:rsidR="00E93C14" w:rsidRPr="004B662B" w:rsidRDefault="00E93C14" w:rsidP="004B662B">
            <w:pPr>
              <w:pStyle w:val="TableText1"/>
              <w:rPr>
                <w:sz w:val="20"/>
              </w:rPr>
            </w:pPr>
          </w:p>
          <w:p w14:paraId="005700DA" w14:textId="37CB836C" w:rsidR="00E93C14" w:rsidRPr="004B662B" w:rsidRDefault="00AC503C" w:rsidP="004B662B">
            <w:pPr>
              <w:pStyle w:val="TableText1"/>
              <w:rPr>
                <w:sz w:val="20"/>
              </w:rPr>
            </w:pPr>
            <w:hyperlink r:id="rId30" w:anchor=":~:text=The%20overall%20positivity%20of%20all,p%20%3C0.001)%20(Fig." w:history="1">
              <w:r w:rsidR="00E93C14" w:rsidRPr="004B662B">
                <w:rPr>
                  <w:rStyle w:val="Hyperlink"/>
                  <w:color w:val="auto"/>
                  <w:sz w:val="20"/>
                  <w:u w:val="none"/>
                </w:rPr>
                <w:t>Impact of antibiotic administration on blood culture positivity at the beginning of sepsis: a prospective clinical cohort study – ScienceDirect</w:t>
              </w:r>
            </w:hyperlink>
            <w:r w:rsidR="00E93C14" w:rsidRPr="004B662B">
              <w:rPr>
                <w:sz w:val="20"/>
              </w:rPr>
              <w:t xml:space="preserve"> </w:t>
            </w:r>
          </w:p>
        </w:tc>
      </w:tr>
      <w:tr w:rsidR="001324DA" w:rsidRPr="00C92280" w14:paraId="3E0B7BF8" w14:textId="77777777" w:rsidTr="002514A8">
        <w:trPr>
          <w:trHeight w:val="282"/>
        </w:trPr>
        <w:tc>
          <w:tcPr>
            <w:tcW w:w="1162" w:type="pct"/>
          </w:tcPr>
          <w:p w14:paraId="6ACFEC38" w14:textId="4B86FC3E" w:rsidR="001324DA" w:rsidRPr="004B662B" w:rsidRDefault="00B44482" w:rsidP="004B662B">
            <w:pPr>
              <w:pStyle w:val="TableText1"/>
              <w:rPr>
                <w:sz w:val="20"/>
              </w:rPr>
            </w:pPr>
            <w:r w:rsidRPr="004B662B">
              <w:rPr>
                <w:sz w:val="20"/>
              </w:rPr>
              <w:t>2. Consider prostatitis as a cause for recurrent UTI in men (same organism).</w:t>
            </w:r>
          </w:p>
        </w:tc>
        <w:tc>
          <w:tcPr>
            <w:tcW w:w="1853" w:type="pct"/>
          </w:tcPr>
          <w:p w14:paraId="32FBEE95" w14:textId="77777777" w:rsidR="00B44482" w:rsidRPr="004B662B" w:rsidRDefault="00B44482" w:rsidP="004B662B">
            <w:pPr>
              <w:pStyle w:val="TableText1"/>
              <w:rPr>
                <w:sz w:val="20"/>
              </w:rPr>
            </w:pPr>
            <w:r w:rsidRPr="004B662B">
              <w:rPr>
                <w:sz w:val="20"/>
              </w:rPr>
              <w:t>Prostatitis requires specific antibiotics due to penetration issues and a longer course than routine lower UTIs.</w:t>
            </w:r>
          </w:p>
          <w:p w14:paraId="05FC98CF" w14:textId="77777777" w:rsidR="00B44482" w:rsidRPr="004B662B" w:rsidRDefault="00B44482" w:rsidP="004B662B">
            <w:pPr>
              <w:pStyle w:val="TableText1"/>
              <w:rPr>
                <w:sz w:val="20"/>
              </w:rPr>
            </w:pPr>
          </w:p>
          <w:p w14:paraId="45A60C77" w14:textId="467EE609" w:rsidR="001324DA" w:rsidRPr="004B662B" w:rsidRDefault="00B44482" w:rsidP="004B662B">
            <w:pPr>
              <w:pStyle w:val="TableText1"/>
              <w:rPr>
                <w:sz w:val="20"/>
              </w:rPr>
            </w:pPr>
            <w:r w:rsidRPr="004B662B">
              <w:rPr>
                <w:sz w:val="20"/>
              </w:rPr>
              <w:t>It is not uncommon to see repeated urine results with the same organism in men, which is not adequately responding to antibiotics (</w:t>
            </w:r>
            <w:proofErr w:type="gramStart"/>
            <w:r w:rsidRPr="004B662B">
              <w:rPr>
                <w:sz w:val="20"/>
              </w:rPr>
              <w:t>e.g.</w:t>
            </w:r>
            <w:proofErr w:type="gramEnd"/>
            <w:r w:rsidRPr="004B662B">
              <w:rPr>
                <w:sz w:val="20"/>
              </w:rPr>
              <w:t xml:space="preserve"> it recurs on cessation) either due to duration and/or agent chosen.  Anecdotally patients with this background can then present to the Urology department with sepsis/acute deterioration.</w:t>
            </w:r>
          </w:p>
        </w:tc>
        <w:tc>
          <w:tcPr>
            <w:tcW w:w="1985" w:type="pct"/>
          </w:tcPr>
          <w:p w14:paraId="0E390F45" w14:textId="77777777" w:rsidR="001324DA" w:rsidRPr="004B662B" w:rsidRDefault="001324DA" w:rsidP="004B662B">
            <w:pPr>
              <w:pStyle w:val="TableText1"/>
              <w:rPr>
                <w:sz w:val="20"/>
              </w:rPr>
            </w:pPr>
          </w:p>
        </w:tc>
      </w:tr>
      <w:tr w:rsidR="001324DA" w:rsidRPr="00C92280" w14:paraId="0F6882FD" w14:textId="77777777" w:rsidTr="002514A8">
        <w:trPr>
          <w:trHeight w:val="282"/>
        </w:trPr>
        <w:tc>
          <w:tcPr>
            <w:tcW w:w="1162" w:type="pct"/>
          </w:tcPr>
          <w:p w14:paraId="1D97F364" w14:textId="5BF7CCB8" w:rsidR="001324DA" w:rsidRPr="004B662B" w:rsidRDefault="00B44482" w:rsidP="004B662B">
            <w:pPr>
              <w:pStyle w:val="TableText1"/>
              <w:rPr>
                <w:sz w:val="20"/>
              </w:rPr>
            </w:pPr>
            <w:r w:rsidRPr="004B662B">
              <w:rPr>
                <w:sz w:val="20"/>
              </w:rPr>
              <w:t>3. MSU/CSU should be sent prior to antibiotics being started for all hospitalised patients being treated for UTI</w:t>
            </w:r>
          </w:p>
        </w:tc>
        <w:tc>
          <w:tcPr>
            <w:tcW w:w="1853" w:type="pct"/>
          </w:tcPr>
          <w:p w14:paraId="4E8E682E" w14:textId="77777777" w:rsidR="00B44482" w:rsidRPr="004B662B" w:rsidRDefault="00B44482" w:rsidP="004B662B">
            <w:pPr>
              <w:pStyle w:val="TableText1"/>
              <w:rPr>
                <w:sz w:val="20"/>
              </w:rPr>
            </w:pPr>
            <w:r w:rsidRPr="004B662B">
              <w:rPr>
                <w:sz w:val="20"/>
              </w:rPr>
              <w:t>Culture results are critical to antimicrobial stewardship and allow directed therapy to be used in treatment (IV and oral).</w:t>
            </w:r>
          </w:p>
          <w:p w14:paraId="483F8893" w14:textId="77777777" w:rsidR="00B44482" w:rsidRPr="004B662B" w:rsidRDefault="00B44482" w:rsidP="004B662B">
            <w:pPr>
              <w:pStyle w:val="TableText1"/>
              <w:rPr>
                <w:sz w:val="20"/>
              </w:rPr>
            </w:pPr>
          </w:p>
          <w:p w14:paraId="69610B1B" w14:textId="48673D67" w:rsidR="001324DA" w:rsidRPr="004B662B" w:rsidRDefault="00B44482" w:rsidP="004B662B">
            <w:pPr>
              <w:pStyle w:val="TableText1"/>
              <w:rPr>
                <w:sz w:val="20"/>
              </w:rPr>
            </w:pPr>
            <w:r w:rsidRPr="004B662B">
              <w:rPr>
                <w:sz w:val="20"/>
              </w:rPr>
              <w:t xml:space="preserve">Individual patient benefits (ability to pick the most suitable and least harmful antibiotic option possible) and population level benefits (as it reduces the use of </w:t>
            </w:r>
            <w:proofErr w:type="gramStart"/>
            <w:r w:rsidRPr="004B662B">
              <w:rPr>
                <w:sz w:val="20"/>
              </w:rPr>
              <w:t>broad spectrum</w:t>
            </w:r>
            <w:proofErr w:type="gramEnd"/>
            <w:r w:rsidRPr="004B662B">
              <w:rPr>
                <w:sz w:val="20"/>
              </w:rPr>
              <w:t xml:space="preserve"> antimicrobial use) in terms of antimicrobial stewardship to reduce rates of antimicrobial resistance.</w:t>
            </w:r>
          </w:p>
        </w:tc>
        <w:tc>
          <w:tcPr>
            <w:tcW w:w="1985" w:type="pct"/>
          </w:tcPr>
          <w:p w14:paraId="3DF68920" w14:textId="77777777" w:rsidR="00B44482" w:rsidRPr="004B662B" w:rsidRDefault="00B44482" w:rsidP="004B662B">
            <w:pPr>
              <w:pStyle w:val="TableText1"/>
              <w:rPr>
                <w:sz w:val="20"/>
              </w:rPr>
            </w:pPr>
            <w:r w:rsidRPr="004B662B">
              <w:rPr>
                <w:sz w:val="20"/>
              </w:rPr>
              <w:t>NICE UTI treatment guidelines ask for Urine samples to be sent prior for men, pregnant women and leave it open for other women.</w:t>
            </w:r>
          </w:p>
          <w:p w14:paraId="35F75795" w14:textId="77777777" w:rsidR="00B44482" w:rsidRPr="004B662B" w:rsidRDefault="00B44482" w:rsidP="004B662B">
            <w:pPr>
              <w:pStyle w:val="TableText1"/>
              <w:rPr>
                <w:sz w:val="20"/>
              </w:rPr>
            </w:pPr>
          </w:p>
          <w:p w14:paraId="6CE7C97D" w14:textId="3486F077" w:rsidR="00B44482" w:rsidRPr="004B662B" w:rsidRDefault="00B44482" w:rsidP="004B662B">
            <w:pPr>
              <w:pStyle w:val="TableText1"/>
              <w:rPr>
                <w:sz w:val="20"/>
              </w:rPr>
            </w:pPr>
            <w:r w:rsidRPr="004B662B">
              <w:rPr>
                <w:sz w:val="20"/>
              </w:rPr>
              <w:t>A sample should be sent for urine culture in all women with suspected lower UTI who:</w:t>
            </w:r>
          </w:p>
          <w:p w14:paraId="1329C2DD" w14:textId="705746F3" w:rsidR="00B44482" w:rsidRPr="004B662B" w:rsidRDefault="00B44482" w:rsidP="004B662B">
            <w:pPr>
              <w:pStyle w:val="TableText1"/>
              <w:rPr>
                <w:sz w:val="20"/>
              </w:rPr>
            </w:pPr>
            <w:r w:rsidRPr="004B662B">
              <w:rPr>
                <w:sz w:val="20"/>
              </w:rPr>
              <w:t>Are pregnant.</w:t>
            </w:r>
          </w:p>
          <w:p w14:paraId="442554E7" w14:textId="2DB5476F" w:rsidR="00B44482" w:rsidRPr="004B662B" w:rsidRDefault="00B44482" w:rsidP="004B662B">
            <w:pPr>
              <w:pStyle w:val="TableText1"/>
              <w:rPr>
                <w:sz w:val="20"/>
              </w:rPr>
            </w:pPr>
            <w:r w:rsidRPr="004B662B">
              <w:rPr>
                <w:sz w:val="20"/>
              </w:rPr>
              <w:t>Are older than 65 years.</w:t>
            </w:r>
          </w:p>
          <w:p w14:paraId="6736F9BB" w14:textId="04D1A060" w:rsidR="00B44482" w:rsidRPr="004B662B" w:rsidRDefault="00B44482" w:rsidP="004B662B">
            <w:pPr>
              <w:pStyle w:val="TableText1"/>
              <w:rPr>
                <w:sz w:val="20"/>
              </w:rPr>
            </w:pPr>
            <w:r w:rsidRPr="004B662B">
              <w:rPr>
                <w:sz w:val="20"/>
              </w:rPr>
              <w:t>Have symptoms that are persistent or do not resolve with antibiotic treatment.</w:t>
            </w:r>
          </w:p>
          <w:p w14:paraId="431776A4" w14:textId="66983918" w:rsidR="00B44482" w:rsidRPr="004B662B" w:rsidRDefault="00B44482" w:rsidP="004B662B">
            <w:pPr>
              <w:pStyle w:val="TableText1"/>
              <w:rPr>
                <w:sz w:val="20"/>
              </w:rPr>
            </w:pPr>
            <w:r w:rsidRPr="004B662B">
              <w:rPr>
                <w:sz w:val="20"/>
              </w:rPr>
              <w:t>Have recurrent UTI (2 episodes in 6 months or 3 in 12 months).</w:t>
            </w:r>
          </w:p>
          <w:p w14:paraId="762F4725" w14:textId="5D4A2970" w:rsidR="00B44482" w:rsidRPr="004B662B" w:rsidRDefault="00B44482" w:rsidP="004B662B">
            <w:pPr>
              <w:pStyle w:val="TableText1"/>
              <w:rPr>
                <w:sz w:val="20"/>
              </w:rPr>
            </w:pPr>
            <w:r w:rsidRPr="004B662B">
              <w:rPr>
                <w:sz w:val="20"/>
              </w:rPr>
              <w:lastRenderedPageBreak/>
              <w:t>Have a urinary catheter in situ or have recently been catheterised.</w:t>
            </w:r>
          </w:p>
          <w:p w14:paraId="0EC940EB" w14:textId="40280F62" w:rsidR="00B44482" w:rsidRPr="004B662B" w:rsidRDefault="00B44482" w:rsidP="004B662B">
            <w:pPr>
              <w:pStyle w:val="TableText1"/>
              <w:rPr>
                <w:sz w:val="20"/>
              </w:rPr>
            </w:pPr>
            <w:r w:rsidRPr="004B662B">
              <w:rPr>
                <w:sz w:val="20"/>
              </w:rPr>
              <w:t xml:space="preserve">If the catheter has been changed the sample should be collected from the newly placed catheter — using aseptic technique drain a few mL of residual urine from the </w:t>
            </w:r>
            <w:proofErr w:type="gramStart"/>
            <w:r w:rsidRPr="004B662B">
              <w:rPr>
                <w:sz w:val="20"/>
              </w:rPr>
              <w:t>tubing</w:t>
            </w:r>
            <w:proofErr w:type="gramEnd"/>
            <w:r w:rsidRPr="004B662B">
              <w:rPr>
                <w:sz w:val="20"/>
              </w:rPr>
              <w:t xml:space="preserve"> then collect a fresh sample from catheter sampling port.</w:t>
            </w:r>
          </w:p>
          <w:p w14:paraId="59CC2F31" w14:textId="2FD59763" w:rsidR="00B44482" w:rsidRPr="004B662B" w:rsidRDefault="00B44482" w:rsidP="004B662B">
            <w:pPr>
              <w:pStyle w:val="TableText1"/>
              <w:rPr>
                <w:sz w:val="20"/>
              </w:rPr>
            </w:pPr>
            <w:r w:rsidRPr="004B662B">
              <w:rPr>
                <w:sz w:val="20"/>
              </w:rPr>
              <w:t>Ensure the microbiology request form states that this is a suspected catheter-associated infection and details of any antibiotic prescribed.</w:t>
            </w:r>
          </w:p>
          <w:p w14:paraId="093B5102" w14:textId="7D0B5621" w:rsidR="00B44482" w:rsidRPr="004B662B" w:rsidRDefault="00B44482" w:rsidP="004B662B">
            <w:pPr>
              <w:pStyle w:val="TableText1"/>
              <w:rPr>
                <w:sz w:val="20"/>
              </w:rPr>
            </w:pPr>
            <w:r w:rsidRPr="004B662B">
              <w:rPr>
                <w:sz w:val="20"/>
              </w:rPr>
              <w:t xml:space="preserve">Have risk factors for resistance or complicated UTI such as abnormalities of genitourinary tract, renal impairment, residence in a </w:t>
            </w:r>
            <w:proofErr w:type="gramStart"/>
            <w:r w:rsidRPr="004B662B">
              <w:rPr>
                <w:sz w:val="20"/>
              </w:rPr>
              <w:t>long term</w:t>
            </w:r>
            <w:proofErr w:type="gramEnd"/>
            <w:r w:rsidRPr="004B662B">
              <w:rPr>
                <w:sz w:val="20"/>
              </w:rPr>
              <w:t xml:space="preserve"> care facility, hospitalisation for more than 7 days in the last 6 months, recent travel to a country with increased resistance or previous resistant UTI.</w:t>
            </w:r>
          </w:p>
          <w:p w14:paraId="439F63E9" w14:textId="527C0771" w:rsidR="00B44482" w:rsidRPr="004B662B" w:rsidRDefault="00B44482" w:rsidP="004B662B">
            <w:pPr>
              <w:pStyle w:val="TableText1"/>
              <w:rPr>
                <w:sz w:val="20"/>
              </w:rPr>
            </w:pPr>
            <w:r w:rsidRPr="004B662B">
              <w:rPr>
                <w:sz w:val="20"/>
              </w:rPr>
              <w:t>Have atypical symptoms.</w:t>
            </w:r>
          </w:p>
          <w:p w14:paraId="54C8C599" w14:textId="6EFDBAD5" w:rsidR="00B44482" w:rsidRPr="004B662B" w:rsidRDefault="00B44482" w:rsidP="004B662B">
            <w:pPr>
              <w:pStyle w:val="TableText1"/>
              <w:rPr>
                <w:sz w:val="20"/>
              </w:rPr>
            </w:pPr>
            <w:r w:rsidRPr="004B662B">
              <w:rPr>
                <w:sz w:val="20"/>
              </w:rPr>
              <w:t>Have visible or non-visible (on urine dipstick) haematuria.</w:t>
            </w:r>
          </w:p>
          <w:p w14:paraId="35516443" w14:textId="77777777" w:rsidR="00B44482" w:rsidRPr="004B662B" w:rsidRDefault="00B44482" w:rsidP="004B662B">
            <w:pPr>
              <w:pStyle w:val="TableText1"/>
              <w:rPr>
                <w:sz w:val="20"/>
              </w:rPr>
            </w:pPr>
          </w:p>
          <w:p w14:paraId="65041065" w14:textId="4BDE9A4A" w:rsidR="00B44482" w:rsidRPr="004B662B" w:rsidRDefault="00B44482" w:rsidP="004B662B">
            <w:pPr>
              <w:pStyle w:val="TableText1"/>
              <w:rPr>
                <w:sz w:val="20"/>
              </w:rPr>
            </w:pPr>
            <w:r w:rsidRPr="004B662B">
              <w:rPr>
                <w:sz w:val="20"/>
              </w:rPr>
              <w:t xml:space="preserve">A urine sample for culture should be sent (f possible before starting antibiotics) in women who are catheterized as there is an increased likelihood of antimicrobial resistance </w:t>
            </w:r>
            <w:r w:rsidR="00351427" w:rsidRPr="004B662B">
              <w:rPr>
                <w:sz w:val="20"/>
                <w:szCs w:val="20"/>
              </w:rPr>
              <w:t>[</w:t>
            </w:r>
            <w:hyperlink r:id="rId31" w:history="1">
              <w:r w:rsidR="00351427" w:rsidRPr="004B662B">
                <w:rPr>
                  <w:rStyle w:val="Hyperlink"/>
                  <w:color w:val="auto"/>
                  <w:sz w:val="20"/>
                  <w:szCs w:val="20"/>
                  <w:u w:val="none"/>
                </w:rPr>
                <w:t>EAU, 2018</w:t>
              </w:r>
            </w:hyperlink>
            <w:r w:rsidR="00351427" w:rsidRPr="004B662B">
              <w:rPr>
                <w:sz w:val="20"/>
                <w:szCs w:val="20"/>
              </w:rPr>
              <w:t>; </w:t>
            </w:r>
            <w:hyperlink r:id="rId32" w:history="1">
              <w:r w:rsidR="00351427" w:rsidRPr="004B662B">
                <w:rPr>
                  <w:rStyle w:val="Hyperlink"/>
                  <w:color w:val="auto"/>
                  <w:sz w:val="20"/>
                  <w:szCs w:val="20"/>
                  <w:u w:val="none"/>
                </w:rPr>
                <w:t>NICE, 2018c</w:t>
              </w:r>
            </w:hyperlink>
            <w:r w:rsidR="00351427" w:rsidRPr="004B662B">
              <w:rPr>
                <w:sz w:val="20"/>
                <w:szCs w:val="20"/>
              </w:rPr>
              <w:t>; </w:t>
            </w:r>
            <w:hyperlink r:id="rId33" w:history="1">
              <w:r w:rsidR="00351427" w:rsidRPr="004B662B">
                <w:rPr>
                  <w:rStyle w:val="Hyperlink"/>
                  <w:color w:val="auto"/>
                  <w:sz w:val="20"/>
                  <w:szCs w:val="20"/>
                  <w:u w:val="none"/>
                </w:rPr>
                <w:t>EAU, 2018</w:t>
              </w:r>
            </w:hyperlink>
            <w:r w:rsidR="00351427" w:rsidRPr="004B662B">
              <w:rPr>
                <w:sz w:val="20"/>
              </w:rPr>
              <w:t xml:space="preserve"> </w:t>
            </w:r>
            <w:r w:rsidRPr="004B662B">
              <w:rPr>
                <w:sz w:val="20"/>
              </w:rPr>
              <w:t>].</w:t>
            </w:r>
          </w:p>
          <w:p w14:paraId="4AF40B76" w14:textId="50C1F98E" w:rsidR="001324DA" w:rsidRPr="004B662B" w:rsidRDefault="00AC503C" w:rsidP="004B662B">
            <w:pPr>
              <w:pStyle w:val="TableText1"/>
              <w:rPr>
                <w:sz w:val="20"/>
              </w:rPr>
            </w:pPr>
            <w:hyperlink r:id="rId34" w:anchor=":~:text=Urine%20dipstick%20should%20not%20be,2018%3B%20NICE%2C%202018c%5D." w:history="1">
              <w:r w:rsidR="00B44482" w:rsidRPr="004B662B">
                <w:rPr>
                  <w:rStyle w:val="Hyperlink"/>
                  <w:color w:val="auto"/>
                  <w:sz w:val="20"/>
                  <w:u w:val="none"/>
                </w:rPr>
                <w:t>Assessment | Diagnosis | Urinary tract infection (lower) - women | CKS | NICE</w:t>
              </w:r>
            </w:hyperlink>
          </w:p>
        </w:tc>
      </w:tr>
      <w:tr w:rsidR="001324DA" w:rsidRPr="00C92280" w14:paraId="440529FF" w14:textId="77777777" w:rsidTr="002514A8">
        <w:trPr>
          <w:trHeight w:val="282"/>
        </w:trPr>
        <w:tc>
          <w:tcPr>
            <w:tcW w:w="1162" w:type="pct"/>
          </w:tcPr>
          <w:p w14:paraId="51AA82D2" w14:textId="7A2160A4" w:rsidR="001324DA" w:rsidRPr="004B662B" w:rsidRDefault="00351427" w:rsidP="004B662B">
            <w:pPr>
              <w:pStyle w:val="TableText1"/>
              <w:rPr>
                <w:sz w:val="20"/>
              </w:rPr>
            </w:pPr>
            <w:r w:rsidRPr="004B662B">
              <w:rPr>
                <w:sz w:val="20"/>
              </w:rPr>
              <w:lastRenderedPageBreak/>
              <w:t>4. Dipsticks should not be used to diagnose UTI in the over 65s</w:t>
            </w:r>
          </w:p>
        </w:tc>
        <w:tc>
          <w:tcPr>
            <w:tcW w:w="1853" w:type="pct"/>
          </w:tcPr>
          <w:p w14:paraId="52719F23" w14:textId="77777777" w:rsidR="00351427" w:rsidRPr="004B662B" w:rsidRDefault="00351427" w:rsidP="004B662B">
            <w:pPr>
              <w:pStyle w:val="TableText1"/>
              <w:rPr>
                <w:sz w:val="20"/>
              </w:rPr>
            </w:pPr>
            <w:r w:rsidRPr="004B662B">
              <w:rPr>
                <w:sz w:val="20"/>
              </w:rPr>
              <w:t>It is unreliable due to prevalence of asymptomatic bacteriuria; overtreatment of individuals and UTI at a population level occurs due to misdiagnosis.  Unnecessary antibiotics can cause individual patient harm and an increasing population burden of antimicrobial resistance</w:t>
            </w:r>
          </w:p>
          <w:p w14:paraId="6BF2EB36" w14:textId="77777777" w:rsidR="00351427" w:rsidRPr="004B662B" w:rsidRDefault="00351427" w:rsidP="004B662B">
            <w:pPr>
              <w:pStyle w:val="TableText1"/>
              <w:rPr>
                <w:sz w:val="20"/>
              </w:rPr>
            </w:pPr>
          </w:p>
          <w:p w14:paraId="15698264" w14:textId="61366D3A" w:rsidR="001324DA" w:rsidRPr="004B662B" w:rsidRDefault="00351427" w:rsidP="004B662B">
            <w:pPr>
              <w:pStyle w:val="TableText1"/>
              <w:rPr>
                <w:sz w:val="20"/>
              </w:rPr>
            </w:pPr>
            <w:r w:rsidRPr="004B662B">
              <w:rPr>
                <w:sz w:val="20"/>
              </w:rPr>
              <w:t xml:space="preserve">Current QSAC on UTI in patients over 65 states they should have a full </w:t>
            </w:r>
            <w:proofErr w:type="gramStart"/>
            <w:r w:rsidRPr="004B662B">
              <w:rPr>
                <w:sz w:val="20"/>
              </w:rPr>
              <w:t>assessment, but</w:t>
            </w:r>
            <w:proofErr w:type="gramEnd"/>
            <w:r w:rsidRPr="004B662B">
              <w:rPr>
                <w:sz w:val="20"/>
              </w:rPr>
              <w:t xml:space="preserve"> does not clearly state that dipsticks should not be used for diagnosis as clearly as the relevant NICE/EAU/PHE guidance.</w:t>
            </w:r>
          </w:p>
        </w:tc>
        <w:tc>
          <w:tcPr>
            <w:tcW w:w="1985" w:type="pct"/>
          </w:tcPr>
          <w:p w14:paraId="201FCF08" w14:textId="77777777" w:rsidR="00351427" w:rsidRPr="004B662B" w:rsidRDefault="00351427" w:rsidP="004B662B">
            <w:pPr>
              <w:pStyle w:val="TableText1"/>
              <w:rPr>
                <w:sz w:val="20"/>
              </w:rPr>
            </w:pPr>
            <w:r w:rsidRPr="004B662B">
              <w:rPr>
                <w:sz w:val="20"/>
              </w:rPr>
              <w:t>Urine dipstick should not be used to diagnose UTI in women over the age of 65 years, in those with a urinary catheter, for recurrent UTI or where there is a chance of bacterial resistance – a urine culture should be sent [</w:t>
            </w:r>
            <w:hyperlink r:id="rId35" w:history="1">
              <w:r w:rsidRPr="004B662B">
                <w:rPr>
                  <w:rStyle w:val="Hyperlink"/>
                  <w:color w:val="auto"/>
                  <w:sz w:val="20"/>
                  <w:szCs w:val="20"/>
                  <w:u w:val="none"/>
                </w:rPr>
                <w:t>PHE, 2017</w:t>
              </w:r>
            </w:hyperlink>
            <w:r w:rsidRPr="004B662B">
              <w:rPr>
                <w:sz w:val="20"/>
              </w:rPr>
              <w:t>; </w:t>
            </w:r>
            <w:hyperlink r:id="rId36" w:history="1">
              <w:r w:rsidRPr="004B662B">
                <w:rPr>
                  <w:rStyle w:val="Hyperlink"/>
                  <w:color w:val="auto"/>
                  <w:sz w:val="20"/>
                  <w:szCs w:val="20"/>
                  <w:u w:val="none"/>
                </w:rPr>
                <w:t>EAU, 2018</w:t>
              </w:r>
            </w:hyperlink>
            <w:r w:rsidRPr="004B662B">
              <w:rPr>
                <w:sz w:val="20"/>
              </w:rPr>
              <w:t>; </w:t>
            </w:r>
            <w:hyperlink r:id="rId37" w:history="1">
              <w:r w:rsidRPr="004B662B">
                <w:rPr>
                  <w:rStyle w:val="Hyperlink"/>
                  <w:color w:val="auto"/>
                  <w:sz w:val="20"/>
                  <w:szCs w:val="20"/>
                  <w:u w:val="none"/>
                </w:rPr>
                <w:t>NICE, 2018c</w:t>
              </w:r>
            </w:hyperlink>
            <w:r w:rsidRPr="004B662B">
              <w:rPr>
                <w:sz w:val="20"/>
              </w:rPr>
              <w:t>].</w:t>
            </w:r>
          </w:p>
          <w:p w14:paraId="7F561F26" w14:textId="77777777" w:rsidR="00351427" w:rsidRPr="004B662B" w:rsidRDefault="00351427" w:rsidP="004B662B">
            <w:pPr>
              <w:pStyle w:val="TableText1"/>
              <w:rPr>
                <w:sz w:val="20"/>
              </w:rPr>
            </w:pPr>
          </w:p>
          <w:p w14:paraId="0BBBF07A" w14:textId="25F5EC51" w:rsidR="001324DA" w:rsidRPr="004B662B" w:rsidRDefault="00351427" w:rsidP="004B662B">
            <w:pPr>
              <w:pStyle w:val="TableText1"/>
              <w:rPr>
                <w:sz w:val="20"/>
              </w:rPr>
            </w:pPr>
            <w:r w:rsidRPr="004B662B">
              <w:rPr>
                <w:sz w:val="20"/>
              </w:rPr>
              <w:t>UTI: Antibiotics CQUIN for 2022/23 from NHSE/NHSI</w:t>
            </w:r>
          </w:p>
        </w:tc>
      </w:tr>
    </w:tbl>
    <w:p w14:paraId="171456CF" w14:textId="77777777" w:rsidR="0001392D" w:rsidRDefault="0001392D" w:rsidP="0001392D">
      <w:pPr>
        <w:pStyle w:val="Paragraph"/>
      </w:pPr>
    </w:p>
    <w:p w14:paraId="72C3925C" w14:textId="5A76B541" w:rsidR="00A71A70" w:rsidRPr="0001392D" w:rsidRDefault="00A71A70" w:rsidP="0001392D">
      <w:pPr>
        <w:pStyle w:val="Paragraph"/>
        <w:sectPr w:rsidR="00A71A70" w:rsidRPr="0001392D" w:rsidSect="00491FE4">
          <w:footerReference w:type="default" r:id="rId38"/>
          <w:footerReference w:type="first" r:id="rId39"/>
          <w:pgSz w:w="11906" w:h="16838"/>
          <w:pgMar w:top="1440" w:right="1440" w:bottom="1440" w:left="1440" w:header="708" w:footer="708" w:gutter="0"/>
          <w:cols w:space="708"/>
          <w:titlePg/>
          <w:docGrid w:linePitch="360"/>
        </w:sectPr>
      </w:pPr>
    </w:p>
    <w:p w14:paraId="53D2CA55" w14:textId="4278D3FA" w:rsidR="002C296A" w:rsidRDefault="005C6F10" w:rsidP="00FC11EC">
      <w:pPr>
        <w:pStyle w:val="Heading1"/>
      </w:pPr>
      <w:bookmarkStart w:id="114" w:name="_Toc112833007"/>
      <w:r w:rsidRPr="00FC11EC">
        <w:lastRenderedPageBreak/>
        <w:t xml:space="preserve">Appendix </w:t>
      </w:r>
      <w:r w:rsidR="0041607B">
        <w:t>2</w:t>
      </w:r>
      <w:r w:rsidR="00603263">
        <w:t xml:space="preserve">: </w:t>
      </w:r>
      <w:r w:rsidR="002C296A" w:rsidRPr="00FC11EC">
        <w:t xml:space="preserve">Suggestions from </w:t>
      </w:r>
      <w:r w:rsidR="00626943">
        <w:t>registered stakeholders</w:t>
      </w:r>
      <w:bookmarkEnd w:id="114"/>
    </w:p>
    <w:p w14:paraId="248CBF3D" w14:textId="07C6AA16" w:rsidR="00F27622" w:rsidRPr="000746B9" w:rsidRDefault="000746B9" w:rsidP="001E506D">
      <w:pPr>
        <w:pStyle w:val="Heading4"/>
      </w:pPr>
      <w:r w:rsidRPr="000746B9">
        <w:t>Diagnosing UTIs: Dipstick testing and assessment</w:t>
      </w:r>
    </w:p>
    <w:tbl>
      <w:tblPr>
        <w:tblW w:w="1467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708"/>
        <w:gridCol w:w="2264"/>
        <w:gridCol w:w="3588"/>
        <w:gridCol w:w="4350"/>
        <w:gridCol w:w="3769"/>
      </w:tblGrid>
      <w:tr w:rsidR="000746B9" w:rsidRPr="000746B9" w14:paraId="3281C5A0" w14:textId="77777777" w:rsidTr="007C6ED4">
        <w:trPr>
          <w:tblHeader/>
        </w:trPr>
        <w:tc>
          <w:tcPr>
            <w:tcW w:w="708" w:type="dxa"/>
            <w:shd w:val="clear" w:color="auto" w:fill="E6E6E6"/>
          </w:tcPr>
          <w:p w14:paraId="3CA2382D" w14:textId="0D58C4A0" w:rsidR="000746B9" w:rsidRPr="000746B9" w:rsidRDefault="001E506D" w:rsidP="00DA217C">
            <w:pPr>
              <w:pStyle w:val="Heading4"/>
              <w:rPr>
                <w:rFonts w:cs="Arial"/>
                <w:sz w:val="20"/>
                <w:szCs w:val="20"/>
              </w:rPr>
            </w:pPr>
            <w:r>
              <w:rPr>
                <w:rFonts w:cs="Arial"/>
                <w:sz w:val="20"/>
                <w:szCs w:val="20"/>
              </w:rPr>
              <w:t>ID</w:t>
            </w:r>
          </w:p>
        </w:tc>
        <w:tc>
          <w:tcPr>
            <w:tcW w:w="2264" w:type="dxa"/>
            <w:shd w:val="clear" w:color="auto" w:fill="E6E6E6"/>
          </w:tcPr>
          <w:p w14:paraId="3651F37C" w14:textId="77777777" w:rsidR="000746B9" w:rsidRPr="000746B9" w:rsidRDefault="000746B9" w:rsidP="00DA217C">
            <w:pPr>
              <w:pStyle w:val="Heading4"/>
              <w:rPr>
                <w:rFonts w:cs="Arial"/>
                <w:sz w:val="20"/>
                <w:szCs w:val="20"/>
              </w:rPr>
            </w:pPr>
            <w:r w:rsidRPr="000746B9">
              <w:rPr>
                <w:rFonts w:cs="Arial"/>
                <w:sz w:val="20"/>
                <w:szCs w:val="20"/>
              </w:rPr>
              <w:t>Stakeholder</w:t>
            </w:r>
          </w:p>
        </w:tc>
        <w:tc>
          <w:tcPr>
            <w:tcW w:w="3588" w:type="dxa"/>
            <w:shd w:val="clear" w:color="auto" w:fill="E6E6E6"/>
          </w:tcPr>
          <w:p w14:paraId="00F6AD6C" w14:textId="77777777" w:rsidR="000746B9" w:rsidRPr="000746B9" w:rsidRDefault="000746B9" w:rsidP="00DA217C">
            <w:pPr>
              <w:pStyle w:val="Heading4"/>
              <w:rPr>
                <w:rFonts w:cs="Arial"/>
                <w:sz w:val="20"/>
                <w:szCs w:val="20"/>
              </w:rPr>
            </w:pPr>
            <w:r w:rsidRPr="000746B9">
              <w:rPr>
                <w:rFonts w:cs="Arial"/>
                <w:sz w:val="20"/>
                <w:szCs w:val="20"/>
              </w:rPr>
              <w:t>Key area for quality improvement</w:t>
            </w:r>
          </w:p>
        </w:tc>
        <w:tc>
          <w:tcPr>
            <w:tcW w:w="4350" w:type="dxa"/>
            <w:shd w:val="clear" w:color="auto" w:fill="E6E6E6"/>
          </w:tcPr>
          <w:p w14:paraId="1267C5C1" w14:textId="77777777" w:rsidR="000746B9" w:rsidRPr="000746B9" w:rsidRDefault="000746B9" w:rsidP="00DA217C">
            <w:pPr>
              <w:pStyle w:val="Heading1"/>
              <w:rPr>
                <w:sz w:val="20"/>
                <w:szCs w:val="20"/>
              </w:rPr>
            </w:pPr>
            <w:bookmarkStart w:id="115" w:name="_Toc107929201"/>
            <w:bookmarkStart w:id="116" w:name="_Toc112833008"/>
            <w:r w:rsidRPr="000746B9">
              <w:rPr>
                <w:sz w:val="20"/>
                <w:szCs w:val="20"/>
              </w:rPr>
              <w:t>Why is this a key area for quality improvement?</w:t>
            </w:r>
            <w:bookmarkEnd w:id="115"/>
            <w:bookmarkEnd w:id="116"/>
          </w:p>
        </w:tc>
        <w:tc>
          <w:tcPr>
            <w:tcW w:w="3769" w:type="dxa"/>
            <w:shd w:val="clear" w:color="auto" w:fill="E6E6E6"/>
          </w:tcPr>
          <w:p w14:paraId="321A3576" w14:textId="77777777" w:rsidR="000746B9" w:rsidRPr="000746B9" w:rsidRDefault="000746B9" w:rsidP="00DA217C">
            <w:pPr>
              <w:rPr>
                <w:rFonts w:ascii="Arial" w:hAnsi="Arial" w:cs="Arial"/>
                <w:b/>
                <w:sz w:val="20"/>
                <w:szCs w:val="20"/>
              </w:rPr>
            </w:pPr>
            <w:r w:rsidRPr="000746B9">
              <w:rPr>
                <w:rFonts w:ascii="Arial" w:hAnsi="Arial" w:cs="Arial"/>
                <w:b/>
                <w:sz w:val="20"/>
                <w:szCs w:val="20"/>
              </w:rPr>
              <w:t>Supporting information</w:t>
            </w:r>
          </w:p>
        </w:tc>
      </w:tr>
      <w:tr w:rsidR="000746B9" w:rsidRPr="000746B9" w14:paraId="736CEE4A" w14:textId="77777777" w:rsidTr="007C6ED4">
        <w:trPr>
          <w:trHeight w:val="282"/>
        </w:trPr>
        <w:tc>
          <w:tcPr>
            <w:tcW w:w="708" w:type="dxa"/>
          </w:tcPr>
          <w:p w14:paraId="37874D7A" w14:textId="217BD64A" w:rsidR="000746B9" w:rsidRPr="000746B9" w:rsidRDefault="000746B9" w:rsidP="001E506D">
            <w:pPr>
              <w:pStyle w:val="TableText1"/>
              <w:numPr>
                <w:ilvl w:val="0"/>
                <w:numId w:val="45"/>
              </w:numPr>
              <w:rPr>
                <w:rFonts w:cs="Arial"/>
                <w:sz w:val="20"/>
                <w:szCs w:val="20"/>
              </w:rPr>
            </w:pPr>
          </w:p>
        </w:tc>
        <w:tc>
          <w:tcPr>
            <w:tcW w:w="2264" w:type="dxa"/>
          </w:tcPr>
          <w:p w14:paraId="5CB401F2" w14:textId="77777777" w:rsidR="000746B9" w:rsidRPr="000746B9" w:rsidRDefault="000746B9" w:rsidP="00DA217C">
            <w:pPr>
              <w:pStyle w:val="TableText1"/>
              <w:rPr>
                <w:rFonts w:cs="Arial"/>
                <w:sz w:val="20"/>
                <w:szCs w:val="20"/>
              </w:rPr>
            </w:pPr>
            <w:r w:rsidRPr="000746B9">
              <w:rPr>
                <w:rFonts w:cs="Arial"/>
                <w:sz w:val="20"/>
                <w:szCs w:val="20"/>
              </w:rPr>
              <w:t>ADVANZ Pharma</w:t>
            </w:r>
          </w:p>
        </w:tc>
        <w:tc>
          <w:tcPr>
            <w:tcW w:w="3588" w:type="dxa"/>
          </w:tcPr>
          <w:p w14:paraId="00BB8120" w14:textId="77777777" w:rsidR="000746B9" w:rsidRPr="000746B9" w:rsidRDefault="000746B9" w:rsidP="00DA217C">
            <w:pPr>
              <w:rPr>
                <w:rFonts w:ascii="Arial" w:hAnsi="Arial" w:cs="Arial"/>
                <w:sz w:val="20"/>
                <w:szCs w:val="20"/>
              </w:rPr>
            </w:pPr>
            <w:r w:rsidRPr="000746B9">
              <w:rPr>
                <w:rFonts w:ascii="Arial" w:hAnsi="Arial" w:cs="Arial"/>
                <w:sz w:val="20"/>
                <w:szCs w:val="20"/>
              </w:rPr>
              <w:t>Pyelonephritis (acute): antimicrobial prescribing</w:t>
            </w:r>
          </w:p>
        </w:tc>
        <w:tc>
          <w:tcPr>
            <w:tcW w:w="4350" w:type="dxa"/>
          </w:tcPr>
          <w:p w14:paraId="345564CB" w14:textId="77777777" w:rsidR="000746B9" w:rsidRPr="000746B9" w:rsidRDefault="000746B9" w:rsidP="00DA217C">
            <w:pPr>
              <w:pStyle w:val="Paragraphnonumbers"/>
              <w:jc w:val="both"/>
              <w:rPr>
                <w:rFonts w:cs="Arial"/>
                <w:sz w:val="20"/>
                <w:szCs w:val="20"/>
              </w:rPr>
            </w:pPr>
            <w:r w:rsidRPr="000746B9">
              <w:rPr>
                <w:rFonts w:cs="Arial"/>
                <w:sz w:val="20"/>
                <w:szCs w:val="20"/>
              </w:rPr>
              <w:t>Failure to respond to initial antibiotic treatment, may suggest other medical problems.</w:t>
            </w:r>
          </w:p>
          <w:p w14:paraId="4B08941E" w14:textId="77777777" w:rsidR="000746B9" w:rsidRPr="000746B9" w:rsidRDefault="000746B9" w:rsidP="00DA217C">
            <w:pPr>
              <w:pStyle w:val="Paragraphnonumbers"/>
              <w:jc w:val="both"/>
              <w:rPr>
                <w:rFonts w:cs="Arial"/>
                <w:color w:val="333333"/>
                <w:sz w:val="20"/>
                <w:szCs w:val="20"/>
                <w:shd w:val="clear" w:color="auto" w:fill="FFFFFF"/>
              </w:rPr>
            </w:pPr>
            <w:r w:rsidRPr="000746B9">
              <w:rPr>
                <w:rFonts w:cs="Arial"/>
                <w:color w:val="333333"/>
                <w:sz w:val="20"/>
                <w:szCs w:val="20"/>
                <w:shd w:val="clear" w:color="auto" w:fill="FFFFFF"/>
              </w:rPr>
              <w:t>Misdiagnosis of infection leads to unnecessary antibiotic use and potentially delays correct diagnoses. Interventions to improve diagnosis often focus on infections separately</w:t>
            </w:r>
          </w:p>
          <w:p w14:paraId="2327161C" w14:textId="77777777" w:rsidR="000746B9" w:rsidRPr="000746B9" w:rsidRDefault="000746B9" w:rsidP="00DA217C">
            <w:pPr>
              <w:pStyle w:val="TableText1"/>
              <w:rPr>
                <w:rFonts w:cs="Arial"/>
                <w:sz w:val="20"/>
                <w:szCs w:val="20"/>
              </w:rPr>
            </w:pPr>
            <w:r w:rsidRPr="000746B9">
              <w:rPr>
                <w:rFonts w:cs="Arial"/>
                <w:color w:val="333333"/>
                <w:sz w:val="20"/>
                <w:szCs w:val="20"/>
                <w:shd w:val="clear" w:color="auto" w:fill="FFFFFF"/>
              </w:rPr>
              <w:t>Broader interventions are required to improve treatment efficiency</w:t>
            </w:r>
          </w:p>
        </w:tc>
        <w:tc>
          <w:tcPr>
            <w:tcW w:w="3769" w:type="dxa"/>
          </w:tcPr>
          <w:p w14:paraId="2D87EBD1" w14:textId="77777777" w:rsidR="000746B9" w:rsidRPr="000746B9" w:rsidRDefault="000746B9" w:rsidP="00DA217C">
            <w:pPr>
              <w:pStyle w:val="Paragraphnonumbers"/>
              <w:jc w:val="both"/>
              <w:rPr>
                <w:rFonts w:cs="Arial"/>
                <w:sz w:val="20"/>
                <w:szCs w:val="20"/>
              </w:rPr>
            </w:pPr>
            <w:r w:rsidRPr="000746B9">
              <w:rPr>
                <w:rFonts w:cs="Arial"/>
                <w:sz w:val="20"/>
                <w:szCs w:val="20"/>
              </w:rPr>
              <w:t xml:space="preserve">Please refer to article for further information: </w:t>
            </w:r>
          </w:p>
          <w:p w14:paraId="526E7AE1" w14:textId="77777777" w:rsidR="000746B9" w:rsidRPr="000746B9" w:rsidRDefault="00AC503C" w:rsidP="00DA217C">
            <w:pPr>
              <w:pStyle w:val="TableText1"/>
              <w:rPr>
                <w:rFonts w:cs="Arial"/>
                <w:sz w:val="20"/>
                <w:szCs w:val="20"/>
              </w:rPr>
            </w:pPr>
            <w:hyperlink r:id="rId40" w:history="1">
              <w:r w:rsidR="000746B9" w:rsidRPr="000746B9">
                <w:rPr>
                  <w:rStyle w:val="Hyperlink"/>
                  <w:rFonts w:cs="Arial"/>
                  <w:sz w:val="20"/>
                  <w:szCs w:val="20"/>
                </w:rPr>
                <w:t>https://www.cambridge.org/core/journals/infection-control-and-hospital-epidemiology/article/misdiagnosis-of-urinary-tract-infection-linked-to-misdiagnosis-of-pneumonia-a-multihospital-cohort-study/77F093EA78E75FCF05AD29D6C02F7984</w:t>
              </w:r>
            </w:hyperlink>
          </w:p>
        </w:tc>
      </w:tr>
      <w:tr w:rsidR="000746B9" w:rsidRPr="000746B9" w14:paraId="6E9C38D9" w14:textId="77777777" w:rsidTr="007C6ED4">
        <w:trPr>
          <w:trHeight w:val="282"/>
        </w:trPr>
        <w:tc>
          <w:tcPr>
            <w:tcW w:w="708" w:type="dxa"/>
          </w:tcPr>
          <w:p w14:paraId="34FE83F2" w14:textId="26D89626" w:rsidR="000746B9" w:rsidRPr="000746B9" w:rsidRDefault="000746B9" w:rsidP="001E506D">
            <w:pPr>
              <w:pStyle w:val="TableText1"/>
              <w:numPr>
                <w:ilvl w:val="0"/>
                <w:numId w:val="45"/>
              </w:numPr>
              <w:rPr>
                <w:rFonts w:cs="Arial"/>
                <w:sz w:val="20"/>
                <w:szCs w:val="20"/>
              </w:rPr>
            </w:pPr>
          </w:p>
        </w:tc>
        <w:tc>
          <w:tcPr>
            <w:tcW w:w="2264" w:type="dxa"/>
          </w:tcPr>
          <w:p w14:paraId="2318A685" w14:textId="77777777" w:rsidR="000746B9" w:rsidRPr="000746B9" w:rsidRDefault="000746B9" w:rsidP="00DA217C">
            <w:pPr>
              <w:pStyle w:val="TableText1"/>
              <w:rPr>
                <w:rFonts w:cs="Arial"/>
                <w:sz w:val="20"/>
                <w:szCs w:val="20"/>
              </w:rPr>
            </w:pPr>
            <w:r w:rsidRPr="000746B9">
              <w:rPr>
                <w:rFonts w:cs="Arial"/>
                <w:sz w:val="20"/>
                <w:szCs w:val="20"/>
              </w:rPr>
              <w:t>British Association of Urological Surgeons</w:t>
            </w:r>
          </w:p>
        </w:tc>
        <w:tc>
          <w:tcPr>
            <w:tcW w:w="3588" w:type="dxa"/>
          </w:tcPr>
          <w:p w14:paraId="03B8FA5C" w14:textId="77777777" w:rsidR="000746B9" w:rsidRPr="000746B9" w:rsidRDefault="000746B9" w:rsidP="00DA217C">
            <w:pPr>
              <w:pStyle w:val="TableText1"/>
              <w:rPr>
                <w:rFonts w:cs="Arial"/>
                <w:sz w:val="20"/>
                <w:szCs w:val="20"/>
              </w:rPr>
            </w:pPr>
            <w:r w:rsidRPr="000746B9">
              <w:rPr>
                <w:rFonts w:cs="Arial"/>
                <w:sz w:val="20"/>
                <w:szCs w:val="20"/>
              </w:rPr>
              <w:t>Treatment of UTI should be based primarily on symptoms rather than dipstick results</w:t>
            </w:r>
          </w:p>
        </w:tc>
        <w:tc>
          <w:tcPr>
            <w:tcW w:w="4350" w:type="dxa"/>
          </w:tcPr>
          <w:p w14:paraId="6A695E2E" w14:textId="77777777" w:rsidR="000746B9" w:rsidRPr="000746B9" w:rsidRDefault="000746B9" w:rsidP="00DA217C">
            <w:pPr>
              <w:pStyle w:val="Paragraphnonumbers"/>
              <w:rPr>
                <w:rFonts w:cs="Arial"/>
                <w:sz w:val="20"/>
                <w:szCs w:val="20"/>
              </w:rPr>
            </w:pPr>
            <w:r w:rsidRPr="000746B9">
              <w:rPr>
                <w:rFonts w:cs="Arial"/>
                <w:sz w:val="20"/>
                <w:szCs w:val="20"/>
              </w:rPr>
              <w:t>Many patients may suffer symptoms in keeping with a UTI even in the presence of a negative dipstick. There are numerous possible causes for this including dilution due to additional fluid intake, inadequacies in collection, poor sensitivity of testing, etc.</w:t>
            </w:r>
          </w:p>
          <w:p w14:paraId="674F04D8" w14:textId="77777777" w:rsidR="000746B9" w:rsidRPr="000746B9" w:rsidRDefault="000746B9" w:rsidP="00DA217C">
            <w:pPr>
              <w:pStyle w:val="TableText1"/>
              <w:rPr>
                <w:rFonts w:cs="Arial"/>
                <w:sz w:val="20"/>
                <w:szCs w:val="20"/>
              </w:rPr>
            </w:pPr>
            <w:r w:rsidRPr="000746B9">
              <w:rPr>
                <w:rFonts w:cs="Arial"/>
                <w:sz w:val="20"/>
                <w:szCs w:val="20"/>
              </w:rPr>
              <w:t>Almost all women with typical urinary complaints and a negative culture still have an infection with E. coli. when appropriately tested. It is becoming clearer all the time that there are often significant inadequacies in the way urine is tested.</w:t>
            </w:r>
          </w:p>
        </w:tc>
        <w:tc>
          <w:tcPr>
            <w:tcW w:w="3769" w:type="dxa"/>
          </w:tcPr>
          <w:p w14:paraId="5D79AF27" w14:textId="77777777" w:rsidR="000746B9" w:rsidRPr="000746B9" w:rsidRDefault="00AC503C" w:rsidP="00DA217C">
            <w:pPr>
              <w:pStyle w:val="Paragraphnonumbers"/>
              <w:rPr>
                <w:rFonts w:cs="Arial"/>
                <w:sz w:val="20"/>
                <w:szCs w:val="20"/>
              </w:rPr>
            </w:pPr>
            <w:hyperlink r:id="rId41" w:history="1">
              <w:r w:rsidR="000746B9" w:rsidRPr="000746B9">
                <w:rPr>
                  <w:rStyle w:val="Hyperlink"/>
                  <w:rFonts w:cs="Arial"/>
                  <w:sz w:val="20"/>
                  <w:szCs w:val="20"/>
                </w:rPr>
                <w:t>https://pubmed.ncbi.nlm.nih.gov/15972728/</w:t>
              </w:r>
            </w:hyperlink>
          </w:p>
          <w:p w14:paraId="20415F75" w14:textId="77777777" w:rsidR="000746B9" w:rsidRPr="000746B9" w:rsidRDefault="00AC503C" w:rsidP="00DA217C">
            <w:pPr>
              <w:pStyle w:val="Paragraphnonumbers"/>
              <w:rPr>
                <w:rFonts w:cs="Arial"/>
                <w:sz w:val="20"/>
                <w:szCs w:val="20"/>
              </w:rPr>
            </w:pPr>
            <w:hyperlink r:id="rId42" w:history="1">
              <w:r w:rsidR="000746B9" w:rsidRPr="000746B9">
                <w:rPr>
                  <w:rStyle w:val="Hyperlink"/>
                  <w:rFonts w:cs="Arial"/>
                  <w:sz w:val="20"/>
                  <w:szCs w:val="20"/>
                </w:rPr>
                <w:t>https://www.clinicalmicrobiologyandinfection.com/article/S1198-743X(17)30209-4/fulltext</w:t>
              </w:r>
            </w:hyperlink>
          </w:p>
          <w:p w14:paraId="06F7E1C0" w14:textId="77777777" w:rsidR="000746B9" w:rsidRPr="000746B9" w:rsidRDefault="000746B9" w:rsidP="00DA217C">
            <w:pPr>
              <w:pStyle w:val="TableText1"/>
              <w:rPr>
                <w:rFonts w:cs="Arial"/>
                <w:sz w:val="20"/>
                <w:szCs w:val="20"/>
              </w:rPr>
            </w:pPr>
          </w:p>
        </w:tc>
      </w:tr>
      <w:tr w:rsidR="000746B9" w:rsidRPr="000746B9" w14:paraId="1AAB249F" w14:textId="77777777" w:rsidTr="007C6ED4">
        <w:trPr>
          <w:trHeight w:val="282"/>
        </w:trPr>
        <w:tc>
          <w:tcPr>
            <w:tcW w:w="708" w:type="dxa"/>
          </w:tcPr>
          <w:p w14:paraId="7A3DBC36" w14:textId="5E04EB4C" w:rsidR="000746B9" w:rsidRPr="000746B9" w:rsidRDefault="000746B9" w:rsidP="001E506D">
            <w:pPr>
              <w:pStyle w:val="TableText1"/>
              <w:numPr>
                <w:ilvl w:val="0"/>
                <w:numId w:val="45"/>
              </w:numPr>
              <w:rPr>
                <w:rFonts w:cs="Arial"/>
                <w:sz w:val="20"/>
                <w:szCs w:val="20"/>
              </w:rPr>
            </w:pPr>
          </w:p>
        </w:tc>
        <w:tc>
          <w:tcPr>
            <w:tcW w:w="2264" w:type="dxa"/>
          </w:tcPr>
          <w:p w14:paraId="2D6A6CAA" w14:textId="77777777" w:rsidR="000746B9" w:rsidRPr="000746B9" w:rsidRDefault="000746B9" w:rsidP="00DA217C">
            <w:pPr>
              <w:pStyle w:val="TableText1"/>
              <w:rPr>
                <w:rFonts w:cs="Arial"/>
                <w:sz w:val="20"/>
                <w:szCs w:val="20"/>
              </w:rPr>
            </w:pPr>
            <w:r w:rsidRPr="000746B9">
              <w:rPr>
                <w:rFonts w:cs="Arial"/>
                <w:sz w:val="20"/>
                <w:szCs w:val="20"/>
              </w:rPr>
              <w:t>British Geriatrics Society</w:t>
            </w:r>
          </w:p>
        </w:tc>
        <w:tc>
          <w:tcPr>
            <w:tcW w:w="3588" w:type="dxa"/>
          </w:tcPr>
          <w:p w14:paraId="66D771C6" w14:textId="77777777" w:rsidR="000746B9" w:rsidRPr="000746B9" w:rsidRDefault="000746B9" w:rsidP="00DA217C">
            <w:pPr>
              <w:pStyle w:val="Paragraphnonumbers"/>
              <w:spacing w:after="120"/>
              <w:rPr>
                <w:rFonts w:cs="Arial"/>
                <w:sz w:val="20"/>
                <w:szCs w:val="20"/>
              </w:rPr>
            </w:pPr>
            <w:r w:rsidRPr="000746B9">
              <w:rPr>
                <w:rFonts w:cs="Arial"/>
                <w:sz w:val="20"/>
                <w:szCs w:val="20"/>
              </w:rPr>
              <w:t>Not using dipstick to diagnose UTI in Older Frail people</w:t>
            </w:r>
          </w:p>
          <w:p w14:paraId="7234A5B9" w14:textId="77777777" w:rsidR="000746B9" w:rsidRPr="000746B9" w:rsidRDefault="000746B9" w:rsidP="00DA217C">
            <w:pPr>
              <w:pStyle w:val="TableText1"/>
              <w:rPr>
                <w:rFonts w:cs="Arial"/>
                <w:sz w:val="20"/>
                <w:szCs w:val="20"/>
              </w:rPr>
            </w:pPr>
          </w:p>
        </w:tc>
        <w:tc>
          <w:tcPr>
            <w:tcW w:w="4350" w:type="dxa"/>
          </w:tcPr>
          <w:p w14:paraId="68C6A084" w14:textId="77777777" w:rsidR="000746B9" w:rsidRPr="000746B9" w:rsidRDefault="000746B9" w:rsidP="00DA217C">
            <w:pPr>
              <w:pStyle w:val="TableText1"/>
              <w:rPr>
                <w:rFonts w:cs="Arial"/>
                <w:sz w:val="20"/>
                <w:szCs w:val="20"/>
              </w:rPr>
            </w:pPr>
            <w:r w:rsidRPr="000746B9">
              <w:rPr>
                <w:rFonts w:cs="Arial"/>
                <w:sz w:val="20"/>
                <w:szCs w:val="20"/>
              </w:rPr>
              <w:lastRenderedPageBreak/>
              <w:t>Still being used all the time and is inaccurate and trials proved it is not of benefit</w:t>
            </w:r>
          </w:p>
        </w:tc>
        <w:tc>
          <w:tcPr>
            <w:tcW w:w="3769" w:type="dxa"/>
          </w:tcPr>
          <w:p w14:paraId="2708E0F7" w14:textId="77777777" w:rsidR="000746B9" w:rsidRPr="000746B9" w:rsidRDefault="000746B9" w:rsidP="00DA217C">
            <w:pPr>
              <w:pStyle w:val="TableText1"/>
              <w:rPr>
                <w:rFonts w:cs="Arial"/>
                <w:sz w:val="20"/>
                <w:szCs w:val="20"/>
              </w:rPr>
            </w:pPr>
            <w:r w:rsidRPr="000746B9">
              <w:rPr>
                <w:rFonts w:cs="Arial"/>
                <w:sz w:val="20"/>
                <w:szCs w:val="20"/>
              </w:rPr>
              <w:t>As no 1</w:t>
            </w:r>
          </w:p>
        </w:tc>
      </w:tr>
      <w:tr w:rsidR="000746B9" w:rsidRPr="000746B9" w14:paraId="1B3362FA" w14:textId="77777777" w:rsidTr="007C6ED4">
        <w:trPr>
          <w:trHeight w:val="282"/>
        </w:trPr>
        <w:tc>
          <w:tcPr>
            <w:tcW w:w="708" w:type="dxa"/>
          </w:tcPr>
          <w:p w14:paraId="32A8A6C7" w14:textId="7DC3A4FD" w:rsidR="000746B9" w:rsidRPr="000746B9" w:rsidRDefault="000746B9" w:rsidP="001E506D">
            <w:pPr>
              <w:pStyle w:val="TableText1"/>
              <w:numPr>
                <w:ilvl w:val="0"/>
                <w:numId w:val="45"/>
              </w:numPr>
              <w:rPr>
                <w:rFonts w:cs="Arial"/>
                <w:sz w:val="20"/>
                <w:szCs w:val="20"/>
              </w:rPr>
            </w:pPr>
          </w:p>
        </w:tc>
        <w:tc>
          <w:tcPr>
            <w:tcW w:w="2264" w:type="dxa"/>
          </w:tcPr>
          <w:p w14:paraId="0B12F0EB" w14:textId="77777777" w:rsidR="000746B9" w:rsidRPr="000746B9" w:rsidRDefault="000746B9" w:rsidP="00DA217C">
            <w:pPr>
              <w:pStyle w:val="TableText1"/>
              <w:rPr>
                <w:rFonts w:cs="Arial"/>
                <w:sz w:val="20"/>
                <w:szCs w:val="20"/>
              </w:rPr>
            </w:pPr>
            <w:r w:rsidRPr="000746B9">
              <w:rPr>
                <w:rFonts w:cs="Arial"/>
                <w:sz w:val="20"/>
                <w:szCs w:val="20"/>
              </w:rPr>
              <w:t>Cardiff University</w:t>
            </w:r>
          </w:p>
        </w:tc>
        <w:tc>
          <w:tcPr>
            <w:tcW w:w="3588" w:type="dxa"/>
          </w:tcPr>
          <w:p w14:paraId="70B12BEE" w14:textId="77777777" w:rsidR="000746B9" w:rsidRPr="000746B9" w:rsidRDefault="000746B9" w:rsidP="00DA217C">
            <w:pPr>
              <w:pStyle w:val="TableText1"/>
              <w:rPr>
                <w:rFonts w:cs="Arial"/>
                <w:sz w:val="20"/>
                <w:szCs w:val="20"/>
              </w:rPr>
            </w:pPr>
            <w:r w:rsidRPr="000746B9">
              <w:rPr>
                <w:rFonts w:cs="Arial"/>
                <w:sz w:val="20"/>
                <w:szCs w:val="20"/>
              </w:rPr>
              <w:t>Clarification and clear advice on the use &amp; interpretation of urinary dipsticks in diagnosis of UTI</w:t>
            </w:r>
          </w:p>
        </w:tc>
        <w:tc>
          <w:tcPr>
            <w:tcW w:w="4350" w:type="dxa"/>
          </w:tcPr>
          <w:p w14:paraId="57EF2B04" w14:textId="77777777" w:rsidR="000746B9" w:rsidRPr="000746B9" w:rsidRDefault="000746B9" w:rsidP="00DA217C">
            <w:pPr>
              <w:pStyle w:val="TableText1"/>
              <w:rPr>
                <w:rFonts w:cs="Arial"/>
                <w:sz w:val="20"/>
                <w:szCs w:val="20"/>
              </w:rPr>
            </w:pPr>
            <w:r w:rsidRPr="000746B9">
              <w:rPr>
                <w:rFonts w:cs="Arial"/>
                <w:sz w:val="20"/>
                <w:szCs w:val="20"/>
              </w:rPr>
              <w:t>Urinary dipsticks frequently used to diagnose UTI but not recommended for some groups of patients (</w:t>
            </w:r>
            <w:proofErr w:type="gramStart"/>
            <w:r w:rsidRPr="000746B9">
              <w:rPr>
                <w:rFonts w:cs="Arial"/>
                <w:sz w:val="20"/>
                <w:szCs w:val="20"/>
              </w:rPr>
              <w:t>e.g.</w:t>
            </w:r>
            <w:proofErr w:type="gramEnd"/>
            <w:r w:rsidRPr="000746B9">
              <w:rPr>
                <w:rFonts w:cs="Arial"/>
                <w:sz w:val="20"/>
                <w:szCs w:val="20"/>
              </w:rPr>
              <w:t xml:space="preserve"> women &gt;65, catheterised patients) and less clear if should be used for some e.g. men, those with recurrent/resistant infections, pregnant women, suspected pyelonephritis</w:t>
            </w:r>
          </w:p>
        </w:tc>
        <w:tc>
          <w:tcPr>
            <w:tcW w:w="3769" w:type="dxa"/>
          </w:tcPr>
          <w:p w14:paraId="0D52257A" w14:textId="77777777" w:rsidR="000746B9" w:rsidRPr="000746B9" w:rsidRDefault="000746B9" w:rsidP="00DA217C">
            <w:pPr>
              <w:pStyle w:val="Paragraphnonumbers"/>
              <w:rPr>
                <w:rFonts w:cs="Arial"/>
                <w:sz w:val="20"/>
                <w:szCs w:val="20"/>
              </w:rPr>
            </w:pPr>
            <w:r w:rsidRPr="000746B9">
              <w:rPr>
                <w:rFonts w:cs="Arial"/>
                <w:sz w:val="20"/>
                <w:szCs w:val="20"/>
              </w:rPr>
              <w:t xml:space="preserve">NICE CKS UTI (lower) in adult women </w:t>
            </w:r>
          </w:p>
          <w:p w14:paraId="237477D0" w14:textId="77777777" w:rsidR="000746B9" w:rsidRPr="000746B9" w:rsidRDefault="000746B9" w:rsidP="00DA217C">
            <w:pPr>
              <w:pStyle w:val="Paragraphnonumbers"/>
              <w:rPr>
                <w:rFonts w:cs="Arial"/>
                <w:sz w:val="20"/>
                <w:szCs w:val="20"/>
              </w:rPr>
            </w:pPr>
            <w:r w:rsidRPr="000746B9">
              <w:rPr>
                <w:rFonts w:cs="Arial"/>
                <w:sz w:val="20"/>
                <w:szCs w:val="20"/>
              </w:rPr>
              <w:t>NICE CKS UTI (lower) in men</w:t>
            </w:r>
          </w:p>
          <w:p w14:paraId="46252CC5" w14:textId="77777777" w:rsidR="000746B9" w:rsidRPr="000746B9" w:rsidRDefault="000746B9" w:rsidP="00DA217C">
            <w:pPr>
              <w:pStyle w:val="TableText1"/>
              <w:rPr>
                <w:rFonts w:cs="Arial"/>
                <w:sz w:val="20"/>
                <w:szCs w:val="20"/>
              </w:rPr>
            </w:pPr>
            <w:r w:rsidRPr="000746B9">
              <w:rPr>
                <w:rFonts w:cs="Arial"/>
                <w:sz w:val="20"/>
                <w:szCs w:val="20"/>
              </w:rPr>
              <w:t>NICE CKS pyelonephritis</w:t>
            </w:r>
          </w:p>
        </w:tc>
      </w:tr>
      <w:tr w:rsidR="000746B9" w:rsidRPr="000746B9" w14:paraId="7F30B04D" w14:textId="77777777" w:rsidTr="007C6ED4">
        <w:trPr>
          <w:trHeight w:val="282"/>
        </w:trPr>
        <w:tc>
          <w:tcPr>
            <w:tcW w:w="708" w:type="dxa"/>
          </w:tcPr>
          <w:p w14:paraId="1D68C965" w14:textId="559D6AB4" w:rsidR="000746B9" w:rsidRPr="000746B9" w:rsidRDefault="000746B9" w:rsidP="001E506D">
            <w:pPr>
              <w:pStyle w:val="TableText1"/>
              <w:numPr>
                <w:ilvl w:val="0"/>
                <w:numId w:val="45"/>
              </w:numPr>
              <w:rPr>
                <w:rFonts w:cs="Arial"/>
                <w:sz w:val="20"/>
                <w:szCs w:val="20"/>
              </w:rPr>
            </w:pPr>
          </w:p>
        </w:tc>
        <w:tc>
          <w:tcPr>
            <w:tcW w:w="2264" w:type="dxa"/>
          </w:tcPr>
          <w:p w14:paraId="5802E07C" w14:textId="77777777" w:rsidR="000746B9" w:rsidRPr="000746B9" w:rsidRDefault="000746B9" w:rsidP="00DA217C">
            <w:pPr>
              <w:pStyle w:val="TableText1"/>
              <w:rPr>
                <w:rFonts w:cs="Arial"/>
                <w:sz w:val="20"/>
                <w:szCs w:val="20"/>
              </w:rPr>
            </w:pPr>
            <w:r w:rsidRPr="000746B9">
              <w:rPr>
                <w:rFonts w:cs="Arial"/>
                <w:sz w:val="20"/>
                <w:szCs w:val="20"/>
              </w:rPr>
              <w:t>Healthy.io</w:t>
            </w:r>
          </w:p>
        </w:tc>
        <w:tc>
          <w:tcPr>
            <w:tcW w:w="3588" w:type="dxa"/>
          </w:tcPr>
          <w:p w14:paraId="016AE91D" w14:textId="77777777" w:rsidR="000746B9" w:rsidRPr="000746B9" w:rsidRDefault="000746B9" w:rsidP="00DA217C">
            <w:pPr>
              <w:pStyle w:val="TableText1"/>
              <w:rPr>
                <w:rFonts w:cs="Arial"/>
                <w:sz w:val="20"/>
                <w:szCs w:val="20"/>
              </w:rPr>
            </w:pPr>
            <w:r w:rsidRPr="000746B9">
              <w:rPr>
                <w:rFonts w:cs="Arial"/>
                <w:sz w:val="20"/>
                <w:szCs w:val="20"/>
              </w:rPr>
              <w:t>Diagnosis of suspected uncomplicated lower urinary tract infection in women aged under 65 years should require urinalysis (using a urine dipstick) alongside the presence of two or more symptoms.</w:t>
            </w:r>
          </w:p>
        </w:tc>
        <w:tc>
          <w:tcPr>
            <w:tcW w:w="4350" w:type="dxa"/>
          </w:tcPr>
          <w:p w14:paraId="7D7DBEDF" w14:textId="77777777" w:rsidR="000746B9" w:rsidRPr="000746B9" w:rsidRDefault="000746B9" w:rsidP="00DA217C">
            <w:pPr>
              <w:rPr>
                <w:rFonts w:ascii="Arial" w:hAnsi="Arial" w:cs="Arial"/>
                <w:sz w:val="20"/>
                <w:szCs w:val="20"/>
                <w:lang w:eastAsia="en-GB"/>
              </w:rPr>
            </w:pPr>
            <w:r w:rsidRPr="000746B9">
              <w:rPr>
                <w:rFonts w:ascii="Arial" w:hAnsi="Arial" w:cs="Arial"/>
                <w:sz w:val="20"/>
                <w:szCs w:val="20"/>
              </w:rPr>
              <w:t xml:space="preserve">SIGN Guideline 160 (2020) emphasises the relationship between antibiotic prescribing in suspected UTI and the development of antimicrobial resistance. The Guideline also highlights variation in approaches to diagnosis and management, and the impact that variation can have on both patient experience and antimicrobial stewardship. </w:t>
            </w:r>
          </w:p>
          <w:p w14:paraId="5C1059D6" w14:textId="77777777" w:rsidR="000746B9" w:rsidRPr="000746B9" w:rsidRDefault="000746B9" w:rsidP="00DA217C">
            <w:pPr>
              <w:rPr>
                <w:rFonts w:ascii="Arial" w:hAnsi="Arial" w:cs="Arial"/>
                <w:sz w:val="20"/>
                <w:szCs w:val="20"/>
              </w:rPr>
            </w:pPr>
          </w:p>
          <w:p w14:paraId="7A53509D" w14:textId="77777777" w:rsidR="000746B9" w:rsidRPr="000746B9" w:rsidRDefault="000746B9" w:rsidP="00DA217C">
            <w:pPr>
              <w:rPr>
                <w:rFonts w:ascii="Arial" w:hAnsi="Arial" w:cs="Arial"/>
                <w:sz w:val="20"/>
                <w:szCs w:val="20"/>
              </w:rPr>
            </w:pPr>
            <w:r w:rsidRPr="000746B9">
              <w:rPr>
                <w:rFonts w:ascii="Arial" w:hAnsi="Arial" w:cs="Arial"/>
                <w:sz w:val="20"/>
                <w:szCs w:val="20"/>
              </w:rPr>
              <w:t>Accordingly, SIGN recommends that the following clinical recommendation is prioritised for implementation:</w:t>
            </w:r>
          </w:p>
          <w:p w14:paraId="69488A1F" w14:textId="77777777" w:rsidR="000746B9" w:rsidRPr="000746B9" w:rsidRDefault="000746B9" w:rsidP="00DA217C">
            <w:pPr>
              <w:rPr>
                <w:rFonts w:ascii="Arial" w:hAnsi="Arial" w:cs="Arial"/>
                <w:sz w:val="20"/>
                <w:szCs w:val="20"/>
              </w:rPr>
            </w:pPr>
            <w:r w:rsidRPr="000746B9">
              <w:rPr>
                <w:rFonts w:ascii="Arial" w:hAnsi="Arial" w:cs="Arial"/>
                <w:sz w:val="20"/>
                <w:szCs w:val="20"/>
              </w:rPr>
              <w:t>“Diagnose a UTI in the presence of two or more urinary symptoms (dysuria, frequency, urgency, visible haematuria or nocturia) and a positive dipstick test result for nitrite.”</w:t>
            </w:r>
          </w:p>
          <w:p w14:paraId="1EE7C777" w14:textId="77777777" w:rsidR="000746B9" w:rsidRPr="000746B9" w:rsidRDefault="000746B9" w:rsidP="00DA217C">
            <w:pPr>
              <w:rPr>
                <w:rFonts w:ascii="Arial" w:hAnsi="Arial" w:cs="Arial"/>
                <w:sz w:val="20"/>
                <w:szCs w:val="20"/>
              </w:rPr>
            </w:pPr>
          </w:p>
          <w:p w14:paraId="3CDBF1E7" w14:textId="77777777" w:rsidR="000746B9" w:rsidRPr="000746B9" w:rsidRDefault="000746B9" w:rsidP="00DA217C">
            <w:pPr>
              <w:rPr>
                <w:rFonts w:ascii="Arial" w:hAnsi="Arial" w:cs="Arial"/>
                <w:sz w:val="20"/>
                <w:szCs w:val="20"/>
              </w:rPr>
            </w:pPr>
            <w:r w:rsidRPr="000746B9">
              <w:rPr>
                <w:rFonts w:ascii="Arial" w:hAnsi="Arial" w:cs="Arial"/>
                <w:sz w:val="20"/>
                <w:szCs w:val="20"/>
              </w:rPr>
              <w:t xml:space="preserve">NICE should also adopt this recommendation as a priority for implementation, recognising the evidence set forward by SIGN regarding the potential for limiting antimicrobial resistance. </w:t>
            </w:r>
          </w:p>
          <w:p w14:paraId="5CDC044E" w14:textId="77777777" w:rsidR="000746B9" w:rsidRPr="000746B9" w:rsidRDefault="000746B9" w:rsidP="00DA217C">
            <w:pPr>
              <w:rPr>
                <w:rFonts w:ascii="Arial" w:hAnsi="Arial" w:cs="Arial"/>
                <w:sz w:val="20"/>
                <w:szCs w:val="20"/>
              </w:rPr>
            </w:pPr>
          </w:p>
          <w:p w14:paraId="7F9E18EC" w14:textId="77777777" w:rsidR="000746B9" w:rsidRPr="000746B9" w:rsidRDefault="000746B9" w:rsidP="00DA217C">
            <w:pPr>
              <w:rPr>
                <w:rFonts w:ascii="Arial" w:hAnsi="Arial" w:cs="Arial"/>
                <w:sz w:val="20"/>
                <w:szCs w:val="20"/>
              </w:rPr>
            </w:pPr>
            <w:r w:rsidRPr="000746B9">
              <w:rPr>
                <w:rFonts w:ascii="Arial" w:hAnsi="Arial" w:cs="Arial"/>
                <w:sz w:val="20"/>
                <w:szCs w:val="20"/>
              </w:rPr>
              <w:t xml:space="preserve">Implementation of this recommendation risks generating additional pressure for primary care providers and inconvenience for patients </w:t>
            </w:r>
            <w:r w:rsidRPr="000746B9">
              <w:rPr>
                <w:rFonts w:ascii="Arial" w:hAnsi="Arial" w:cs="Arial"/>
                <w:sz w:val="20"/>
                <w:szCs w:val="20"/>
              </w:rPr>
              <w:lastRenderedPageBreak/>
              <w:t xml:space="preserve">in requiring a diagnostic test, but this can be mitigated by promoting NHS England’s recommendations to enable greater access to point-of-care testing in community pharmacies or home-based tests. </w:t>
            </w:r>
          </w:p>
          <w:p w14:paraId="6F2F07D9" w14:textId="77777777" w:rsidR="000746B9" w:rsidRPr="000746B9" w:rsidRDefault="000746B9" w:rsidP="00DA217C">
            <w:pPr>
              <w:pStyle w:val="TableText1"/>
              <w:rPr>
                <w:rFonts w:cs="Arial"/>
                <w:sz w:val="20"/>
                <w:szCs w:val="20"/>
              </w:rPr>
            </w:pPr>
          </w:p>
        </w:tc>
        <w:tc>
          <w:tcPr>
            <w:tcW w:w="3769" w:type="dxa"/>
          </w:tcPr>
          <w:p w14:paraId="7A4D023F" w14:textId="77777777" w:rsidR="000746B9" w:rsidRPr="000746B9" w:rsidRDefault="000746B9" w:rsidP="00DA217C">
            <w:pPr>
              <w:rPr>
                <w:rFonts w:ascii="Arial" w:hAnsi="Arial" w:cs="Arial"/>
                <w:sz w:val="20"/>
                <w:szCs w:val="20"/>
                <w:lang w:eastAsia="en-GB"/>
              </w:rPr>
            </w:pPr>
            <w:r w:rsidRPr="000746B9">
              <w:rPr>
                <w:rFonts w:ascii="Arial" w:hAnsi="Arial" w:cs="Arial"/>
                <w:sz w:val="20"/>
                <w:szCs w:val="20"/>
              </w:rPr>
              <w:lastRenderedPageBreak/>
              <w:t xml:space="preserve">SIGN Guideline 160 (2020) provides detailed and comprehensive analysis of evidence to support the recommendation that diagnosis of UTI in women under 65 requires the presence of two more urinary symptoms alongside a positive dipstick result: </w:t>
            </w:r>
            <w:hyperlink r:id="rId43" w:history="1">
              <w:r w:rsidRPr="000746B9">
                <w:rPr>
                  <w:rStyle w:val="Hyperlink"/>
                  <w:rFonts w:ascii="Arial" w:hAnsi="Arial" w:cs="Arial"/>
                  <w:sz w:val="20"/>
                  <w:szCs w:val="20"/>
                </w:rPr>
                <w:t>https://www.sign.ac.uk/media/1766/sign-160-uti-0-1_web-version.pdf</w:t>
              </w:r>
            </w:hyperlink>
          </w:p>
          <w:p w14:paraId="775C12CF" w14:textId="77777777" w:rsidR="000746B9" w:rsidRPr="000746B9" w:rsidRDefault="000746B9" w:rsidP="00DA217C">
            <w:pPr>
              <w:rPr>
                <w:rFonts w:ascii="Arial" w:hAnsi="Arial" w:cs="Arial"/>
                <w:sz w:val="20"/>
                <w:szCs w:val="20"/>
              </w:rPr>
            </w:pPr>
          </w:p>
          <w:p w14:paraId="224A8D02" w14:textId="77777777" w:rsidR="000746B9" w:rsidRPr="000746B9" w:rsidRDefault="000746B9" w:rsidP="00DA217C">
            <w:pPr>
              <w:rPr>
                <w:rFonts w:ascii="Arial" w:hAnsi="Arial" w:cs="Arial"/>
                <w:sz w:val="20"/>
                <w:szCs w:val="20"/>
              </w:rPr>
            </w:pPr>
            <w:r w:rsidRPr="000746B9">
              <w:rPr>
                <w:rFonts w:ascii="Arial" w:hAnsi="Arial" w:cs="Arial"/>
                <w:sz w:val="20"/>
                <w:szCs w:val="20"/>
              </w:rPr>
              <w:t xml:space="preserve">Similar guidance has also been adopted in the Netherlands (2020): </w:t>
            </w:r>
            <w:hyperlink r:id="rId44" w:history="1">
              <w:r w:rsidRPr="000746B9">
                <w:rPr>
                  <w:rStyle w:val="Hyperlink"/>
                  <w:rFonts w:ascii="Arial" w:hAnsi="Arial" w:cs="Arial"/>
                  <w:sz w:val="20"/>
                  <w:szCs w:val="20"/>
                </w:rPr>
                <w:t>https://richtlijnen.nhg.org/standaarden/urineweginfecties</w:t>
              </w:r>
            </w:hyperlink>
          </w:p>
          <w:p w14:paraId="2110384E" w14:textId="77777777" w:rsidR="000746B9" w:rsidRPr="000746B9" w:rsidRDefault="000746B9" w:rsidP="00DA217C">
            <w:pPr>
              <w:rPr>
                <w:rFonts w:ascii="Arial" w:hAnsi="Arial" w:cs="Arial"/>
                <w:sz w:val="20"/>
                <w:szCs w:val="20"/>
              </w:rPr>
            </w:pPr>
          </w:p>
          <w:p w14:paraId="064CD31E" w14:textId="77777777" w:rsidR="000746B9" w:rsidRPr="000746B9" w:rsidRDefault="000746B9" w:rsidP="00DA217C">
            <w:pPr>
              <w:rPr>
                <w:rFonts w:ascii="Arial" w:eastAsia="Arial" w:hAnsi="Arial" w:cs="Arial"/>
                <w:color w:val="0000FF"/>
                <w:sz w:val="20"/>
                <w:szCs w:val="20"/>
                <w:u w:val="single"/>
              </w:rPr>
            </w:pPr>
            <w:r w:rsidRPr="000746B9">
              <w:rPr>
                <w:rFonts w:ascii="Arial" w:hAnsi="Arial" w:cs="Arial"/>
                <w:sz w:val="20"/>
                <w:szCs w:val="20"/>
              </w:rPr>
              <w:t xml:space="preserve">Analysis by Healthy.io indicates that </w:t>
            </w:r>
            <w:r w:rsidRPr="000746B9">
              <w:rPr>
                <w:rFonts w:ascii="Arial" w:eastAsia="Arial" w:hAnsi="Arial" w:cs="Arial"/>
                <w:color w:val="000000"/>
                <w:sz w:val="20"/>
                <w:szCs w:val="20"/>
              </w:rPr>
              <w:t>UTIs account for 13.7% of all antibiotics prescribed in the community and, in the last year (Nov 2020 – Oct 2021), over 5.5 million prescriptions were dispensed for trimethoprim and nitrofurantoin in England - the two main antibiotics used to treat UTI - at a cost of £38.5 million</w:t>
            </w:r>
            <w:r w:rsidRPr="000746B9">
              <w:rPr>
                <w:rFonts w:ascii="Arial" w:hAnsi="Arial" w:cs="Arial"/>
                <w:sz w:val="20"/>
                <w:szCs w:val="20"/>
              </w:rPr>
              <w:t xml:space="preserve">: </w:t>
            </w:r>
            <w:hyperlink r:id="rId45" w:anchor="org=CCG&amp;numIds=0501080W0AA,0501130R0AA&amp;denom=nothing&amp;selectedTab=summary" w:history="1">
              <w:r w:rsidRPr="000746B9">
                <w:rPr>
                  <w:rStyle w:val="Hyperlink"/>
                  <w:rFonts w:ascii="Arial" w:eastAsia="Arial" w:hAnsi="Arial" w:cs="Arial"/>
                  <w:sz w:val="20"/>
                  <w:szCs w:val="20"/>
                </w:rPr>
                <w:t>https://openprescribing.net/analyse/#org=CCG&amp;numIds=0501080W0AA,05011</w:t>
              </w:r>
              <w:r w:rsidRPr="000746B9">
                <w:rPr>
                  <w:rStyle w:val="Hyperlink"/>
                  <w:rFonts w:ascii="Arial" w:eastAsia="Arial" w:hAnsi="Arial" w:cs="Arial"/>
                  <w:sz w:val="20"/>
                  <w:szCs w:val="20"/>
                </w:rPr>
                <w:lastRenderedPageBreak/>
                <w:t>30R0AA&amp;denom=nothing&amp;selectedTab=summary</w:t>
              </w:r>
            </w:hyperlink>
          </w:p>
          <w:p w14:paraId="4C4BE403" w14:textId="77777777" w:rsidR="000746B9" w:rsidRPr="000746B9" w:rsidRDefault="000746B9" w:rsidP="00DA217C">
            <w:pPr>
              <w:rPr>
                <w:rFonts w:ascii="Arial" w:eastAsia="Arial" w:hAnsi="Arial" w:cs="Arial"/>
                <w:color w:val="0000FF"/>
                <w:sz w:val="20"/>
                <w:szCs w:val="20"/>
                <w:u w:val="single"/>
              </w:rPr>
            </w:pPr>
          </w:p>
          <w:p w14:paraId="1677372F" w14:textId="77777777" w:rsidR="000746B9" w:rsidRPr="000746B9" w:rsidRDefault="000746B9" w:rsidP="00DA217C">
            <w:pPr>
              <w:rPr>
                <w:rFonts w:ascii="Arial" w:eastAsia="Arial" w:hAnsi="Arial" w:cs="Arial"/>
                <w:color w:val="0000FF"/>
                <w:sz w:val="20"/>
                <w:szCs w:val="20"/>
                <w:u w:val="single"/>
              </w:rPr>
            </w:pPr>
          </w:p>
          <w:p w14:paraId="768CD5B8" w14:textId="77777777" w:rsidR="000746B9" w:rsidRPr="000746B9" w:rsidRDefault="000746B9" w:rsidP="00DA217C">
            <w:pPr>
              <w:rPr>
                <w:rFonts w:ascii="Arial" w:hAnsi="Arial" w:cs="Arial"/>
                <w:sz w:val="20"/>
                <w:szCs w:val="20"/>
              </w:rPr>
            </w:pPr>
            <w:r w:rsidRPr="000746B9">
              <w:rPr>
                <w:rFonts w:ascii="Arial" w:hAnsi="Arial" w:cs="Arial"/>
                <w:sz w:val="20"/>
                <w:szCs w:val="20"/>
              </w:rPr>
              <w:t xml:space="preserve">NHS England has highlighted that the potential for point-of-care testing for UTI presents an opportunity to support appropriate prescribing (2020): </w:t>
            </w:r>
            <w:hyperlink r:id="rId46" w:history="1">
              <w:r w:rsidRPr="000746B9">
                <w:rPr>
                  <w:rStyle w:val="Hyperlink"/>
                  <w:rFonts w:ascii="Arial" w:hAnsi="Arial" w:cs="Arial"/>
                  <w:sz w:val="20"/>
                  <w:szCs w:val="20"/>
                </w:rPr>
                <w:t>https://www.england.nhs.uk/wp-content/uploads/2020/11/diagnostics-recovery-and-renewal-independent-review-of-diagnostic-services-for-nhs-england-2.pdf</w:t>
              </w:r>
            </w:hyperlink>
            <w:r w:rsidRPr="000746B9">
              <w:rPr>
                <w:rFonts w:ascii="Arial" w:hAnsi="Arial" w:cs="Arial"/>
                <w:sz w:val="20"/>
                <w:szCs w:val="20"/>
              </w:rPr>
              <w:t xml:space="preserve">  </w:t>
            </w:r>
          </w:p>
          <w:p w14:paraId="13EFF745" w14:textId="77777777" w:rsidR="000746B9" w:rsidRPr="000746B9" w:rsidRDefault="000746B9" w:rsidP="00DA217C">
            <w:pPr>
              <w:rPr>
                <w:rFonts w:ascii="Arial" w:hAnsi="Arial" w:cs="Arial"/>
                <w:sz w:val="20"/>
                <w:szCs w:val="20"/>
              </w:rPr>
            </w:pPr>
          </w:p>
          <w:p w14:paraId="77EDDC9E" w14:textId="77777777" w:rsidR="000746B9" w:rsidRPr="000746B9" w:rsidRDefault="000746B9" w:rsidP="00DA217C">
            <w:pPr>
              <w:rPr>
                <w:rFonts w:ascii="Arial" w:hAnsi="Arial" w:cs="Arial"/>
                <w:sz w:val="20"/>
                <w:szCs w:val="20"/>
              </w:rPr>
            </w:pPr>
            <w:r w:rsidRPr="000746B9">
              <w:rPr>
                <w:rFonts w:ascii="Arial" w:hAnsi="Arial" w:cs="Arial"/>
                <w:sz w:val="20"/>
                <w:szCs w:val="20"/>
              </w:rPr>
              <w:t xml:space="preserve">NHS England has recommended the expansion of access to point-of-care testing in community pharmacy (2020): </w:t>
            </w:r>
            <w:hyperlink r:id="rId47" w:history="1">
              <w:r w:rsidRPr="000746B9">
                <w:rPr>
                  <w:rStyle w:val="Hyperlink"/>
                  <w:rFonts w:ascii="Arial" w:hAnsi="Arial" w:cs="Arial"/>
                  <w:sz w:val="20"/>
                  <w:szCs w:val="20"/>
                </w:rPr>
                <w:t>https://www.england.nhs.uk/wp-content/uploads/2022/01/B0722-Point-of-Care-Testing-in-Community-Pharmacies-Guide_January-2022.pdf</w:t>
              </w:r>
            </w:hyperlink>
          </w:p>
          <w:p w14:paraId="7B358F55" w14:textId="77777777" w:rsidR="000746B9" w:rsidRPr="000746B9" w:rsidRDefault="000746B9" w:rsidP="00DA217C">
            <w:pPr>
              <w:rPr>
                <w:rFonts w:ascii="Arial" w:hAnsi="Arial" w:cs="Arial"/>
                <w:sz w:val="20"/>
                <w:szCs w:val="20"/>
              </w:rPr>
            </w:pPr>
          </w:p>
          <w:p w14:paraId="50C8AC7C" w14:textId="77777777" w:rsidR="000746B9" w:rsidRPr="000746B9" w:rsidRDefault="000746B9" w:rsidP="00DA217C">
            <w:pPr>
              <w:rPr>
                <w:rFonts w:ascii="Arial" w:hAnsi="Arial" w:cs="Arial"/>
                <w:sz w:val="20"/>
                <w:szCs w:val="20"/>
              </w:rPr>
            </w:pPr>
          </w:p>
          <w:p w14:paraId="3D8DED95" w14:textId="77777777" w:rsidR="000746B9" w:rsidRPr="000746B9" w:rsidRDefault="000746B9" w:rsidP="00DA217C">
            <w:pPr>
              <w:rPr>
                <w:rFonts w:ascii="Arial" w:hAnsi="Arial" w:cs="Arial"/>
                <w:color w:val="212121"/>
                <w:sz w:val="20"/>
                <w:szCs w:val="20"/>
                <w:shd w:val="clear" w:color="auto" w:fill="FFFFFF"/>
              </w:rPr>
            </w:pPr>
            <w:proofErr w:type="spellStart"/>
            <w:r w:rsidRPr="000746B9">
              <w:rPr>
                <w:rFonts w:ascii="Arial" w:hAnsi="Arial" w:cs="Arial"/>
                <w:sz w:val="20"/>
                <w:szCs w:val="20"/>
              </w:rPr>
              <w:t>Healthy.io’s</w:t>
            </w:r>
            <w:proofErr w:type="spellEnd"/>
            <w:r w:rsidRPr="000746B9">
              <w:rPr>
                <w:rFonts w:ascii="Arial" w:hAnsi="Arial" w:cs="Arial"/>
                <w:sz w:val="20"/>
                <w:szCs w:val="20"/>
              </w:rPr>
              <w:t xml:space="preserve"> partnership with Boots was evaluated in 2020 and concluded that “</w:t>
            </w:r>
            <w:r w:rsidRPr="000746B9">
              <w:rPr>
                <w:rFonts w:ascii="Arial" w:hAnsi="Arial" w:cs="Arial"/>
                <w:color w:val="212121"/>
                <w:sz w:val="20"/>
                <w:szCs w:val="20"/>
                <w:shd w:val="clear" w:color="auto" w:fill="FFFFFF"/>
              </w:rPr>
              <w:t>The service helped to support the appropriate use of antibiotics and reduced demand on other NHS resources such as GP surgeries and urgent care settings.”:</w:t>
            </w:r>
            <w:r w:rsidRPr="000746B9">
              <w:rPr>
                <w:rFonts w:ascii="Arial" w:hAnsi="Arial" w:cs="Arial"/>
                <w:sz w:val="20"/>
                <w:szCs w:val="20"/>
              </w:rPr>
              <w:t xml:space="preserve"> </w:t>
            </w:r>
            <w:hyperlink r:id="rId48" w:history="1">
              <w:r w:rsidRPr="000746B9">
                <w:rPr>
                  <w:rStyle w:val="Hyperlink"/>
                  <w:rFonts w:ascii="Arial" w:hAnsi="Arial" w:cs="Arial"/>
                  <w:sz w:val="20"/>
                  <w:szCs w:val="20"/>
                  <w:shd w:val="clear" w:color="auto" w:fill="FFFFFF"/>
                </w:rPr>
                <w:t>https://www.ncbi.nlm.nih.gov/pmc/articles/PMC8210311/</w:t>
              </w:r>
            </w:hyperlink>
          </w:p>
          <w:p w14:paraId="08E0537C" w14:textId="77777777" w:rsidR="000746B9" w:rsidRPr="000746B9" w:rsidRDefault="000746B9" w:rsidP="00DA217C">
            <w:pPr>
              <w:rPr>
                <w:rFonts w:ascii="Arial" w:hAnsi="Arial" w:cs="Arial"/>
                <w:sz w:val="20"/>
                <w:szCs w:val="20"/>
              </w:rPr>
            </w:pPr>
          </w:p>
          <w:p w14:paraId="20EF742C" w14:textId="77777777" w:rsidR="000746B9" w:rsidRPr="000746B9" w:rsidRDefault="000746B9" w:rsidP="00DA217C">
            <w:pPr>
              <w:rPr>
                <w:rFonts w:ascii="Arial" w:hAnsi="Arial" w:cs="Arial"/>
                <w:sz w:val="20"/>
                <w:szCs w:val="20"/>
              </w:rPr>
            </w:pPr>
            <w:r w:rsidRPr="000746B9">
              <w:rPr>
                <w:rFonts w:ascii="Arial" w:hAnsi="Arial" w:cs="Arial"/>
                <w:sz w:val="20"/>
                <w:szCs w:val="20"/>
              </w:rPr>
              <w:lastRenderedPageBreak/>
              <w:t xml:space="preserve">A similar service developed in partnership with the NHS in Nottinghamshire and Derbyshire and was independently evaluated in 2020: </w:t>
            </w:r>
            <w:hyperlink r:id="rId49" w:history="1">
              <w:r w:rsidRPr="000746B9">
                <w:rPr>
                  <w:rStyle w:val="Hyperlink"/>
                  <w:rFonts w:ascii="Arial" w:hAnsi="Arial" w:cs="Arial"/>
                  <w:sz w:val="20"/>
                  <w:szCs w:val="20"/>
                </w:rPr>
                <w:t>https://emahsn.org.uk/images/Digital_UTI_Pathway_Evaluation_-_Final_v270720.pdf</w:t>
              </w:r>
            </w:hyperlink>
          </w:p>
          <w:p w14:paraId="1D487156" w14:textId="77777777" w:rsidR="000746B9" w:rsidRPr="000746B9" w:rsidRDefault="000746B9" w:rsidP="00DA217C">
            <w:pPr>
              <w:rPr>
                <w:rFonts w:ascii="Arial" w:hAnsi="Arial" w:cs="Arial"/>
                <w:sz w:val="20"/>
                <w:szCs w:val="20"/>
              </w:rPr>
            </w:pPr>
          </w:p>
        </w:tc>
      </w:tr>
      <w:tr w:rsidR="000746B9" w:rsidRPr="000746B9" w14:paraId="13590F50" w14:textId="77777777" w:rsidTr="007C6ED4">
        <w:trPr>
          <w:trHeight w:val="282"/>
        </w:trPr>
        <w:tc>
          <w:tcPr>
            <w:tcW w:w="708" w:type="dxa"/>
          </w:tcPr>
          <w:p w14:paraId="09E885CB" w14:textId="131371B5" w:rsidR="000746B9" w:rsidRPr="000746B9" w:rsidRDefault="000746B9" w:rsidP="001E506D">
            <w:pPr>
              <w:pStyle w:val="TableText1"/>
              <w:numPr>
                <w:ilvl w:val="0"/>
                <w:numId w:val="45"/>
              </w:numPr>
              <w:rPr>
                <w:rFonts w:cs="Arial"/>
                <w:sz w:val="20"/>
                <w:szCs w:val="20"/>
              </w:rPr>
            </w:pPr>
          </w:p>
        </w:tc>
        <w:tc>
          <w:tcPr>
            <w:tcW w:w="2264" w:type="dxa"/>
          </w:tcPr>
          <w:p w14:paraId="38616E20" w14:textId="36AF464B" w:rsidR="000746B9" w:rsidRPr="000746B9" w:rsidRDefault="000746B9" w:rsidP="00DA217C">
            <w:pPr>
              <w:pStyle w:val="TableText1"/>
              <w:rPr>
                <w:rFonts w:cs="Arial"/>
                <w:sz w:val="20"/>
                <w:szCs w:val="20"/>
              </w:rPr>
            </w:pPr>
            <w:r w:rsidRPr="000746B9">
              <w:rPr>
                <w:rFonts w:cs="Arial"/>
                <w:sz w:val="20"/>
                <w:szCs w:val="20"/>
              </w:rPr>
              <w:t>SCM 1</w:t>
            </w:r>
          </w:p>
        </w:tc>
        <w:tc>
          <w:tcPr>
            <w:tcW w:w="3588" w:type="dxa"/>
          </w:tcPr>
          <w:p w14:paraId="0CCA9001" w14:textId="77777777" w:rsidR="000746B9" w:rsidRPr="000746B9" w:rsidRDefault="000746B9" w:rsidP="00DA217C">
            <w:pPr>
              <w:pStyle w:val="TableText1"/>
              <w:rPr>
                <w:rFonts w:cs="Arial"/>
                <w:sz w:val="20"/>
                <w:szCs w:val="20"/>
              </w:rPr>
            </w:pPr>
            <w:r w:rsidRPr="000746B9">
              <w:rPr>
                <w:rFonts w:cs="Arial"/>
                <w:sz w:val="20"/>
                <w:szCs w:val="20"/>
              </w:rPr>
              <w:t>Assessment of symptoms and presentation for risk of sepsis</w:t>
            </w:r>
          </w:p>
        </w:tc>
        <w:tc>
          <w:tcPr>
            <w:tcW w:w="4350" w:type="dxa"/>
          </w:tcPr>
          <w:p w14:paraId="520329B0" w14:textId="77777777" w:rsidR="000746B9" w:rsidRPr="000746B9" w:rsidRDefault="000746B9" w:rsidP="00DA217C">
            <w:pPr>
              <w:pStyle w:val="TableText1"/>
              <w:rPr>
                <w:rFonts w:cs="Arial"/>
                <w:sz w:val="20"/>
                <w:szCs w:val="20"/>
              </w:rPr>
            </w:pPr>
            <w:r w:rsidRPr="000746B9">
              <w:rPr>
                <w:rFonts w:cs="Arial"/>
                <w:sz w:val="20"/>
                <w:szCs w:val="20"/>
              </w:rPr>
              <w:t xml:space="preserve">Sepsis can result for </w:t>
            </w:r>
            <w:proofErr w:type="gramStart"/>
            <w:r w:rsidRPr="000746B9">
              <w:rPr>
                <w:rFonts w:cs="Arial"/>
                <w:sz w:val="20"/>
                <w:szCs w:val="20"/>
              </w:rPr>
              <w:t>UTI's</w:t>
            </w:r>
            <w:proofErr w:type="gramEnd"/>
            <w:r w:rsidRPr="000746B9">
              <w:rPr>
                <w:rFonts w:cs="Arial"/>
                <w:sz w:val="20"/>
                <w:szCs w:val="20"/>
              </w:rPr>
              <w:t xml:space="preserve"> and it is essential that patients are assessed for any possible symptoms of sepsis with no delay. </w:t>
            </w:r>
          </w:p>
          <w:p w14:paraId="5E632F09" w14:textId="77777777" w:rsidR="000746B9" w:rsidRPr="000746B9" w:rsidRDefault="000746B9" w:rsidP="00DA217C">
            <w:pPr>
              <w:pStyle w:val="TableText1"/>
              <w:rPr>
                <w:rFonts w:cs="Arial"/>
                <w:sz w:val="20"/>
                <w:szCs w:val="20"/>
              </w:rPr>
            </w:pPr>
          </w:p>
          <w:p w14:paraId="1E104DE7" w14:textId="77777777" w:rsidR="000746B9" w:rsidRPr="000746B9" w:rsidRDefault="000746B9" w:rsidP="00DA217C">
            <w:pPr>
              <w:pStyle w:val="TableText1"/>
              <w:rPr>
                <w:rFonts w:cs="Arial"/>
                <w:sz w:val="20"/>
                <w:szCs w:val="20"/>
              </w:rPr>
            </w:pPr>
            <w:r w:rsidRPr="000746B9">
              <w:rPr>
                <w:rFonts w:cs="Arial"/>
                <w:sz w:val="20"/>
                <w:szCs w:val="20"/>
              </w:rPr>
              <w:t>Assessment of a UTI should not be based purely on urine dip results or MSU result.  Clinical assessment of symptoms is needed to gather a full history to exclude differential diagnosis. missed diagnosis and risk of sepsis.</w:t>
            </w:r>
          </w:p>
        </w:tc>
        <w:tc>
          <w:tcPr>
            <w:tcW w:w="3769" w:type="dxa"/>
          </w:tcPr>
          <w:p w14:paraId="72896464" w14:textId="77777777" w:rsidR="000746B9" w:rsidRPr="000746B9" w:rsidRDefault="00AC503C" w:rsidP="00DA217C">
            <w:pPr>
              <w:pStyle w:val="TableText1"/>
              <w:snapToGrid w:val="0"/>
              <w:rPr>
                <w:rFonts w:cs="Arial"/>
                <w:sz w:val="20"/>
                <w:szCs w:val="20"/>
                <w:lang w:eastAsia="ar-SA"/>
              </w:rPr>
            </w:pPr>
            <w:hyperlink r:id="rId50" w:anchor=":~:text=The term urosepsis describes sepsis,requires rapid diagnosis and treatment" w:history="1">
              <w:r w:rsidR="000746B9" w:rsidRPr="000746B9">
                <w:rPr>
                  <w:rStyle w:val="Hyperlink"/>
                  <w:rFonts w:cs="Arial"/>
                  <w:sz w:val="20"/>
                  <w:szCs w:val="20"/>
                </w:rPr>
                <w:t>https://www.sepsis.org/sepsisand/urinary-tract-infections/#:~:text=The%20term%20urosepsis%20describes%20sepsis,requires%20rapid%20diagnosis%20and%20treatment</w:t>
              </w:r>
            </w:hyperlink>
            <w:r w:rsidR="000746B9" w:rsidRPr="000746B9">
              <w:rPr>
                <w:rFonts w:cs="Arial"/>
                <w:sz w:val="20"/>
                <w:szCs w:val="20"/>
              </w:rPr>
              <w:t>.</w:t>
            </w:r>
          </w:p>
          <w:p w14:paraId="1BDD497D" w14:textId="77777777" w:rsidR="000746B9" w:rsidRPr="000746B9" w:rsidRDefault="000746B9" w:rsidP="00DA217C">
            <w:pPr>
              <w:pStyle w:val="TableText1"/>
              <w:rPr>
                <w:rFonts w:cs="Arial"/>
                <w:sz w:val="20"/>
                <w:szCs w:val="20"/>
              </w:rPr>
            </w:pPr>
          </w:p>
        </w:tc>
      </w:tr>
      <w:tr w:rsidR="000746B9" w:rsidRPr="000746B9" w14:paraId="290E00D1" w14:textId="77777777" w:rsidTr="007C6ED4">
        <w:trPr>
          <w:trHeight w:val="282"/>
        </w:trPr>
        <w:tc>
          <w:tcPr>
            <w:tcW w:w="708" w:type="dxa"/>
          </w:tcPr>
          <w:p w14:paraId="5AAD2DCD" w14:textId="6BFDD8F6" w:rsidR="000746B9" w:rsidRPr="000746B9" w:rsidRDefault="000746B9" w:rsidP="001E506D">
            <w:pPr>
              <w:pStyle w:val="TableText1"/>
              <w:numPr>
                <w:ilvl w:val="0"/>
                <w:numId w:val="45"/>
              </w:numPr>
              <w:rPr>
                <w:rFonts w:cs="Arial"/>
                <w:sz w:val="20"/>
                <w:szCs w:val="20"/>
              </w:rPr>
            </w:pPr>
          </w:p>
        </w:tc>
        <w:tc>
          <w:tcPr>
            <w:tcW w:w="2264" w:type="dxa"/>
          </w:tcPr>
          <w:p w14:paraId="40C30516" w14:textId="7D2869A8" w:rsidR="000746B9" w:rsidRPr="000746B9" w:rsidRDefault="000746B9" w:rsidP="00DA217C">
            <w:pPr>
              <w:pStyle w:val="TableText1"/>
              <w:rPr>
                <w:rFonts w:cs="Arial"/>
                <w:sz w:val="20"/>
                <w:szCs w:val="20"/>
              </w:rPr>
            </w:pPr>
            <w:r w:rsidRPr="000746B9">
              <w:rPr>
                <w:rFonts w:cs="Arial"/>
                <w:sz w:val="20"/>
                <w:szCs w:val="20"/>
              </w:rPr>
              <w:t>SCM 1</w:t>
            </w:r>
          </w:p>
        </w:tc>
        <w:tc>
          <w:tcPr>
            <w:tcW w:w="3588" w:type="dxa"/>
          </w:tcPr>
          <w:p w14:paraId="14A70140" w14:textId="77777777" w:rsidR="000746B9" w:rsidRPr="000746B9" w:rsidRDefault="000746B9" w:rsidP="00DA217C">
            <w:pPr>
              <w:pStyle w:val="TableText1"/>
              <w:rPr>
                <w:rFonts w:cs="Arial"/>
                <w:sz w:val="20"/>
                <w:szCs w:val="20"/>
              </w:rPr>
            </w:pPr>
            <w:r w:rsidRPr="000746B9">
              <w:rPr>
                <w:rFonts w:cs="Arial"/>
                <w:sz w:val="20"/>
                <w:szCs w:val="20"/>
              </w:rPr>
              <w:t xml:space="preserve">Appropriate diagnosis or pyelonephritis   </w:t>
            </w:r>
          </w:p>
        </w:tc>
        <w:tc>
          <w:tcPr>
            <w:tcW w:w="4350" w:type="dxa"/>
          </w:tcPr>
          <w:p w14:paraId="65E7A913" w14:textId="77777777" w:rsidR="000746B9" w:rsidRPr="000746B9" w:rsidRDefault="000746B9" w:rsidP="00DA217C">
            <w:pPr>
              <w:pStyle w:val="TableText1"/>
              <w:rPr>
                <w:rFonts w:cs="Arial"/>
                <w:sz w:val="20"/>
                <w:szCs w:val="20"/>
              </w:rPr>
            </w:pPr>
            <w:r w:rsidRPr="000746B9">
              <w:rPr>
                <w:rFonts w:cs="Arial"/>
                <w:sz w:val="20"/>
                <w:szCs w:val="20"/>
              </w:rPr>
              <w:t xml:space="preserve">Pyelonephritis needs to be recognised and treated differently to </w:t>
            </w:r>
            <w:proofErr w:type="gramStart"/>
            <w:r w:rsidRPr="000746B9">
              <w:rPr>
                <w:rFonts w:cs="Arial"/>
                <w:sz w:val="20"/>
                <w:szCs w:val="20"/>
              </w:rPr>
              <w:t xml:space="preserve">a  </w:t>
            </w:r>
            <w:proofErr w:type="spellStart"/>
            <w:r w:rsidRPr="000746B9">
              <w:rPr>
                <w:rFonts w:cs="Arial"/>
                <w:sz w:val="20"/>
                <w:szCs w:val="20"/>
              </w:rPr>
              <w:t>uti</w:t>
            </w:r>
            <w:proofErr w:type="spellEnd"/>
            <w:proofErr w:type="gramEnd"/>
            <w:r w:rsidRPr="000746B9">
              <w:rPr>
                <w:rFonts w:cs="Arial"/>
                <w:sz w:val="20"/>
                <w:szCs w:val="20"/>
              </w:rPr>
              <w:t xml:space="preserve"> as the infection has spread to the kidneys. It is important for clinicians to recognise symptoms of pyelonephritis for effective and fast treatment due to the dangers associated with </w:t>
            </w:r>
            <w:proofErr w:type="spellStart"/>
            <w:r w:rsidRPr="000746B9">
              <w:rPr>
                <w:rFonts w:cs="Arial"/>
                <w:sz w:val="20"/>
                <w:szCs w:val="20"/>
              </w:rPr>
              <w:t>pyleonephritis</w:t>
            </w:r>
            <w:proofErr w:type="spellEnd"/>
            <w:r w:rsidRPr="000746B9">
              <w:rPr>
                <w:rFonts w:cs="Arial"/>
                <w:sz w:val="20"/>
                <w:szCs w:val="20"/>
              </w:rPr>
              <w:t>.</w:t>
            </w:r>
          </w:p>
        </w:tc>
        <w:tc>
          <w:tcPr>
            <w:tcW w:w="3769" w:type="dxa"/>
          </w:tcPr>
          <w:p w14:paraId="034E19EB" w14:textId="77777777" w:rsidR="000746B9" w:rsidRPr="000746B9" w:rsidRDefault="00AC503C" w:rsidP="00DA217C">
            <w:pPr>
              <w:pStyle w:val="Bulletleft1"/>
              <w:snapToGrid w:val="0"/>
              <w:rPr>
                <w:rFonts w:cs="Arial"/>
                <w:sz w:val="20"/>
                <w:szCs w:val="20"/>
              </w:rPr>
            </w:pPr>
            <w:hyperlink r:id="rId51" w:history="1">
              <w:r w:rsidR="000746B9" w:rsidRPr="000746B9">
                <w:rPr>
                  <w:rStyle w:val="Hyperlink"/>
                  <w:rFonts w:cs="Arial"/>
                  <w:sz w:val="20"/>
                  <w:szCs w:val="20"/>
                  <w:lang w:eastAsia="ne-NP" w:bidi="ne-NP"/>
                </w:rPr>
                <w:t>Pyelonephritis (acute): antimicrobial prescribing</w:t>
              </w:r>
            </w:hyperlink>
            <w:r w:rsidR="000746B9" w:rsidRPr="000746B9">
              <w:rPr>
                <w:rFonts w:cs="Arial"/>
                <w:sz w:val="20"/>
                <w:szCs w:val="20"/>
                <w:lang w:eastAsia="ne-NP" w:bidi="ne-NP"/>
              </w:rPr>
              <w:t xml:space="preserve"> (2018) NICE guideline NG111</w:t>
            </w:r>
          </w:p>
          <w:p w14:paraId="664501F1" w14:textId="77777777" w:rsidR="000746B9" w:rsidRPr="000746B9" w:rsidRDefault="00AC503C" w:rsidP="00DA217C">
            <w:pPr>
              <w:pStyle w:val="Bulletleft1"/>
              <w:snapToGrid w:val="0"/>
              <w:rPr>
                <w:rFonts w:cs="Arial"/>
                <w:sz w:val="20"/>
                <w:szCs w:val="20"/>
              </w:rPr>
            </w:pPr>
            <w:hyperlink r:id="rId52" w:history="1">
              <w:r w:rsidR="000746B9" w:rsidRPr="000746B9">
                <w:rPr>
                  <w:rStyle w:val="Hyperlink"/>
                  <w:rFonts w:cs="Arial"/>
                  <w:sz w:val="20"/>
                  <w:szCs w:val="20"/>
                  <w:lang w:eastAsia="ne-NP" w:bidi="ne-NP"/>
                </w:rPr>
                <w:t>https://cks.nice.org.uk/topics/pyelonephritis-acute/</w:t>
              </w:r>
            </w:hyperlink>
          </w:p>
          <w:p w14:paraId="006875E4" w14:textId="77777777" w:rsidR="000746B9" w:rsidRPr="000746B9" w:rsidRDefault="00AC503C" w:rsidP="00DA217C">
            <w:pPr>
              <w:pStyle w:val="Bulletleft1"/>
              <w:snapToGrid w:val="0"/>
              <w:rPr>
                <w:rFonts w:cs="Arial"/>
                <w:sz w:val="20"/>
                <w:szCs w:val="20"/>
              </w:rPr>
            </w:pPr>
            <w:hyperlink r:id="rId53" w:history="1">
              <w:r w:rsidR="000746B9" w:rsidRPr="000746B9">
                <w:rPr>
                  <w:rStyle w:val="Hyperlink"/>
                  <w:rFonts w:cs="Arial"/>
                  <w:sz w:val="20"/>
                  <w:szCs w:val="20"/>
                  <w:lang w:eastAsia="ne-NP" w:bidi="ne-NP"/>
                </w:rPr>
                <w:t>https://assets.publishing.service.gov.uk/government/uploads/system/uploads/attachment_data/file/927195/UTI_diagnostic_flowchart_NICE-October_2020-FINAL.pdf</w:t>
              </w:r>
            </w:hyperlink>
          </w:p>
          <w:p w14:paraId="427F4F32" w14:textId="77777777" w:rsidR="000746B9" w:rsidRPr="000746B9" w:rsidRDefault="000746B9" w:rsidP="00DA217C">
            <w:pPr>
              <w:rPr>
                <w:rFonts w:ascii="Arial" w:hAnsi="Arial" w:cs="Arial"/>
                <w:sz w:val="20"/>
                <w:szCs w:val="20"/>
              </w:rPr>
            </w:pPr>
          </w:p>
        </w:tc>
      </w:tr>
      <w:tr w:rsidR="000746B9" w:rsidRPr="000746B9" w14:paraId="2638A3AE" w14:textId="77777777" w:rsidTr="007C6ED4">
        <w:trPr>
          <w:trHeight w:val="282"/>
        </w:trPr>
        <w:tc>
          <w:tcPr>
            <w:tcW w:w="708" w:type="dxa"/>
          </w:tcPr>
          <w:p w14:paraId="19421703" w14:textId="047935A7" w:rsidR="000746B9" w:rsidRPr="000746B9" w:rsidRDefault="000746B9" w:rsidP="001E506D">
            <w:pPr>
              <w:pStyle w:val="TableText1"/>
              <w:numPr>
                <w:ilvl w:val="0"/>
                <w:numId w:val="45"/>
              </w:numPr>
              <w:rPr>
                <w:rFonts w:cs="Arial"/>
                <w:sz w:val="20"/>
                <w:szCs w:val="20"/>
              </w:rPr>
            </w:pPr>
          </w:p>
        </w:tc>
        <w:tc>
          <w:tcPr>
            <w:tcW w:w="2264" w:type="dxa"/>
          </w:tcPr>
          <w:p w14:paraId="177993B3" w14:textId="126A5E00" w:rsidR="000746B9" w:rsidRPr="000746B9" w:rsidRDefault="000746B9" w:rsidP="00DA217C">
            <w:pPr>
              <w:pStyle w:val="TableText1"/>
              <w:rPr>
                <w:rFonts w:cs="Arial"/>
                <w:sz w:val="20"/>
                <w:szCs w:val="20"/>
              </w:rPr>
            </w:pPr>
            <w:r w:rsidRPr="000746B9">
              <w:rPr>
                <w:rFonts w:cs="Arial"/>
                <w:sz w:val="20"/>
                <w:szCs w:val="20"/>
              </w:rPr>
              <w:t>SCM1</w:t>
            </w:r>
          </w:p>
        </w:tc>
        <w:tc>
          <w:tcPr>
            <w:tcW w:w="3588" w:type="dxa"/>
          </w:tcPr>
          <w:p w14:paraId="2E240A0D" w14:textId="77777777" w:rsidR="000746B9" w:rsidRPr="000746B9" w:rsidRDefault="000746B9" w:rsidP="00DA217C">
            <w:pPr>
              <w:pStyle w:val="TableText1"/>
              <w:rPr>
                <w:rFonts w:cs="Arial"/>
                <w:sz w:val="20"/>
                <w:szCs w:val="20"/>
              </w:rPr>
            </w:pPr>
            <w:r w:rsidRPr="000746B9">
              <w:rPr>
                <w:rFonts w:cs="Arial"/>
                <w:sz w:val="20"/>
                <w:szCs w:val="20"/>
              </w:rPr>
              <w:t>To dip test a urine sample or not</w:t>
            </w:r>
          </w:p>
        </w:tc>
        <w:tc>
          <w:tcPr>
            <w:tcW w:w="4350" w:type="dxa"/>
          </w:tcPr>
          <w:p w14:paraId="37A26E43" w14:textId="77777777" w:rsidR="000746B9" w:rsidRPr="000746B9" w:rsidRDefault="000746B9" w:rsidP="00DA217C">
            <w:pPr>
              <w:pStyle w:val="TableText1"/>
              <w:rPr>
                <w:rFonts w:cs="Arial"/>
                <w:sz w:val="20"/>
                <w:szCs w:val="20"/>
              </w:rPr>
            </w:pPr>
            <w:r w:rsidRPr="000746B9">
              <w:rPr>
                <w:rFonts w:cs="Arial"/>
                <w:sz w:val="20"/>
                <w:szCs w:val="20"/>
              </w:rPr>
              <w:t xml:space="preserve">There is a variance in practice which results in a variance in patient care, diagnosis, </w:t>
            </w:r>
            <w:proofErr w:type="gramStart"/>
            <w:r w:rsidRPr="000746B9">
              <w:rPr>
                <w:rFonts w:cs="Arial"/>
                <w:sz w:val="20"/>
                <w:szCs w:val="20"/>
              </w:rPr>
              <w:t>treatment</w:t>
            </w:r>
            <w:proofErr w:type="gramEnd"/>
            <w:r w:rsidRPr="000746B9">
              <w:rPr>
                <w:rFonts w:cs="Arial"/>
                <w:sz w:val="20"/>
                <w:szCs w:val="20"/>
              </w:rPr>
              <w:t xml:space="preserve"> and prescribing.</w:t>
            </w:r>
            <w:r w:rsidRPr="000746B9">
              <w:rPr>
                <w:rFonts w:cs="Arial"/>
                <w:sz w:val="20"/>
                <w:szCs w:val="20"/>
              </w:rPr>
              <w:br/>
            </w:r>
            <w:r w:rsidRPr="000746B9">
              <w:rPr>
                <w:rFonts w:cs="Arial"/>
                <w:sz w:val="20"/>
                <w:szCs w:val="20"/>
              </w:rPr>
              <w:br/>
              <w:t>There is evidence and guidance to advise when a urine sample should be dipped or not. There is a risk that this is not always adhered to with urine samples being dip tested when it is not required or of any benefit.</w:t>
            </w:r>
          </w:p>
        </w:tc>
        <w:tc>
          <w:tcPr>
            <w:tcW w:w="3769" w:type="dxa"/>
          </w:tcPr>
          <w:p w14:paraId="6D6CDC80" w14:textId="77777777" w:rsidR="000746B9" w:rsidRPr="000746B9" w:rsidRDefault="000746B9" w:rsidP="00DA217C">
            <w:pPr>
              <w:pStyle w:val="TableText1"/>
              <w:snapToGrid w:val="0"/>
              <w:rPr>
                <w:rFonts w:cs="Arial"/>
                <w:sz w:val="20"/>
                <w:szCs w:val="20"/>
                <w:lang w:eastAsia="ar-SA"/>
              </w:rPr>
            </w:pPr>
            <w:r w:rsidRPr="000746B9">
              <w:rPr>
                <w:rFonts w:cs="Arial"/>
                <w:sz w:val="20"/>
                <w:szCs w:val="20"/>
              </w:rPr>
              <w:t>The below guidance outlines when a urine sample should be dip tested or not</w:t>
            </w:r>
          </w:p>
          <w:p w14:paraId="04540461" w14:textId="77777777" w:rsidR="000746B9" w:rsidRPr="000746B9" w:rsidRDefault="000746B9" w:rsidP="00DA217C">
            <w:pPr>
              <w:pStyle w:val="TableText1"/>
              <w:rPr>
                <w:rFonts w:cs="Arial"/>
                <w:sz w:val="20"/>
                <w:szCs w:val="20"/>
              </w:rPr>
            </w:pPr>
            <w:r w:rsidRPr="000746B9">
              <w:rPr>
                <w:rFonts w:cs="Arial"/>
                <w:sz w:val="20"/>
                <w:szCs w:val="20"/>
              </w:rPr>
              <w:t xml:space="preserve">Public Health England (2020) </w:t>
            </w:r>
            <w:hyperlink r:id="rId54" w:history="1">
              <w:r w:rsidRPr="000746B9">
                <w:rPr>
                  <w:rStyle w:val="Hyperlink"/>
                  <w:rFonts w:cs="Arial"/>
                  <w:sz w:val="20"/>
                  <w:szCs w:val="20"/>
                </w:rPr>
                <w:t>Diagnosis of urinary tract infections: Quick reference tool for primary care for consultation and local adaptation</w:t>
              </w:r>
            </w:hyperlink>
          </w:p>
        </w:tc>
      </w:tr>
      <w:tr w:rsidR="000746B9" w:rsidRPr="000746B9" w14:paraId="4EEFCF9B" w14:textId="77777777" w:rsidTr="007C6ED4">
        <w:trPr>
          <w:trHeight w:val="282"/>
        </w:trPr>
        <w:tc>
          <w:tcPr>
            <w:tcW w:w="708" w:type="dxa"/>
          </w:tcPr>
          <w:p w14:paraId="65EC04A7" w14:textId="390C0AE1" w:rsidR="000746B9" w:rsidRPr="000746B9" w:rsidRDefault="000746B9" w:rsidP="001E506D">
            <w:pPr>
              <w:pStyle w:val="TableText1"/>
              <w:numPr>
                <w:ilvl w:val="0"/>
                <w:numId w:val="45"/>
              </w:numPr>
              <w:rPr>
                <w:rFonts w:cs="Arial"/>
                <w:sz w:val="20"/>
                <w:szCs w:val="20"/>
              </w:rPr>
            </w:pPr>
          </w:p>
        </w:tc>
        <w:tc>
          <w:tcPr>
            <w:tcW w:w="2264" w:type="dxa"/>
          </w:tcPr>
          <w:p w14:paraId="2A7B6E95" w14:textId="71F85AD1" w:rsidR="000746B9" w:rsidRPr="000746B9" w:rsidRDefault="000746B9" w:rsidP="00DA217C">
            <w:pPr>
              <w:pStyle w:val="TableText1"/>
              <w:rPr>
                <w:rFonts w:cs="Arial"/>
                <w:sz w:val="20"/>
                <w:szCs w:val="20"/>
              </w:rPr>
            </w:pPr>
            <w:r w:rsidRPr="000746B9">
              <w:rPr>
                <w:rFonts w:cs="Arial"/>
                <w:sz w:val="20"/>
                <w:szCs w:val="20"/>
              </w:rPr>
              <w:t>SCM2</w:t>
            </w:r>
          </w:p>
        </w:tc>
        <w:tc>
          <w:tcPr>
            <w:tcW w:w="3588" w:type="dxa"/>
            <w:shd w:val="clear" w:color="auto" w:fill="FFFFFF"/>
          </w:tcPr>
          <w:p w14:paraId="5C4E23E4" w14:textId="77777777" w:rsidR="000746B9" w:rsidRPr="000746B9" w:rsidRDefault="000746B9" w:rsidP="00DA217C">
            <w:pPr>
              <w:pStyle w:val="Paragraphnonumbers"/>
              <w:spacing w:after="120"/>
              <w:rPr>
                <w:rFonts w:cs="Arial"/>
                <w:sz w:val="20"/>
                <w:szCs w:val="20"/>
              </w:rPr>
            </w:pPr>
            <w:r w:rsidRPr="000746B9">
              <w:rPr>
                <w:rFonts w:cs="Arial"/>
                <w:sz w:val="20"/>
                <w:szCs w:val="20"/>
              </w:rPr>
              <w:t>Clear, precise recommendation about criteria for diagnosis of UTI</w:t>
            </w:r>
          </w:p>
        </w:tc>
        <w:tc>
          <w:tcPr>
            <w:tcW w:w="4350" w:type="dxa"/>
            <w:shd w:val="clear" w:color="auto" w:fill="FFFFFF"/>
          </w:tcPr>
          <w:p w14:paraId="3CC3D2E5" w14:textId="77777777" w:rsidR="000746B9" w:rsidRPr="000746B9" w:rsidRDefault="000746B9" w:rsidP="00DA217C">
            <w:pPr>
              <w:pStyle w:val="Paragraphnonumbers"/>
              <w:rPr>
                <w:rFonts w:cs="Arial"/>
                <w:sz w:val="20"/>
                <w:szCs w:val="20"/>
              </w:rPr>
            </w:pPr>
            <w:r w:rsidRPr="000746B9">
              <w:rPr>
                <w:rFonts w:cs="Arial"/>
                <w:sz w:val="20"/>
                <w:szCs w:val="20"/>
              </w:rPr>
              <w:t xml:space="preserve">Important diagnosis of UTI is as precise as possible </w:t>
            </w:r>
            <w:proofErr w:type="gramStart"/>
            <w:r w:rsidRPr="000746B9">
              <w:rPr>
                <w:rFonts w:cs="Arial"/>
                <w:sz w:val="20"/>
                <w:szCs w:val="20"/>
              </w:rPr>
              <w:t>in order to</w:t>
            </w:r>
            <w:proofErr w:type="gramEnd"/>
            <w:r w:rsidRPr="000746B9">
              <w:rPr>
                <w:rFonts w:cs="Arial"/>
                <w:sz w:val="20"/>
                <w:szCs w:val="20"/>
              </w:rPr>
              <w:t xml:space="preserve"> prescribe antibiotics only to people with a high likelihood of UTI and as a consequence reduce antimicrobial resistance and minimise adverse effects.</w:t>
            </w:r>
          </w:p>
          <w:p w14:paraId="3F7E78B4" w14:textId="77777777" w:rsidR="000746B9" w:rsidRPr="000746B9" w:rsidRDefault="000746B9" w:rsidP="00DA217C">
            <w:pPr>
              <w:pStyle w:val="Paragraphnonumbers"/>
              <w:rPr>
                <w:rFonts w:cs="Arial"/>
                <w:i/>
                <w:iCs/>
                <w:sz w:val="20"/>
                <w:szCs w:val="20"/>
              </w:rPr>
            </w:pPr>
            <w:r w:rsidRPr="000746B9">
              <w:rPr>
                <w:rFonts w:cs="Arial"/>
                <w:i/>
                <w:iCs/>
                <w:sz w:val="20"/>
                <w:szCs w:val="20"/>
              </w:rPr>
              <w:t xml:space="preserve">Diagnose UTI in adult women on presence of 2 or more urinary symptoms plus positive dipstick test for nitrite [in the absence of a vaginal discharge]. </w:t>
            </w:r>
          </w:p>
          <w:p w14:paraId="71E95F3D" w14:textId="77777777" w:rsidR="000746B9" w:rsidRPr="000746B9" w:rsidRDefault="000746B9" w:rsidP="00DA217C">
            <w:pPr>
              <w:pStyle w:val="Paragraphnonumbers"/>
              <w:rPr>
                <w:rFonts w:cs="Arial"/>
                <w:sz w:val="20"/>
                <w:szCs w:val="20"/>
              </w:rPr>
            </w:pPr>
            <w:r w:rsidRPr="000746B9">
              <w:rPr>
                <w:rFonts w:cs="Arial"/>
                <w:sz w:val="20"/>
                <w:szCs w:val="20"/>
              </w:rPr>
              <w:t>See supporting information</w:t>
            </w:r>
          </w:p>
        </w:tc>
        <w:tc>
          <w:tcPr>
            <w:tcW w:w="3769" w:type="dxa"/>
            <w:shd w:val="clear" w:color="auto" w:fill="FFFFFF"/>
          </w:tcPr>
          <w:p w14:paraId="20F79CCD" w14:textId="77777777" w:rsidR="000746B9" w:rsidRPr="000746B9" w:rsidRDefault="000746B9" w:rsidP="00DA217C">
            <w:pPr>
              <w:pStyle w:val="Paragraphnonumbers"/>
              <w:rPr>
                <w:rFonts w:cs="Arial"/>
                <w:sz w:val="20"/>
                <w:szCs w:val="20"/>
              </w:rPr>
            </w:pPr>
            <w:r w:rsidRPr="000746B9">
              <w:rPr>
                <w:rFonts w:cs="Arial"/>
                <w:sz w:val="20"/>
                <w:szCs w:val="20"/>
              </w:rPr>
              <w:t xml:space="preserve">This is a recommendation in SIGN 160 (September 2020) Guideline ‘Management of suspected bacterial UTI in adult women’. </w:t>
            </w:r>
          </w:p>
          <w:p w14:paraId="56471ED7" w14:textId="77777777" w:rsidR="000746B9" w:rsidRPr="000746B9" w:rsidRDefault="000746B9" w:rsidP="00DA217C">
            <w:pPr>
              <w:pStyle w:val="Paragraphnonumbers"/>
              <w:rPr>
                <w:rFonts w:cs="Arial"/>
                <w:sz w:val="20"/>
                <w:szCs w:val="20"/>
              </w:rPr>
            </w:pPr>
          </w:p>
          <w:p w14:paraId="01770B0E" w14:textId="77777777" w:rsidR="000746B9" w:rsidRPr="000746B9" w:rsidRDefault="000746B9" w:rsidP="00DA217C">
            <w:pPr>
              <w:pStyle w:val="Paragraphnonumbers"/>
              <w:rPr>
                <w:rFonts w:cs="Arial"/>
                <w:sz w:val="20"/>
                <w:szCs w:val="20"/>
              </w:rPr>
            </w:pPr>
            <w:r w:rsidRPr="000746B9">
              <w:rPr>
                <w:rFonts w:cs="Arial"/>
                <w:sz w:val="20"/>
                <w:szCs w:val="20"/>
              </w:rPr>
              <w:t>Supported by European Association of Urology guideline 20/3/20. [This guideline highlighted the need to add a statement on the absence of vaginal discharge]</w:t>
            </w:r>
          </w:p>
        </w:tc>
      </w:tr>
      <w:tr w:rsidR="000746B9" w:rsidRPr="000746B9" w14:paraId="04949864" w14:textId="77777777" w:rsidTr="007C6ED4">
        <w:trPr>
          <w:trHeight w:val="282"/>
        </w:trPr>
        <w:tc>
          <w:tcPr>
            <w:tcW w:w="708" w:type="dxa"/>
          </w:tcPr>
          <w:p w14:paraId="60FC5E00" w14:textId="1E0A30F5" w:rsidR="000746B9" w:rsidRPr="000746B9" w:rsidRDefault="000746B9" w:rsidP="001E506D">
            <w:pPr>
              <w:pStyle w:val="TableText1"/>
              <w:numPr>
                <w:ilvl w:val="0"/>
                <w:numId w:val="45"/>
              </w:numPr>
              <w:rPr>
                <w:rFonts w:cs="Arial"/>
                <w:sz w:val="20"/>
                <w:szCs w:val="20"/>
              </w:rPr>
            </w:pPr>
          </w:p>
        </w:tc>
        <w:tc>
          <w:tcPr>
            <w:tcW w:w="2264" w:type="dxa"/>
          </w:tcPr>
          <w:p w14:paraId="4CAF127F" w14:textId="5FC0E69B" w:rsidR="000746B9" w:rsidRPr="000746B9" w:rsidRDefault="000746B9" w:rsidP="00DA217C">
            <w:pPr>
              <w:pStyle w:val="TableText1"/>
              <w:rPr>
                <w:rFonts w:cs="Arial"/>
                <w:sz w:val="20"/>
                <w:szCs w:val="20"/>
              </w:rPr>
            </w:pPr>
            <w:r w:rsidRPr="000746B9">
              <w:rPr>
                <w:rFonts w:cs="Arial"/>
                <w:sz w:val="20"/>
                <w:szCs w:val="20"/>
              </w:rPr>
              <w:t>SCM2</w:t>
            </w:r>
          </w:p>
        </w:tc>
        <w:tc>
          <w:tcPr>
            <w:tcW w:w="3588" w:type="dxa"/>
            <w:shd w:val="clear" w:color="auto" w:fill="FFFFFF"/>
          </w:tcPr>
          <w:p w14:paraId="73656C93" w14:textId="77777777" w:rsidR="000746B9" w:rsidRPr="000746B9" w:rsidRDefault="000746B9" w:rsidP="00DA217C">
            <w:pPr>
              <w:pStyle w:val="TableText1"/>
              <w:rPr>
                <w:rFonts w:cs="Arial"/>
                <w:sz w:val="20"/>
                <w:szCs w:val="20"/>
              </w:rPr>
            </w:pPr>
            <w:r w:rsidRPr="000746B9">
              <w:rPr>
                <w:rFonts w:cs="Arial"/>
                <w:sz w:val="20"/>
                <w:szCs w:val="20"/>
              </w:rPr>
              <w:t xml:space="preserve">Assessment of adults &gt; 65 with suspected UTI. </w:t>
            </w:r>
          </w:p>
          <w:p w14:paraId="15032676" w14:textId="77777777" w:rsidR="000746B9" w:rsidRPr="000746B9" w:rsidRDefault="000746B9" w:rsidP="00DA217C">
            <w:pPr>
              <w:pStyle w:val="Paragraphnonumbers"/>
              <w:spacing w:after="120"/>
              <w:rPr>
                <w:rFonts w:cs="Arial"/>
                <w:sz w:val="20"/>
                <w:szCs w:val="20"/>
              </w:rPr>
            </w:pPr>
          </w:p>
        </w:tc>
        <w:tc>
          <w:tcPr>
            <w:tcW w:w="4350" w:type="dxa"/>
            <w:shd w:val="clear" w:color="auto" w:fill="FFFFFF"/>
          </w:tcPr>
          <w:p w14:paraId="34E73570" w14:textId="77777777" w:rsidR="000746B9" w:rsidRPr="000746B9" w:rsidRDefault="000746B9" w:rsidP="00DA217C">
            <w:pPr>
              <w:pStyle w:val="NormalWeb"/>
              <w:rPr>
                <w:rFonts w:ascii="Arial" w:hAnsi="Arial" w:cs="Arial"/>
                <w:sz w:val="20"/>
                <w:szCs w:val="20"/>
              </w:rPr>
            </w:pPr>
            <w:r w:rsidRPr="000746B9">
              <w:rPr>
                <w:rFonts w:ascii="Arial" w:hAnsi="Arial" w:cs="Arial"/>
                <w:sz w:val="20"/>
                <w:szCs w:val="20"/>
              </w:rPr>
              <w:t xml:space="preserve">-Women aged &gt; 65 years especially those in long-term care facilities, may not display the usual symptoms and signs of UTI that are seen in younger </w:t>
            </w:r>
            <w:proofErr w:type="gramStart"/>
            <w:r w:rsidRPr="000746B9">
              <w:rPr>
                <w:rFonts w:ascii="Arial" w:hAnsi="Arial" w:cs="Arial"/>
                <w:sz w:val="20"/>
                <w:szCs w:val="20"/>
              </w:rPr>
              <w:t>women.*</w:t>
            </w:r>
            <w:proofErr w:type="gramEnd"/>
            <w:r w:rsidRPr="000746B9">
              <w:rPr>
                <w:rFonts w:ascii="Arial" w:hAnsi="Arial" w:cs="Arial"/>
                <w:sz w:val="20"/>
                <w:szCs w:val="20"/>
              </w:rPr>
              <w:t xml:space="preserve"> </w:t>
            </w:r>
          </w:p>
          <w:p w14:paraId="24F9E8D9" w14:textId="77777777" w:rsidR="000746B9" w:rsidRPr="000746B9" w:rsidRDefault="000746B9" w:rsidP="00DA217C">
            <w:pPr>
              <w:pStyle w:val="NormalWeb"/>
              <w:rPr>
                <w:rFonts w:ascii="Arial" w:hAnsi="Arial" w:cs="Arial"/>
                <w:sz w:val="20"/>
                <w:szCs w:val="20"/>
              </w:rPr>
            </w:pPr>
            <w:r w:rsidRPr="000746B9">
              <w:rPr>
                <w:rFonts w:ascii="Arial" w:hAnsi="Arial" w:cs="Arial"/>
                <w:sz w:val="20"/>
                <w:szCs w:val="20"/>
              </w:rPr>
              <w:t xml:space="preserve">• Functional deterioration and/or changes to performance of activities of daily living may be indicators of infection in frail older people*. </w:t>
            </w:r>
          </w:p>
          <w:p w14:paraId="22669A89" w14:textId="77777777" w:rsidR="000746B9" w:rsidRPr="000746B9" w:rsidRDefault="000746B9" w:rsidP="00DA217C">
            <w:pPr>
              <w:pStyle w:val="TableText1"/>
              <w:rPr>
                <w:rFonts w:cs="Arial"/>
                <w:sz w:val="20"/>
                <w:szCs w:val="20"/>
              </w:rPr>
            </w:pPr>
            <w:r w:rsidRPr="000746B9">
              <w:rPr>
                <w:rFonts w:cs="Arial"/>
                <w:sz w:val="20"/>
                <w:szCs w:val="20"/>
              </w:rPr>
              <w:lastRenderedPageBreak/>
              <w:t xml:space="preserve">-important to assess fully so as not to miss attribute atypical symptoms /deterioration to UTI. Potential to miss malignancy particularly if haematuria present </w:t>
            </w:r>
          </w:p>
          <w:p w14:paraId="55433B1B" w14:textId="77777777" w:rsidR="000746B9" w:rsidRPr="000746B9" w:rsidRDefault="000746B9" w:rsidP="00DA217C">
            <w:pPr>
              <w:pStyle w:val="TableText1"/>
              <w:rPr>
                <w:rFonts w:cs="Arial"/>
                <w:sz w:val="20"/>
                <w:szCs w:val="20"/>
              </w:rPr>
            </w:pPr>
          </w:p>
          <w:p w14:paraId="0F3F63A3" w14:textId="77777777" w:rsidR="000746B9" w:rsidRPr="000746B9" w:rsidRDefault="000746B9" w:rsidP="00DA217C">
            <w:pPr>
              <w:pStyle w:val="Paragraphnonumbers"/>
              <w:rPr>
                <w:rFonts w:cs="Arial"/>
                <w:sz w:val="20"/>
                <w:szCs w:val="20"/>
              </w:rPr>
            </w:pPr>
            <w:r w:rsidRPr="000746B9">
              <w:rPr>
                <w:rFonts w:cs="Arial"/>
                <w:sz w:val="20"/>
                <w:szCs w:val="20"/>
              </w:rPr>
              <w:t xml:space="preserve">Mortality from sepsis and urosepsis higher in elderly*. </w:t>
            </w:r>
          </w:p>
          <w:p w14:paraId="0DDE1C1D" w14:textId="77777777" w:rsidR="000746B9" w:rsidRPr="000746B9" w:rsidRDefault="000746B9" w:rsidP="00DA217C">
            <w:pPr>
              <w:pStyle w:val="Paragraphnonumbers"/>
              <w:rPr>
                <w:rFonts w:cs="Arial"/>
                <w:sz w:val="20"/>
                <w:szCs w:val="20"/>
              </w:rPr>
            </w:pPr>
            <w:r w:rsidRPr="000746B9">
              <w:rPr>
                <w:rFonts w:cs="Arial"/>
                <w:sz w:val="20"/>
                <w:szCs w:val="20"/>
              </w:rPr>
              <w:t xml:space="preserve">The accuracy of dipstick testing in adults aged 65 years and over can vary. It is therefore important that factors other than the results of dipstick testing are taken into consideration when diagnosing urinary tract infections in older people to ensure appropriate management and avoid unnecessary use of antibiotics. </w:t>
            </w:r>
          </w:p>
          <w:p w14:paraId="1CE94B58" w14:textId="77777777" w:rsidR="000746B9" w:rsidRPr="000746B9" w:rsidRDefault="000746B9" w:rsidP="00DA217C">
            <w:pPr>
              <w:pStyle w:val="Paragraphnonumbers"/>
              <w:rPr>
                <w:rFonts w:cs="Arial"/>
                <w:sz w:val="20"/>
                <w:szCs w:val="20"/>
              </w:rPr>
            </w:pPr>
            <w:r w:rsidRPr="000746B9">
              <w:rPr>
                <w:rFonts w:cs="Arial"/>
                <w:sz w:val="20"/>
                <w:szCs w:val="20"/>
              </w:rPr>
              <w:t xml:space="preserve">The incidence of asymptomatic bacteriuria (ASB) rises with age, especially for those in long- term residential facilities, where it can be as high as 70% </w:t>
            </w:r>
          </w:p>
          <w:p w14:paraId="3CFC3B65" w14:textId="77777777" w:rsidR="000746B9" w:rsidRPr="000746B9" w:rsidRDefault="000746B9" w:rsidP="00DA217C">
            <w:pPr>
              <w:pStyle w:val="Paragraphnonumbers"/>
              <w:rPr>
                <w:rFonts w:cs="Arial"/>
                <w:sz w:val="20"/>
                <w:szCs w:val="20"/>
              </w:rPr>
            </w:pPr>
            <w:r w:rsidRPr="000746B9">
              <w:rPr>
                <w:rFonts w:cs="Arial"/>
                <w:sz w:val="20"/>
                <w:szCs w:val="20"/>
              </w:rPr>
              <w:t xml:space="preserve">Asymptomatic bacteriuria can lead to overdiagnosis of UTI and unnecessary antibiotic prescribing. </w:t>
            </w:r>
          </w:p>
          <w:p w14:paraId="337F7605" w14:textId="77777777" w:rsidR="000746B9" w:rsidRPr="000746B9" w:rsidRDefault="000746B9" w:rsidP="00DA217C">
            <w:pPr>
              <w:pStyle w:val="Paragraphnonumbers"/>
              <w:rPr>
                <w:rFonts w:cs="Arial"/>
                <w:sz w:val="20"/>
                <w:szCs w:val="20"/>
              </w:rPr>
            </w:pPr>
            <w:r w:rsidRPr="000746B9">
              <w:rPr>
                <w:rFonts w:cs="Arial"/>
                <w:sz w:val="20"/>
                <w:szCs w:val="20"/>
              </w:rPr>
              <w:t>The frequency of antibiotic prescribing is higher in older adults, especially those in long-term care facilities, and older adults are more likely to harbour resistant bacteria</w:t>
            </w:r>
          </w:p>
        </w:tc>
        <w:tc>
          <w:tcPr>
            <w:tcW w:w="3769" w:type="dxa"/>
            <w:shd w:val="clear" w:color="auto" w:fill="FFFFFF"/>
          </w:tcPr>
          <w:p w14:paraId="3BDF7FF9" w14:textId="77777777" w:rsidR="000746B9" w:rsidRPr="000746B9" w:rsidRDefault="000746B9" w:rsidP="00DA217C">
            <w:pPr>
              <w:pStyle w:val="NormalWeb"/>
              <w:rPr>
                <w:rFonts w:ascii="Arial" w:hAnsi="Arial" w:cs="Arial"/>
                <w:sz w:val="20"/>
                <w:szCs w:val="20"/>
              </w:rPr>
            </w:pPr>
            <w:r w:rsidRPr="000746B9">
              <w:rPr>
                <w:rFonts w:ascii="Arial" w:hAnsi="Arial" w:cs="Arial"/>
                <w:sz w:val="20"/>
                <w:szCs w:val="20"/>
              </w:rPr>
              <w:lastRenderedPageBreak/>
              <w:t xml:space="preserve">See existing QS90 (2015) </w:t>
            </w:r>
          </w:p>
          <w:p w14:paraId="083D4B5A" w14:textId="77777777" w:rsidR="000746B9" w:rsidRPr="000746B9" w:rsidRDefault="000746B9" w:rsidP="00DA217C">
            <w:pPr>
              <w:pStyle w:val="NormalWeb"/>
              <w:rPr>
                <w:rFonts w:ascii="Arial" w:hAnsi="Arial" w:cs="Arial"/>
                <w:i/>
                <w:iCs/>
                <w:sz w:val="20"/>
                <w:szCs w:val="20"/>
              </w:rPr>
            </w:pPr>
            <w:r w:rsidRPr="000746B9">
              <w:rPr>
                <w:rFonts w:ascii="Arial" w:hAnsi="Arial" w:cs="Arial"/>
                <w:i/>
                <w:iCs/>
                <w:sz w:val="20"/>
                <w:szCs w:val="20"/>
              </w:rPr>
              <w:t xml:space="preserve">Recommendation: Adults &gt; 65 have a full clinical assessment before a diagnosis of UTI is made. </w:t>
            </w:r>
          </w:p>
          <w:p w14:paraId="328071A5" w14:textId="77777777" w:rsidR="000746B9" w:rsidRPr="000746B9" w:rsidRDefault="000746B9" w:rsidP="00DA217C">
            <w:pPr>
              <w:pStyle w:val="NormalWeb"/>
              <w:rPr>
                <w:rFonts w:ascii="Arial" w:hAnsi="Arial" w:cs="Arial"/>
                <w:sz w:val="20"/>
                <w:szCs w:val="20"/>
              </w:rPr>
            </w:pPr>
            <w:r w:rsidRPr="000746B9">
              <w:rPr>
                <w:rFonts w:ascii="Arial" w:hAnsi="Arial" w:cs="Arial"/>
                <w:sz w:val="20"/>
                <w:szCs w:val="20"/>
              </w:rPr>
              <w:t>*Factors that make diagnosis and treatment of UTI particularly important in the elderly are set out in SIGN 160 (September 2020)</w:t>
            </w:r>
          </w:p>
        </w:tc>
      </w:tr>
      <w:tr w:rsidR="000746B9" w:rsidRPr="000746B9" w14:paraId="6D4DB29E" w14:textId="77777777" w:rsidTr="007C6ED4">
        <w:trPr>
          <w:trHeight w:val="282"/>
        </w:trPr>
        <w:tc>
          <w:tcPr>
            <w:tcW w:w="708" w:type="dxa"/>
          </w:tcPr>
          <w:p w14:paraId="53A6F8D0" w14:textId="0804EAF8" w:rsidR="000746B9" w:rsidRPr="000746B9" w:rsidRDefault="000746B9" w:rsidP="001E506D">
            <w:pPr>
              <w:pStyle w:val="TableText1"/>
              <w:numPr>
                <w:ilvl w:val="0"/>
                <w:numId w:val="45"/>
              </w:numPr>
              <w:rPr>
                <w:rFonts w:cs="Arial"/>
                <w:sz w:val="20"/>
                <w:szCs w:val="20"/>
              </w:rPr>
            </w:pPr>
          </w:p>
        </w:tc>
        <w:tc>
          <w:tcPr>
            <w:tcW w:w="2264" w:type="dxa"/>
          </w:tcPr>
          <w:p w14:paraId="47A41E27" w14:textId="065BAAB1" w:rsidR="000746B9" w:rsidRPr="000746B9" w:rsidRDefault="000746B9" w:rsidP="00DA217C">
            <w:pPr>
              <w:pStyle w:val="TableText1"/>
              <w:rPr>
                <w:rFonts w:cs="Arial"/>
                <w:sz w:val="20"/>
                <w:szCs w:val="20"/>
              </w:rPr>
            </w:pPr>
            <w:r w:rsidRPr="000746B9">
              <w:rPr>
                <w:rFonts w:cs="Arial"/>
                <w:sz w:val="20"/>
                <w:szCs w:val="20"/>
              </w:rPr>
              <w:t>SCM5</w:t>
            </w:r>
          </w:p>
        </w:tc>
        <w:tc>
          <w:tcPr>
            <w:tcW w:w="3588" w:type="dxa"/>
          </w:tcPr>
          <w:p w14:paraId="7E2588CB" w14:textId="77777777" w:rsidR="000746B9" w:rsidRPr="000746B9" w:rsidRDefault="000746B9" w:rsidP="00DA217C">
            <w:pPr>
              <w:pStyle w:val="TableText1"/>
              <w:rPr>
                <w:rFonts w:cs="Arial"/>
                <w:sz w:val="20"/>
                <w:szCs w:val="20"/>
              </w:rPr>
            </w:pPr>
            <w:r w:rsidRPr="000746B9">
              <w:rPr>
                <w:rFonts w:cs="Arial"/>
                <w:sz w:val="20"/>
                <w:szCs w:val="20"/>
              </w:rPr>
              <w:t>Key area for quality improvement 1</w:t>
            </w:r>
          </w:p>
          <w:p w14:paraId="00FDD0A8" w14:textId="77777777" w:rsidR="000746B9" w:rsidRPr="000746B9" w:rsidRDefault="000746B9" w:rsidP="00DA217C">
            <w:pPr>
              <w:pStyle w:val="TableText1"/>
              <w:rPr>
                <w:rFonts w:cs="Arial"/>
                <w:sz w:val="20"/>
                <w:szCs w:val="20"/>
              </w:rPr>
            </w:pPr>
          </w:p>
          <w:p w14:paraId="243A68B7" w14:textId="77777777" w:rsidR="000746B9" w:rsidRPr="000746B9" w:rsidRDefault="000746B9" w:rsidP="00DA217C">
            <w:pPr>
              <w:pStyle w:val="TableText1"/>
              <w:rPr>
                <w:rFonts w:cs="Arial"/>
                <w:sz w:val="20"/>
                <w:szCs w:val="20"/>
              </w:rPr>
            </w:pPr>
            <w:r w:rsidRPr="000746B9">
              <w:rPr>
                <w:rFonts w:cs="Arial"/>
                <w:sz w:val="20"/>
                <w:szCs w:val="20"/>
              </w:rPr>
              <w:t>In people with urinary symptoms ask about vaginal discharge and irritation</w:t>
            </w:r>
          </w:p>
        </w:tc>
        <w:tc>
          <w:tcPr>
            <w:tcW w:w="4350" w:type="dxa"/>
          </w:tcPr>
          <w:p w14:paraId="6FD00A59" w14:textId="77777777" w:rsidR="000746B9" w:rsidRPr="000746B9" w:rsidRDefault="000746B9" w:rsidP="00DA217C">
            <w:pPr>
              <w:pStyle w:val="TableText1"/>
              <w:rPr>
                <w:rFonts w:cs="Arial"/>
                <w:sz w:val="20"/>
                <w:szCs w:val="20"/>
              </w:rPr>
            </w:pPr>
            <w:proofErr w:type="gramStart"/>
            <w:r w:rsidRPr="000746B9">
              <w:rPr>
                <w:rFonts w:cs="Arial"/>
                <w:sz w:val="20"/>
                <w:szCs w:val="20"/>
              </w:rPr>
              <w:t>Small  practice</w:t>
            </w:r>
            <w:proofErr w:type="gramEnd"/>
            <w:r w:rsidRPr="000746B9">
              <w:rPr>
                <w:rFonts w:cs="Arial"/>
                <w:sz w:val="20"/>
                <w:szCs w:val="20"/>
              </w:rPr>
              <w:t xml:space="preserve"> audit &amp; experience suggests this is not uniformly asked/recorded</w:t>
            </w:r>
          </w:p>
          <w:p w14:paraId="1B29E3D2" w14:textId="77777777" w:rsidR="000746B9" w:rsidRPr="000746B9" w:rsidRDefault="000746B9" w:rsidP="00DA217C">
            <w:pPr>
              <w:pStyle w:val="TableText1"/>
              <w:rPr>
                <w:rFonts w:cs="Arial"/>
                <w:sz w:val="20"/>
                <w:szCs w:val="20"/>
              </w:rPr>
            </w:pPr>
          </w:p>
          <w:p w14:paraId="3115A550" w14:textId="77777777" w:rsidR="000746B9" w:rsidRPr="000746B9" w:rsidRDefault="000746B9" w:rsidP="00DA217C">
            <w:pPr>
              <w:pStyle w:val="TableText1"/>
              <w:rPr>
                <w:rFonts w:cs="Arial"/>
                <w:sz w:val="20"/>
                <w:szCs w:val="20"/>
              </w:rPr>
            </w:pPr>
            <w:r w:rsidRPr="000746B9">
              <w:rPr>
                <w:rFonts w:cs="Arial"/>
                <w:sz w:val="20"/>
                <w:szCs w:val="20"/>
              </w:rPr>
              <w:t>Risk of incorrect diagnosis and treatment</w:t>
            </w:r>
          </w:p>
          <w:p w14:paraId="2673C67B" w14:textId="77777777" w:rsidR="000746B9" w:rsidRPr="000746B9" w:rsidRDefault="000746B9" w:rsidP="00DA217C">
            <w:pPr>
              <w:pStyle w:val="TableText1"/>
              <w:rPr>
                <w:rFonts w:cs="Arial"/>
                <w:sz w:val="20"/>
                <w:szCs w:val="20"/>
              </w:rPr>
            </w:pPr>
            <w:r w:rsidRPr="000746B9">
              <w:rPr>
                <w:rFonts w:cs="Arial"/>
                <w:sz w:val="20"/>
                <w:szCs w:val="20"/>
              </w:rPr>
              <w:t xml:space="preserve">People who are uncomfortable passing urine </w:t>
            </w:r>
            <w:proofErr w:type="gramStart"/>
            <w:r w:rsidRPr="000746B9">
              <w:rPr>
                <w:rFonts w:cs="Arial"/>
                <w:sz w:val="20"/>
                <w:szCs w:val="20"/>
              </w:rPr>
              <w:t>( dysuria</w:t>
            </w:r>
            <w:proofErr w:type="gramEnd"/>
            <w:r w:rsidRPr="000746B9">
              <w:rPr>
                <w:rFonts w:cs="Arial"/>
                <w:sz w:val="20"/>
                <w:szCs w:val="20"/>
              </w:rPr>
              <w:t xml:space="preserve">) may not volunteer that they have a rash ‘down below’ that could be causing the discomfort, or that they are at risk of sexually transmitted infection (STI). </w:t>
            </w:r>
          </w:p>
          <w:p w14:paraId="42921D0C" w14:textId="77777777" w:rsidR="000746B9" w:rsidRPr="000746B9" w:rsidRDefault="000746B9" w:rsidP="00DA217C">
            <w:pPr>
              <w:pStyle w:val="TableText1"/>
              <w:rPr>
                <w:rFonts w:cs="Arial"/>
                <w:sz w:val="20"/>
                <w:szCs w:val="20"/>
              </w:rPr>
            </w:pPr>
          </w:p>
          <w:p w14:paraId="7A713052" w14:textId="77777777" w:rsidR="000746B9" w:rsidRPr="000746B9" w:rsidRDefault="000746B9" w:rsidP="00DA217C">
            <w:pPr>
              <w:pStyle w:val="TableText1"/>
              <w:rPr>
                <w:rFonts w:cs="Arial"/>
                <w:sz w:val="20"/>
                <w:szCs w:val="20"/>
              </w:rPr>
            </w:pPr>
          </w:p>
          <w:p w14:paraId="6357A742" w14:textId="77777777" w:rsidR="000746B9" w:rsidRPr="000746B9" w:rsidRDefault="000746B9" w:rsidP="00DA217C">
            <w:pPr>
              <w:pStyle w:val="TableText1"/>
              <w:rPr>
                <w:rFonts w:cs="Arial"/>
                <w:sz w:val="20"/>
                <w:szCs w:val="20"/>
              </w:rPr>
            </w:pPr>
            <w:r w:rsidRPr="000746B9">
              <w:rPr>
                <w:rFonts w:cs="Arial"/>
                <w:sz w:val="20"/>
                <w:szCs w:val="20"/>
              </w:rPr>
              <w:t xml:space="preserve">Missed STI can lead to pelvic inflammation and fertility problems </w:t>
            </w:r>
          </w:p>
          <w:p w14:paraId="34B8775A" w14:textId="77777777" w:rsidR="000746B9" w:rsidRPr="000746B9" w:rsidRDefault="000746B9" w:rsidP="00DA217C">
            <w:pPr>
              <w:pStyle w:val="TableText1"/>
              <w:rPr>
                <w:rFonts w:cs="Arial"/>
                <w:sz w:val="20"/>
                <w:szCs w:val="20"/>
              </w:rPr>
            </w:pPr>
            <w:r w:rsidRPr="000746B9">
              <w:rPr>
                <w:rFonts w:cs="Arial"/>
                <w:sz w:val="20"/>
                <w:szCs w:val="20"/>
              </w:rPr>
              <w:t>Inappropriate antibiotic use risks antimicrobial resistance</w:t>
            </w:r>
          </w:p>
        </w:tc>
        <w:tc>
          <w:tcPr>
            <w:tcW w:w="3769" w:type="dxa"/>
          </w:tcPr>
          <w:p w14:paraId="23C79283" w14:textId="77777777" w:rsidR="000746B9" w:rsidRPr="000746B9" w:rsidRDefault="000746B9" w:rsidP="00DA217C">
            <w:pPr>
              <w:pStyle w:val="TableText1"/>
              <w:rPr>
                <w:rFonts w:cs="Arial"/>
                <w:sz w:val="20"/>
                <w:szCs w:val="20"/>
              </w:rPr>
            </w:pPr>
            <w:r w:rsidRPr="000746B9">
              <w:rPr>
                <w:rFonts w:cs="Arial"/>
                <w:sz w:val="20"/>
                <w:szCs w:val="20"/>
              </w:rPr>
              <w:t>SIGN 160 (Women under 65yrs)</w:t>
            </w:r>
          </w:p>
          <w:p w14:paraId="3A4C64C3" w14:textId="77777777" w:rsidR="000746B9" w:rsidRPr="000746B9" w:rsidRDefault="000746B9" w:rsidP="00DA217C">
            <w:pPr>
              <w:pStyle w:val="TableText1"/>
              <w:rPr>
                <w:rFonts w:cs="Arial"/>
                <w:sz w:val="20"/>
                <w:szCs w:val="20"/>
              </w:rPr>
            </w:pPr>
            <w:r w:rsidRPr="000746B9">
              <w:rPr>
                <w:rFonts w:cs="Arial"/>
                <w:sz w:val="20"/>
                <w:szCs w:val="20"/>
              </w:rPr>
              <w:t xml:space="preserve">PHE (2020) Diagnosis of urinary tract infections: Quick reference tool for primary care </w:t>
            </w:r>
          </w:p>
          <w:p w14:paraId="1FC25705" w14:textId="77777777" w:rsidR="000746B9" w:rsidRPr="000746B9" w:rsidRDefault="000746B9" w:rsidP="00DA217C">
            <w:pPr>
              <w:pStyle w:val="TableText1"/>
              <w:rPr>
                <w:rFonts w:cs="Arial"/>
                <w:sz w:val="20"/>
                <w:szCs w:val="20"/>
              </w:rPr>
            </w:pPr>
            <w:r w:rsidRPr="000746B9">
              <w:rPr>
                <w:rFonts w:cs="Arial"/>
                <w:sz w:val="20"/>
                <w:szCs w:val="20"/>
              </w:rPr>
              <w:t xml:space="preserve">European Association of Urology (2022) </w:t>
            </w:r>
          </w:p>
          <w:p w14:paraId="7D912DE9" w14:textId="77777777" w:rsidR="000746B9" w:rsidRPr="000746B9" w:rsidRDefault="000746B9" w:rsidP="00DA217C">
            <w:pPr>
              <w:pStyle w:val="TableText1"/>
              <w:rPr>
                <w:rFonts w:cs="Arial"/>
                <w:sz w:val="20"/>
                <w:szCs w:val="20"/>
              </w:rPr>
            </w:pPr>
            <w:r w:rsidRPr="000746B9">
              <w:rPr>
                <w:rFonts w:cs="Arial"/>
                <w:sz w:val="20"/>
                <w:szCs w:val="20"/>
              </w:rPr>
              <w:t>Recommendations for the diagnostic evaluation of uncomplicated cystitis Strength rating Strong:</w:t>
            </w:r>
          </w:p>
          <w:p w14:paraId="459B2E58" w14:textId="77777777" w:rsidR="000746B9" w:rsidRPr="000746B9" w:rsidRDefault="000746B9" w:rsidP="00DA217C">
            <w:pPr>
              <w:rPr>
                <w:rFonts w:ascii="Arial" w:hAnsi="Arial" w:cs="Arial"/>
                <w:sz w:val="20"/>
                <w:szCs w:val="20"/>
              </w:rPr>
            </w:pPr>
            <w:r w:rsidRPr="000746B9">
              <w:rPr>
                <w:rFonts w:ascii="Arial" w:hAnsi="Arial" w:cs="Arial"/>
                <w:i/>
                <w:iCs/>
                <w:sz w:val="20"/>
                <w:szCs w:val="20"/>
              </w:rPr>
              <w:t xml:space="preserve">Diagnose uncomplicated cystitis in women who have no other risk factors for complicated urinary tract infections based on: • a focused history of lower urinary tract symptoms (dysuria, </w:t>
            </w:r>
            <w:proofErr w:type="gramStart"/>
            <w:r w:rsidRPr="000746B9">
              <w:rPr>
                <w:rFonts w:ascii="Arial" w:hAnsi="Arial" w:cs="Arial"/>
                <w:i/>
                <w:iCs/>
                <w:sz w:val="20"/>
                <w:szCs w:val="20"/>
              </w:rPr>
              <w:t>frequency</w:t>
            </w:r>
            <w:proofErr w:type="gramEnd"/>
            <w:r w:rsidRPr="000746B9">
              <w:rPr>
                <w:rFonts w:ascii="Arial" w:hAnsi="Arial" w:cs="Arial"/>
                <w:i/>
                <w:iCs/>
                <w:sz w:val="20"/>
                <w:szCs w:val="20"/>
              </w:rPr>
              <w:t xml:space="preserve"> and urgency); • the absence of vaginal discharge or irritation</w:t>
            </w:r>
            <w:r w:rsidRPr="000746B9">
              <w:rPr>
                <w:rFonts w:ascii="Arial" w:hAnsi="Arial" w:cs="Arial"/>
                <w:sz w:val="20"/>
                <w:szCs w:val="20"/>
              </w:rPr>
              <w:t>.</w:t>
            </w:r>
          </w:p>
        </w:tc>
      </w:tr>
      <w:tr w:rsidR="000746B9" w:rsidRPr="000746B9" w14:paraId="7C778229" w14:textId="77777777" w:rsidTr="007C6ED4">
        <w:trPr>
          <w:trHeight w:val="282"/>
        </w:trPr>
        <w:tc>
          <w:tcPr>
            <w:tcW w:w="708" w:type="dxa"/>
          </w:tcPr>
          <w:p w14:paraId="58CA50A2" w14:textId="3FB6D5E7" w:rsidR="000746B9" w:rsidRPr="000746B9" w:rsidRDefault="000746B9" w:rsidP="001E506D">
            <w:pPr>
              <w:pStyle w:val="TableText1"/>
              <w:numPr>
                <w:ilvl w:val="0"/>
                <w:numId w:val="45"/>
              </w:numPr>
              <w:rPr>
                <w:rFonts w:cs="Arial"/>
                <w:sz w:val="20"/>
                <w:szCs w:val="20"/>
              </w:rPr>
            </w:pPr>
          </w:p>
        </w:tc>
        <w:tc>
          <w:tcPr>
            <w:tcW w:w="2264" w:type="dxa"/>
          </w:tcPr>
          <w:p w14:paraId="64842CCB" w14:textId="05B00EBD" w:rsidR="000746B9" w:rsidRPr="000746B9" w:rsidRDefault="000746B9" w:rsidP="00DA217C">
            <w:pPr>
              <w:pStyle w:val="TableText1"/>
              <w:rPr>
                <w:rFonts w:cs="Arial"/>
                <w:sz w:val="20"/>
                <w:szCs w:val="20"/>
              </w:rPr>
            </w:pPr>
            <w:r w:rsidRPr="000746B9">
              <w:rPr>
                <w:rFonts w:cs="Arial"/>
                <w:sz w:val="20"/>
                <w:szCs w:val="20"/>
              </w:rPr>
              <w:t>SCM5</w:t>
            </w:r>
          </w:p>
        </w:tc>
        <w:tc>
          <w:tcPr>
            <w:tcW w:w="3588" w:type="dxa"/>
          </w:tcPr>
          <w:p w14:paraId="3DB74EB3" w14:textId="77777777" w:rsidR="000746B9" w:rsidRPr="000746B9" w:rsidRDefault="000746B9" w:rsidP="00DA217C">
            <w:pPr>
              <w:pStyle w:val="TableText1"/>
              <w:rPr>
                <w:rFonts w:cs="Arial"/>
                <w:sz w:val="20"/>
                <w:szCs w:val="20"/>
              </w:rPr>
            </w:pPr>
            <w:r w:rsidRPr="000746B9">
              <w:rPr>
                <w:rFonts w:cs="Arial"/>
                <w:sz w:val="20"/>
                <w:szCs w:val="20"/>
              </w:rPr>
              <w:t>Key area for quality improvement 3</w:t>
            </w:r>
          </w:p>
          <w:p w14:paraId="3C52F288" w14:textId="77777777" w:rsidR="000746B9" w:rsidRPr="000746B9" w:rsidRDefault="000746B9" w:rsidP="00DA217C">
            <w:pPr>
              <w:pStyle w:val="TableText1"/>
              <w:rPr>
                <w:rFonts w:cs="Arial"/>
                <w:sz w:val="20"/>
                <w:szCs w:val="20"/>
              </w:rPr>
            </w:pPr>
          </w:p>
          <w:p w14:paraId="552F2C83" w14:textId="77777777" w:rsidR="000746B9" w:rsidRPr="000746B9" w:rsidRDefault="000746B9" w:rsidP="00DA217C">
            <w:pPr>
              <w:pStyle w:val="TableText1"/>
              <w:rPr>
                <w:rFonts w:cs="Arial"/>
                <w:sz w:val="20"/>
                <w:szCs w:val="20"/>
              </w:rPr>
            </w:pPr>
            <w:r w:rsidRPr="000746B9">
              <w:rPr>
                <w:rFonts w:cs="Arial"/>
                <w:sz w:val="20"/>
                <w:szCs w:val="20"/>
              </w:rPr>
              <w:t xml:space="preserve">A person presenting with urinary symptoms is assessed for risk of serious illness – sepsis or pyelonephritis    </w:t>
            </w:r>
          </w:p>
          <w:p w14:paraId="0DCB8704" w14:textId="77777777" w:rsidR="000746B9" w:rsidRPr="000746B9" w:rsidRDefault="000746B9" w:rsidP="00DA217C">
            <w:pPr>
              <w:pStyle w:val="TableText1"/>
              <w:rPr>
                <w:rFonts w:cs="Arial"/>
                <w:sz w:val="20"/>
                <w:szCs w:val="20"/>
              </w:rPr>
            </w:pPr>
          </w:p>
        </w:tc>
        <w:tc>
          <w:tcPr>
            <w:tcW w:w="4350" w:type="dxa"/>
          </w:tcPr>
          <w:p w14:paraId="54076DBB" w14:textId="77777777" w:rsidR="000746B9" w:rsidRPr="000746B9" w:rsidRDefault="000746B9" w:rsidP="00DA217C">
            <w:pPr>
              <w:pStyle w:val="TableText1"/>
              <w:rPr>
                <w:rFonts w:cs="Arial"/>
                <w:sz w:val="20"/>
                <w:szCs w:val="20"/>
              </w:rPr>
            </w:pPr>
            <w:r w:rsidRPr="000746B9">
              <w:rPr>
                <w:rFonts w:cs="Arial"/>
                <w:sz w:val="20"/>
                <w:szCs w:val="20"/>
              </w:rPr>
              <w:t xml:space="preserve">People can leave samples at practice reception. It requires good systems to ensure that the person’s </w:t>
            </w:r>
            <w:proofErr w:type="gramStart"/>
            <w:r w:rsidRPr="000746B9">
              <w:rPr>
                <w:rFonts w:cs="Arial"/>
                <w:sz w:val="20"/>
                <w:szCs w:val="20"/>
              </w:rPr>
              <w:t>past history</w:t>
            </w:r>
            <w:proofErr w:type="gramEnd"/>
            <w:r w:rsidRPr="000746B9">
              <w:rPr>
                <w:rFonts w:cs="Arial"/>
                <w:sz w:val="20"/>
                <w:szCs w:val="20"/>
              </w:rPr>
              <w:t xml:space="preserve"> of UTI and symptoms and signs are checked. This supports correct antibiotic choice and course length.</w:t>
            </w:r>
          </w:p>
          <w:p w14:paraId="3C099180" w14:textId="77777777" w:rsidR="000746B9" w:rsidRPr="000746B9" w:rsidRDefault="000746B9" w:rsidP="00DA217C">
            <w:pPr>
              <w:pStyle w:val="TableText1"/>
              <w:rPr>
                <w:rFonts w:cs="Arial"/>
                <w:sz w:val="20"/>
                <w:szCs w:val="20"/>
              </w:rPr>
            </w:pPr>
          </w:p>
          <w:p w14:paraId="561FAAEC" w14:textId="77777777" w:rsidR="000746B9" w:rsidRPr="000746B9" w:rsidRDefault="000746B9" w:rsidP="00DA217C">
            <w:pPr>
              <w:pStyle w:val="TableText1"/>
              <w:rPr>
                <w:rFonts w:cs="Arial"/>
                <w:sz w:val="20"/>
                <w:szCs w:val="20"/>
              </w:rPr>
            </w:pPr>
            <w:r w:rsidRPr="000746B9">
              <w:rPr>
                <w:rFonts w:cs="Arial"/>
                <w:sz w:val="20"/>
                <w:szCs w:val="20"/>
              </w:rPr>
              <w:t xml:space="preserve">People with urinary symptoms should be assessed to establish whether this is likely to be an upper or lower </w:t>
            </w:r>
            <w:proofErr w:type="gramStart"/>
            <w:r w:rsidRPr="000746B9">
              <w:rPr>
                <w:rFonts w:cs="Arial"/>
                <w:sz w:val="20"/>
                <w:szCs w:val="20"/>
              </w:rPr>
              <w:t>UTI  and</w:t>
            </w:r>
            <w:proofErr w:type="gramEnd"/>
            <w:r w:rsidRPr="000746B9">
              <w:rPr>
                <w:rFonts w:cs="Arial"/>
                <w:sz w:val="20"/>
                <w:szCs w:val="20"/>
              </w:rPr>
              <w:t xml:space="preserve"> whether they have symptoms/signs  of serious illness/sepsis. This may not necessarily be face to face currently but can be established by asking about home recorded temperature, presence/absence of flu-like symptoms/ malaise/systemic upset</w:t>
            </w:r>
          </w:p>
        </w:tc>
        <w:tc>
          <w:tcPr>
            <w:tcW w:w="3769" w:type="dxa"/>
          </w:tcPr>
          <w:p w14:paraId="17ED0E42" w14:textId="77777777" w:rsidR="000746B9" w:rsidRPr="000746B9" w:rsidRDefault="000746B9" w:rsidP="00DA217C">
            <w:pPr>
              <w:pStyle w:val="TableText1"/>
              <w:rPr>
                <w:rFonts w:cs="Arial"/>
                <w:sz w:val="20"/>
                <w:szCs w:val="20"/>
              </w:rPr>
            </w:pPr>
            <w:r w:rsidRPr="000746B9">
              <w:rPr>
                <w:rFonts w:cs="Arial"/>
                <w:sz w:val="20"/>
                <w:szCs w:val="20"/>
              </w:rPr>
              <w:t>PHE Diagnosis of urinary tract infections:</w:t>
            </w:r>
          </w:p>
          <w:p w14:paraId="7C48AA60" w14:textId="77777777" w:rsidR="000746B9" w:rsidRPr="000746B9" w:rsidRDefault="000746B9" w:rsidP="00DA217C">
            <w:pPr>
              <w:pStyle w:val="TableText1"/>
              <w:rPr>
                <w:rFonts w:cs="Arial"/>
                <w:sz w:val="20"/>
                <w:szCs w:val="20"/>
              </w:rPr>
            </w:pPr>
            <w:r w:rsidRPr="000746B9">
              <w:rPr>
                <w:rFonts w:cs="Arial"/>
                <w:sz w:val="20"/>
                <w:szCs w:val="20"/>
              </w:rPr>
              <w:t xml:space="preserve">Quick reference tool for primary care </w:t>
            </w:r>
          </w:p>
          <w:p w14:paraId="0ABD321E" w14:textId="77777777" w:rsidR="000746B9" w:rsidRPr="000746B9" w:rsidRDefault="000746B9" w:rsidP="00DA217C">
            <w:pPr>
              <w:pStyle w:val="TableText1"/>
              <w:rPr>
                <w:rFonts w:cs="Arial"/>
                <w:sz w:val="20"/>
                <w:szCs w:val="20"/>
              </w:rPr>
            </w:pPr>
            <w:r w:rsidRPr="000746B9">
              <w:rPr>
                <w:rFonts w:cs="Arial"/>
                <w:sz w:val="20"/>
                <w:szCs w:val="20"/>
              </w:rPr>
              <w:t>PHE/RCGP/TARGET UTI audits state, “</w:t>
            </w:r>
          </w:p>
          <w:p w14:paraId="17386B83" w14:textId="77777777" w:rsidR="000746B9" w:rsidRPr="000746B9" w:rsidRDefault="000746B9" w:rsidP="00DA217C">
            <w:pPr>
              <w:pStyle w:val="TableText1"/>
              <w:rPr>
                <w:rFonts w:cs="Arial"/>
                <w:i/>
                <w:iCs/>
                <w:sz w:val="20"/>
                <w:szCs w:val="20"/>
              </w:rPr>
            </w:pPr>
            <w:r w:rsidRPr="000746B9">
              <w:rPr>
                <w:rFonts w:cs="Arial"/>
                <w:i/>
                <w:iCs/>
                <w:sz w:val="20"/>
                <w:szCs w:val="20"/>
              </w:rPr>
              <w:t>Sepsis considered (</w:t>
            </w:r>
            <w:proofErr w:type="gramStart"/>
            <w:r w:rsidRPr="000746B9">
              <w:rPr>
                <w:rFonts w:cs="Arial"/>
                <w:i/>
                <w:iCs/>
                <w:sz w:val="20"/>
                <w:szCs w:val="20"/>
              </w:rPr>
              <w:t>e.g.</w:t>
            </w:r>
            <w:proofErr w:type="gramEnd"/>
            <w:r w:rsidRPr="000746B9">
              <w:rPr>
                <w:rFonts w:cs="Arial"/>
                <w:i/>
                <w:iCs/>
                <w:sz w:val="20"/>
                <w:szCs w:val="20"/>
              </w:rPr>
              <w:t xml:space="preserve"> notes contain mention of temperature, heart rate, respiratory rate or BP). </w:t>
            </w:r>
          </w:p>
          <w:p w14:paraId="6A81466C" w14:textId="77777777" w:rsidR="000746B9" w:rsidRPr="000746B9" w:rsidRDefault="000746B9" w:rsidP="00DA217C">
            <w:pPr>
              <w:rPr>
                <w:rFonts w:ascii="Arial" w:hAnsi="Arial" w:cs="Arial"/>
                <w:sz w:val="20"/>
                <w:szCs w:val="20"/>
              </w:rPr>
            </w:pPr>
            <w:r w:rsidRPr="000746B9">
              <w:rPr>
                <w:rFonts w:ascii="Arial" w:hAnsi="Arial" w:cs="Arial"/>
                <w:i/>
                <w:iCs/>
                <w:sz w:val="20"/>
                <w:szCs w:val="20"/>
              </w:rPr>
              <w:t>Pyelonephritis considered (</w:t>
            </w:r>
            <w:proofErr w:type="gramStart"/>
            <w:r w:rsidRPr="000746B9">
              <w:rPr>
                <w:rFonts w:ascii="Arial" w:hAnsi="Arial" w:cs="Arial"/>
                <w:i/>
                <w:iCs/>
                <w:sz w:val="20"/>
                <w:szCs w:val="20"/>
              </w:rPr>
              <w:t>e.g.</w:t>
            </w:r>
            <w:proofErr w:type="gramEnd"/>
            <w:r w:rsidRPr="000746B9">
              <w:rPr>
                <w:rFonts w:ascii="Arial" w:hAnsi="Arial" w:cs="Arial"/>
                <w:i/>
                <w:iCs/>
                <w:sz w:val="20"/>
                <w:szCs w:val="20"/>
              </w:rPr>
              <w:t xml:space="preserve"> notes mention absence of fever, chills, flank pain/tenderness)</w:t>
            </w:r>
          </w:p>
        </w:tc>
      </w:tr>
      <w:tr w:rsidR="000746B9" w:rsidRPr="000746B9" w14:paraId="29BDC87B" w14:textId="77777777" w:rsidTr="007C6ED4">
        <w:trPr>
          <w:trHeight w:val="282"/>
        </w:trPr>
        <w:tc>
          <w:tcPr>
            <w:tcW w:w="708" w:type="dxa"/>
          </w:tcPr>
          <w:p w14:paraId="0FC95270" w14:textId="6438E664" w:rsidR="000746B9" w:rsidRPr="000746B9" w:rsidRDefault="000746B9" w:rsidP="001E506D">
            <w:pPr>
              <w:pStyle w:val="TableText1"/>
              <w:numPr>
                <w:ilvl w:val="0"/>
                <w:numId w:val="45"/>
              </w:numPr>
              <w:rPr>
                <w:rFonts w:cs="Arial"/>
                <w:sz w:val="20"/>
                <w:szCs w:val="20"/>
              </w:rPr>
            </w:pPr>
          </w:p>
        </w:tc>
        <w:tc>
          <w:tcPr>
            <w:tcW w:w="2264" w:type="dxa"/>
          </w:tcPr>
          <w:p w14:paraId="396C49C3" w14:textId="4E32123F" w:rsidR="000746B9" w:rsidRPr="000746B9" w:rsidRDefault="000746B9" w:rsidP="00DA217C">
            <w:pPr>
              <w:pStyle w:val="TableText1"/>
              <w:rPr>
                <w:rFonts w:cs="Arial"/>
                <w:sz w:val="20"/>
                <w:szCs w:val="20"/>
              </w:rPr>
            </w:pPr>
            <w:r w:rsidRPr="000746B9">
              <w:rPr>
                <w:rFonts w:cs="Arial"/>
                <w:sz w:val="20"/>
                <w:szCs w:val="20"/>
              </w:rPr>
              <w:t>SCM5</w:t>
            </w:r>
          </w:p>
        </w:tc>
        <w:tc>
          <w:tcPr>
            <w:tcW w:w="3588" w:type="dxa"/>
          </w:tcPr>
          <w:p w14:paraId="0A5684BA" w14:textId="77777777" w:rsidR="000746B9" w:rsidRPr="000746B9" w:rsidRDefault="000746B9" w:rsidP="00DA217C">
            <w:pPr>
              <w:pStyle w:val="TableText1"/>
              <w:rPr>
                <w:rFonts w:cs="Arial"/>
                <w:sz w:val="20"/>
                <w:szCs w:val="20"/>
              </w:rPr>
            </w:pPr>
            <w:r w:rsidRPr="000746B9">
              <w:rPr>
                <w:rFonts w:cs="Arial"/>
                <w:sz w:val="20"/>
                <w:szCs w:val="20"/>
              </w:rPr>
              <w:t>Key area for quality improvement 5</w:t>
            </w:r>
          </w:p>
          <w:p w14:paraId="342E809A" w14:textId="77777777" w:rsidR="000746B9" w:rsidRPr="000746B9" w:rsidRDefault="000746B9" w:rsidP="00DA217C">
            <w:pPr>
              <w:pStyle w:val="TableText1"/>
              <w:rPr>
                <w:rFonts w:cs="Arial"/>
                <w:sz w:val="20"/>
                <w:szCs w:val="20"/>
              </w:rPr>
            </w:pPr>
          </w:p>
          <w:p w14:paraId="77087426" w14:textId="77777777" w:rsidR="000746B9" w:rsidRPr="000746B9" w:rsidRDefault="000746B9" w:rsidP="00DA217C">
            <w:pPr>
              <w:pStyle w:val="TableText1"/>
              <w:rPr>
                <w:rFonts w:cs="Arial"/>
                <w:sz w:val="20"/>
                <w:szCs w:val="20"/>
              </w:rPr>
            </w:pPr>
            <w:r w:rsidRPr="000746B9">
              <w:rPr>
                <w:rFonts w:cs="Arial"/>
                <w:sz w:val="20"/>
                <w:szCs w:val="20"/>
              </w:rPr>
              <w:t>UTI in people with catheters</w:t>
            </w:r>
          </w:p>
          <w:p w14:paraId="1A5CDEB4" w14:textId="77777777" w:rsidR="000746B9" w:rsidRPr="000746B9" w:rsidRDefault="000746B9" w:rsidP="007C6ED4">
            <w:pPr>
              <w:pStyle w:val="TableText1"/>
              <w:numPr>
                <w:ilvl w:val="0"/>
                <w:numId w:val="36"/>
              </w:numPr>
              <w:rPr>
                <w:rFonts w:cs="Arial"/>
                <w:i/>
                <w:iCs/>
                <w:sz w:val="20"/>
                <w:szCs w:val="20"/>
              </w:rPr>
            </w:pPr>
            <w:r w:rsidRPr="000746B9">
              <w:rPr>
                <w:rFonts w:cs="Arial"/>
                <w:i/>
                <w:iCs/>
                <w:sz w:val="20"/>
                <w:szCs w:val="20"/>
              </w:rPr>
              <w:lastRenderedPageBreak/>
              <w:t>Diagnosis excludes use of urine dipstick in people in … all catheter associated UTI (CAUTI)</w:t>
            </w:r>
          </w:p>
          <w:p w14:paraId="77D84D78" w14:textId="77777777" w:rsidR="000746B9" w:rsidRPr="000746B9" w:rsidRDefault="000746B9" w:rsidP="007C6ED4">
            <w:pPr>
              <w:pStyle w:val="TableText1"/>
              <w:numPr>
                <w:ilvl w:val="0"/>
                <w:numId w:val="36"/>
              </w:numPr>
              <w:rPr>
                <w:rFonts w:cs="Arial"/>
                <w:i/>
                <w:iCs/>
                <w:sz w:val="20"/>
                <w:szCs w:val="20"/>
              </w:rPr>
            </w:pPr>
            <w:r w:rsidRPr="000746B9">
              <w:rPr>
                <w:rFonts w:cs="Arial"/>
                <w:i/>
                <w:iCs/>
                <w:sz w:val="20"/>
                <w:szCs w:val="20"/>
              </w:rPr>
              <w:t>Clinical signs and symptoms compatible with CA-UTI should be used to diagnose infection</w:t>
            </w:r>
          </w:p>
          <w:p w14:paraId="4020E9A2" w14:textId="77777777" w:rsidR="000746B9" w:rsidRPr="000746B9" w:rsidRDefault="000746B9" w:rsidP="00DA217C">
            <w:pPr>
              <w:pStyle w:val="TableText1"/>
              <w:ind w:left="720"/>
              <w:rPr>
                <w:rFonts w:cs="Arial"/>
                <w:i/>
                <w:iCs/>
                <w:sz w:val="20"/>
                <w:szCs w:val="20"/>
              </w:rPr>
            </w:pPr>
            <w:r w:rsidRPr="000746B9">
              <w:rPr>
                <w:rFonts w:cs="Arial"/>
                <w:i/>
                <w:iCs/>
                <w:sz w:val="20"/>
                <w:szCs w:val="20"/>
              </w:rPr>
              <w:t>in catheterised patients with urine culture and sensitivity testing employed to confirm the</w:t>
            </w:r>
          </w:p>
          <w:p w14:paraId="49AFBB33" w14:textId="77777777" w:rsidR="000746B9" w:rsidRPr="000746B9" w:rsidRDefault="000746B9" w:rsidP="00DA217C">
            <w:pPr>
              <w:pStyle w:val="TableText1"/>
              <w:ind w:left="720"/>
              <w:rPr>
                <w:rFonts w:cs="Arial"/>
                <w:sz w:val="20"/>
                <w:szCs w:val="20"/>
              </w:rPr>
            </w:pPr>
            <w:r w:rsidRPr="000746B9">
              <w:rPr>
                <w:rFonts w:cs="Arial"/>
                <w:i/>
                <w:iCs/>
                <w:sz w:val="20"/>
                <w:szCs w:val="20"/>
              </w:rPr>
              <w:t>diagnosis and pathogen</w:t>
            </w:r>
            <w:r w:rsidRPr="000746B9">
              <w:rPr>
                <w:rFonts w:cs="Arial"/>
                <w:sz w:val="20"/>
                <w:szCs w:val="20"/>
              </w:rPr>
              <w:t>.</w:t>
            </w:r>
          </w:p>
          <w:p w14:paraId="75AD7B13" w14:textId="77777777" w:rsidR="000746B9" w:rsidRPr="000746B9" w:rsidRDefault="000746B9" w:rsidP="00DA217C">
            <w:pPr>
              <w:pStyle w:val="TableText1"/>
              <w:rPr>
                <w:rFonts w:cs="Arial"/>
                <w:sz w:val="20"/>
                <w:szCs w:val="20"/>
              </w:rPr>
            </w:pPr>
          </w:p>
        </w:tc>
        <w:tc>
          <w:tcPr>
            <w:tcW w:w="4350" w:type="dxa"/>
          </w:tcPr>
          <w:p w14:paraId="1B578928" w14:textId="77777777" w:rsidR="000746B9" w:rsidRPr="000746B9" w:rsidRDefault="000746B9" w:rsidP="00DA217C">
            <w:pPr>
              <w:pStyle w:val="TableText1"/>
              <w:rPr>
                <w:rFonts w:cs="Arial"/>
                <w:sz w:val="20"/>
                <w:szCs w:val="20"/>
              </w:rPr>
            </w:pPr>
            <w:r w:rsidRPr="000746B9">
              <w:rPr>
                <w:rFonts w:cs="Arial"/>
                <w:sz w:val="20"/>
                <w:szCs w:val="20"/>
              </w:rPr>
              <w:lastRenderedPageBreak/>
              <w:t xml:space="preserve">Focus is on not dip-testing people with urinary catheters. (Evidence regarding use of </w:t>
            </w:r>
            <w:proofErr w:type="gramStart"/>
            <w:r w:rsidRPr="000746B9">
              <w:rPr>
                <w:rFonts w:cs="Arial"/>
                <w:sz w:val="20"/>
                <w:szCs w:val="20"/>
              </w:rPr>
              <w:t>dip-sticks</w:t>
            </w:r>
            <w:proofErr w:type="gramEnd"/>
            <w:r w:rsidRPr="000746B9">
              <w:rPr>
                <w:rFonts w:cs="Arial"/>
                <w:sz w:val="20"/>
                <w:szCs w:val="20"/>
              </w:rPr>
              <w:t xml:space="preserve"> for people over 65yrs is less certain and </w:t>
            </w:r>
            <w:r w:rsidRPr="000746B9">
              <w:rPr>
                <w:rFonts w:cs="Arial"/>
                <w:sz w:val="20"/>
                <w:szCs w:val="20"/>
              </w:rPr>
              <w:lastRenderedPageBreak/>
              <w:t>the evidence relates to people in institutions/frailty)</w:t>
            </w:r>
          </w:p>
          <w:p w14:paraId="083583C0" w14:textId="77777777" w:rsidR="000746B9" w:rsidRPr="000746B9" w:rsidRDefault="000746B9" w:rsidP="00DA217C">
            <w:pPr>
              <w:pStyle w:val="TableText1"/>
              <w:rPr>
                <w:rFonts w:cs="Arial"/>
                <w:sz w:val="20"/>
                <w:szCs w:val="20"/>
              </w:rPr>
            </w:pPr>
          </w:p>
          <w:p w14:paraId="080C036B" w14:textId="77777777" w:rsidR="000746B9" w:rsidRPr="000746B9" w:rsidRDefault="000746B9" w:rsidP="00DA217C">
            <w:pPr>
              <w:pStyle w:val="TableText1"/>
              <w:rPr>
                <w:rFonts w:cs="Arial"/>
                <w:sz w:val="20"/>
                <w:szCs w:val="20"/>
              </w:rPr>
            </w:pPr>
            <w:r w:rsidRPr="000746B9">
              <w:rPr>
                <w:rFonts w:cs="Arial"/>
                <w:sz w:val="20"/>
                <w:szCs w:val="20"/>
              </w:rPr>
              <w:t xml:space="preserve">Wales UTI QAIF pilot 2019– there was some use of dipsticks to diagnose UTI in people with </w:t>
            </w:r>
            <w:proofErr w:type="gramStart"/>
            <w:r w:rsidRPr="000746B9">
              <w:rPr>
                <w:rFonts w:cs="Arial"/>
                <w:sz w:val="20"/>
                <w:szCs w:val="20"/>
              </w:rPr>
              <w:t>catheters  and</w:t>
            </w:r>
            <w:proofErr w:type="gramEnd"/>
            <w:r w:rsidRPr="000746B9">
              <w:rPr>
                <w:rFonts w:cs="Arial"/>
                <w:sz w:val="20"/>
                <w:szCs w:val="20"/>
              </w:rPr>
              <w:t xml:space="preserve"> this required MDT collaboration to stop.  The work also identified people who were lost to follow-up/trial without catheter. </w:t>
            </w:r>
          </w:p>
          <w:p w14:paraId="4FEBC8DB" w14:textId="77777777" w:rsidR="000746B9" w:rsidRPr="000746B9" w:rsidRDefault="000746B9" w:rsidP="00DA217C">
            <w:pPr>
              <w:pStyle w:val="TableText1"/>
              <w:rPr>
                <w:rFonts w:cs="Arial"/>
                <w:sz w:val="20"/>
                <w:szCs w:val="20"/>
              </w:rPr>
            </w:pPr>
            <w:r w:rsidRPr="000746B9">
              <w:rPr>
                <w:rFonts w:cs="Arial"/>
                <w:sz w:val="20"/>
                <w:szCs w:val="20"/>
              </w:rPr>
              <w:t>More up to date current practice data may be available.</w:t>
            </w:r>
          </w:p>
          <w:p w14:paraId="2385611D" w14:textId="77777777" w:rsidR="000746B9" w:rsidRPr="000746B9" w:rsidRDefault="000746B9" w:rsidP="00DA217C">
            <w:pPr>
              <w:pStyle w:val="TableText1"/>
              <w:rPr>
                <w:rFonts w:cs="Arial"/>
                <w:sz w:val="20"/>
                <w:szCs w:val="20"/>
              </w:rPr>
            </w:pPr>
          </w:p>
          <w:p w14:paraId="4EEB4A0F" w14:textId="77777777" w:rsidR="000746B9" w:rsidRPr="000746B9" w:rsidRDefault="000746B9" w:rsidP="00DA217C">
            <w:pPr>
              <w:pStyle w:val="TableText1"/>
              <w:rPr>
                <w:rFonts w:cs="Arial"/>
                <w:sz w:val="20"/>
                <w:szCs w:val="20"/>
              </w:rPr>
            </w:pPr>
            <w:r w:rsidRPr="000746B9">
              <w:rPr>
                <w:rFonts w:cs="Arial"/>
                <w:sz w:val="20"/>
                <w:szCs w:val="20"/>
              </w:rPr>
              <w:t xml:space="preserve">Most urinary people with urinary </w:t>
            </w:r>
            <w:proofErr w:type="gramStart"/>
            <w:r w:rsidRPr="000746B9">
              <w:rPr>
                <w:rFonts w:cs="Arial"/>
                <w:sz w:val="20"/>
                <w:szCs w:val="20"/>
              </w:rPr>
              <w:t>catheters  ,</w:t>
            </w:r>
            <w:proofErr w:type="gramEnd"/>
            <w:r w:rsidRPr="000746B9">
              <w:rPr>
                <w:rFonts w:cs="Arial"/>
                <w:sz w:val="20"/>
                <w:szCs w:val="20"/>
              </w:rPr>
              <w:t xml:space="preserve"> urine will be colonised at 1 month and therefore dip positive, but this does not equate to symptomatic urinary infection. </w:t>
            </w:r>
          </w:p>
          <w:p w14:paraId="338507F4" w14:textId="77777777" w:rsidR="000746B9" w:rsidRPr="000746B9" w:rsidRDefault="000746B9" w:rsidP="00DA217C">
            <w:pPr>
              <w:pStyle w:val="TableText1"/>
              <w:rPr>
                <w:rFonts w:cs="Arial"/>
                <w:sz w:val="20"/>
                <w:szCs w:val="20"/>
              </w:rPr>
            </w:pPr>
            <w:r w:rsidRPr="000746B9">
              <w:rPr>
                <w:rFonts w:cs="Arial"/>
                <w:sz w:val="20"/>
                <w:szCs w:val="20"/>
              </w:rPr>
              <w:t>Ensuring that people are advised of this improves their empowerment.</w:t>
            </w:r>
          </w:p>
        </w:tc>
        <w:tc>
          <w:tcPr>
            <w:tcW w:w="3769" w:type="dxa"/>
          </w:tcPr>
          <w:p w14:paraId="118EE1B4" w14:textId="77777777" w:rsidR="000746B9" w:rsidRPr="000746B9" w:rsidRDefault="000746B9" w:rsidP="00DA217C">
            <w:pPr>
              <w:pStyle w:val="TableText1"/>
              <w:rPr>
                <w:rFonts w:cs="Arial"/>
                <w:sz w:val="20"/>
                <w:szCs w:val="20"/>
              </w:rPr>
            </w:pPr>
            <w:r w:rsidRPr="000746B9">
              <w:rPr>
                <w:rFonts w:cs="Arial"/>
                <w:sz w:val="20"/>
                <w:szCs w:val="20"/>
              </w:rPr>
              <w:lastRenderedPageBreak/>
              <w:t>EAU</w:t>
            </w:r>
          </w:p>
          <w:p w14:paraId="31756380" w14:textId="77777777" w:rsidR="000746B9" w:rsidRPr="000746B9" w:rsidRDefault="000746B9" w:rsidP="00DA217C">
            <w:pPr>
              <w:pStyle w:val="TableText1"/>
              <w:rPr>
                <w:rFonts w:cs="Arial"/>
                <w:sz w:val="20"/>
                <w:szCs w:val="20"/>
              </w:rPr>
            </w:pPr>
            <w:r w:rsidRPr="000746B9">
              <w:rPr>
                <w:rFonts w:cs="Arial"/>
                <w:sz w:val="20"/>
                <w:szCs w:val="20"/>
              </w:rPr>
              <w:t xml:space="preserve">CQUIN </w:t>
            </w:r>
          </w:p>
          <w:p w14:paraId="7F76E64F" w14:textId="77777777" w:rsidR="000746B9" w:rsidRPr="000746B9" w:rsidRDefault="000746B9" w:rsidP="00DA217C">
            <w:pPr>
              <w:pStyle w:val="TableText1"/>
              <w:rPr>
                <w:rFonts w:cs="Arial"/>
                <w:sz w:val="20"/>
                <w:szCs w:val="20"/>
              </w:rPr>
            </w:pPr>
            <w:r w:rsidRPr="000746B9">
              <w:rPr>
                <w:rFonts w:cs="Arial"/>
                <w:sz w:val="20"/>
                <w:szCs w:val="20"/>
              </w:rPr>
              <w:t xml:space="preserve">Wales UTI QAIF – catheter </w:t>
            </w:r>
          </w:p>
          <w:p w14:paraId="0F6E697A" w14:textId="77777777" w:rsidR="000746B9" w:rsidRPr="000746B9" w:rsidRDefault="000746B9" w:rsidP="00DA217C">
            <w:pPr>
              <w:pStyle w:val="TableText1"/>
              <w:rPr>
                <w:rFonts w:cs="Arial"/>
                <w:sz w:val="20"/>
                <w:szCs w:val="20"/>
              </w:rPr>
            </w:pPr>
            <w:r w:rsidRPr="000746B9">
              <w:rPr>
                <w:rFonts w:cs="Arial"/>
                <w:sz w:val="20"/>
                <w:szCs w:val="20"/>
              </w:rPr>
              <w:lastRenderedPageBreak/>
              <w:t>NICE NG 113</w:t>
            </w:r>
          </w:p>
          <w:p w14:paraId="19D11BB4" w14:textId="77777777" w:rsidR="000746B9" w:rsidRPr="000746B9" w:rsidRDefault="000746B9" w:rsidP="00DA217C">
            <w:pPr>
              <w:pStyle w:val="TableText1"/>
              <w:rPr>
                <w:rFonts w:cs="Arial"/>
                <w:sz w:val="20"/>
                <w:szCs w:val="20"/>
              </w:rPr>
            </w:pPr>
            <w:r w:rsidRPr="000746B9">
              <w:rPr>
                <w:rFonts w:cs="Arial"/>
                <w:sz w:val="20"/>
                <w:szCs w:val="20"/>
              </w:rPr>
              <w:t>SIGN 160</w:t>
            </w:r>
          </w:p>
          <w:p w14:paraId="06208C94" w14:textId="77777777" w:rsidR="000746B9" w:rsidRPr="000746B9" w:rsidRDefault="000746B9" w:rsidP="00DA217C">
            <w:pPr>
              <w:rPr>
                <w:rFonts w:ascii="Arial" w:hAnsi="Arial" w:cs="Arial"/>
                <w:sz w:val="20"/>
                <w:szCs w:val="20"/>
              </w:rPr>
            </w:pPr>
          </w:p>
        </w:tc>
      </w:tr>
      <w:tr w:rsidR="000746B9" w:rsidRPr="000746B9" w14:paraId="2DA01C71" w14:textId="77777777" w:rsidTr="007C6ED4">
        <w:trPr>
          <w:trHeight w:val="282"/>
        </w:trPr>
        <w:tc>
          <w:tcPr>
            <w:tcW w:w="708" w:type="dxa"/>
          </w:tcPr>
          <w:p w14:paraId="70C0F1CB" w14:textId="75EB849C" w:rsidR="000746B9" w:rsidRPr="000746B9" w:rsidRDefault="000746B9" w:rsidP="001E506D">
            <w:pPr>
              <w:pStyle w:val="TableText1"/>
              <w:numPr>
                <w:ilvl w:val="0"/>
                <w:numId w:val="45"/>
              </w:numPr>
              <w:rPr>
                <w:rFonts w:cs="Arial"/>
                <w:sz w:val="20"/>
                <w:szCs w:val="20"/>
              </w:rPr>
            </w:pPr>
          </w:p>
        </w:tc>
        <w:tc>
          <w:tcPr>
            <w:tcW w:w="2264" w:type="dxa"/>
          </w:tcPr>
          <w:p w14:paraId="3508F427" w14:textId="77777777" w:rsidR="000746B9" w:rsidRPr="000746B9" w:rsidRDefault="000746B9" w:rsidP="00DA217C">
            <w:pPr>
              <w:pStyle w:val="TableText1"/>
              <w:rPr>
                <w:rFonts w:cs="Arial"/>
                <w:sz w:val="20"/>
                <w:szCs w:val="20"/>
              </w:rPr>
            </w:pPr>
            <w:r w:rsidRPr="000746B9">
              <w:rPr>
                <w:rFonts w:cs="Arial"/>
                <w:sz w:val="20"/>
                <w:szCs w:val="20"/>
              </w:rPr>
              <w:t>SCM6</w:t>
            </w:r>
          </w:p>
        </w:tc>
        <w:tc>
          <w:tcPr>
            <w:tcW w:w="3588" w:type="dxa"/>
          </w:tcPr>
          <w:p w14:paraId="338B5C4D" w14:textId="77777777" w:rsidR="000746B9" w:rsidRPr="000746B9" w:rsidRDefault="000746B9" w:rsidP="00DA217C">
            <w:pPr>
              <w:pStyle w:val="TableText1"/>
              <w:rPr>
                <w:rFonts w:cs="Arial"/>
                <w:sz w:val="20"/>
                <w:szCs w:val="20"/>
              </w:rPr>
            </w:pPr>
            <w:r w:rsidRPr="000746B9">
              <w:rPr>
                <w:rFonts w:cs="Arial"/>
                <w:sz w:val="20"/>
                <w:szCs w:val="20"/>
              </w:rPr>
              <w:t>Key area for quality improvement 2</w:t>
            </w:r>
          </w:p>
          <w:p w14:paraId="0460D18A" w14:textId="77777777" w:rsidR="000746B9" w:rsidRPr="000746B9" w:rsidRDefault="000746B9" w:rsidP="00DA217C">
            <w:pPr>
              <w:pStyle w:val="TableText1"/>
              <w:rPr>
                <w:rFonts w:cs="Arial"/>
                <w:sz w:val="20"/>
                <w:szCs w:val="20"/>
              </w:rPr>
            </w:pPr>
          </w:p>
          <w:p w14:paraId="11534D43" w14:textId="77777777" w:rsidR="000746B9" w:rsidRPr="000746B9" w:rsidRDefault="000746B9" w:rsidP="00DA217C">
            <w:pPr>
              <w:pStyle w:val="TableText1"/>
              <w:rPr>
                <w:rFonts w:cs="Arial"/>
                <w:sz w:val="20"/>
                <w:szCs w:val="20"/>
              </w:rPr>
            </w:pPr>
            <w:r w:rsidRPr="000746B9">
              <w:rPr>
                <w:rFonts w:cs="Arial"/>
                <w:sz w:val="20"/>
                <w:szCs w:val="20"/>
              </w:rPr>
              <w:t>Methods of diagnosing UTIs/ need for the use of patients’ questionnaire especially voiding questionnaire</w:t>
            </w:r>
          </w:p>
        </w:tc>
        <w:tc>
          <w:tcPr>
            <w:tcW w:w="4350" w:type="dxa"/>
          </w:tcPr>
          <w:p w14:paraId="43C7CAAC" w14:textId="77777777" w:rsidR="000746B9" w:rsidRPr="000746B9" w:rsidRDefault="000746B9" w:rsidP="007C6ED4">
            <w:pPr>
              <w:pStyle w:val="TableText1"/>
              <w:numPr>
                <w:ilvl w:val="0"/>
                <w:numId w:val="41"/>
              </w:numPr>
              <w:ind w:left="360"/>
              <w:rPr>
                <w:rFonts w:cs="Arial"/>
                <w:sz w:val="20"/>
                <w:szCs w:val="20"/>
              </w:rPr>
            </w:pPr>
            <w:r w:rsidRPr="000746B9">
              <w:rPr>
                <w:rFonts w:cs="Arial"/>
                <w:sz w:val="20"/>
                <w:szCs w:val="20"/>
              </w:rPr>
              <w:t>Urinalysis by dipstick testing for leucocyte esterase and nitrite and/or midstream urine culture is the first investigation of the patient presenting with LUTS. Negative results are usually assumed to exclude infection, these urinalysis methods are not sensitive and are incapable of excluding UTI.</w:t>
            </w:r>
          </w:p>
          <w:p w14:paraId="62B6FF53" w14:textId="77777777" w:rsidR="000746B9" w:rsidRPr="000746B9" w:rsidRDefault="000746B9" w:rsidP="007C6ED4">
            <w:pPr>
              <w:pStyle w:val="TableText1"/>
              <w:numPr>
                <w:ilvl w:val="0"/>
                <w:numId w:val="41"/>
              </w:numPr>
              <w:ind w:left="360"/>
              <w:rPr>
                <w:rFonts w:cs="Arial"/>
                <w:sz w:val="20"/>
                <w:szCs w:val="20"/>
              </w:rPr>
            </w:pPr>
            <w:r w:rsidRPr="000746B9">
              <w:rPr>
                <w:rFonts w:cs="Arial"/>
                <w:sz w:val="20"/>
                <w:szCs w:val="20"/>
              </w:rPr>
              <w:t>Currently the best performing method is microscopy of a fresh unspun, unstained, clean-catch specimen of urine in a counting chamber to enumerate the white cells.</w:t>
            </w:r>
          </w:p>
          <w:p w14:paraId="216E0100" w14:textId="77777777" w:rsidR="000746B9" w:rsidRPr="000746B9" w:rsidRDefault="000746B9" w:rsidP="007C6ED4">
            <w:pPr>
              <w:pStyle w:val="TableText1"/>
              <w:numPr>
                <w:ilvl w:val="0"/>
                <w:numId w:val="41"/>
              </w:numPr>
              <w:ind w:left="360"/>
              <w:rPr>
                <w:rFonts w:cs="Arial"/>
                <w:sz w:val="20"/>
                <w:szCs w:val="20"/>
              </w:rPr>
            </w:pPr>
            <w:r w:rsidRPr="000746B9">
              <w:rPr>
                <w:rFonts w:cs="Arial"/>
                <w:sz w:val="20"/>
                <w:szCs w:val="20"/>
              </w:rPr>
              <w:t xml:space="preserve">Voiding symptoms play an important part in the complex associated with pyuria, pain features but is only evident for the higher levels of pyuria; </w:t>
            </w:r>
            <w:proofErr w:type="gramStart"/>
            <w:r w:rsidRPr="000746B9">
              <w:rPr>
                <w:rFonts w:cs="Arial"/>
                <w:sz w:val="20"/>
                <w:szCs w:val="20"/>
              </w:rPr>
              <w:t xml:space="preserve">it would seem that </w:t>
            </w:r>
            <w:r w:rsidRPr="000746B9">
              <w:rPr>
                <w:rFonts w:cs="Arial"/>
                <w:sz w:val="20"/>
                <w:szCs w:val="20"/>
              </w:rPr>
              <w:lastRenderedPageBreak/>
              <w:t>voiding</w:t>
            </w:r>
            <w:proofErr w:type="gramEnd"/>
            <w:r w:rsidRPr="000746B9">
              <w:rPr>
                <w:rFonts w:cs="Arial"/>
                <w:sz w:val="20"/>
                <w:szCs w:val="20"/>
              </w:rPr>
              <w:t xml:space="preserve"> symptoms are more discriminating.</w:t>
            </w:r>
          </w:p>
          <w:p w14:paraId="14291B6B" w14:textId="77777777" w:rsidR="000746B9" w:rsidRPr="000746B9" w:rsidRDefault="000746B9" w:rsidP="007C6ED4">
            <w:pPr>
              <w:pStyle w:val="TableText1"/>
              <w:numPr>
                <w:ilvl w:val="0"/>
                <w:numId w:val="41"/>
              </w:numPr>
              <w:ind w:left="360"/>
              <w:rPr>
                <w:rFonts w:cs="Arial"/>
                <w:sz w:val="20"/>
                <w:szCs w:val="20"/>
              </w:rPr>
            </w:pPr>
            <w:r w:rsidRPr="000746B9">
              <w:rPr>
                <w:rFonts w:cs="Arial"/>
                <w:sz w:val="20"/>
                <w:szCs w:val="20"/>
              </w:rPr>
              <w:t>Patients’ voiding questionnaire is important to understand patients’ UTI symptoms</w:t>
            </w:r>
          </w:p>
          <w:p w14:paraId="080D971D" w14:textId="77777777" w:rsidR="000746B9" w:rsidRPr="000746B9" w:rsidRDefault="000746B9" w:rsidP="007C6ED4">
            <w:pPr>
              <w:pStyle w:val="TableText1"/>
              <w:numPr>
                <w:ilvl w:val="0"/>
                <w:numId w:val="41"/>
              </w:numPr>
              <w:ind w:left="360"/>
              <w:rPr>
                <w:rFonts w:cs="Arial"/>
                <w:sz w:val="20"/>
                <w:szCs w:val="20"/>
              </w:rPr>
            </w:pPr>
            <w:r w:rsidRPr="000746B9">
              <w:rPr>
                <w:rFonts w:cs="Arial"/>
                <w:sz w:val="20"/>
                <w:szCs w:val="20"/>
              </w:rPr>
              <w:t xml:space="preserve">Dipstick analyses are surrogate tests, referenced not to microscopic pyuria but to a gold standard urine culture threshold for UTI, which guidelines accept as being between 103 </w:t>
            </w:r>
            <w:proofErr w:type="spellStart"/>
            <w:r w:rsidRPr="000746B9">
              <w:rPr>
                <w:rFonts w:cs="Arial"/>
                <w:sz w:val="20"/>
                <w:szCs w:val="20"/>
              </w:rPr>
              <w:t>cfu</w:t>
            </w:r>
            <w:proofErr w:type="spellEnd"/>
            <w:r w:rsidRPr="000746B9">
              <w:rPr>
                <w:rFonts w:cs="Arial"/>
                <w:sz w:val="20"/>
                <w:szCs w:val="20"/>
              </w:rPr>
              <w:t xml:space="preserve"> ml−1 and 106 </w:t>
            </w:r>
            <w:proofErr w:type="spellStart"/>
            <w:r w:rsidRPr="000746B9">
              <w:rPr>
                <w:rFonts w:cs="Arial"/>
                <w:sz w:val="20"/>
                <w:szCs w:val="20"/>
              </w:rPr>
              <w:t>cfu</w:t>
            </w:r>
            <w:proofErr w:type="spellEnd"/>
            <w:r w:rsidRPr="000746B9">
              <w:rPr>
                <w:rFonts w:cs="Arial"/>
                <w:sz w:val="20"/>
                <w:szCs w:val="20"/>
              </w:rPr>
              <w:t xml:space="preserve"> ml−1 of the pure growth of a single urinary pathogen. This test has attracted criticism too. </w:t>
            </w:r>
          </w:p>
          <w:p w14:paraId="0C6AF2B4" w14:textId="77777777" w:rsidR="000746B9" w:rsidRPr="000746B9" w:rsidRDefault="000746B9" w:rsidP="007C6ED4">
            <w:pPr>
              <w:pStyle w:val="TableText1"/>
              <w:numPr>
                <w:ilvl w:val="0"/>
                <w:numId w:val="41"/>
              </w:numPr>
              <w:ind w:left="360"/>
              <w:rPr>
                <w:rFonts w:cs="Arial"/>
                <w:sz w:val="20"/>
                <w:szCs w:val="20"/>
              </w:rPr>
            </w:pPr>
            <w:r w:rsidRPr="000746B9">
              <w:rPr>
                <w:rFonts w:cs="Arial"/>
                <w:sz w:val="20"/>
                <w:szCs w:val="20"/>
              </w:rPr>
              <w:t>The literature shows that the methods of sample collection for urine culture have never been validated in appropriate clinical trials. Justification for the use of such methods is based on plausible assumptions without supporting evidence. It is now recognised that routine urinalyses, including dipstick and culture, are insensitive, thus missing genuine infection in many symptomatic patients.</w:t>
            </w:r>
          </w:p>
          <w:p w14:paraId="7DED9B95" w14:textId="77777777" w:rsidR="000746B9" w:rsidRPr="000746B9" w:rsidRDefault="000746B9" w:rsidP="007C6ED4">
            <w:pPr>
              <w:pStyle w:val="TableText1"/>
              <w:numPr>
                <w:ilvl w:val="0"/>
                <w:numId w:val="41"/>
              </w:numPr>
              <w:ind w:left="360"/>
              <w:rPr>
                <w:rFonts w:cs="Arial"/>
                <w:sz w:val="20"/>
                <w:szCs w:val="20"/>
              </w:rPr>
            </w:pPr>
            <w:r w:rsidRPr="000746B9">
              <w:rPr>
                <w:rFonts w:cs="Arial"/>
                <w:sz w:val="20"/>
                <w:szCs w:val="20"/>
              </w:rPr>
              <w:t>Routine laboratory cultures in the United Kingdom focus on isolating E. coli and use selective media to do so. The causative agents of LUTS might be much more diverse than and different from those of acute UTIs.</w:t>
            </w:r>
          </w:p>
        </w:tc>
        <w:tc>
          <w:tcPr>
            <w:tcW w:w="3769" w:type="dxa"/>
          </w:tcPr>
          <w:p w14:paraId="1F76AC2D" w14:textId="77777777" w:rsidR="000746B9" w:rsidRPr="000746B9" w:rsidRDefault="000746B9" w:rsidP="00DA217C">
            <w:pPr>
              <w:pStyle w:val="Paragraphnonumbers"/>
              <w:rPr>
                <w:rFonts w:cs="Arial"/>
                <w:sz w:val="20"/>
                <w:szCs w:val="20"/>
              </w:rPr>
            </w:pPr>
            <w:r w:rsidRPr="000746B9">
              <w:rPr>
                <w:rFonts w:cs="Arial"/>
                <w:sz w:val="20"/>
                <w:szCs w:val="20"/>
              </w:rPr>
              <w:lastRenderedPageBreak/>
              <w:t>Lower urinary tract symptoms that predict microscopic pyuria</w:t>
            </w:r>
          </w:p>
          <w:p w14:paraId="26B7F65E" w14:textId="77777777" w:rsidR="000746B9" w:rsidRPr="000746B9" w:rsidRDefault="00AC503C" w:rsidP="00DA217C">
            <w:pPr>
              <w:pStyle w:val="Paragraphnonumbers"/>
              <w:rPr>
                <w:rFonts w:cs="Arial"/>
                <w:sz w:val="20"/>
                <w:szCs w:val="20"/>
              </w:rPr>
            </w:pPr>
            <w:hyperlink r:id="rId55" w:history="1">
              <w:r w:rsidR="000746B9" w:rsidRPr="000746B9">
                <w:rPr>
                  <w:rStyle w:val="Hyperlink"/>
                  <w:rFonts w:cs="Arial"/>
                  <w:sz w:val="20"/>
                  <w:szCs w:val="20"/>
                </w:rPr>
                <w:t>https://doi.org/10.1007/s00192-017-3472-7</w:t>
              </w:r>
            </w:hyperlink>
            <w:r w:rsidR="000746B9" w:rsidRPr="000746B9">
              <w:rPr>
                <w:rFonts w:cs="Arial"/>
                <w:sz w:val="20"/>
                <w:szCs w:val="20"/>
              </w:rPr>
              <w:t xml:space="preserve"> </w:t>
            </w:r>
          </w:p>
          <w:p w14:paraId="7A733A94" w14:textId="77777777" w:rsidR="000746B9" w:rsidRPr="000746B9" w:rsidRDefault="000746B9" w:rsidP="00DA217C">
            <w:pPr>
              <w:pStyle w:val="Paragraphnonumbers"/>
              <w:rPr>
                <w:rFonts w:cs="Arial"/>
                <w:sz w:val="20"/>
                <w:szCs w:val="20"/>
              </w:rPr>
            </w:pPr>
            <w:r w:rsidRPr="000746B9">
              <w:rPr>
                <w:rFonts w:cs="Arial"/>
                <w:sz w:val="20"/>
                <w:szCs w:val="20"/>
              </w:rPr>
              <w:t>Discrediting microscopic pyuria and leucocyte esterase as diagnostic surrogates for infection in patients with lower urinary tract symptoms: results from a clinical and laboratory evaluation.</w:t>
            </w:r>
          </w:p>
          <w:p w14:paraId="319B3614" w14:textId="77777777" w:rsidR="000746B9" w:rsidRPr="000746B9" w:rsidRDefault="000746B9" w:rsidP="00DA217C">
            <w:pPr>
              <w:pStyle w:val="Paragraphnonumbers"/>
              <w:rPr>
                <w:rFonts w:cs="Arial"/>
                <w:sz w:val="20"/>
                <w:szCs w:val="20"/>
              </w:rPr>
            </w:pPr>
            <w:proofErr w:type="spellStart"/>
            <w:r w:rsidRPr="000746B9">
              <w:rPr>
                <w:rFonts w:cs="Arial"/>
                <w:sz w:val="20"/>
                <w:szCs w:val="20"/>
              </w:rPr>
              <w:lastRenderedPageBreak/>
              <w:t>doi</w:t>
            </w:r>
            <w:proofErr w:type="spellEnd"/>
            <w:r w:rsidRPr="000746B9">
              <w:rPr>
                <w:rFonts w:cs="Arial"/>
                <w:sz w:val="20"/>
                <w:szCs w:val="20"/>
              </w:rPr>
              <w:t>: 10.1111/j.1464-410X.2012.</w:t>
            </w:r>
            <w:proofErr w:type="gramStart"/>
            <w:r w:rsidRPr="000746B9">
              <w:rPr>
                <w:rFonts w:cs="Arial"/>
                <w:sz w:val="20"/>
                <w:szCs w:val="20"/>
              </w:rPr>
              <w:t>11694.x.</w:t>
            </w:r>
            <w:proofErr w:type="gramEnd"/>
          </w:p>
          <w:p w14:paraId="2A766FEA" w14:textId="77777777" w:rsidR="000746B9" w:rsidRPr="000746B9" w:rsidRDefault="000746B9" w:rsidP="00DA217C">
            <w:pPr>
              <w:pStyle w:val="Paragraphnonumbers"/>
              <w:rPr>
                <w:rFonts w:cs="Arial"/>
                <w:sz w:val="20"/>
                <w:szCs w:val="20"/>
              </w:rPr>
            </w:pPr>
            <w:r w:rsidRPr="000746B9">
              <w:rPr>
                <w:rFonts w:cs="Arial"/>
                <w:sz w:val="20"/>
                <w:szCs w:val="20"/>
              </w:rPr>
              <w:t>The inadequacy of urinary dipstick and microscopy as surrogate markers of urinary tract infection in urological outpatients with lower urinary tract symptoms without acute frequency and dysuria.</w:t>
            </w:r>
          </w:p>
          <w:p w14:paraId="1CB024E6" w14:textId="77777777" w:rsidR="000746B9" w:rsidRPr="000746B9" w:rsidRDefault="000746B9" w:rsidP="00DA217C">
            <w:pPr>
              <w:pStyle w:val="Paragraphnonumbers"/>
              <w:rPr>
                <w:rFonts w:cs="Arial"/>
                <w:sz w:val="20"/>
                <w:szCs w:val="20"/>
              </w:rPr>
            </w:pPr>
            <w:proofErr w:type="spellStart"/>
            <w:r w:rsidRPr="000746B9">
              <w:rPr>
                <w:rFonts w:cs="Arial"/>
                <w:sz w:val="20"/>
                <w:szCs w:val="20"/>
              </w:rPr>
              <w:t>doi</w:t>
            </w:r>
            <w:proofErr w:type="spellEnd"/>
            <w:r w:rsidRPr="000746B9">
              <w:rPr>
                <w:rFonts w:cs="Arial"/>
                <w:sz w:val="20"/>
                <w:szCs w:val="20"/>
              </w:rPr>
              <w:t>: 10.1016/j.juro.2010.01.008.</w:t>
            </w:r>
          </w:p>
          <w:p w14:paraId="2C844A92" w14:textId="77777777" w:rsidR="000746B9" w:rsidRPr="000746B9" w:rsidRDefault="000746B9" w:rsidP="00DA217C">
            <w:pPr>
              <w:pStyle w:val="Paragraphnonumbers"/>
              <w:rPr>
                <w:rFonts w:cs="Arial"/>
                <w:sz w:val="20"/>
                <w:szCs w:val="20"/>
              </w:rPr>
            </w:pPr>
            <w:r w:rsidRPr="000746B9">
              <w:rPr>
                <w:rFonts w:cs="Arial"/>
                <w:sz w:val="20"/>
                <w:szCs w:val="20"/>
              </w:rPr>
              <w:t>The urine dipstick test useful to rule out infections. A meta-analysis of the accuracy</w:t>
            </w:r>
          </w:p>
          <w:p w14:paraId="6A2D93A9" w14:textId="77777777" w:rsidR="000746B9" w:rsidRPr="000746B9" w:rsidRDefault="00AC503C" w:rsidP="00DA217C">
            <w:pPr>
              <w:pStyle w:val="Paragraphnonumbers"/>
              <w:rPr>
                <w:rFonts w:cs="Arial"/>
                <w:sz w:val="20"/>
                <w:szCs w:val="20"/>
              </w:rPr>
            </w:pPr>
            <w:hyperlink r:id="rId56" w:history="1">
              <w:r w:rsidR="000746B9" w:rsidRPr="000746B9">
                <w:rPr>
                  <w:rStyle w:val="Hyperlink"/>
                  <w:rFonts w:cs="Arial"/>
                  <w:sz w:val="20"/>
                  <w:szCs w:val="20"/>
                </w:rPr>
                <w:t>https://doi.org/10.1186/1471-2490-4-4</w:t>
              </w:r>
            </w:hyperlink>
            <w:r w:rsidR="000746B9" w:rsidRPr="000746B9">
              <w:rPr>
                <w:rFonts w:cs="Arial"/>
                <w:sz w:val="20"/>
                <w:szCs w:val="20"/>
              </w:rPr>
              <w:t xml:space="preserve"> </w:t>
            </w:r>
          </w:p>
          <w:p w14:paraId="7186A551" w14:textId="77777777" w:rsidR="000746B9" w:rsidRPr="000746B9" w:rsidRDefault="000746B9" w:rsidP="00DA217C">
            <w:pPr>
              <w:pStyle w:val="Paragraphnonumbers"/>
              <w:rPr>
                <w:rFonts w:cs="Arial"/>
                <w:sz w:val="20"/>
                <w:szCs w:val="20"/>
              </w:rPr>
            </w:pPr>
            <w:r w:rsidRPr="000746B9">
              <w:rPr>
                <w:rFonts w:cs="Arial"/>
                <w:sz w:val="20"/>
                <w:szCs w:val="20"/>
              </w:rPr>
              <w:t>A revalidation and critique of assumptions about urinary sample collection methods, specimen quality and contamination</w:t>
            </w:r>
          </w:p>
          <w:p w14:paraId="5580F5FB" w14:textId="77777777" w:rsidR="000746B9" w:rsidRPr="000746B9" w:rsidRDefault="00AC503C" w:rsidP="00DA217C">
            <w:pPr>
              <w:pStyle w:val="Paragraphnonumbers"/>
              <w:rPr>
                <w:rFonts w:cs="Arial"/>
                <w:sz w:val="20"/>
                <w:szCs w:val="20"/>
              </w:rPr>
            </w:pPr>
            <w:hyperlink r:id="rId57" w:history="1">
              <w:r w:rsidR="000746B9" w:rsidRPr="000746B9">
                <w:rPr>
                  <w:rStyle w:val="Hyperlink"/>
                  <w:rFonts w:cs="Arial"/>
                  <w:sz w:val="20"/>
                  <w:szCs w:val="20"/>
                </w:rPr>
                <w:t>https://doi.org/10.1007/s00192-020-04272-x</w:t>
              </w:r>
            </w:hyperlink>
            <w:r w:rsidR="000746B9" w:rsidRPr="000746B9">
              <w:rPr>
                <w:rFonts w:cs="Arial"/>
                <w:sz w:val="20"/>
                <w:szCs w:val="20"/>
              </w:rPr>
              <w:t xml:space="preserve"> </w:t>
            </w:r>
          </w:p>
          <w:p w14:paraId="4F698B34" w14:textId="77777777" w:rsidR="000746B9" w:rsidRPr="000746B9" w:rsidRDefault="000746B9" w:rsidP="00DA217C">
            <w:pPr>
              <w:pStyle w:val="Paragraphnonumbers"/>
              <w:rPr>
                <w:rFonts w:cs="Arial"/>
                <w:sz w:val="20"/>
                <w:szCs w:val="20"/>
              </w:rPr>
            </w:pPr>
            <w:r w:rsidRPr="000746B9">
              <w:rPr>
                <w:rFonts w:cs="Arial"/>
                <w:sz w:val="20"/>
                <w:szCs w:val="20"/>
              </w:rPr>
              <w:t xml:space="preserve">The inadequacy of urinary dipstick and microscopy as surrogate markers of urinary tract infection in urological outpatients with lower urinary tract </w:t>
            </w:r>
            <w:r w:rsidRPr="000746B9">
              <w:rPr>
                <w:rFonts w:cs="Arial"/>
                <w:sz w:val="20"/>
                <w:szCs w:val="20"/>
              </w:rPr>
              <w:lastRenderedPageBreak/>
              <w:t>symptoms without acute frequency and dysuria.</w:t>
            </w:r>
          </w:p>
          <w:p w14:paraId="1F0E2EBF" w14:textId="77777777" w:rsidR="000746B9" w:rsidRPr="000746B9" w:rsidRDefault="00AC503C" w:rsidP="00DA217C">
            <w:pPr>
              <w:pStyle w:val="Paragraphnonumbers"/>
              <w:rPr>
                <w:rFonts w:cs="Arial"/>
                <w:sz w:val="20"/>
                <w:szCs w:val="20"/>
              </w:rPr>
            </w:pPr>
            <w:hyperlink r:id="rId58" w:history="1">
              <w:r w:rsidR="000746B9" w:rsidRPr="000746B9">
                <w:rPr>
                  <w:rStyle w:val="Hyperlink"/>
                  <w:rFonts w:cs="Arial"/>
                  <w:sz w:val="20"/>
                  <w:szCs w:val="20"/>
                </w:rPr>
                <w:t>https://doi.org/10.1016/j.juro.2010.01.008</w:t>
              </w:r>
            </w:hyperlink>
            <w:r w:rsidR="000746B9" w:rsidRPr="000746B9">
              <w:rPr>
                <w:rFonts w:cs="Arial"/>
                <w:sz w:val="20"/>
                <w:szCs w:val="20"/>
              </w:rPr>
              <w:t xml:space="preserve"> </w:t>
            </w:r>
          </w:p>
          <w:p w14:paraId="7E241B97" w14:textId="77777777" w:rsidR="000746B9" w:rsidRPr="000746B9" w:rsidRDefault="000746B9" w:rsidP="00DA217C">
            <w:pPr>
              <w:pStyle w:val="Paragraphnonumbers"/>
              <w:rPr>
                <w:rFonts w:cs="Arial"/>
                <w:sz w:val="20"/>
                <w:szCs w:val="20"/>
              </w:rPr>
            </w:pPr>
            <w:r w:rsidRPr="000746B9">
              <w:rPr>
                <w:rFonts w:cs="Arial"/>
                <w:sz w:val="20"/>
                <w:szCs w:val="20"/>
              </w:rPr>
              <w:t xml:space="preserve">Spectrum of bacterial colonization associated with urothelial cells from patients with chronic lower urinary tract symptoms. </w:t>
            </w:r>
          </w:p>
          <w:p w14:paraId="4A4377A0" w14:textId="77777777" w:rsidR="000746B9" w:rsidRPr="000746B9" w:rsidRDefault="000746B9" w:rsidP="00DA217C">
            <w:pPr>
              <w:pStyle w:val="Paragraphnonumbers"/>
              <w:rPr>
                <w:rFonts w:cs="Arial"/>
                <w:sz w:val="20"/>
                <w:szCs w:val="20"/>
              </w:rPr>
            </w:pPr>
            <w:proofErr w:type="spellStart"/>
            <w:r w:rsidRPr="000746B9">
              <w:rPr>
                <w:rFonts w:cs="Arial"/>
                <w:sz w:val="20"/>
                <w:szCs w:val="20"/>
              </w:rPr>
              <w:t>doi</w:t>
            </w:r>
            <w:proofErr w:type="spellEnd"/>
            <w:r w:rsidRPr="000746B9">
              <w:rPr>
                <w:rFonts w:cs="Arial"/>
                <w:sz w:val="20"/>
                <w:szCs w:val="20"/>
              </w:rPr>
              <w:t>: 10.1128/JCM.03314-12</w:t>
            </w:r>
          </w:p>
          <w:p w14:paraId="19511410" w14:textId="77777777" w:rsidR="000746B9" w:rsidRPr="000746B9" w:rsidRDefault="000746B9" w:rsidP="00DA217C">
            <w:pPr>
              <w:pStyle w:val="Paragraphnonumbers"/>
              <w:rPr>
                <w:rFonts w:cs="Arial"/>
                <w:sz w:val="20"/>
                <w:szCs w:val="20"/>
              </w:rPr>
            </w:pPr>
            <w:r w:rsidRPr="000746B9">
              <w:rPr>
                <w:rFonts w:cs="Arial"/>
                <w:sz w:val="20"/>
                <w:szCs w:val="20"/>
              </w:rPr>
              <w:t>Urine is not sterile: use of enhanced urine culture techniques to detect resident bacterial flora in the adult female bladder</w:t>
            </w:r>
          </w:p>
          <w:p w14:paraId="567B629B" w14:textId="77777777" w:rsidR="000746B9" w:rsidRPr="000746B9" w:rsidRDefault="00AC503C" w:rsidP="00DA217C">
            <w:pPr>
              <w:pStyle w:val="Paragraphnonumbers"/>
              <w:rPr>
                <w:rFonts w:cs="Arial"/>
                <w:sz w:val="20"/>
                <w:szCs w:val="20"/>
              </w:rPr>
            </w:pPr>
            <w:hyperlink r:id="rId59" w:history="1">
              <w:r w:rsidR="000746B9" w:rsidRPr="000746B9">
                <w:rPr>
                  <w:rStyle w:val="Hyperlink"/>
                  <w:rFonts w:cs="Arial"/>
                  <w:sz w:val="20"/>
                  <w:szCs w:val="20"/>
                </w:rPr>
                <w:t>https://doi.org/10.1128/jcm.02876-13</w:t>
              </w:r>
            </w:hyperlink>
            <w:r w:rsidR="000746B9" w:rsidRPr="000746B9">
              <w:rPr>
                <w:rFonts w:cs="Arial"/>
                <w:sz w:val="20"/>
                <w:szCs w:val="20"/>
              </w:rPr>
              <w:t xml:space="preserve"> </w:t>
            </w:r>
          </w:p>
          <w:p w14:paraId="5682C85F" w14:textId="77777777" w:rsidR="000746B9" w:rsidRPr="000746B9" w:rsidRDefault="000746B9" w:rsidP="00DA217C">
            <w:pPr>
              <w:pStyle w:val="Paragraphnonumbers"/>
              <w:rPr>
                <w:rFonts w:cs="Arial"/>
                <w:sz w:val="20"/>
                <w:szCs w:val="20"/>
              </w:rPr>
            </w:pPr>
            <w:r w:rsidRPr="000746B9">
              <w:rPr>
                <w:rFonts w:cs="Arial"/>
                <w:sz w:val="20"/>
                <w:szCs w:val="20"/>
              </w:rPr>
              <w:t xml:space="preserve">Absolute and relative accuracy of rapid urine tests for urinary tract infection in children: a meta-analysis. </w:t>
            </w:r>
          </w:p>
          <w:p w14:paraId="724DCC36" w14:textId="77777777" w:rsidR="000746B9" w:rsidRPr="000746B9" w:rsidRDefault="000746B9" w:rsidP="00DA217C">
            <w:pPr>
              <w:pStyle w:val="Paragraphnonumbers"/>
              <w:rPr>
                <w:rFonts w:cs="Arial"/>
                <w:sz w:val="20"/>
                <w:szCs w:val="20"/>
              </w:rPr>
            </w:pPr>
            <w:r w:rsidRPr="000746B9">
              <w:rPr>
                <w:rFonts w:cs="Arial"/>
                <w:sz w:val="20"/>
                <w:szCs w:val="20"/>
              </w:rPr>
              <w:t>DOI: 10.1016/S1473-3099(10)70031-1</w:t>
            </w:r>
          </w:p>
        </w:tc>
      </w:tr>
      <w:tr w:rsidR="000746B9" w:rsidRPr="000746B9" w14:paraId="682AAD4E" w14:textId="77777777" w:rsidTr="007C6ED4">
        <w:trPr>
          <w:trHeight w:val="282"/>
        </w:trPr>
        <w:tc>
          <w:tcPr>
            <w:tcW w:w="708" w:type="dxa"/>
          </w:tcPr>
          <w:p w14:paraId="726FF962" w14:textId="674B3F4B" w:rsidR="000746B9" w:rsidRPr="000746B9" w:rsidRDefault="000746B9" w:rsidP="001E506D">
            <w:pPr>
              <w:pStyle w:val="TableText1"/>
              <w:numPr>
                <w:ilvl w:val="0"/>
                <w:numId w:val="45"/>
              </w:numPr>
              <w:rPr>
                <w:rFonts w:cs="Arial"/>
                <w:sz w:val="20"/>
                <w:szCs w:val="20"/>
              </w:rPr>
            </w:pPr>
          </w:p>
        </w:tc>
        <w:tc>
          <w:tcPr>
            <w:tcW w:w="2264" w:type="dxa"/>
          </w:tcPr>
          <w:p w14:paraId="4CBF18BD" w14:textId="77777777" w:rsidR="000746B9" w:rsidRPr="000746B9" w:rsidRDefault="000746B9" w:rsidP="00DA217C">
            <w:pPr>
              <w:pStyle w:val="TableText1"/>
              <w:rPr>
                <w:rFonts w:cs="Arial"/>
                <w:sz w:val="20"/>
                <w:szCs w:val="20"/>
              </w:rPr>
            </w:pPr>
            <w:r w:rsidRPr="000746B9">
              <w:rPr>
                <w:rFonts w:cs="Arial"/>
                <w:sz w:val="20"/>
                <w:szCs w:val="20"/>
              </w:rPr>
              <w:t>The Royal College of Pathologists</w:t>
            </w:r>
          </w:p>
        </w:tc>
        <w:tc>
          <w:tcPr>
            <w:tcW w:w="3588" w:type="dxa"/>
          </w:tcPr>
          <w:p w14:paraId="5A24F97A" w14:textId="77777777" w:rsidR="000746B9" w:rsidRPr="000746B9" w:rsidRDefault="000746B9" w:rsidP="00DA217C">
            <w:pPr>
              <w:pStyle w:val="Paragraphnonumbers"/>
              <w:spacing w:after="120"/>
              <w:rPr>
                <w:rFonts w:cs="Arial"/>
                <w:sz w:val="20"/>
                <w:szCs w:val="20"/>
              </w:rPr>
            </w:pPr>
            <w:r w:rsidRPr="000746B9">
              <w:rPr>
                <w:rFonts w:cs="Arial"/>
                <w:sz w:val="20"/>
                <w:szCs w:val="20"/>
              </w:rPr>
              <w:t>Key area for quality improvement 1</w:t>
            </w:r>
          </w:p>
          <w:p w14:paraId="5783AFF6" w14:textId="77777777" w:rsidR="000746B9" w:rsidRPr="000746B9" w:rsidRDefault="000746B9" w:rsidP="00DA217C">
            <w:pPr>
              <w:pStyle w:val="TableText1"/>
              <w:rPr>
                <w:rFonts w:cs="Arial"/>
                <w:color w:val="0E0E0E"/>
                <w:sz w:val="20"/>
                <w:szCs w:val="20"/>
                <w:shd w:val="clear" w:color="auto" w:fill="FAFAFB"/>
              </w:rPr>
            </w:pPr>
            <w:r w:rsidRPr="000746B9">
              <w:rPr>
                <w:rFonts w:cs="Arial"/>
                <w:color w:val="0E0E0E"/>
                <w:sz w:val="20"/>
                <w:szCs w:val="20"/>
                <w:shd w:val="clear" w:color="auto" w:fill="FAFAFB"/>
              </w:rPr>
              <w:t xml:space="preserve">Diagnosing urinary tract infection in adults aged 65 years and over </w:t>
            </w:r>
          </w:p>
          <w:p w14:paraId="720246C2" w14:textId="77777777" w:rsidR="000746B9" w:rsidRPr="000746B9" w:rsidRDefault="000746B9" w:rsidP="00DA217C">
            <w:pPr>
              <w:pStyle w:val="TableText1"/>
              <w:rPr>
                <w:rFonts w:cs="Arial"/>
                <w:b/>
                <w:sz w:val="20"/>
                <w:szCs w:val="20"/>
              </w:rPr>
            </w:pPr>
            <w:r w:rsidRPr="000746B9">
              <w:rPr>
                <w:rFonts w:cs="Arial"/>
                <w:color w:val="0E0E0E"/>
                <w:sz w:val="20"/>
                <w:szCs w:val="20"/>
                <w:shd w:val="clear" w:color="auto" w:fill="FAFAFB"/>
              </w:rPr>
              <w:t>.</w:t>
            </w:r>
          </w:p>
        </w:tc>
        <w:tc>
          <w:tcPr>
            <w:tcW w:w="4350" w:type="dxa"/>
          </w:tcPr>
          <w:p w14:paraId="5C616AE0" w14:textId="77777777" w:rsidR="000746B9" w:rsidRPr="000746B9" w:rsidRDefault="000746B9" w:rsidP="00DA217C">
            <w:pPr>
              <w:pStyle w:val="TableText1"/>
              <w:rPr>
                <w:rFonts w:cs="Arial"/>
                <w:sz w:val="20"/>
                <w:szCs w:val="20"/>
              </w:rPr>
            </w:pPr>
            <w:r w:rsidRPr="000746B9">
              <w:rPr>
                <w:rFonts w:cs="Arial"/>
                <w:sz w:val="20"/>
                <w:szCs w:val="20"/>
              </w:rPr>
              <w:t>NICE (2015) acknowledges that accuracy of dipstick testing for the diagnosis of UTI in adults age over 65 can vary, hence a full clinical assessment is required not just a urinary dipstick.</w:t>
            </w:r>
          </w:p>
        </w:tc>
        <w:tc>
          <w:tcPr>
            <w:tcW w:w="3769" w:type="dxa"/>
          </w:tcPr>
          <w:p w14:paraId="204DEA85" w14:textId="77777777" w:rsidR="000746B9" w:rsidRPr="000746B9" w:rsidRDefault="000746B9" w:rsidP="00DA217C">
            <w:pPr>
              <w:rPr>
                <w:rFonts w:ascii="Arial" w:hAnsi="Arial" w:cs="Arial"/>
                <w:sz w:val="20"/>
                <w:szCs w:val="20"/>
              </w:rPr>
            </w:pPr>
            <w:r w:rsidRPr="000746B9">
              <w:rPr>
                <w:rFonts w:ascii="Arial" w:hAnsi="Arial" w:cs="Arial"/>
                <w:sz w:val="20"/>
                <w:szCs w:val="20"/>
              </w:rPr>
              <w:t>Currently an existing NICE Quality standard for urinary tract infection</w:t>
            </w:r>
          </w:p>
        </w:tc>
      </w:tr>
      <w:tr w:rsidR="000746B9" w:rsidRPr="000746B9" w14:paraId="0E58E6CA" w14:textId="77777777" w:rsidTr="007C6ED4">
        <w:trPr>
          <w:trHeight w:val="282"/>
        </w:trPr>
        <w:tc>
          <w:tcPr>
            <w:tcW w:w="708" w:type="dxa"/>
          </w:tcPr>
          <w:p w14:paraId="484783FE" w14:textId="4CC80C5E" w:rsidR="000746B9" w:rsidRPr="000746B9" w:rsidRDefault="000746B9" w:rsidP="001E506D">
            <w:pPr>
              <w:pStyle w:val="TableText1"/>
              <w:numPr>
                <w:ilvl w:val="0"/>
                <w:numId w:val="45"/>
              </w:numPr>
              <w:rPr>
                <w:rFonts w:cs="Arial"/>
                <w:sz w:val="20"/>
                <w:szCs w:val="20"/>
              </w:rPr>
            </w:pPr>
          </w:p>
        </w:tc>
        <w:tc>
          <w:tcPr>
            <w:tcW w:w="2264" w:type="dxa"/>
          </w:tcPr>
          <w:p w14:paraId="7A9F8E5F" w14:textId="77777777" w:rsidR="000746B9" w:rsidRPr="000746B9" w:rsidRDefault="000746B9" w:rsidP="00DA217C">
            <w:pPr>
              <w:pStyle w:val="TableText1"/>
              <w:rPr>
                <w:rFonts w:cs="Arial"/>
                <w:sz w:val="20"/>
                <w:szCs w:val="20"/>
              </w:rPr>
            </w:pPr>
            <w:r w:rsidRPr="000746B9">
              <w:rPr>
                <w:rFonts w:cs="Arial"/>
                <w:sz w:val="20"/>
                <w:szCs w:val="20"/>
              </w:rPr>
              <w:t>The Royal College of Pathologists</w:t>
            </w:r>
          </w:p>
        </w:tc>
        <w:tc>
          <w:tcPr>
            <w:tcW w:w="3588" w:type="dxa"/>
          </w:tcPr>
          <w:p w14:paraId="5625D051" w14:textId="77777777" w:rsidR="000746B9" w:rsidRPr="000746B9" w:rsidRDefault="000746B9" w:rsidP="00DA217C">
            <w:pPr>
              <w:pStyle w:val="Paragraphnonumbers"/>
              <w:spacing w:after="120"/>
              <w:rPr>
                <w:rFonts w:cs="Arial"/>
                <w:sz w:val="20"/>
                <w:szCs w:val="20"/>
              </w:rPr>
            </w:pPr>
            <w:r w:rsidRPr="000746B9">
              <w:rPr>
                <w:rFonts w:cs="Arial"/>
                <w:sz w:val="20"/>
                <w:szCs w:val="20"/>
              </w:rPr>
              <w:t>Key area for quality improvement 2</w:t>
            </w:r>
          </w:p>
          <w:p w14:paraId="03B58C5F" w14:textId="77777777" w:rsidR="000746B9" w:rsidRPr="000746B9" w:rsidRDefault="000746B9" w:rsidP="00DA217C">
            <w:pPr>
              <w:pStyle w:val="TableText1"/>
              <w:rPr>
                <w:rFonts w:cs="Arial"/>
                <w:b/>
                <w:sz w:val="20"/>
                <w:szCs w:val="20"/>
              </w:rPr>
            </w:pPr>
            <w:r w:rsidRPr="000746B9">
              <w:rPr>
                <w:rFonts w:cs="Arial"/>
                <w:color w:val="0E0E0E"/>
                <w:sz w:val="20"/>
                <w:szCs w:val="20"/>
                <w:shd w:val="clear" w:color="auto" w:fill="FAFAFB"/>
              </w:rPr>
              <w:t>Diagnosis of urinary tract infections in adults with urinary catheters.</w:t>
            </w:r>
          </w:p>
        </w:tc>
        <w:tc>
          <w:tcPr>
            <w:tcW w:w="4350" w:type="dxa"/>
          </w:tcPr>
          <w:p w14:paraId="66D6BCED" w14:textId="77777777" w:rsidR="000746B9" w:rsidRPr="000746B9" w:rsidRDefault="000746B9" w:rsidP="00DA217C">
            <w:pPr>
              <w:pStyle w:val="Paragraphnonumbers"/>
              <w:rPr>
                <w:rFonts w:cs="Arial"/>
                <w:sz w:val="20"/>
                <w:szCs w:val="20"/>
              </w:rPr>
            </w:pPr>
            <w:r w:rsidRPr="000746B9">
              <w:rPr>
                <w:rFonts w:cs="Arial"/>
                <w:sz w:val="20"/>
                <w:szCs w:val="20"/>
              </w:rPr>
              <w:t>NICE (2015) acknowledges that dipstick testing is not an accurate way to determine if a patient with a urinary catheter in situ has a UTI. Hence dipsticks should not be used.</w:t>
            </w:r>
          </w:p>
          <w:p w14:paraId="571AB493" w14:textId="77777777" w:rsidR="000746B9" w:rsidRPr="000746B9" w:rsidRDefault="000746B9" w:rsidP="00DA217C">
            <w:pPr>
              <w:pStyle w:val="TableText1"/>
              <w:rPr>
                <w:rFonts w:cs="Arial"/>
                <w:sz w:val="20"/>
                <w:szCs w:val="20"/>
              </w:rPr>
            </w:pPr>
            <w:r w:rsidRPr="000746B9">
              <w:rPr>
                <w:rFonts w:cs="Arial"/>
                <w:sz w:val="20"/>
                <w:szCs w:val="20"/>
              </w:rPr>
              <w:t>This is an important standard as dipsticks are still used incorrectly for the diagnosis of UTI in catheterised adults.</w:t>
            </w:r>
          </w:p>
        </w:tc>
        <w:tc>
          <w:tcPr>
            <w:tcW w:w="3769" w:type="dxa"/>
          </w:tcPr>
          <w:p w14:paraId="368E5B7F" w14:textId="77777777" w:rsidR="000746B9" w:rsidRPr="000746B9" w:rsidRDefault="000746B9" w:rsidP="00DA217C">
            <w:pPr>
              <w:rPr>
                <w:rFonts w:ascii="Arial" w:hAnsi="Arial" w:cs="Arial"/>
                <w:sz w:val="20"/>
                <w:szCs w:val="20"/>
              </w:rPr>
            </w:pPr>
            <w:r w:rsidRPr="000746B9">
              <w:rPr>
                <w:rFonts w:ascii="Arial" w:hAnsi="Arial" w:cs="Arial"/>
                <w:sz w:val="20"/>
                <w:szCs w:val="20"/>
              </w:rPr>
              <w:t>Currently an existing NICE Quality standard for urinary tract infection</w:t>
            </w:r>
          </w:p>
        </w:tc>
      </w:tr>
      <w:tr w:rsidR="000746B9" w:rsidRPr="000746B9" w14:paraId="71476255" w14:textId="77777777" w:rsidTr="007C6ED4">
        <w:trPr>
          <w:trHeight w:val="282"/>
        </w:trPr>
        <w:tc>
          <w:tcPr>
            <w:tcW w:w="708" w:type="dxa"/>
          </w:tcPr>
          <w:p w14:paraId="039A8A16" w14:textId="318F501C" w:rsidR="000746B9" w:rsidRPr="000746B9" w:rsidRDefault="000746B9" w:rsidP="001E506D">
            <w:pPr>
              <w:pStyle w:val="TableText1"/>
              <w:numPr>
                <w:ilvl w:val="0"/>
                <w:numId w:val="45"/>
              </w:numPr>
              <w:rPr>
                <w:rFonts w:cs="Arial"/>
                <w:sz w:val="20"/>
                <w:szCs w:val="20"/>
              </w:rPr>
            </w:pPr>
          </w:p>
        </w:tc>
        <w:tc>
          <w:tcPr>
            <w:tcW w:w="2264" w:type="dxa"/>
          </w:tcPr>
          <w:p w14:paraId="5AB01208" w14:textId="77777777" w:rsidR="000746B9" w:rsidRPr="000746B9" w:rsidRDefault="000746B9" w:rsidP="00DA217C">
            <w:pPr>
              <w:pStyle w:val="TableText1"/>
              <w:rPr>
                <w:rFonts w:cs="Arial"/>
                <w:sz w:val="20"/>
                <w:szCs w:val="20"/>
              </w:rPr>
            </w:pPr>
            <w:r w:rsidRPr="000746B9">
              <w:rPr>
                <w:rFonts w:cs="Arial"/>
                <w:sz w:val="20"/>
                <w:szCs w:val="20"/>
              </w:rPr>
              <w:t>UKHSA</w:t>
            </w:r>
          </w:p>
        </w:tc>
        <w:tc>
          <w:tcPr>
            <w:tcW w:w="3588" w:type="dxa"/>
          </w:tcPr>
          <w:p w14:paraId="2FB0A4E8" w14:textId="77777777" w:rsidR="000746B9" w:rsidRPr="000746B9" w:rsidRDefault="000746B9" w:rsidP="00DA217C">
            <w:pPr>
              <w:pStyle w:val="Paragraphnonumbers"/>
              <w:spacing w:after="120"/>
              <w:rPr>
                <w:rFonts w:cs="Arial"/>
                <w:sz w:val="20"/>
                <w:szCs w:val="20"/>
              </w:rPr>
            </w:pPr>
            <w:r w:rsidRPr="000746B9">
              <w:rPr>
                <w:rFonts w:cs="Arial"/>
                <w:sz w:val="20"/>
                <w:szCs w:val="20"/>
              </w:rPr>
              <w:t>Key area for quality improvement 1</w:t>
            </w:r>
          </w:p>
          <w:p w14:paraId="26B3369E" w14:textId="77777777" w:rsidR="000746B9" w:rsidRPr="000746B9" w:rsidRDefault="000746B9" w:rsidP="00DA217C">
            <w:pPr>
              <w:pStyle w:val="Paragraphnonumbers"/>
              <w:spacing w:after="120"/>
              <w:rPr>
                <w:rFonts w:cs="Arial"/>
                <w:sz w:val="20"/>
                <w:szCs w:val="20"/>
              </w:rPr>
            </w:pPr>
            <w:r w:rsidRPr="000746B9">
              <w:rPr>
                <w:rFonts w:cs="Arial"/>
                <w:sz w:val="20"/>
                <w:szCs w:val="20"/>
              </w:rPr>
              <w:t>UTI diagnosis and management over phone and digital technology needs to be considered for all age groups.</w:t>
            </w:r>
          </w:p>
          <w:p w14:paraId="4443192D" w14:textId="77777777" w:rsidR="000746B9" w:rsidRPr="000746B9" w:rsidRDefault="000746B9" w:rsidP="00DA217C">
            <w:pPr>
              <w:pStyle w:val="Paragraphnonumbers"/>
              <w:spacing w:after="120"/>
              <w:rPr>
                <w:rFonts w:cs="Arial"/>
                <w:sz w:val="20"/>
                <w:szCs w:val="20"/>
              </w:rPr>
            </w:pPr>
          </w:p>
          <w:p w14:paraId="5D299BA7" w14:textId="77777777" w:rsidR="000746B9" w:rsidRPr="000746B9" w:rsidRDefault="000746B9" w:rsidP="00DA217C">
            <w:pPr>
              <w:pStyle w:val="Paragraphnonumbers"/>
              <w:spacing w:after="120"/>
              <w:rPr>
                <w:rFonts w:cs="Arial"/>
                <w:sz w:val="20"/>
                <w:szCs w:val="20"/>
              </w:rPr>
            </w:pPr>
            <w:r w:rsidRPr="000746B9">
              <w:rPr>
                <w:rFonts w:cs="Arial"/>
                <w:sz w:val="20"/>
                <w:szCs w:val="20"/>
              </w:rPr>
              <w:t>Note 1: possibly too early now but we do need to consider UTI diagnosis and management in the pharmacy setting.</w:t>
            </w:r>
          </w:p>
          <w:p w14:paraId="20453A60" w14:textId="77777777" w:rsidR="000746B9" w:rsidRPr="000746B9" w:rsidRDefault="000746B9" w:rsidP="00DA217C">
            <w:pPr>
              <w:pStyle w:val="Paragraphnonumbers"/>
              <w:spacing w:after="120"/>
              <w:rPr>
                <w:rFonts w:cs="Arial"/>
                <w:b/>
                <w:bCs/>
                <w:sz w:val="20"/>
                <w:szCs w:val="20"/>
              </w:rPr>
            </w:pPr>
          </w:p>
        </w:tc>
        <w:tc>
          <w:tcPr>
            <w:tcW w:w="4350" w:type="dxa"/>
          </w:tcPr>
          <w:p w14:paraId="1ADD2D26" w14:textId="77777777" w:rsidR="000746B9" w:rsidRPr="000746B9" w:rsidRDefault="000746B9" w:rsidP="00DA217C">
            <w:pPr>
              <w:pStyle w:val="Paragraphnonumbers"/>
              <w:rPr>
                <w:rFonts w:cs="Arial"/>
                <w:bCs/>
                <w:sz w:val="20"/>
                <w:szCs w:val="20"/>
              </w:rPr>
            </w:pPr>
            <w:r w:rsidRPr="000746B9">
              <w:rPr>
                <w:rFonts w:cs="Arial"/>
                <w:sz w:val="20"/>
                <w:szCs w:val="20"/>
              </w:rPr>
              <w:t xml:space="preserve">We know that the use of phone consultation and digital technology has increased over the COVID-19 pandemic and will continue to play a significant part in the consultation process in primary care. Guidance specific to triage and assessment over the phone or using an application or e-consultation is important, especially if used for vulnerable older adults or others at risk for complicated UTI. </w:t>
            </w:r>
          </w:p>
        </w:tc>
        <w:tc>
          <w:tcPr>
            <w:tcW w:w="3769" w:type="dxa"/>
          </w:tcPr>
          <w:p w14:paraId="3219CE17" w14:textId="77777777" w:rsidR="000746B9" w:rsidRPr="000746B9" w:rsidRDefault="000746B9" w:rsidP="00DA217C">
            <w:pPr>
              <w:pStyle w:val="Paragraphnonumbers"/>
              <w:rPr>
                <w:rFonts w:cs="Arial"/>
                <w:sz w:val="20"/>
                <w:szCs w:val="20"/>
              </w:rPr>
            </w:pPr>
            <w:r w:rsidRPr="000746B9">
              <w:rPr>
                <w:rFonts w:cs="Arial"/>
                <w:sz w:val="20"/>
                <w:szCs w:val="20"/>
              </w:rPr>
              <w:t xml:space="preserve">Data collected was collected in March 2021 via e-survey from women aged 16-74 in England who had a UTI in the previous year. Of those who contacted a healthcare provider but did not visit a pharmacy (n=682), 67% spoke to them by phone, 16% spoke to them in person, and 8% via e-consult (publication pending). </w:t>
            </w:r>
          </w:p>
          <w:p w14:paraId="2304268B" w14:textId="77777777" w:rsidR="000746B9" w:rsidRPr="000746B9" w:rsidRDefault="000746B9" w:rsidP="00DA217C">
            <w:pPr>
              <w:pStyle w:val="Paragraphnonumbers"/>
              <w:rPr>
                <w:rFonts w:cs="Arial"/>
                <w:sz w:val="20"/>
                <w:szCs w:val="20"/>
              </w:rPr>
            </w:pPr>
          </w:p>
        </w:tc>
      </w:tr>
      <w:tr w:rsidR="000746B9" w:rsidRPr="000746B9" w14:paraId="39346FAF" w14:textId="77777777" w:rsidTr="007C6ED4">
        <w:trPr>
          <w:trHeight w:val="282"/>
        </w:trPr>
        <w:tc>
          <w:tcPr>
            <w:tcW w:w="708" w:type="dxa"/>
          </w:tcPr>
          <w:p w14:paraId="5A944DCA" w14:textId="62011378" w:rsidR="000746B9" w:rsidRPr="000746B9" w:rsidRDefault="000746B9" w:rsidP="001E506D">
            <w:pPr>
              <w:pStyle w:val="TableText1"/>
              <w:numPr>
                <w:ilvl w:val="0"/>
                <w:numId w:val="45"/>
              </w:numPr>
              <w:rPr>
                <w:rFonts w:cs="Arial"/>
                <w:sz w:val="20"/>
                <w:szCs w:val="20"/>
              </w:rPr>
            </w:pPr>
          </w:p>
        </w:tc>
        <w:tc>
          <w:tcPr>
            <w:tcW w:w="2264" w:type="dxa"/>
          </w:tcPr>
          <w:p w14:paraId="0679226A" w14:textId="77777777" w:rsidR="000746B9" w:rsidRPr="000746B9" w:rsidRDefault="000746B9" w:rsidP="00DA217C">
            <w:pPr>
              <w:pStyle w:val="TableText1"/>
              <w:rPr>
                <w:rFonts w:cs="Arial"/>
                <w:sz w:val="20"/>
                <w:szCs w:val="20"/>
              </w:rPr>
            </w:pPr>
            <w:r w:rsidRPr="000746B9">
              <w:rPr>
                <w:rFonts w:cs="Arial"/>
                <w:sz w:val="20"/>
                <w:szCs w:val="20"/>
              </w:rPr>
              <w:t>Whittington Health</w:t>
            </w:r>
          </w:p>
        </w:tc>
        <w:tc>
          <w:tcPr>
            <w:tcW w:w="3588" w:type="dxa"/>
          </w:tcPr>
          <w:p w14:paraId="702A02CA" w14:textId="77777777" w:rsidR="000746B9" w:rsidRPr="000746B9" w:rsidRDefault="000746B9" w:rsidP="00DA217C">
            <w:pPr>
              <w:pStyle w:val="TableText1"/>
              <w:rPr>
                <w:rFonts w:cs="Arial"/>
                <w:sz w:val="20"/>
                <w:szCs w:val="20"/>
              </w:rPr>
            </w:pPr>
            <w:r w:rsidRPr="000746B9">
              <w:rPr>
                <w:rFonts w:cs="Arial"/>
                <w:sz w:val="20"/>
                <w:szCs w:val="20"/>
              </w:rPr>
              <w:t>Diagnosis of UTI</w:t>
            </w:r>
          </w:p>
        </w:tc>
        <w:tc>
          <w:tcPr>
            <w:tcW w:w="4350" w:type="dxa"/>
          </w:tcPr>
          <w:p w14:paraId="16B9E7C3" w14:textId="77777777" w:rsidR="000746B9" w:rsidRPr="000746B9" w:rsidRDefault="000746B9" w:rsidP="00DA217C">
            <w:pPr>
              <w:pStyle w:val="TableText1"/>
              <w:rPr>
                <w:rFonts w:cs="Arial"/>
                <w:sz w:val="20"/>
                <w:szCs w:val="20"/>
              </w:rPr>
            </w:pPr>
            <w:r w:rsidRPr="000746B9">
              <w:rPr>
                <w:rFonts w:cs="Arial"/>
                <w:sz w:val="20"/>
                <w:szCs w:val="20"/>
              </w:rPr>
              <w:t>Much evidence has been published in the last few years regarding the diagnostic tools for UTI including dipsticks and urine culture. These tests can miss infection and hence without a reliable test there should be guidance on how to manage patients on clinical symptoms or onward referral to a specialist centre.</w:t>
            </w:r>
          </w:p>
        </w:tc>
        <w:tc>
          <w:tcPr>
            <w:tcW w:w="3769" w:type="dxa"/>
          </w:tcPr>
          <w:p w14:paraId="74FCD85D" w14:textId="77777777" w:rsidR="000746B9" w:rsidRPr="000746B9" w:rsidRDefault="000746B9" w:rsidP="00DA217C">
            <w:pPr>
              <w:pStyle w:val="EndNoteBibliography"/>
              <w:spacing w:after="0"/>
              <w:rPr>
                <w:rFonts w:ascii="Arial" w:hAnsi="Arial" w:cs="Arial"/>
                <w:sz w:val="20"/>
                <w:szCs w:val="20"/>
              </w:rPr>
            </w:pPr>
            <w:r w:rsidRPr="000746B9">
              <w:rPr>
                <w:rFonts w:ascii="Arial" w:hAnsi="Arial" w:cs="Arial"/>
                <w:sz w:val="20"/>
                <w:szCs w:val="20"/>
              </w:rPr>
              <w:t>Khasriya R, Sathiananthamoorthy S, Ismail S, Kelsey M, Wilson M, Rohn JL, et al. Spectrum of bacterial colonization associated with urothelial cells from patients with chronic lower urinary tract symptoms. J Clin Microbiol. 2013;51(7):2054-62.</w:t>
            </w:r>
          </w:p>
          <w:p w14:paraId="23054E4A" w14:textId="77777777" w:rsidR="000746B9" w:rsidRPr="000746B9" w:rsidRDefault="000746B9" w:rsidP="00DA217C">
            <w:pPr>
              <w:pStyle w:val="EndNoteBibliography"/>
              <w:spacing w:after="0"/>
              <w:rPr>
                <w:rFonts w:ascii="Arial" w:hAnsi="Arial" w:cs="Arial"/>
                <w:sz w:val="20"/>
                <w:szCs w:val="20"/>
              </w:rPr>
            </w:pPr>
            <w:r w:rsidRPr="000746B9">
              <w:rPr>
                <w:rFonts w:ascii="Arial" w:hAnsi="Arial" w:cs="Arial"/>
                <w:sz w:val="20"/>
                <w:szCs w:val="20"/>
              </w:rPr>
              <w:t xml:space="preserve">Wolfe AJ, Toh E, Shibata N, Rong R, Kenton K, Fitzgerald M, et al. Evidence of uncultivated bacteria in the adult </w:t>
            </w:r>
            <w:r w:rsidRPr="000746B9">
              <w:rPr>
                <w:rFonts w:ascii="Arial" w:hAnsi="Arial" w:cs="Arial"/>
                <w:sz w:val="20"/>
                <w:szCs w:val="20"/>
              </w:rPr>
              <w:lastRenderedPageBreak/>
              <w:t>female bladder. J Clin Microbiol. 2012;50(4):1376-83.</w:t>
            </w:r>
          </w:p>
          <w:p w14:paraId="1D9932F1" w14:textId="77777777" w:rsidR="000746B9" w:rsidRPr="000746B9" w:rsidRDefault="000746B9" w:rsidP="00DA217C">
            <w:pPr>
              <w:pStyle w:val="EndNoteBibliography"/>
              <w:spacing w:after="0"/>
              <w:rPr>
                <w:rFonts w:ascii="Arial" w:hAnsi="Arial" w:cs="Arial"/>
                <w:sz w:val="20"/>
                <w:szCs w:val="20"/>
              </w:rPr>
            </w:pPr>
          </w:p>
          <w:p w14:paraId="19441B06" w14:textId="77777777" w:rsidR="000746B9" w:rsidRPr="000746B9" w:rsidRDefault="000746B9" w:rsidP="00DA217C">
            <w:pPr>
              <w:pStyle w:val="EndNoteBibliography"/>
              <w:spacing w:after="0"/>
              <w:rPr>
                <w:rFonts w:ascii="Arial" w:hAnsi="Arial" w:cs="Arial"/>
                <w:sz w:val="20"/>
                <w:szCs w:val="20"/>
              </w:rPr>
            </w:pPr>
            <w:r w:rsidRPr="000746B9">
              <w:rPr>
                <w:rFonts w:ascii="Arial" w:hAnsi="Arial" w:cs="Arial"/>
                <w:sz w:val="20"/>
                <w:szCs w:val="20"/>
              </w:rPr>
              <w:t>Hilt EE, McKinley K, Pearce MM, Rosenfeld AB, Zilliox MJ, Mueller ER, et al. Urine is not sterile: use of enhanced urine culture techniques to detect resident bacterial flora in the adult female bladder. J Clin Microbiol. 2014;52(3):871-6.</w:t>
            </w:r>
          </w:p>
          <w:p w14:paraId="64CD75FE" w14:textId="77777777" w:rsidR="000746B9" w:rsidRPr="000746B9" w:rsidRDefault="000746B9" w:rsidP="00DA217C">
            <w:pPr>
              <w:rPr>
                <w:rFonts w:ascii="Arial" w:hAnsi="Arial" w:cs="Arial"/>
                <w:sz w:val="20"/>
                <w:szCs w:val="20"/>
              </w:rPr>
            </w:pPr>
          </w:p>
        </w:tc>
      </w:tr>
    </w:tbl>
    <w:p w14:paraId="19206081" w14:textId="2063B5D7" w:rsidR="001E506D" w:rsidRDefault="001E506D"/>
    <w:p w14:paraId="54A8FC2F" w14:textId="673482D6" w:rsidR="001E506D" w:rsidRDefault="001E506D" w:rsidP="001E506D">
      <w:pPr>
        <w:pStyle w:val="Heading4"/>
      </w:pPr>
      <w:r>
        <w:t xml:space="preserve">Diagnosing UTIs: Urine samples, </w:t>
      </w:r>
      <w:proofErr w:type="gramStart"/>
      <w:r>
        <w:t>cultures</w:t>
      </w:r>
      <w:proofErr w:type="gramEnd"/>
      <w:r>
        <w:t xml:space="preserve"> and lab testing</w:t>
      </w:r>
    </w:p>
    <w:tbl>
      <w:tblPr>
        <w:tblW w:w="1467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708"/>
        <w:gridCol w:w="2264"/>
        <w:gridCol w:w="3588"/>
        <w:gridCol w:w="4350"/>
        <w:gridCol w:w="3769"/>
      </w:tblGrid>
      <w:tr w:rsidR="00943B7D" w:rsidRPr="000746B9" w14:paraId="04CBA2A2" w14:textId="77777777" w:rsidTr="00DA217C">
        <w:trPr>
          <w:tblHeader/>
        </w:trPr>
        <w:tc>
          <w:tcPr>
            <w:tcW w:w="708" w:type="dxa"/>
            <w:shd w:val="clear" w:color="auto" w:fill="E6E6E6"/>
          </w:tcPr>
          <w:p w14:paraId="172D0A51" w14:textId="77777777" w:rsidR="00943B7D" w:rsidRPr="000746B9" w:rsidRDefault="00943B7D" w:rsidP="00DA217C">
            <w:pPr>
              <w:pStyle w:val="Heading4"/>
              <w:rPr>
                <w:rFonts w:cs="Arial"/>
                <w:sz w:val="20"/>
                <w:szCs w:val="20"/>
              </w:rPr>
            </w:pPr>
            <w:r>
              <w:rPr>
                <w:rFonts w:cs="Arial"/>
                <w:sz w:val="20"/>
                <w:szCs w:val="20"/>
              </w:rPr>
              <w:t>ID</w:t>
            </w:r>
          </w:p>
        </w:tc>
        <w:tc>
          <w:tcPr>
            <w:tcW w:w="2264" w:type="dxa"/>
            <w:shd w:val="clear" w:color="auto" w:fill="E6E6E6"/>
          </w:tcPr>
          <w:p w14:paraId="35F18BC9" w14:textId="77777777" w:rsidR="00943B7D" w:rsidRPr="000746B9" w:rsidRDefault="00943B7D" w:rsidP="00DA217C">
            <w:pPr>
              <w:pStyle w:val="Heading4"/>
              <w:rPr>
                <w:rFonts w:cs="Arial"/>
                <w:sz w:val="20"/>
                <w:szCs w:val="20"/>
              </w:rPr>
            </w:pPr>
            <w:r w:rsidRPr="000746B9">
              <w:rPr>
                <w:rFonts w:cs="Arial"/>
                <w:sz w:val="20"/>
                <w:szCs w:val="20"/>
              </w:rPr>
              <w:t>Stakeholder</w:t>
            </w:r>
          </w:p>
        </w:tc>
        <w:tc>
          <w:tcPr>
            <w:tcW w:w="3588" w:type="dxa"/>
            <w:shd w:val="clear" w:color="auto" w:fill="E6E6E6"/>
          </w:tcPr>
          <w:p w14:paraId="0E8C755F" w14:textId="77777777" w:rsidR="00943B7D" w:rsidRPr="000746B9" w:rsidRDefault="00943B7D" w:rsidP="00DA217C">
            <w:pPr>
              <w:pStyle w:val="Heading4"/>
              <w:rPr>
                <w:rFonts w:cs="Arial"/>
                <w:sz w:val="20"/>
                <w:szCs w:val="20"/>
              </w:rPr>
            </w:pPr>
            <w:r w:rsidRPr="000746B9">
              <w:rPr>
                <w:rFonts w:cs="Arial"/>
                <w:sz w:val="20"/>
                <w:szCs w:val="20"/>
              </w:rPr>
              <w:t>Key area for quality improvement</w:t>
            </w:r>
          </w:p>
        </w:tc>
        <w:tc>
          <w:tcPr>
            <w:tcW w:w="4350" w:type="dxa"/>
            <w:shd w:val="clear" w:color="auto" w:fill="E6E6E6"/>
          </w:tcPr>
          <w:p w14:paraId="3D7F70EA" w14:textId="77777777" w:rsidR="00943B7D" w:rsidRPr="000746B9" w:rsidRDefault="00943B7D" w:rsidP="00DA217C">
            <w:pPr>
              <w:pStyle w:val="Heading1"/>
              <w:rPr>
                <w:sz w:val="20"/>
                <w:szCs w:val="20"/>
              </w:rPr>
            </w:pPr>
            <w:bookmarkStart w:id="117" w:name="_Toc107929202"/>
            <w:bookmarkStart w:id="118" w:name="_Toc112833009"/>
            <w:r w:rsidRPr="000746B9">
              <w:rPr>
                <w:sz w:val="20"/>
                <w:szCs w:val="20"/>
              </w:rPr>
              <w:t>Why is this a key area for quality improvement?</w:t>
            </w:r>
            <w:bookmarkEnd w:id="117"/>
            <w:bookmarkEnd w:id="118"/>
          </w:p>
        </w:tc>
        <w:tc>
          <w:tcPr>
            <w:tcW w:w="3769" w:type="dxa"/>
            <w:shd w:val="clear" w:color="auto" w:fill="E6E6E6"/>
          </w:tcPr>
          <w:p w14:paraId="5D1B8BB6" w14:textId="77777777" w:rsidR="00943B7D" w:rsidRPr="000746B9" w:rsidRDefault="00943B7D" w:rsidP="00DA217C">
            <w:pPr>
              <w:rPr>
                <w:rFonts w:ascii="Arial" w:hAnsi="Arial" w:cs="Arial"/>
                <w:b/>
                <w:sz w:val="20"/>
                <w:szCs w:val="20"/>
              </w:rPr>
            </w:pPr>
            <w:r w:rsidRPr="000746B9">
              <w:rPr>
                <w:rFonts w:ascii="Arial" w:hAnsi="Arial" w:cs="Arial"/>
                <w:b/>
                <w:sz w:val="20"/>
                <w:szCs w:val="20"/>
              </w:rPr>
              <w:t>Supporting information</w:t>
            </w:r>
          </w:p>
        </w:tc>
      </w:tr>
      <w:tr w:rsidR="000746B9" w:rsidRPr="000746B9" w14:paraId="309A5B68" w14:textId="77777777" w:rsidTr="007C6ED4">
        <w:trPr>
          <w:trHeight w:val="282"/>
        </w:trPr>
        <w:tc>
          <w:tcPr>
            <w:tcW w:w="708" w:type="dxa"/>
          </w:tcPr>
          <w:p w14:paraId="2BAD6152" w14:textId="77777777" w:rsidR="000746B9" w:rsidRPr="000746B9" w:rsidRDefault="000746B9" w:rsidP="00E6662B">
            <w:pPr>
              <w:pStyle w:val="TableText1"/>
              <w:numPr>
                <w:ilvl w:val="0"/>
                <w:numId w:val="45"/>
              </w:numPr>
              <w:rPr>
                <w:rFonts w:cs="Arial"/>
                <w:sz w:val="20"/>
                <w:szCs w:val="20"/>
              </w:rPr>
            </w:pPr>
            <w:r w:rsidRPr="000746B9">
              <w:rPr>
                <w:rFonts w:cs="Arial"/>
                <w:sz w:val="20"/>
                <w:szCs w:val="20"/>
              </w:rPr>
              <w:t>1c</w:t>
            </w:r>
          </w:p>
        </w:tc>
        <w:tc>
          <w:tcPr>
            <w:tcW w:w="2264" w:type="dxa"/>
          </w:tcPr>
          <w:p w14:paraId="357B4AFA" w14:textId="77777777" w:rsidR="000746B9" w:rsidRPr="000746B9" w:rsidRDefault="000746B9" w:rsidP="00DA217C">
            <w:pPr>
              <w:pStyle w:val="TableText1"/>
              <w:rPr>
                <w:rFonts w:cs="Arial"/>
                <w:sz w:val="20"/>
                <w:szCs w:val="20"/>
              </w:rPr>
            </w:pPr>
            <w:r w:rsidRPr="000746B9">
              <w:rPr>
                <w:rFonts w:cs="Arial"/>
                <w:sz w:val="20"/>
                <w:szCs w:val="20"/>
              </w:rPr>
              <w:t>British Association of Urological Surgeons</w:t>
            </w:r>
          </w:p>
        </w:tc>
        <w:tc>
          <w:tcPr>
            <w:tcW w:w="3588" w:type="dxa"/>
          </w:tcPr>
          <w:p w14:paraId="55F81789" w14:textId="77777777" w:rsidR="000746B9" w:rsidRPr="000746B9" w:rsidRDefault="000746B9" w:rsidP="00DA217C">
            <w:pPr>
              <w:pStyle w:val="TableText1"/>
              <w:rPr>
                <w:rFonts w:cs="Arial"/>
                <w:sz w:val="20"/>
                <w:szCs w:val="20"/>
              </w:rPr>
            </w:pPr>
            <w:r w:rsidRPr="000746B9">
              <w:rPr>
                <w:rFonts w:cs="Arial"/>
                <w:sz w:val="20"/>
                <w:szCs w:val="20"/>
              </w:rPr>
              <w:t>Improved sensitivity for diagnostic tests in UTI</w:t>
            </w:r>
          </w:p>
        </w:tc>
        <w:tc>
          <w:tcPr>
            <w:tcW w:w="4350" w:type="dxa"/>
          </w:tcPr>
          <w:p w14:paraId="29ABBDE2" w14:textId="77777777" w:rsidR="000746B9" w:rsidRPr="000746B9" w:rsidRDefault="000746B9" w:rsidP="00DA217C">
            <w:pPr>
              <w:pStyle w:val="TableText1"/>
              <w:rPr>
                <w:rFonts w:cs="Arial"/>
                <w:sz w:val="20"/>
                <w:szCs w:val="20"/>
              </w:rPr>
            </w:pPr>
            <w:r w:rsidRPr="000746B9">
              <w:rPr>
                <w:rFonts w:cs="Arial"/>
                <w:sz w:val="20"/>
                <w:szCs w:val="20"/>
              </w:rPr>
              <w:t xml:space="preserve">Numerous studies from as far back as the 1980s have demonstrated inadequacies in conventional midstream urine culture from the point of collection to issue with the </w:t>
            </w:r>
            <w:proofErr w:type="spellStart"/>
            <w:r w:rsidRPr="000746B9">
              <w:rPr>
                <w:rFonts w:cs="Arial"/>
                <w:sz w:val="20"/>
                <w:szCs w:val="20"/>
              </w:rPr>
              <w:t>Kass</w:t>
            </w:r>
            <w:proofErr w:type="spellEnd"/>
            <w:r w:rsidRPr="000746B9">
              <w:rPr>
                <w:rFonts w:cs="Arial"/>
                <w:sz w:val="20"/>
                <w:szCs w:val="20"/>
              </w:rPr>
              <w:t xml:space="preserve"> criterion established in the 1960s leading to incorrect or inadequate diagnosis. </w:t>
            </w:r>
            <w:proofErr w:type="spellStart"/>
            <w:r w:rsidRPr="000746B9">
              <w:rPr>
                <w:rFonts w:cs="Arial"/>
                <w:sz w:val="20"/>
                <w:szCs w:val="20"/>
              </w:rPr>
              <w:t>Kass</w:t>
            </w:r>
            <w:proofErr w:type="spellEnd"/>
            <w:r w:rsidRPr="000746B9">
              <w:rPr>
                <w:rFonts w:cs="Arial"/>
                <w:sz w:val="20"/>
                <w:szCs w:val="20"/>
              </w:rPr>
              <w:t xml:space="preserve"> defined as the presence of 10</w:t>
            </w:r>
            <w:r w:rsidRPr="000746B9">
              <w:rPr>
                <w:rFonts w:cs="Arial"/>
                <w:sz w:val="20"/>
                <w:szCs w:val="20"/>
                <w:vertAlign w:val="superscript"/>
              </w:rPr>
              <w:t>5</w:t>
            </w:r>
            <w:r w:rsidRPr="000746B9">
              <w:rPr>
                <w:rFonts w:cs="Arial"/>
                <w:sz w:val="20"/>
                <w:szCs w:val="20"/>
              </w:rPr>
              <w:t xml:space="preserve"> or more colony forming units (CFU) per ml of urine but bacterial counts of 10</w:t>
            </w:r>
            <w:r w:rsidRPr="000746B9">
              <w:rPr>
                <w:rFonts w:cs="Arial"/>
                <w:sz w:val="20"/>
                <w:szCs w:val="20"/>
                <w:vertAlign w:val="superscript"/>
              </w:rPr>
              <w:t>2</w:t>
            </w:r>
            <w:r w:rsidRPr="000746B9">
              <w:rPr>
                <w:rFonts w:cs="Arial"/>
                <w:sz w:val="20"/>
                <w:szCs w:val="20"/>
              </w:rPr>
              <w:t xml:space="preserve"> or more organism per ml (particularly when accompanied by pyuria) still give signs and symptoms clinically consistent with UTI. The Infectious Disease Society of America (IDSA) for example recommends 10</w:t>
            </w:r>
            <w:r w:rsidRPr="000746B9">
              <w:rPr>
                <w:rFonts w:cs="Arial"/>
                <w:sz w:val="20"/>
                <w:szCs w:val="20"/>
                <w:vertAlign w:val="superscript"/>
              </w:rPr>
              <w:t>3</w:t>
            </w:r>
            <w:r w:rsidRPr="000746B9">
              <w:rPr>
                <w:rFonts w:cs="Arial"/>
                <w:sz w:val="20"/>
                <w:szCs w:val="20"/>
              </w:rPr>
              <w:t xml:space="preserve"> organisms per ml to </w:t>
            </w:r>
            <w:r w:rsidRPr="000746B9">
              <w:rPr>
                <w:rFonts w:cs="Arial"/>
                <w:sz w:val="20"/>
                <w:szCs w:val="20"/>
              </w:rPr>
              <w:lastRenderedPageBreak/>
              <w:t>diagnose cystitis and 10</w:t>
            </w:r>
            <w:r w:rsidRPr="000746B9">
              <w:rPr>
                <w:rFonts w:cs="Arial"/>
                <w:sz w:val="20"/>
                <w:szCs w:val="20"/>
                <w:vertAlign w:val="superscript"/>
              </w:rPr>
              <w:t>4</w:t>
            </w:r>
            <w:r w:rsidRPr="000746B9">
              <w:rPr>
                <w:rFonts w:cs="Arial"/>
                <w:sz w:val="20"/>
                <w:szCs w:val="20"/>
              </w:rPr>
              <w:t xml:space="preserve"> per ml for pyelonephritis which gives better sensitivity, adoption of the same threshold in the UK would go some way towards improving sensitivity. Other more sensitive techniques are also </w:t>
            </w:r>
            <w:proofErr w:type="gramStart"/>
            <w:r w:rsidRPr="000746B9">
              <w:rPr>
                <w:rFonts w:cs="Arial"/>
                <w:sz w:val="20"/>
                <w:szCs w:val="20"/>
              </w:rPr>
              <w:t>described</w:t>
            </w:r>
            <w:proofErr w:type="gramEnd"/>
            <w:r w:rsidRPr="000746B9">
              <w:rPr>
                <w:rFonts w:cs="Arial"/>
                <w:sz w:val="20"/>
                <w:szCs w:val="20"/>
              </w:rPr>
              <w:t xml:space="preserve"> and consideration should be given to their use in appropriate cases.</w:t>
            </w:r>
          </w:p>
        </w:tc>
        <w:tc>
          <w:tcPr>
            <w:tcW w:w="3769" w:type="dxa"/>
          </w:tcPr>
          <w:p w14:paraId="3CA05C25" w14:textId="77777777" w:rsidR="000746B9" w:rsidRPr="000746B9" w:rsidRDefault="00AC503C" w:rsidP="00DA217C">
            <w:pPr>
              <w:pStyle w:val="Paragraphnonumbers"/>
              <w:rPr>
                <w:rFonts w:cs="Arial"/>
                <w:sz w:val="20"/>
                <w:szCs w:val="20"/>
              </w:rPr>
            </w:pPr>
            <w:hyperlink r:id="rId60" w:history="1">
              <w:r w:rsidR="000746B9" w:rsidRPr="000746B9">
                <w:rPr>
                  <w:rStyle w:val="Hyperlink"/>
                  <w:rFonts w:cs="Arial"/>
                  <w:sz w:val="20"/>
                  <w:szCs w:val="20"/>
                </w:rPr>
                <w:t>https://pubmed.ncbi.nlm.nih.gov/26962083/</w:t>
              </w:r>
            </w:hyperlink>
          </w:p>
          <w:p w14:paraId="6EFBD77F" w14:textId="77777777" w:rsidR="000746B9" w:rsidRPr="000746B9" w:rsidRDefault="00AC503C" w:rsidP="00DA217C">
            <w:pPr>
              <w:pStyle w:val="Paragraphnonumbers"/>
              <w:rPr>
                <w:rFonts w:cs="Arial"/>
                <w:sz w:val="20"/>
                <w:szCs w:val="20"/>
              </w:rPr>
            </w:pPr>
            <w:hyperlink r:id="rId61" w:history="1">
              <w:r w:rsidR="000746B9" w:rsidRPr="000746B9">
                <w:rPr>
                  <w:rStyle w:val="Hyperlink"/>
                  <w:rFonts w:cs="Arial"/>
                  <w:sz w:val="20"/>
                  <w:szCs w:val="20"/>
                </w:rPr>
                <w:t>https://pubmed.ncbi.nlm.nih.gov/30541935/</w:t>
              </w:r>
            </w:hyperlink>
          </w:p>
          <w:p w14:paraId="4E871E18" w14:textId="77777777" w:rsidR="000746B9" w:rsidRPr="000746B9" w:rsidRDefault="000746B9" w:rsidP="00DA217C">
            <w:pPr>
              <w:pStyle w:val="TableText1"/>
              <w:rPr>
                <w:rFonts w:cs="Arial"/>
                <w:sz w:val="20"/>
                <w:szCs w:val="20"/>
              </w:rPr>
            </w:pPr>
          </w:p>
        </w:tc>
      </w:tr>
      <w:tr w:rsidR="000746B9" w:rsidRPr="000746B9" w14:paraId="39C7D162" w14:textId="77777777" w:rsidTr="007C6ED4">
        <w:trPr>
          <w:trHeight w:val="282"/>
        </w:trPr>
        <w:tc>
          <w:tcPr>
            <w:tcW w:w="708" w:type="dxa"/>
          </w:tcPr>
          <w:p w14:paraId="2CB172B5" w14:textId="77777777" w:rsidR="000746B9" w:rsidRPr="000746B9" w:rsidRDefault="000746B9" w:rsidP="00E6662B">
            <w:pPr>
              <w:pStyle w:val="TableText1"/>
              <w:numPr>
                <w:ilvl w:val="0"/>
                <w:numId w:val="45"/>
              </w:numPr>
              <w:rPr>
                <w:rFonts w:cs="Arial"/>
                <w:sz w:val="20"/>
                <w:szCs w:val="20"/>
              </w:rPr>
            </w:pPr>
            <w:r w:rsidRPr="000746B9">
              <w:rPr>
                <w:rFonts w:cs="Arial"/>
                <w:sz w:val="20"/>
                <w:szCs w:val="20"/>
              </w:rPr>
              <w:t>1c</w:t>
            </w:r>
          </w:p>
        </w:tc>
        <w:tc>
          <w:tcPr>
            <w:tcW w:w="2264" w:type="dxa"/>
          </w:tcPr>
          <w:p w14:paraId="2E8A5FFF" w14:textId="77777777" w:rsidR="000746B9" w:rsidRPr="000746B9" w:rsidRDefault="000746B9" w:rsidP="00DA217C">
            <w:pPr>
              <w:pStyle w:val="TableText1"/>
              <w:rPr>
                <w:rFonts w:cs="Arial"/>
                <w:sz w:val="20"/>
                <w:szCs w:val="20"/>
              </w:rPr>
            </w:pPr>
            <w:r w:rsidRPr="000746B9">
              <w:rPr>
                <w:rFonts w:cs="Arial"/>
                <w:sz w:val="20"/>
                <w:szCs w:val="20"/>
              </w:rPr>
              <w:t>British Infection Association</w:t>
            </w:r>
          </w:p>
        </w:tc>
        <w:tc>
          <w:tcPr>
            <w:tcW w:w="3588" w:type="dxa"/>
          </w:tcPr>
          <w:p w14:paraId="0D91961A" w14:textId="77777777" w:rsidR="000746B9" w:rsidRPr="000746B9" w:rsidRDefault="000746B9" w:rsidP="00DA217C">
            <w:pPr>
              <w:pStyle w:val="Paragraphnonumbers"/>
              <w:spacing w:after="120"/>
              <w:rPr>
                <w:rFonts w:cs="Arial"/>
                <w:b/>
                <w:bCs/>
                <w:sz w:val="20"/>
                <w:szCs w:val="20"/>
              </w:rPr>
            </w:pPr>
            <w:r w:rsidRPr="000746B9">
              <w:rPr>
                <w:rFonts w:cs="Arial"/>
                <w:sz w:val="20"/>
                <w:szCs w:val="20"/>
              </w:rPr>
              <w:t>Targeted use of urine culture in primary care</w:t>
            </w:r>
          </w:p>
        </w:tc>
        <w:tc>
          <w:tcPr>
            <w:tcW w:w="4350" w:type="dxa"/>
          </w:tcPr>
          <w:p w14:paraId="25381C78" w14:textId="77777777" w:rsidR="000746B9" w:rsidRPr="000746B9" w:rsidRDefault="000746B9" w:rsidP="00DA217C">
            <w:pPr>
              <w:pStyle w:val="Paragraphnonumbers"/>
              <w:rPr>
                <w:rFonts w:cs="Arial"/>
                <w:sz w:val="20"/>
                <w:szCs w:val="20"/>
              </w:rPr>
            </w:pPr>
            <w:r w:rsidRPr="000746B9">
              <w:rPr>
                <w:rFonts w:cs="Arial"/>
                <w:sz w:val="20"/>
                <w:szCs w:val="20"/>
              </w:rPr>
              <w:t xml:space="preserve">There is large variation in the use of urine culture in primary care. High usage is often due to submission of specimens that are not clinically indicated, often through misinterpretation of urinary dipstick results. This practice </w:t>
            </w:r>
            <w:proofErr w:type="gramStart"/>
            <w:r w:rsidRPr="000746B9">
              <w:rPr>
                <w:rFonts w:cs="Arial"/>
                <w:sz w:val="20"/>
                <w:szCs w:val="20"/>
              </w:rPr>
              <w:t>is :</w:t>
            </w:r>
            <w:proofErr w:type="gramEnd"/>
          </w:p>
          <w:p w14:paraId="74A8E3D5" w14:textId="77777777" w:rsidR="000746B9" w:rsidRPr="000746B9" w:rsidRDefault="000746B9" w:rsidP="007C6ED4">
            <w:pPr>
              <w:pStyle w:val="Paragraphnonumbers"/>
              <w:numPr>
                <w:ilvl w:val="0"/>
                <w:numId w:val="39"/>
              </w:numPr>
              <w:rPr>
                <w:rFonts w:cs="Arial"/>
                <w:sz w:val="20"/>
                <w:szCs w:val="20"/>
              </w:rPr>
            </w:pPr>
            <w:r w:rsidRPr="000746B9">
              <w:rPr>
                <w:rFonts w:cs="Arial"/>
                <w:sz w:val="20"/>
                <w:szCs w:val="20"/>
              </w:rPr>
              <w:t>Expensive</w:t>
            </w:r>
          </w:p>
          <w:p w14:paraId="0E396415" w14:textId="77777777" w:rsidR="000746B9" w:rsidRPr="000746B9" w:rsidRDefault="000746B9" w:rsidP="007C6ED4">
            <w:pPr>
              <w:pStyle w:val="Paragraphnonumbers"/>
              <w:numPr>
                <w:ilvl w:val="0"/>
                <w:numId w:val="39"/>
              </w:numPr>
              <w:rPr>
                <w:rFonts w:cs="Arial"/>
                <w:sz w:val="20"/>
                <w:szCs w:val="20"/>
              </w:rPr>
            </w:pPr>
            <w:r w:rsidRPr="000746B9">
              <w:rPr>
                <w:rFonts w:cs="Arial"/>
                <w:sz w:val="20"/>
                <w:szCs w:val="20"/>
              </w:rPr>
              <w:t>Leads to unnecessary prescribing of antibiotics</w:t>
            </w:r>
          </w:p>
          <w:p w14:paraId="4AC13D4A" w14:textId="77777777" w:rsidR="000746B9" w:rsidRPr="000746B9" w:rsidRDefault="000746B9" w:rsidP="007C6ED4">
            <w:pPr>
              <w:pStyle w:val="Paragraphnonumbers"/>
              <w:numPr>
                <w:ilvl w:val="0"/>
                <w:numId w:val="39"/>
              </w:numPr>
              <w:rPr>
                <w:rFonts w:cs="Arial"/>
                <w:sz w:val="20"/>
                <w:szCs w:val="20"/>
              </w:rPr>
            </w:pPr>
            <w:r w:rsidRPr="000746B9">
              <w:rPr>
                <w:rFonts w:cs="Arial"/>
                <w:sz w:val="20"/>
                <w:szCs w:val="20"/>
              </w:rPr>
              <w:t>Reduces the value of indicated specimens</w:t>
            </w:r>
          </w:p>
          <w:p w14:paraId="72591A8B" w14:textId="77777777" w:rsidR="000746B9" w:rsidRPr="000746B9" w:rsidRDefault="000746B9" w:rsidP="00DA217C">
            <w:pPr>
              <w:pStyle w:val="Paragraphnonumbers"/>
              <w:rPr>
                <w:rFonts w:cs="Arial"/>
                <w:bCs/>
                <w:sz w:val="20"/>
                <w:szCs w:val="20"/>
              </w:rPr>
            </w:pPr>
          </w:p>
        </w:tc>
        <w:tc>
          <w:tcPr>
            <w:tcW w:w="3769" w:type="dxa"/>
          </w:tcPr>
          <w:p w14:paraId="5F5C3E74" w14:textId="77777777" w:rsidR="000746B9" w:rsidRPr="000746B9" w:rsidRDefault="000746B9" w:rsidP="00DA217C">
            <w:pPr>
              <w:pStyle w:val="Paragraphnonumbers"/>
              <w:rPr>
                <w:rFonts w:cs="Arial"/>
                <w:sz w:val="20"/>
                <w:szCs w:val="20"/>
              </w:rPr>
            </w:pPr>
            <w:bookmarkStart w:id="119" w:name="_Hlk107579604"/>
            <w:r w:rsidRPr="000746B9">
              <w:rPr>
                <w:rFonts w:cs="Arial"/>
                <w:sz w:val="20"/>
                <w:szCs w:val="20"/>
              </w:rPr>
              <w:t>The pathology GIRFT report (</w:t>
            </w:r>
            <w:hyperlink r:id="rId62" w:history="1">
              <w:r w:rsidRPr="000746B9">
                <w:rPr>
                  <w:rStyle w:val="Hyperlink"/>
                  <w:rFonts w:cs="Arial"/>
                  <w:sz w:val="20"/>
                  <w:szCs w:val="20"/>
                </w:rPr>
                <w:t>https://www.gettingitrightfirsttime.co.uk/clinical-work-stream/pathology/</w:t>
              </w:r>
            </w:hyperlink>
            <w:r w:rsidRPr="000746B9">
              <w:rPr>
                <w:rFonts w:cs="Arial"/>
                <w:sz w:val="20"/>
                <w:szCs w:val="20"/>
              </w:rPr>
              <w:t xml:space="preserve">) shows that use of primary care urine varies significantly. Median 105 specimens per 1000 list size; best quartile 88 specimens per 1000 list size. </w:t>
            </w:r>
          </w:p>
          <w:bookmarkEnd w:id="119"/>
          <w:p w14:paraId="70D4E0FF" w14:textId="77777777" w:rsidR="000746B9" w:rsidRPr="000746B9" w:rsidRDefault="000746B9" w:rsidP="00DA217C">
            <w:pPr>
              <w:pStyle w:val="Paragraphnonumbers"/>
              <w:rPr>
                <w:rFonts w:cs="Arial"/>
                <w:sz w:val="20"/>
                <w:szCs w:val="20"/>
              </w:rPr>
            </w:pPr>
          </w:p>
          <w:p w14:paraId="31C89651" w14:textId="77777777" w:rsidR="000746B9" w:rsidRPr="000746B9" w:rsidRDefault="000746B9" w:rsidP="00DA217C">
            <w:pPr>
              <w:pStyle w:val="Paragraphnonumbers"/>
              <w:rPr>
                <w:rFonts w:cs="Arial"/>
                <w:sz w:val="20"/>
                <w:szCs w:val="20"/>
              </w:rPr>
            </w:pPr>
            <w:r w:rsidRPr="000746B9">
              <w:rPr>
                <w:rFonts w:cs="Arial"/>
                <w:sz w:val="20"/>
                <w:szCs w:val="20"/>
              </w:rPr>
              <w:t xml:space="preserve">GIRFT deep dives have shown that localities that have improved use of urine diagnostics generally </w:t>
            </w:r>
            <w:proofErr w:type="gramStart"/>
            <w:r w:rsidRPr="000746B9">
              <w:rPr>
                <w:rFonts w:cs="Arial"/>
                <w:sz w:val="20"/>
                <w:szCs w:val="20"/>
              </w:rPr>
              <w:t>had :</w:t>
            </w:r>
            <w:proofErr w:type="gramEnd"/>
          </w:p>
          <w:p w14:paraId="773B68AE" w14:textId="77777777" w:rsidR="000746B9" w:rsidRPr="000746B9" w:rsidRDefault="000746B9" w:rsidP="007C6ED4">
            <w:pPr>
              <w:pStyle w:val="Paragraphnonumbers"/>
              <w:numPr>
                <w:ilvl w:val="0"/>
                <w:numId w:val="39"/>
              </w:numPr>
              <w:rPr>
                <w:rFonts w:cs="Arial"/>
                <w:sz w:val="20"/>
                <w:szCs w:val="20"/>
              </w:rPr>
            </w:pPr>
            <w:r w:rsidRPr="000746B9">
              <w:rPr>
                <w:rFonts w:cs="Arial"/>
                <w:sz w:val="20"/>
                <w:szCs w:val="20"/>
              </w:rPr>
              <w:t>Strong outreach programme between microbiology and users, particularly focussing on interpretation of dipstick results in non-infection scenarios (</w:t>
            </w:r>
            <w:proofErr w:type="spellStart"/>
            <w:r w:rsidRPr="000746B9">
              <w:rPr>
                <w:rFonts w:cs="Arial"/>
                <w:sz w:val="20"/>
                <w:szCs w:val="20"/>
              </w:rPr>
              <w:t>eg.</w:t>
            </w:r>
            <w:proofErr w:type="spellEnd"/>
            <w:r w:rsidRPr="000746B9">
              <w:rPr>
                <w:rFonts w:cs="Arial"/>
                <w:sz w:val="20"/>
                <w:szCs w:val="20"/>
              </w:rPr>
              <w:t xml:space="preserve"> Chronic disease monitoring)</w:t>
            </w:r>
          </w:p>
          <w:p w14:paraId="3D2BD173" w14:textId="77777777" w:rsidR="000746B9" w:rsidRPr="000746B9" w:rsidRDefault="000746B9" w:rsidP="007C6ED4">
            <w:pPr>
              <w:pStyle w:val="Paragraphnonumbers"/>
              <w:numPr>
                <w:ilvl w:val="0"/>
                <w:numId w:val="39"/>
              </w:numPr>
              <w:rPr>
                <w:rFonts w:cs="Arial"/>
                <w:sz w:val="20"/>
                <w:szCs w:val="20"/>
              </w:rPr>
            </w:pPr>
            <w:r w:rsidRPr="000746B9">
              <w:rPr>
                <w:rFonts w:cs="Arial"/>
                <w:sz w:val="20"/>
                <w:szCs w:val="20"/>
              </w:rPr>
              <w:t>Clear specimen acceptance criteria</w:t>
            </w:r>
          </w:p>
          <w:p w14:paraId="550EF487" w14:textId="77777777" w:rsidR="000746B9" w:rsidRPr="000746B9" w:rsidRDefault="000746B9" w:rsidP="00DA217C">
            <w:pPr>
              <w:pStyle w:val="Paragraphnonumbers"/>
              <w:rPr>
                <w:rFonts w:cs="Arial"/>
                <w:sz w:val="20"/>
                <w:szCs w:val="20"/>
              </w:rPr>
            </w:pPr>
            <w:r w:rsidRPr="000746B9">
              <w:rPr>
                <w:rFonts w:cs="Arial"/>
                <w:sz w:val="20"/>
                <w:szCs w:val="20"/>
              </w:rPr>
              <w:lastRenderedPageBreak/>
              <w:t xml:space="preserve">Promoted initiatives such as “To Dip or Not </w:t>
            </w:r>
            <w:proofErr w:type="gramStart"/>
            <w:r w:rsidRPr="000746B9">
              <w:rPr>
                <w:rFonts w:cs="Arial"/>
                <w:sz w:val="20"/>
                <w:szCs w:val="20"/>
              </w:rPr>
              <w:t>To</w:t>
            </w:r>
            <w:proofErr w:type="gramEnd"/>
            <w:r w:rsidRPr="000746B9">
              <w:rPr>
                <w:rFonts w:cs="Arial"/>
                <w:sz w:val="20"/>
                <w:szCs w:val="20"/>
              </w:rPr>
              <w:t xml:space="preserve"> Dip” in nursing homes</w:t>
            </w:r>
          </w:p>
        </w:tc>
      </w:tr>
      <w:tr w:rsidR="000746B9" w:rsidRPr="000746B9" w14:paraId="3564DA5C" w14:textId="77777777" w:rsidTr="007C6ED4">
        <w:trPr>
          <w:trHeight w:val="282"/>
        </w:trPr>
        <w:tc>
          <w:tcPr>
            <w:tcW w:w="708" w:type="dxa"/>
          </w:tcPr>
          <w:p w14:paraId="41B87D7C" w14:textId="77777777" w:rsidR="000746B9" w:rsidRPr="000746B9" w:rsidRDefault="000746B9" w:rsidP="00E6662B">
            <w:pPr>
              <w:pStyle w:val="TableText1"/>
              <w:numPr>
                <w:ilvl w:val="0"/>
                <w:numId w:val="45"/>
              </w:numPr>
              <w:rPr>
                <w:rFonts w:cs="Arial"/>
                <w:sz w:val="20"/>
                <w:szCs w:val="20"/>
              </w:rPr>
            </w:pPr>
            <w:r w:rsidRPr="000746B9">
              <w:rPr>
                <w:rFonts w:cs="Arial"/>
                <w:sz w:val="20"/>
                <w:szCs w:val="20"/>
              </w:rPr>
              <w:lastRenderedPageBreak/>
              <w:t>1c</w:t>
            </w:r>
          </w:p>
        </w:tc>
        <w:tc>
          <w:tcPr>
            <w:tcW w:w="2264" w:type="dxa"/>
          </w:tcPr>
          <w:p w14:paraId="5DB2D291" w14:textId="77777777" w:rsidR="000746B9" w:rsidRPr="000746B9" w:rsidRDefault="000746B9" w:rsidP="00DA217C">
            <w:pPr>
              <w:pStyle w:val="TableText1"/>
              <w:rPr>
                <w:rFonts w:cs="Arial"/>
                <w:sz w:val="20"/>
                <w:szCs w:val="20"/>
              </w:rPr>
            </w:pPr>
            <w:r w:rsidRPr="000746B9">
              <w:rPr>
                <w:rFonts w:cs="Arial"/>
                <w:sz w:val="20"/>
                <w:szCs w:val="20"/>
              </w:rPr>
              <w:t>Cardiff University</w:t>
            </w:r>
          </w:p>
        </w:tc>
        <w:tc>
          <w:tcPr>
            <w:tcW w:w="3588" w:type="dxa"/>
          </w:tcPr>
          <w:p w14:paraId="3044DA52" w14:textId="77777777" w:rsidR="000746B9" w:rsidRPr="000746B9" w:rsidRDefault="000746B9" w:rsidP="00DA217C">
            <w:pPr>
              <w:pStyle w:val="TableText1"/>
              <w:rPr>
                <w:rFonts w:cs="Arial"/>
                <w:sz w:val="20"/>
                <w:szCs w:val="20"/>
              </w:rPr>
            </w:pPr>
            <w:r w:rsidRPr="000746B9">
              <w:rPr>
                <w:rFonts w:cs="Arial"/>
                <w:sz w:val="20"/>
                <w:szCs w:val="20"/>
              </w:rPr>
              <w:t>Diagnosis of UTI vs asymptomatic bacteriuria in adults aged over 65</w:t>
            </w:r>
          </w:p>
        </w:tc>
        <w:tc>
          <w:tcPr>
            <w:tcW w:w="4350" w:type="dxa"/>
          </w:tcPr>
          <w:p w14:paraId="5C7846DE" w14:textId="77777777" w:rsidR="000746B9" w:rsidRPr="000746B9" w:rsidRDefault="000746B9" w:rsidP="00DA217C">
            <w:pPr>
              <w:pStyle w:val="Paragraphnonumbers"/>
              <w:rPr>
                <w:rFonts w:cs="Arial"/>
                <w:sz w:val="20"/>
                <w:szCs w:val="20"/>
              </w:rPr>
            </w:pPr>
            <w:r w:rsidRPr="000746B9">
              <w:rPr>
                <w:rFonts w:cs="Arial"/>
                <w:sz w:val="20"/>
                <w:szCs w:val="20"/>
              </w:rPr>
              <w:t xml:space="preserve">Guidance is to not use dipsticks in &gt;65 but to send a sample for culture. </w:t>
            </w:r>
          </w:p>
          <w:p w14:paraId="0D438CA4" w14:textId="77777777" w:rsidR="000746B9" w:rsidRPr="000746B9" w:rsidRDefault="000746B9" w:rsidP="00DA217C">
            <w:pPr>
              <w:pStyle w:val="TableText1"/>
              <w:rPr>
                <w:rFonts w:cs="Arial"/>
                <w:sz w:val="20"/>
                <w:szCs w:val="20"/>
              </w:rPr>
            </w:pPr>
            <w:r w:rsidRPr="000746B9">
              <w:rPr>
                <w:rFonts w:cs="Arial"/>
                <w:sz w:val="20"/>
                <w:szCs w:val="20"/>
              </w:rPr>
              <w:t>How to distinguish UTI vs asymptomatic bacteriuria + alternative cause of symptoms</w:t>
            </w:r>
          </w:p>
        </w:tc>
        <w:tc>
          <w:tcPr>
            <w:tcW w:w="3769" w:type="dxa"/>
          </w:tcPr>
          <w:p w14:paraId="737728D2" w14:textId="77777777" w:rsidR="000746B9" w:rsidRPr="000746B9" w:rsidRDefault="000746B9" w:rsidP="00DA217C">
            <w:pPr>
              <w:pStyle w:val="Paragraphnonumbers"/>
              <w:rPr>
                <w:rFonts w:cs="Arial"/>
                <w:sz w:val="20"/>
                <w:szCs w:val="20"/>
              </w:rPr>
            </w:pPr>
            <w:r w:rsidRPr="000746B9">
              <w:rPr>
                <w:rFonts w:cs="Arial"/>
                <w:sz w:val="20"/>
                <w:szCs w:val="20"/>
              </w:rPr>
              <w:t xml:space="preserve">NICE CKS UTI (lower) in adult women </w:t>
            </w:r>
          </w:p>
          <w:p w14:paraId="3D65F7CD" w14:textId="77777777" w:rsidR="000746B9" w:rsidRPr="000746B9" w:rsidRDefault="000746B9" w:rsidP="00DA217C">
            <w:pPr>
              <w:pStyle w:val="Paragraphnonumbers"/>
              <w:rPr>
                <w:rFonts w:cs="Arial"/>
                <w:sz w:val="20"/>
                <w:szCs w:val="20"/>
              </w:rPr>
            </w:pPr>
            <w:r w:rsidRPr="000746B9">
              <w:rPr>
                <w:rFonts w:cs="Arial"/>
                <w:sz w:val="20"/>
                <w:szCs w:val="20"/>
              </w:rPr>
              <w:t>NICE CKS UTI (lower) in men</w:t>
            </w:r>
          </w:p>
          <w:p w14:paraId="0BE04287" w14:textId="77777777" w:rsidR="000746B9" w:rsidRPr="000746B9" w:rsidRDefault="000746B9" w:rsidP="00DA217C">
            <w:pPr>
              <w:pStyle w:val="TableText1"/>
              <w:rPr>
                <w:rFonts w:cs="Arial"/>
                <w:sz w:val="20"/>
                <w:szCs w:val="20"/>
              </w:rPr>
            </w:pPr>
          </w:p>
        </w:tc>
      </w:tr>
      <w:tr w:rsidR="000746B9" w:rsidRPr="000746B9" w14:paraId="34CA6175" w14:textId="77777777" w:rsidTr="007C6ED4">
        <w:trPr>
          <w:trHeight w:val="282"/>
        </w:trPr>
        <w:tc>
          <w:tcPr>
            <w:tcW w:w="708" w:type="dxa"/>
          </w:tcPr>
          <w:p w14:paraId="7919C06D" w14:textId="77777777" w:rsidR="000746B9" w:rsidRPr="000746B9" w:rsidRDefault="000746B9" w:rsidP="00E6662B">
            <w:pPr>
              <w:pStyle w:val="TableText1"/>
              <w:numPr>
                <w:ilvl w:val="0"/>
                <w:numId w:val="45"/>
              </w:numPr>
              <w:rPr>
                <w:rFonts w:cs="Arial"/>
                <w:sz w:val="20"/>
                <w:szCs w:val="20"/>
              </w:rPr>
            </w:pPr>
            <w:r w:rsidRPr="000746B9">
              <w:rPr>
                <w:rFonts w:cs="Arial"/>
                <w:sz w:val="20"/>
                <w:szCs w:val="20"/>
              </w:rPr>
              <w:t>1c</w:t>
            </w:r>
          </w:p>
        </w:tc>
        <w:tc>
          <w:tcPr>
            <w:tcW w:w="2264" w:type="dxa"/>
          </w:tcPr>
          <w:p w14:paraId="6BF820F6" w14:textId="77777777" w:rsidR="000746B9" w:rsidRPr="000746B9" w:rsidRDefault="000746B9" w:rsidP="00DA217C">
            <w:pPr>
              <w:pStyle w:val="TableText1"/>
              <w:rPr>
                <w:rFonts w:cs="Arial"/>
                <w:sz w:val="20"/>
                <w:szCs w:val="20"/>
              </w:rPr>
            </w:pPr>
            <w:r w:rsidRPr="000746B9">
              <w:rPr>
                <w:rFonts w:cs="Arial"/>
                <w:sz w:val="20"/>
                <w:szCs w:val="20"/>
              </w:rPr>
              <w:t>NHS England and NHS Improvement</w:t>
            </w:r>
          </w:p>
        </w:tc>
        <w:tc>
          <w:tcPr>
            <w:tcW w:w="3588" w:type="dxa"/>
          </w:tcPr>
          <w:p w14:paraId="291577E0" w14:textId="77777777" w:rsidR="000746B9" w:rsidRPr="000746B9" w:rsidRDefault="000746B9" w:rsidP="00DA217C">
            <w:pPr>
              <w:pStyle w:val="Paragraphnonumbers"/>
              <w:spacing w:after="120"/>
              <w:rPr>
                <w:rFonts w:cs="Arial"/>
                <w:color w:val="0E0E0E"/>
                <w:sz w:val="20"/>
                <w:szCs w:val="20"/>
                <w:shd w:val="clear" w:color="auto" w:fill="FAFAFB"/>
              </w:rPr>
            </w:pPr>
            <w:r w:rsidRPr="000746B9">
              <w:rPr>
                <w:rFonts w:cs="Arial"/>
                <w:color w:val="0E0E0E"/>
                <w:sz w:val="20"/>
                <w:szCs w:val="20"/>
                <w:shd w:val="clear" w:color="auto" w:fill="FAFAFB"/>
              </w:rPr>
              <w:t>Obtain a midstream urine sample from pregnant women and men before antibiotics are taken and send for culture and susceptibility testing.</w:t>
            </w:r>
          </w:p>
          <w:p w14:paraId="37A4A59E" w14:textId="77777777" w:rsidR="000746B9" w:rsidRPr="000746B9" w:rsidRDefault="000746B9" w:rsidP="00DA217C">
            <w:pPr>
              <w:pStyle w:val="Paragraphnonumbers"/>
              <w:spacing w:after="120"/>
              <w:rPr>
                <w:rFonts w:cs="Arial"/>
                <w:color w:val="0E0E0E"/>
                <w:sz w:val="20"/>
                <w:szCs w:val="20"/>
                <w:shd w:val="clear" w:color="auto" w:fill="FAFAFB"/>
              </w:rPr>
            </w:pPr>
          </w:p>
          <w:p w14:paraId="42725EB0" w14:textId="77777777" w:rsidR="000746B9" w:rsidRPr="000746B9" w:rsidRDefault="000746B9" w:rsidP="00DA217C">
            <w:pPr>
              <w:pStyle w:val="Paragraphnonumbers"/>
              <w:rPr>
                <w:rFonts w:cs="Arial"/>
                <w:sz w:val="20"/>
                <w:szCs w:val="20"/>
              </w:rPr>
            </w:pPr>
            <w:r w:rsidRPr="000746B9">
              <w:rPr>
                <w:rFonts w:cs="Arial"/>
                <w:sz w:val="20"/>
                <w:szCs w:val="20"/>
              </w:rPr>
              <w:t>Numerator= Number of men and pregnant women with symptoms of UTI with a documented sample sent for culture and sensitivity</w:t>
            </w:r>
          </w:p>
          <w:p w14:paraId="38A759EF" w14:textId="77777777" w:rsidR="000746B9" w:rsidRPr="000746B9" w:rsidRDefault="000746B9" w:rsidP="00DA217C">
            <w:pPr>
              <w:pStyle w:val="TableText1"/>
              <w:rPr>
                <w:rFonts w:cs="Arial"/>
                <w:sz w:val="20"/>
                <w:szCs w:val="20"/>
              </w:rPr>
            </w:pPr>
            <w:r w:rsidRPr="000746B9">
              <w:rPr>
                <w:rFonts w:cs="Arial"/>
                <w:sz w:val="20"/>
                <w:szCs w:val="20"/>
              </w:rPr>
              <w:t>Denominator= Number of men and pregnant women with symptoms of UTI prescribed an antibiotic</w:t>
            </w:r>
          </w:p>
        </w:tc>
        <w:bookmarkStart w:id="120" w:name="_Hlk107582520"/>
        <w:tc>
          <w:tcPr>
            <w:tcW w:w="4350" w:type="dxa"/>
          </w:tcPr>
          <w:p w14:paraId="0731F10E" w14:textId="77777777" w:rsidR="000746B9" w:rsidRPr="000746B9" w:rsidRDefault="000746B9" w:rsidP="00DA217C">
            <w:pPr>
              <w:pStyle w:val="Paragraphnonumbers"/>
              <w:rPr>
                <w:rFonts w:cs="Arial"/>
                <w:sz w:val="20"/>
                <w:szCs w:val="20"/>
              </w:rPr>
            </w:pPr>
            <w:r w:rsidRPr="000746B9">
              <w:rPr>
                <w:rFonts w:cs="Arial"/>
                <w:sz w:val="20"/>
                <w:szCs w:val="20"/>
              </w:rPr>
              <w:fldChar w:fldCharType="begin"/>
            </w:r>
            <w:r w:rsidRPr="000746B9">
              <w:rPr>
                <w:rFonts w:cs="Arial"/>
                <w:sz w:val="20"/>
                <w:szCs w:val="20"/>
              </w:rPr>
              <w:instrText xml:space="preserve"> HYPERLINK "https://www.thelancet.com/journals/eclinm/article/PIIS2589-5370(19)30120-8/fulltext" </w:instrText>
            </w:r>
            <w:r w:rsidRPr="000746B9">
              <w:rPr>
                <w:rFonts w:cs="Arial"/>
                <w:sz w:val="20"/>
                <w:szCs w:val="20"/>
              </w:rPr>
              <w:fldChar w:fldCharType="separate"/>
            </w:r>
            <w:r w:rsidRPr="000746B9">
              <w:rPr>
                <w:rStyle w:val="Hyperlink"/>
                <w:rFonts w:cs="Arial"/>
                <w:sz w:val="20"/>
                <w:szCs w:val="20"/>
              </w:rPr>
              <w:t xml:space="preserve">Mar </w:t>
            </w:r>
            <w:proofErr w:type="spellStart"/>
            <w:r w:rsidRPr="000746B9">
              <w:rPr>
                <w:rStyle w:val="Hyperlink"/>
                <w:rFonts w:cs="Arial"/>
                <w:sz w:val="20"/>
                <w:szCs w:val="20"/>
              </w:rPr>
              <w:t>Pujades</w:t>
            </w:r>
            <w:proofErr w:type="spellEnd"/>
            <w:r w:rsidRPr="000746B9">
              <w:rPr>
                <w:rStyle w:val="Hyperlink"/>
                <w:rFonts w:cs="Arial"/>
                <w:sz w:val="20"/>
                <w:szCs w:val="20"/>
              </w:rPr>
              <w:t>-Rodriguez et al 2019. Lower Urinary Tract Infections: Management, Outcomes and Risk Factors for Antibiotic Re-prescription in Primary Care</w:t>
            </w:r>
            <w:r w:rsidRPr="000746B9">
              <w:rPr>
                <w:rFonts w:cs="Arial"/>
                <w:sz w:val="20"/>
                <w:szCs w:val="20"/>
              </w:rPr>
              <w:fldChar w:fldCharType="end"/>
            </w:r>
          </w:p>
          <w:bookmarkEnd w:id="120"/>
          <w:p w14:paraId="21F967A6" w14:textId="77777777" w:rsidR="000746B9" w:rsidRPr="000746B9" w:rsidRDefault="000746B9" w:rsidP="00DA217C">
            <w:pPr>
              <w:pStyle w:val="Paragraphnonumbers"/>
              <w:rPr>
                <w:rFonts w:cs="Arial"/>
                <w:sz w:val="20"/>
                <w:szCs w:val="20"/>
              </w:rPr>
            </w:pPr>
            <w:r w:rsidRPr="000746B9">
              <w:rPr>
                <w:rFonts w:cs="Arial"/>
                <w:sz w:val="20"/>
                <w:szCs w:val="20"/>
              </w:rPr>
              <w:t xml:space="preserve">This analysis of </w:t>
            </w:r>
            <w:r w:rsidRPr="000746B9">
              <w:rPr>
                <w:rFonts w:cs="Arial"/>
                <w:color w:val="505050"/>
                <w:sz w:val="20"/>
                <w:szCs w:val="20"/>
                <w:shd w:val="clear" w:color="auto" w:fill="FFFFFF"/>
              </w:rPr>
              <w:t xml:space="preserve">cohort of all patients with lower UTI diagnosis between 2011 and 2015 in the 390 primary care practices contributing data to </w:t>
            </w:r>
            <w:proofErr w:type="spellStart"/>
            <w:r w:rsidRPr="000746B9">
              <w:rPr>
                <w:rFonts w:cs="Arial"/>
                <w:color w:val="505050"/>
                <w:sz w:val="20"/>
                <w:szCs w:val="20"/>
                <w:shd w:val="clear" w:color="auto" w:fill="FFFFFF"/>
              </w:rPr>
              <w:t>ResearchOne</w:t>
            </w:r>
            <w:proofErr w:type="spellEnd"/>
            <w:r w:rsidRPr="000746B9">
              <w:rPr>
                <w:rFonts w:cs="Arial"/>
                <w:color w:val="505050"/>
                <w:sz w:val="20"/>
                <w:szCs w:val="20"/>
                <w:shd w:val="clear" w:color="auto" w:fill="FFFFFF"/>
              </w:rPr>
              <w:t xml:space="preserve"> in England, </w:t>
            </w:r>
            <w:bookmarkStart w:id="121" w:name="_Hlk107581530"/>
            <w:r w:rsidRPr="000746B9">
              <w:rPr>
                <w:rFonts w:cs="Arial"/>
                <w:color w:val="505050"/>
                <w:sz w:val="20"/>
                <w:szCs w:val="20"/>
                <w:shd w:val="clear" w:color="auto" w:fill="FFFFFF"/>
              </w:rPr>
              <w:t>showed</w:t>
            </w:r>
            <w:r w:rsidRPr="000746B9">
              <w:rPr>
                <w:rFonts w:cs="Arial"/>
                <w:sz w:val="20"/>
                <w:szCs w:val="20"/>
              </w:rPr>
              <w:t xml:space="preserve"> % pregnant women with MC+S was 22.3% within 10 days</w:t>
            </w:r>
          </w:p>
          <w:p w14:paraId="780A22AB" w14:textId="77777777" w:rsidR="000746B9" w:rsidRPr="000746B9" w:rsidRDefault="000746B9" w:rsidP="00DA217C">
            <w:pPr>
              <w:pStyle w:val="Paragraphnonumbers"/>
              <w:rPr>
                <w:rFonts w:cs="Arial"/>
                <w:sz w:val="20"/>
                <w:szCs w:val="20"/>
              </w:rPr>
            </w:pPr>
            <w:r w:rsidRPr="000746B9">
              <w:rPr>
                <w:rFonts w:cs="Arial"/>
                <w:sz w:val="20"/>
                <w:szCs w:val="20"/>
              </w:rPr>
              <w:t>And % men aged 18-64yrs with MC+S was 30.6% within 10 days</w:t>
            </w:r>
            <w:bookmarkEnd w:id="121"/>
          </w:p>
          <w:p w14:paraId="37E0F262" w14:textId="77777777" w:rsidR="000746B9" w:rsidRPr="000746B9" w:rsidRDefault="000746B9" w:rsidP="00DA217C">
            <w:pPr>
              <w:rPr>
                <w:rFonts w:ascii="Arial" w:hAnsi="Arial" w:cs="Arial"/>
                <w:sz w:val="20"/>
                <w:szCs w:val="20"/>
                <w:lang w:eastAsia="en-GB"/>
              </w:rPr>
            </w:pPr>
            <w:r w:rsidRPr="000746B9">
              <w:rPr>
                <w:rFonts w:ascii="Arial" w:hAnsi="Arial" w:cs="Arial"/>
                <w:sz w:val="20"/>
                <w:szCs w:val="20"/>
              </w:rPr>
              <w:t>This shows significant room for improvement.</w:t>
            </w:r>
          </w:p>
        </w:tc>
        <w:tc>
          <w:tcPr>
            <w:tcW w:w="3769" w:type="dxa"/>
          </w:tcPr>
          <w:p w14:paraId="4BBF619B" w14:textId="77777777" w:rsidR="000746B9" w:rsidRPr="000746B9" w:rsidRDefault="000746B9" w:rsidP="007C6ED4">
            <w:pPr>
              <w:pStyle w:val="Bulletleft1"/>
              <w:numPr>
                <w:ilvl w:val="0"/>
                <w:numId w:val="34"/>
              </w:numPr>
              <w:rPr>
                <w:rStyle w:val="prod-title"/>
                <w:rFonts w:cs="Arial"/>
                <w:sz w:val="20"/>
                <w:szCs w:val="20"/>
              </w:rPr>
            </w:pPr>
            <w:r w:rsidRPr="000746B9">
              <w:rPr>
                <w:rFonts w:cs="Arial"/>
                <w:sz w:val="20"/>
                <w:szCs w:val="20"/>
              </w:rPr>
              <w:t xml:space="preserve">Urinary tract infection (lower): antimicrobial prescribing </w:t>
            </w:r>
            <w:r w:rsidRPr="000746B9">
              <w:rPr>
                <w:rStyle w:val="prod-title"/>
                <w:rFonts w:cs="Arial"/>
                <w:color w:val="0E0E0E"/>
                <w:sz w:val="20"/>
                <w:szCs w:val="20"/>
              </w:rPr>
              <w:t>NICE guideline [NG109]</w:t>
            </w:r>
          </w:p>
          <w:p w14:paraId="08106682" w14:textId="77777777" w:rsidR="000746B9" w:rsidRPr="000746B9" w:rsidRDefault="000746B9" w:rsidP="00DA217C">
            <w:pPr>
              <w:pStyle w:val="Bulletleft1"/>
              <w:tabs>
                <w:tab w:val="left" w:pos="720"/>
              </w:tabs>
              <w:rPr>
                <w:rFonts w:cs="Arial"/>
                <w:sz w:val="20"/>
                <w:szCs w:val="20"/>
              </w:rPr>
            </w:pPr>
          </w:p>
          <w:p w14:paraId="78392B9E" w14:textId="77777777" w:rsidR="000746B9" w:rsidRPr="000746B9" w:rsidRDefault="000746B9" w:rsidP="007C6ED4">
            <w:pPr>
              <w:pStyle w:val="Bulletleft1"/>
              <w:numPr>
                <w:ilvl w:val="0"/>
                <w:numId w:val="34"/>
              </w:numPr>
              <w:rPr>
                <w:rStyle w:val="Hyperlink"/>
                <w:rFonts w:cs="Arial"/>
                <w:sz w:val="20"/>
                <w:szCs w:val="20"/>
              </w:rPr>
            </w:pPr>
            <w:r w:rsidRPr="000746B9">
              <w:rPr>
                <w:rFonts w:cs="Arial"/>
                <w:sz w:val="20"/>
                <w:szCs w:val="20"/>
              </w:rPr>
              <w:t xml:space="preserve">Public Health England (2020) </w:t>
            </w:r>
            <w:hyperlink r:id="rId63" w:history="1">
              <w:r w:rsidRPr="000746B9">
                <w:rPr>
                  <w:rStyle w:val="Hyperlink"/>
                  <w:rFonts w:cs="Arial"/>
                  <w:sz w:val="20"/>
                  <w:szCs w:val="20"/>
                </w:rPr>
                <w:t>Diagnosis of urinary tract infections: Quick reference tool for primary care for consultation and local adaptation</w:t>
              </w:r>
            </w:hyperlink>
            <w:r w:rsidRPr="000746B9">
              <w:rPr>
                <w:rStyle w:val="Hyperlink"/>
                <w:rFonts w:cs="Arial"/>
                <w:sz w:val="20"/>
                <w:szCs w:val="20"/>
              </w:rPr>
              <w:t xml:space="preserve">: </w:t>
            </w:r>
          </w:p>
          <w:p w14:paraId="444B348D" w14:textId="77777777" w:rsidR="000746B9" w:rsidRPr="000746B9" w:rsidRDefault="000746B9" w:rsidP="00DA217C">
            <w:pPr>
              <w:pStyle w:val="Bulletleft1"/>
              <w:tabs>
                <w:tab w:val="left" w:pos="720"/>
              </w:tabs>
              <w:rPr>
                <w:rFonts w:cs="Arial"/>
                <w:sz w:val="20"/>
                <w:szCs w:val="20"/>
              </w:rPr>
            </w:pPr>
          </w:p>
          <w:p w14:paraId="142BCB49" w14:textId="77777777" w:rsidR="000746B9" w:rsidRPr="000746B9" w:rsidRDefault="00AC503C" w:rsidP="007C6ED4">
            <w:pPr>
              <w:pStyle w:val="Bulletleft1"/>
              <w:numPr>
                <w:ilvl w:val="0"/>
                <w:numId w:val="34"/>
              </w:numPr>
              <w:rPr>
                <w:rFonts w:cs="Arial"/>
                <w:sz w:val="20"/>
                <w:szCs w:val="20"/>
              </w:rPr>
            </w:pPr>
            <w:hyperlink r:id="rId64" w:history="1">
              <w:r w:rsidR="000746B9" w:rsidRPr="000746B9">
                <w:rPr>
                  <w:rStyle w:val="Hyperlink"/>
                  <w:rFonts w:cs="Arial"/>
                  <w:sz w:val="20"/>
                  <w:szCs w:val="20"/>
                </w:rPr>
                <w:t>Commissioning for Quality and Innovation (CQUIN): 2022/23 Guidance</w:t>
              </w:r>
            </w:hyperlink>
            <w:r w:rsidR="000746B9" w:rsidRPr="000746B9">
              <w:rPr>
                <w:rStyle w:val="Hyperlink"/>
                <w:rFonts w:cs="Arial"/>
                <w:sz w:val="20"/>
                <w:szCs w:val="20"/>
              </w:rPr>
              <w:t xml:space="preserve">  </w:t>
            </w:r>
            <w:r w:rsidR="000746B9" w:rsidRPr="000746B9">
              <w:rPr>
                <w:rFonts w:cs="Arial"/>
                <w:sz w:val="20"/>
                <w:szCs w:val="20"/>
              </w:rPr>
              <w:t>CCG2: Appropriate antibiotic prescribing for UTI in adults aged 16+</w:t>
            </w:r>
          </w:p>
          <w:p w14:paraId="6F225CA0" w14:textId="77777777" w:rsidR="000746B9" w:rsidRPr="000746B9" w:rsidRDefault="000746B9" w:rsidP="00DA217C">
            <w:pPr>
              <w:pStyle w:val="Bulletleft1"/>
              <w:tabs>
                <w:tab w:val="left" w:pos="720"/>
              </w:tabs>
              <w:rPr>
                <w:rFonts w:cs="Arial"/>
                <w:sz w:val="20"/>
                <w:szCs w:val="20"/>
              </w:rPr>
            </w:pPr>
            <w:r w:rsidRPr="000746B9">
              <w:rPr>
                <w:rFonts w:cs="Arial"/>
                <w:sz w:val="20"/>
                <w:szCs w:val="20"/>
              </w:rPr>
              <w:t xml:space="preserve">This NHS England CQUIN scheme involves audit against 5 care </w:t>
            </w:r>
            <w:r w:rsidRPr="000746B9">
              <w:rPr>
                <w:rFonts w:cs="Arial"/>
                <w:sz w:val="20"/>
                <w:szCs w:val="20"/>
              </w:rPr>
              <w:lastRenderedPageBreak/>
              <w:t>processes aligned to NICE guidance and includes a requirement to send a urine sample for culture and sensitivity in men.</w:t>
            </w:r>
          </w:p>
          <w:p w14:paraId="14484D4E" w14:textId="77777777" w:rsidR="000746B9" w:rsidRPr="000746B9" w:rsidRDefault="000746B9" w:rsidP="00DA217C">
            <w:pPr>
              <w:rPr>
                <w:rFonts w:ascii="Arial" w:hAnsi="Arial" w:cs="Arial"/>
                <w:sz w:val="20"/>
                <w:szCs w:val="20"/>
              </w:rPr>
            </w:pPr>
          </w:p>
        </w:tc>
      </w:tr>
      <w:tr w:rsidR="000746B9" w:rsidRPr="000746B9" w14:paraId="1C2560EC" w14:textId="77777777" w:rsidTr="007C6ED4">
        <w:trPr>
          <w:trHeight w:val="282"/>
        </w:trPr>
        <w:tc>
          <w:tcPr>
            <w:tcW w:w="708" w:type="dxa"/>
          </w:tcPr>
          <w:p w14:paraId="5309A137" w14:textId="77777777" w:rsidR="000746B9" w:rsidRPr="000746B9" w:rsidRDefault="000746B9" w:rsidP="00E6662B">
            <w:pPr>
              <w:pStyle w:val="TableText1"/>
              <w:numPr>
                <w:ilvl w:val="0"/>
                <w:numId w:val="45"/>
              </w:numPr>
              <w:rPr>
                <w:rFonts w:cs="Arial"/>
                <w:sz w:val="20"/>
                <w:szCs w:val="20"/>
              </w:rPr>
            </w:pPr>
            <w:r w:rsidRPr="000746B9">
              <w:rPr>
                <w:rFonts w:cs="Arial"/>
                <w:sz w:val="20"/>
                <w:szCs w:val="20"/>
              </w:rPr>
              <w:lastRenderedPageBreak/>
              <w:t>1c</w:t>
            </w:r>
          </w:p>
        </w:tc>
        <w:tc>
          <w:tcPr>
            <w:tcW w:w="2264" w:type="dxa"/>
          </w:tcPr>
          <w:p w14:paraId="337AA169" w14:textId="77777777" w:rsidR="000746B9" w:rsidRPr="000746B9" w:rsidRDefault="000746B9" w:rsidP="00DA217C">
            <w:pPr>
              <w:pStyle w:val="TableText1"/>
              <w:rPr>
                <w:rFonts w:cs="Arial"/>
                <w:sz w:val="20"/>
                <w:szCs w:val="20"/>
              </w:rPr>
            </w:pPr>
            <w:r w:rsidRPr="000746B9">
              <w:rPr>
                <w:rFonts w:cs="Arial"/>
                <w:sz w:val="20"/>
                <w:szCs w:val="20"/>
              </w:rPr>
              <w:t>NHS England and NHS Improvement</w:t>
            </w:r>
          </w:p>
        </w:tc>
        <w:tc>
          <w:tcPr>
            <w:tcW w:w="3588" w:type="dxa"/>
          </w:tcPr>
          <w:p w14:paraId="028EF83D" w14:textId="77777777" w:rsidR="000746B9" w:rsidRPr="000746B9" w:rsidRDefault="000746B9" w:rsidP="00DA217C">
            <w:pPr>
              <w:pStyle w:val="Paragraphnonumbers"/>
              <w:spacing w:after="120"/>
              <w:rPr>
                <w:rFonts w:cs="Arial"/>
                <w:sz w:val="20"/>
                <w:szCs w:val="20"/>
              </w:rPr>
            </w:pPr>
            <w:r w:rsidRPr="000746B9">
              <w:rPr>
                <w:rFonts w:cs="Arial"/>
                <w:color w:val="0E0E0E"/>
                <w:sz w:val="20"/>
                <w:szCs w:val="20"/>
                <w:shd w:val="clear" w:color="auto" w:fill="FAFAFB"/>
              </w:rPr>
              <w:t xml:space="preserve">In adults aged 16 years and over </w:t>
            </w:r>
            <w:bookmarkStart w:id="122" w:name="_Hlk107235247"/>
            <w:r w:rsidRPr="000746B9">
              <w:rPr>
                <w:rFonts w:cs="Arial"/>
                <w:color w:val="0E0E0E"/>
                <w:sz w:val="20"/>
                <w:szCs w:val="20"/>
                <w:shd w:val="clear" w:color="auto" w:fill="FAFAFB"/>
              </w:rPr>
              <w:t>with acute pyelonephritis</w:t>
            </w:r>
            <w:bookmarkEnd w:id="122"/>
            <w:r w:rsidRPr="000746B9">
              <w:rPr>
                <w:rFonts w:cs="Arial"/>
                <w:color w:val="0E0E0E"/>
                <w:sz w:val="20"/>
                <w:szCs w:val="20"/>
                <w:shd w:val="clear" w:color="auto" w:fill="FAFAFB"/>
              </w:rPr>
              <w:t xml:space="preserve">, obtain a </w:t>
            </w:r>
            <w:bookmarkStart w:id="123" w:name="_Hlk107235130"/>
            <w:r w:rsidRPr="000746B9">
              <w:rPr>
                <w:rFonts w:cs="Arial"/>
                <w:color w:val="0E0E0E"/>
                <w:sz w:val="20"/>
                <w:szCs w:val="20"/>
                <w:shd w:val="clear" w:color="auto" w:fill="FAFAFB"/>
              </w:rPr>
              <w:t>midstream urine sample before antibiotics are taken and send for culture and susceptibility testing</w:t>
            </w:r>
            <w:bookmarkEnd w:id="123"/>
            <w:r w:rsidRPr="000746B9">
              <w:rPr>
                <w:rFonts w:cs="Arial"/>
                <w:color w:val="0E0E0E"/>
                <w:sz w:val="20"/>
                <w:szCs w:val="20"/>
                <w:shd w:val="clear" w:color="auto" w:fill="FAFAFB"/>
              </w:rPr>
              <w:t xml:space="preserve">. </w:t>
            </w:r>
            <w:r w:rsidRPr="000746B9">
              <w:rPr>
                <w:rFonts w:cs="Arial"/>
                <w:sz w:val="20"/>
                <w:szCs w:val="20"/>
              </w:rPr>
              <w:t>When results of urine culture available:</w:t>
            </w:r>
          </w:p>
          <w:p w14:paraId="41D5ED63" w14:textId="77777777" w:rsidR="000746B9" w:rsidRPr="000746B9" w:rsidRDefault="000746B9" w:rsidP="00DA217C">
            <w:pPr>
              <w:pStyle w:val="Paragraphnonumbers"/>
              <w:spacing w:after="120"/>
              <w:rPr>
                <w:rFonts w:cs="Arial"/>
                <w:sz w:val="20"/>
                <w:szCs w:val="20"/>
              </w:rPr>
            </w:pPr>
            <w:r w:rsidRPr="000746B9">
              <w:rPr>
                <w:rFonts w:cs="Arial"/>
                <w:sz w:val="20"/>
                <w:szCs w:val="20"/>
              </w:rPr>
              <w:t xml:space="preserve"> • review the choice of antibiotic, and</w:t>
            </w:r>
          </w:p>
          <w:p w14:paraId="4700D5C5" w14:textId="77777777" w:rsidR="000746B9" w:rsidRPr="000746B9" w:rsidRDefault="000746B9" w:rsidP="00DA217C">
            <w:pPr>
              <w:pStyle w:val="Paragraphnonumbers"/>
              <w:spacing w:after="120"/>
              <w:rPr>
                <w:rFonts w:cs="Arial"/>
                <w:sz w:val="20"/>
                <w:szCs w:val="20"/>
              </w:rPr>
            </w:pPr>
            <w:r w:rsidRPr="000746B9">
              <w:rPr>
                <w:rFonts w:cs="Arial"/>
                <w:sz w:val="20"/>
                <w:szCs w:val="20"/>
              </w:rPr>
              <w:t xml:space="preserve"> • change antibiotic according to susceptibility results if bacteria are resistant, using a narrow spectrum antibiotic when possible</w:t>
            </w:r>
          </w:p>
          <w:p w14:paraId="0615B924" w14:textId="77777777" w:rsidR="000746B9" w:rsidRPr="000746B9" w:rsidRDefault="000746B9" w:rsidP="00DA217C">
            <w:pPr>
              <w:pStyle w:val="Paragraphnonumbers"/>
              <w:spacing w:after="120"/>
              <w:rPr>
                <w:rFonts w:cs="Arial"/>
                <w:sz w:val="20"/>
                <w:szCs w:val="20"/>
              </w:rPr>
            </w:pPr>
            <w:r w:rsidRPr="000746B9">
              <w:rPr>
                <w:rFonts w:cs="Arial"/>
                <w:sz w:val="20"/>
                <w:szCs w:val="20"/>
              </w:rPr>
              <w:t>Numerator= Adults aged 16 years and over prescribed antibiotics to treat acute pyelonephritis with a documented review of antibiotic choice following urine culture and sensitivity reporting</w:t>
            </w:r>
          </w:p>
          <w:p w14:paraId="0A6C5400" w14:textId="77777777" w:rsidR="000746B9" w:rsidRPr="000746B9" w:rsidRDefault="000746B9" w:rsidP="00DA217C">
            <w:pPr>
              <w:pStyle w:val="TableText1"/>
              <w:rPr>
                <w:rFonts w:cs="Arial"/>
                <w:sz w:val="20"/>
                <w:szCs w:val="20"/>
              </w:rPr>
            </w:pPr>
            <w:r w:rsidRPr="000746B9">
              <w:rPr>
                <w:rFonts w:cs="Arial"/>
                <w:sz w:val="20"/>
                <w:szCs w:val="20"/>
              </w:rPr>
              <w:t>Denominator= Adults aged 16 years and over prescribed antibiotics to treat acute pyelonephritis</w:t>
            </w:r>
          </w:p>
        </w:tc>
        <w:tc>
          <w:tcPr>
            <w:tcW w:w="4350" w:type="dxa"/>
          </w:tcPr>
          <w:p w14:paraId="78DF4722" w14:textId="77777777" w:rsidR="000746B9" w:rsidRPr="000746B9" w:rsidRDefault="000746B9" w:rsidP="00DA217C">
            <w:pPr>
              <w:pStyle w:val="TableText1"/>
              <w:rPr>
                <w:rFonts w:cs="Arial"/>
                <w:sz w:val="20"/>
                <w:szCs w:val="20"/>
              </w:rPr>
            </w:pPr>
          </w:p>
        </w:tc>
        <w:tc>
          <w:tcPr>
            <w:tcW w:w="3769" w:type="dxa"/>
          </w:tcPr>
          <w:p w14:paraId="28B8D9F7" w14:textId="77777777" w:rsidR="000746B9" w:rsidRPr="000746B9" w:rsidRDefault="00AC503C" w:rsidP="007C6ED4">
            <w:pPr>
              <w:pStyle w:val="Bulletleft1"/>
              <w:numPr>
                <w:ilvl w:val="0"/>
                <w:numId w:val="34"/>
              </w:numPr>
              <w:rPr>
                <w:rFonts w:cs="Arial"/>
                <w:sz w:val="20"/>
                <w:szCs w:val="20"/>
                <w:lang w:bidi="ne-NP"/>
              </w:rPr>
            </w:pPr>
            <w:hyperlink r:id="rId65" w:history="1">
              <w:r w:rsidR="000746B9" w:rsidRPr="000746B9">
                <w:rPr>
                  <w:rStyle w:val="Hyperlink"/>
                  <w:rFonts w:cs="Arial"/>
                  <w:sz w:val="20"/>
                  <w:szCs w:val="20"/>
                  <w:lang w:bidi="ne-NP"/>
                </w:rPr>
                <w:t>Pyelonephritis (acute): antimicrobial prescribing</w:t>
              </w:r>
            </w:hyperlink>
            <w:r w:rsidR="000746B9" w:rsidRPr="000746B9">
              <w:rPr>
                <w:rFonts w:cs="Arial"/>
                <w:sz w:val="20"/>
                <w:szCs w:val="20"/>
                <w:lang w:bidi="ne-NP"/>
              </w:rPr>
              <w:t xml:space="preserve"> (2018) NICE guideline NG111</w:t>
            </w:r>
          </w:p>
          <w:p w14:paraId="568EA0E3" w14:textId="77777777" w:rsidR="000746B9" w:rsidRPr="000746B9" w:rsidRDefault="000746B9" w:rsidP="00DA217C">
            <w:pPr>
              <w:pStyle w:val="Bulletleft1"/>
              <w:tabs>
                <w:tab w:val="left" w:pos="720"/>
              </w:tabs>
              <w:rPr>
                <w:rFonts w:cs="Arial"/>
                <w:sz w:val="20"/>
                <w:szCs w:val="20"/>
                <w:lang w:bidi="ne-NP"/>
              </w:rPr>
            </w:pPr>
          </w:p>
          <w:p w14:paraId="38BEFB3C" w14:textId="77777777" w:rsidR="000746B9" w:rsidRPr="000746B9" w:rsidRDefault="000746B9" w:rsidP="007C6ED4">
            <w:pPr>
              <w:pStyle w:val="Bulletleft1"/>
              <w:numPr>
                <w:ilvl w:val="0"/>
                <w:numId w:val="34"/>
              </w:numPr>
              <w:rPr>
                <w:rStyle w:val="Hyperlink"/>
                <w:rFonts w:cs="Arial"/>
                <w:sz w:val="20"/>
                <w:szCs w:val="20"/>
              </w:rPr>
            </w:pPr>
            <w:r w:rsidRPr="000746B9">
              <w:rPr>
                <w:rFonts w:cs="Arial"/>
                <w:sz w:val="20"/>
                <w:szCs w:val="20"/>
              </w:rPr>
              <w:t xml:space="preserve">Public Health England (2020) </w:t>
            </w:r>
            <w:hyperlink r:id="rId66" w:history="1">
              <w:r w:rsidRPr="000746B9">
                <w:rPr>
                  <w:rStyle w:val="Hyperlink"/>
                  <w:rFonts w:cs="Arial"/>
                  <w:sz w:val="20"/>
                  <w:szCs w:val="20"/>
                </w:rPr>
                <w:t>Diagnosis of urinary tract infections: Quick reference tool for primary care for consultation and local adaptation</w:t>
              </w:r>
            </w:hyperlink>
            <w:r w:rsidRPr="000746B9">
              <w:rPr>
                <w:rStyle w:val="Hyperlink"/>
                <w:rFonts w:cs="Arial"/>
                <w:sz w:val="20"/>
                <w:szCs w:val="20"/>
              </w:rPr>
              <w:t xml:space="preserve">: </w:t>
            </w:r>
          </w:p>
          <w:p w14:paraId="11B8ED50" w14:textId="77777777" w:rsidR="000746B9" w:rsidRPr="000746B9" w:rsidRDefault="000746B9" w:rsidP="00DA217C">
            <w:pPr>
              <w:pStyle w:val="ListParagraph"/>
              <w:rPr>
                <w:rStyle w:val="Hyperlink"/>
                <w:rFonts w:ascii="Arial" w:hAnsi="Arial" w:cs="Arial"/>
                <w:sz w:val="20"/>
                <w:szCs w:val="20"/>
                <w:lang w:bidi="ne-NP"/>
              </w:rPr>
            </w:pPr>
          </w:p>
          <w:p w14:paraId="7E74D898" w14:textId="77777777" w:rsidR="000746B9" w:rsidRPr="000746B9" w:rsidRDefault="000746B9" w:rsidP="00DA217C">
            <w:pPr>
              <w:pStyle w:val="Bulletleft1"/>
              <w:tabs>
                <w:tab w:val="left" w:pos="720"/>
              </w:tabs>
              <w:rPr>
                <w:rStyle w:val="Hyperlink"/>
                <w:rFonts w:cs="Arial"/>
                <w:sz w:val="20"/>
                <w:szCs w:val="20"/>
                <w:lang w:bidi="ne-NP"/>
              </w:rPr>
            </w:pPr>
          </w:p>
          <w:p w14:paraId="63A64ACF" w14:textId="77777777" w:rsidR="000746B9" w:rsidRPr="000746B9" w:rsidRDefault="000746B9" w:rsidP="007C6ED4">
            <w:pPr>
              <w:pStyle w:val="Bulletleft1"/>
              <w:numPr>
                <w:ilvl w:val="0"/>
                <w:numId w:val="34"/>
              </w:numPr>
              <w:rPr>
                <w:rFonts w:cs="Arial"/>
                <w:sz w:val="20"/>
                <w:szCs w:val="20"/>
              </w:rPr>
            </w:pPr>
            <w:r w:rsidRPr="000746B9">
              <w:rPr>
                <w:rFonts w:cs="Arial"/>
                <w:sz w:val="20"/>
                <w:szCs w:val="20"/>
              </w:rPr>
              <w:t xml:space="preserve">Public Health England (2015) </w:t>
            </w:r>
            <w:hyperlink r:id="rId67" w:history="1">
              <w:r w:rsidRPr="000746B9">
                <w:rPr>
                  <w:rStyle w:val="Hyperlink"/>
                  <w:rFonts w:cs="Arial"/>
                  <w:sz w:val="20"/>
                  <w:szCs w:val="20"/>
                </w:rPr>
                <w:t>Start Smart - Then Focus Antimicrobial Stewardship Toolkit for English Hospitals</w:t>
              </w:r>
            </w:hyperlink>
          </w:p>
          <w:p w14:paraId="7D90D052" w14:textId="77777777" w:rsidR="000746B9" w:rsidRPr="000746B9" w:rsidRDefault="000746B9" w:rsidP="00DA217C">
            <w:pPr>
              <w:pStyle w:val="Bulletleft1"/>
              <w:tabs>
                <w:tab w:val="left" w:pos="720"/>
              </w:tabs>
              <w:rPr>
                <w:rFonts w:cs="Arial"/>
                <w:sz w:val="20"/>
                <w:szCs w:val="20"/>
              </w:rPr>
            </w:pPr>
            <w:r w:rsidRPr="000746B9">
              <w:rPr>
                <w:rFonts w:cs="Arial"/>
                <w:sz w:val="20"/>
                <w:szCs w:val="20"/>
              </w:rPr>
              <w:t xml:space="preserve">The availability of appropriate cultures and sensitivities will facilitate the prompt de-escalation of </w:t>
            </w:r>
            <w:proofErr w:type="gramStart"/>
            <w:r w:rsidRPr="000746B9">
              <w:rPr>
                <w:rFonts w:cs="Arial"/>
                <w:sz w:val="20"/>
                <w:szCs w:val="20"/>
              </w:rPr>
              <w:t>broad spectrum</w:t>
            </w:r>
            <w:proofErr w:type="gramEnd"/>
            <w:r w:rsidRPr="000746B9">
              <w:rPr>
                <w:rFonts w:cs="Arial"/>
                <w:sz w:val="20"/>
                <w:szCs w:val="20"/>
              </w:rPr>
              <w:t xml:space="preserve"> agents or the </w:t>
            </w:r>
            <w:r w:rsidRPr="000746B9">
              <w:rPr>
                <w:rFonts w:cs="Arial"/>
                <w:sz w:val="20"/>
                <w:szCs w:val="20"/>
              </w:rPr>
              <w:lastRenderedPageBreak/>
              <w:t>tailoring of therapy in cases of treatment failure.</w:t>
            </w:r>
          </w:p>
          <w:p w14:paraId="3794D3EC" w14:textId="77777777" w:rsidR="000746B9" w:rsidRPr="000746B9" w:rsidRDefault="000746B9" w:rsidP="00DA217C">
            <w:pPr>
              <w:pStyle w:val="Bulletleft1"/>
              <w:tabs>
                <w:tab w:val="left" w:pos="720"/>
              </w:tabs>
              <w:rPr>
                <w:rFonts w:cs="Arial"/>
                <w:sz w:val="20"/>
                <w:szCs w:val="20"/>
              </w:rPr>
            </w:pPr>
          </w:p>
          <w:p w14:paraId="6392E192" w14:textId="77777777" w:rsidR="000746B9" w:rsidRPr="000746B9" w:rsidRDefault="00AC503C" w:rsidP="007C6ED4">
            <w:pPr>
              <w:pStyle w:val="Bulletleft1"/>
              <w:numPr>
                <w:ilvl w:val="0"/>
                <w:numId w:val="34"/>
              </w:numPr>
              <w:rPr>
                <w:rFonts w:cs="Arial"/>
                <w:sz w:val="20"/>
                <w:szCs w:val="20"/>
              </w:rPr>
            </w:pPr>
            <w:hyperlink r:id="rId68" w:history="1">
              <w:r w:rsidR="000746B9" w:rsidRPr="000746B9">
                <w:rPr>
                  <w:rStyle w:val="Hyperlink"/>
                  <w:rFonts w:cs="Arial"/>
                  <w:sz w:val="20"/>
                  <w:szCs w:val="20"/>
                </w:rPr>
                <w:t>Commissioning for Quality and Innovation (CQUIN): 2022/23 Guidance</w:t>
              </w:r>
            </w:hyperlink>
            <w:r w:rsidR="000746B9" w:rsidRPr="000746B9">
              <w:rPr>
                <w:rStyle w:val="Hyperlink"/>
                <w:rFonts w:cs="Arial"/>
                <w:sz w:val="20"/>
                <w:szCs w:val="20"/>
              </w:rPr>
              <w:t xml:space="preserve">  </w:t>
            </w:r>
            <w:r w:rsidR="000746B9" w:rsidRPr="000746B9">
              <w:rPr>
                <w:rFonts w:cs="Arial"/>
                <w:sz w:val="20"/>
                <w:szCs w:val="20"/>
              </w:rPr>
              <w:t>CCG2: Appropriate antibiotic prescribing for UTI in adults aged 16+</w:t>
            </w:r>
          </w:p>
          <w:p w14:paraId="14E479E7" w14:textId="77777777" w:rsidR="000746B9" w:rsidRPr="000746B9" w:rsidRDefault="000746B9" w:rsidP="00DA217C">
            <w:pPr>
              <w:rPr>
                <w:rFonts w:ascii="Arial" w:hAnsi="Arial" w:cs="Arial"/>
                <w:sz w:val="20"/>
                <w:szCs w:val="20"/>
              </w:rPr>
            </w:pPr>
            <w:r w:rsidRPr="000746B9">
              <w:rPr>
                <w:rFonts w:ascii="Arial" w:hAnsi="Arial" w:cs="Arial"/>
                <w:sz w:val="20"/>
                <w:szCs w:val="20"/>
              </w:rPr>
              <w:t>This NHS England CQUIN scheme involves audit against 5 care processes aligned to NICE guidance and includes a requirement to send a urine sample for culture and sensitivity in adults aged 16 years prescribed antibiotics to treat acute pyelonephritis.</w:t>
            </w:r>
          </w:p>
        </w:tc>
      </w:tr>
      <w:tr w:rsidR="000746B9" w:rsidRPr="000746B9" w14:paraId="2F8A5379" w14:textId="77777777" w:rsidTr="007C6ED4">
        <w:trPr>
          <w:trHeight w:val="282"/>
        </w:trPr>
        <w:tc>
          <w:tcPr>
            <w:tcW w:w="708" w:type="dxa"/>
          </w:tcPr>
          <w:p w14:paraId="6103F495" w14:textId="77777777" w:rsidR="000746B9" w:rsidRPr="000746B9" w:rsidRDefault="000746B9" w:rsidP="00E6662B">
            <w:pPr>
              <w:pStyle w:val="TableText1"/>
              <w:numPr>
                <w:ilvl w:val="0"/>
                <w:numId w:val="45"/>
              </w:numPr>
              <w:rPr>
                <w:rFonts w:cs="Arial"/>
                <w:sz w:val="20"/>
                <w:szCs w:val="20"/>
              </w:rPr>
            </w:pPr>
            <w:r w:rsidRPr="000746B9">
              <w:rPr>
                <w:rFonts w:cs="Arial"/>
                <w:sz w:val="20"/>
                <w:szCs w:val="20"/>
              </w:rPr>
              <w:lastRenderedPageBreak/>
              <w:t>1c</w:t>
            </w:r>
          </w:p>
        </w:tc>
        <w:tc>
          <w:tcPr>
            <w:tcW w:w="2264" w:type="dxa"/>
          </w:tcPr>
          <w:p w14:paraId="6FCAD077" w14:textId="77777777" w:rsidR="000746B9" w:rsidRPr="000746B9" w:rsidRDefault="000746B9" w:rsidP="00DA217C">
            <w:pPr>
              <w:pStyle w:val="TableText1"/>
              <w:rPr>
                <w:rFonts w:cs="Arial"/>
                <w:sz w:val="20"/>
                <w:szCs w:val="20"/>
              </w:rPr>
            </w:pPr>
            <w:r w:rsidRPr="000746B9">
              <w:rPr>
                <w:rFonts w:cs="Arial"/>
                <w:sz w:val="20"/>
                <w:szCs w:val="20"/>
              </w:rPr>
              <w:t>NHS England and NHS Improvement</w:t>
            </w:r>
          </w:p>
        </w:tc>
        <w:tc>
          <w:tcPr>
            <w:tcW w:w="3588" w:type="dxa"/>
          </w:tcPr>
          <w:p w14:paraId="52AC6B5A" w14:textId="77777777" w:rsidR="000746B9" w:rsidRPr="000746B9" w:rsidRDefault="000746B9" w:rsidP="00DA217C">
            <w:pPr>
              <w:pStyle w:val="TableText1"/>
              <w:rPr>
                <w:rFonts w:cs="Arial"/>
                <w:sz w:val="20"/>
                <w:szCs w:val="20"/>
              </w:rPr>
            </w:pPr>
            <w:r w:rsidRPr="000746B9">
              <w:rPr>
                <w:rFonts w:cs="Arial"/>
                <w:sz w:val="20"/>
                <w:szCs w:val="20"/>
              </w:rPr>
              <w:t>Urinary Tract Infection (UTI) sample collection</w:t>
            </w:r>
          </w:p>
        </w:tc>
        <w:tc>
          <w:tcPr>
            <w:tcW w:w="4350" w:type="dxa"/>
          </w:tcPr>
          <w:p w14:paraId="3B9F3AEE" w14:textId="77777777" w:rsidR="000746B9" w:rsidRPr="000746B9" w:rsidRDefault="000746B9" w:rsidP="00DA217C">
            <w:pPr>
              <w:pStyle w:val="Paragraphnonumbers"/>
              <w:rPr>
                <w:rFonts w:cs="Arial"/>
                <w:sz w:val="20"/>
                <w:szCs w:val="20"/>
              </w:rPr>
            </w:pPr>
            <w:r w:rsidRPr="000746B9">
              <w:rPr>
                <w:rFonts w:cs="Arial"/>
                <w:sz w:val="20"/>
                <w:szCs w:val="20"/>
              </w:rPr>
              <w:t>The quality of a sample is critical to the success of any diagnostic test and how it is collected initially is part of this. Discussions with clinical experts suggest there is variation in the collection of samples to avoid contamination, with limited information available for patients around collection.</w:t>
            </w:r>
          </w:p>
          <w:p w14:paraId="66A49121" w14:textId="77777777" w:rsidR="000746B9" w:rsidRPr="000746B9" w:rsidRDefault="000746B9" w:rsidP="00DA217C">
            <w:pPr>
              <w:pStyle w:val="Paragraphnonumbers"/>
              <w:rPr>
                <w:rFonts w:cs="Arial"/>
                <w:sz w:val="20"/>
                <w:szCs w:val="20"/>
              </w:rPr>
            </w:pPr>
            <w:r w:rsidRPr="000746B9">
              <w:rPr>
                <w:rFonts w:cs="Arial"/>
                <w:sz w:val="20"/>
                <w:szCs w:val="20"/>
              </w:rPr>
              <w:t xml:space="preserve"> Typical challenges include: </w:t>
            </w:r>
          </w:p>
          <w:p w14:paraId="52608291" w14:textId="77777777" w:rsidR="000746B9" w:rsidRPr="000746B9" w:rsidRDefault="000746B9" w:rsidP="00DA217C">
            <w:pPr>
              <w:pStyle w:val="Paragraphnonumbers"/>
              <w:rPr>
                <w:rFonts w:cs="Arial"/>
                <w:sz w:val="20"/>
                <w:szCs w:val="20"/>
              </w:rPr>
            </w:pPr>
            <w:r w:rsidRPr="000746B9">
              <w:rPr>
                <w:rFonts w:cs="Arial"/>
                <w:sz w:val="20"/>
                <w:szCs w:val="20"/>
              </w:rPr>
              <w:t xml:space="preserve">•inappropriate containers used </w:t>
            </w:r>
            <w:proofErr w:type="gramStart"/>
            <w:r w:rsidRPr="000746B9">
              <w:rPr>
                <w:rFonts w:cs="Arial"/>
                <w:sz w:val="20"/>
                <w:szCs w:val="20"/>
              </w:rPr>
              <w:t>e.g.</w:t>
            </w:r>
            <w:proofErr w:type="gramEnd"/>
            <w:r w:rsidRPr="000746B9">
              <w:rPr>
                <w:rFonts w:cs="Arial"/>
                <w:sz w:val="20"/>
                <w:szCs w:val="20"/>
              </w:rPr>
              <w:t xml:space="preserve"> not boric acid. </w:t>
            </w:r>
          </w:p>
          <w:p w14:paraId="5B7DDDE0" w14:textId="77777777" w:rsidR="000746B9" w:rsidRPr="000746B9" w:rsidRDefault="000746B9" w:rsidP="00DA217C">
            <w:pPr>
              <w:pStyle w:val="Paragraphnonumbers"/>
              <w:rPr>
                <w:rFonts w:cs="Arial"/>
                <w:sz w:val="20"/>
                <w:szCs w:val="20"/>
              </w:rPr>
            </w:pPr>
            <w:r w:rsidRPr="000746B9">
              <w:rPr>
                <w:rFonts w:cs="Arial"/>
                <w:sz w:val="20"/>
                <w:szCs w:val="20"/>
              </w:rPr>
              <w:lastRenderedPageBreak/>
              <w:t>•limited instructions given to assist patients to take samples at home or at the GP surgery.</w:t>
            </w:r>
          </w:p>
          <w:p w14:paraId="06B5B51E" w14:textId="77777777" w:rsidR="000746B9" w:rsidRPr="000746B9" w:rsidRDefault="000746B9" w:rsidP="00DA217C">
            <w:pPr>
              <w:pStyle w:val="Paragraphnonumbers"/>
              <w:rPr>
                <w:rFonts w:cs="Arial"/>
                <w:sz w:val="20"/>
                <w:szCs w:val="20"/>
              </w:rPr>
            </w:pPr>
            <w:r w:rsidRPr="000746B9">
              <w:rPr>
                <w:rFonts w:cs="Arial"/>
                <w:sz w:val="20"/>
                <w:szCs w:val="20"/>
              </w:rPr>
              <w:t xml:space="preserve">•Delays in returning samples to the GP surgery.  </w:t>
            </w:r>
          </w:p>
          <w:p w14:paraId="03F1F21B" w14:textId="77777777" w:rsidR="000746B9" w:rsidRPr="000746B9" w:rsidRDefault="000746B9" w:rsidP="00DA217C">
            <w:pPr>
              <w:pStyle w:val="TableText1"/>
              <w:rPr>
                <w:rFonts w:cs="Arial"/>
                <w:sz w:val="20"/>
                <w:szCs w:val="20"/>
              </w:rPr>
            </w:pPr>
            <w:r w:rsidRPr="000746B9">
              <w:rPr>
                <w:rFonts w:cs="Arial"/>
                <w:sz w:val="20"/>
                <w:szCs w:val="20"/>
              </w:rPr>
              <w:t xml:space="preserve">•Specific patient needs </w:t>
            </w:r>
            <w:proofErr w:type="gramStart"/>
            <w:r w:rsidRPr="000746B9">
              <w:rPr>
                <w:rFonts w:cs="Arial"/>
                <w:sz w:val="20"/>
                <w:szCs w:val="20"/>
              </w:rPr>
              <w:t>e.g.</w:t>
            </w:r>
            <w:proofErr w:type="gramEnd"/>
            <w:r w:rsidRPr="000746B9">
              <w:rPr>
                <w:rFonts w:cs="Arial"/>
                <w:sz w:val="20"/>
                <w:szCs w:val="20"/>
              </w:rPr>
              <w:t xml:space="preserve"> difficulty of securing samples from patients with incontinence (difficult to extract from incontinence pads) (some potential options but these do not seem to have been successful).  Improvement opportunities: education around urine collection, appropriate collection devices, support for special collection scenarios</w:t>
            </w:r>
          </w:p>
        </w:tc>
        <w:tc>
          <w:tcPr>
            <w:tcW w:w="3769" w:type="dxa"/>
          </w:tcPr>
          <w:p w14:paraId="73E19DBE" w14:textId="77777777" w:rsidR="000746B9" w:rsidRPr="000746B9" w:rsidRDefault="000746B9" w:rsidP="00DA217C">
            <w:pPr>
              <w:textAlignment w:val="baseline"/>
              <w:rPr>
                <w:rFonts w:ascii="Arial" w:hAnsi="Arial" w:cs="Arial"/>
                <w:sz w:val="20"/>
                <w:szCs w:val="20"/>
                <w:lang w:eastAsia="en-GB"/>
              </w:rPr>
            </w:pPr>
            <w:r w:rsidRPr="000746B9">
              <w:rPr>
                <w:rFonts w:ascii="Arial" w:hAnsi="Arial" w:cs="Arial"/>
                <w:sz w:val="20"/>
                <w:szCs w:val="20"/>
              </w:rPr>
              <w:lastRenderedPageBreak/>
              <w:t xml:space="preserve">NHS, 2019, How should I collect and store a pee (urine) sample, </w:t>
            </w:r>
            <w:proofErr w:type="gramStart"/>
            <w:r w:rsidRPr="000746B9">
              <w:rPr>
                <w:rFonts w:ascii="Arial" w:hAnsi="Arial" w:cs="Arial"/>
                <w:color w:val="0000FF"/>
                <w:sz w:val="20"/>
                <w:szCs w:val="20"/>
                <w:u w:val="single"/>
              </w:rPr>
              <w:t>How</w:t>
            </w:r>
            <w:proofErr w:type="gramEnd"/>
            <w:r w:rsidRPr="000746B9">
              <w:rPr>
                <w:rFonts w:ascii="Arial" w:hAnsi="Arial" w:cs="Arial"/>
                <w:color w:val="0000FF"/>
                <w:sz w:val="20"/>
                <w:szCs w:val="20"/>
                <w:u w:val="single"/>
              </w:rPr>
              <w:t xml:space="preserve"> should I collect and store a pee (urine) sample? </w:t>
            </w:r>
          </w:p>
          <w:p w14:paraId="316D7B1C" w14:textId="77777777" w:rsidR="000746B9" w:rsidRPr="000746B9" w:rsidRDefault="000746B9" w:rsidP="00DA217C">
            <w:pPr>
              <w:textAlignment w:val="baseline"/>
              <w:rPr>
                <w:rFonts w:ascii="Arial" w:hAnsi="Arial" w:cs="Arial"/>
                <w:sz w:val="20"/>
                <w:szCs w:val="20"/>
              </w:rPr>
            </w:pPr>
          </w:p>
          <w:p w14:paraId="5018A907" w14:textId="77777777" w:rsidR="000746B9" w:rsidRPr="000746B9" w:rsidRDefault="000746B9" w:rsidP="00DA217C">
            <w:pPr>
              <w:textAlignment w:val="baseline"/>
              <w:rPr>
                <w:rFonts w:ascii="Arial" w:hAnsi="Arial" w:cs="Arial"/>
                <w:sz w:val="20"/>
                <w:szCs w:val="20"/>
              </w:rPr>
            </w:pPr>
            <w:r w:rsidRPr="000746B9">
              <w:rPr>
                <w:rFonts w:ascii="Arial" w:hAnsi="Arial" w:cs="Arial"/>
                <w:sz w:val="20"/>
                <w:szCs w:val="20"/>
              </w:rPr>
              <w:t xml:space="preserve">Healthline, Clean Catch Urine Sample and Culture, </w:t>
            </w:r>
            <w:hyperlink r:id="rId69" w:tgtFrame="_blank" w:history="1">
              <w:r w:rsidRPr="000746B9">
                <w:rPr>
                  <w:rStyle w:val="Hyperlink"/>
                  <w:rFonts w:ascii="Arial" w:hAnsi="Arial" w:cs="Arial"/>
                  <w:sz w:val="20"/>
                  <w:szCs w:val="20"/>
                </w:rPr>
                <w:t>https://www.healthline.com/health/urine-culture-clean-catch</w:t>
              </w:r>
            </w:hyperlink>
            <w:r w:rsidRPr="000746B9">
              <w:rPr>
                <w:rFonts w:ascii="Arial" w:hAnsi="Arial" w:cs="Arial"/>
                <w:sz w:val="20"/>
                <w:szCs w:val="20"/>
              </w:rPr>
              <w:t>   </w:t>
            </w:r>
          </w:p>
          <w:p w14:paraId="5D1952CC" w14:textId="77777777" w:rsidR="000746B9" w:rsidRPr="000746B9" w:rsidRDefault="000746B9" w:rsidP="00DA217C">
            <w:pPr>
              <w:rPr>
                <w:rFonts w:ascii="Arial" w:hAnsi="Arial" w:cs="Arial"/>
                <w:sz w:val="20"/>
                <w:szCs w:val="20"/>
              </w:rPr>
            </w:pPr>
          </w:p>
        </w:tc>
      </w:tr>
      <w:tr w:rsidR="000746B9" w:rsidRPr="000746B9" w14:paraId="1601913C" w14:textId="77777777" w:rsidTr="007C6ED4">
        <w:trPr>
          <w:trHeight w:val="282"/>
        </w:trPr>
        <w:tc>
          <w:tcPr>
            <w:tcW w:w="708" w:type="dxa"/>
          </w:tcPr>
          <w:p w14:paraId="68B109FE" w14:textId="77777777" w:rsidR="000746B9" w:rsidRPr="000746B9" w:rsidRDefault="000746B9" w:rsidP="00E6662B">
            <w:pPr>
              <w:pStyle w:val="TableText1"/>
              <w:numPr>
                <w:ilvl w:val="0"/>
                <w:numId w:val="45"/>
              </w:numPr>
              <w:rPr>
                <w:rFonts w:cs="Arial"/>
                <w:sz w:val="20"/>
                <w:szCs w:val="20"/>
              </w:rPr>
            </w:pPr>
            <w:r w:rsidRPr="000746B9">
              <w:rPr>
                <w:rFonts w:cs="Arial"/>
                <w:sz w:val="20"/>
                <w:szCs w:val="20"/>
              </w:rPr>
              <w:t>1c</w:t>
            </w:r>
          </w:p>
        </w:tc>
        <w:tc>
          <w:tcPr>
            <w:tcW w:w="2264" w:type="dxa"/>
          </w:tcPr>
          <w:p w14:paraId="6AD94896" w14:textId="77777777" w:rsidR="000746B9" w:rsidRPr="000746B9" w:rsidRDefault="000746B9" w:rsidP="00DA217C">
            <w:pPr>
              <w:pStyle w:val="TableText1"/>
              <w:rPr>
                <w:rFonts w:cs="Arial"/>
                <w:sz w:val="20"/>
                <w:szCs w:val="20"/>
              </w:rPr>
            </w:pPr>
            <w:r w:rsidRPr="000746B9">
              <w:rPr>
                <w:rFonts w:cs="Arial"/>
                <w:sz w:val="20"/>
                <w:szCs w:val="20"/>
              </w:rPr>
              <w:t>NHS England and NHS Improvement</w:t>
            </w:r>
          </w:p>
        </w:tc>
        <w:tc>
          <w:tcPr>
            <w:tcW w:w="3588" w:type="dxa"/>
          </w:tcPr>
          <w:p w14:paraId="2CC2913D" w14:textId="77777777" w:rsidR="000746B9" w:rsidRPr="000746B9" w:rsidRDefault="000746B9" w:rsidP="00DA217C">
            <w:pPr>
              <w:pStyle w:val="TableText1"/>
              <w:rPr>
                <w:rFonts w:cs="Arial"/>
                <w:sz w:val="20"/>
                <w:szCs w:val="20"/>
              </w:rPr>
            </w:pPr>
            <w:r w:rsidRPr="000746B9">
              <w:rPr>
                <w:rFonts w:cs="Arial"/>
                <w:sz w:val="20"/>
                <w:szCs w:val="20"/>
              </w:rPr>
              <w:t>UTI Transportation of sample to lab</w:t>
            </w:r>
          </w:p>
        </w:tc>
        <w:tc>
          <w:tcPr>
            <w:tcW w:w="4350" w:type="dxa"/>
          </w:tcPr>
          <w:p w14:paraId="3F4A969E" w14:textId="77777777" w:rsidR="000746B9" w:rsidRPr="000746B9" w:rsidRDefault="000746B9" w:rsidP="00DA217C">
            <w:pPr>
              <w:pStyle w:val="Paragraphnonumbers"/>
              <w:rPr>
                <w:rFonts w:cs="Arial"/>
                <w:sz w:val="20"/>
                <w:szCs w:val="20"/>
              </w:rPr>
            </w:pPr>
            <w:r w:rsidRPr="000746B9">
              <w:rPr>
                <w:rFonts w:cs="Arial"/>
                <w:sz w:val="20"/>
                <w:szCs w:val="20"/>
              </w:rPr>
              <w:t xml:space="preserve">Transportation of sample to lab </w:t>
            </w:r>
          </w:p>
          <w:p w14:paraId="2B8113DA" w14:textId="77777777" w:rsidR="000746B9" w:rsidRPr="000746B9" w:rsidRDefault="000746B9" w:rsidP="00DA217C">
            <w:pPr>
              <w:pStyle w:val="Paragraphnonumbers"/>
              <w:rPr>
                <w:rFonts w:cs="Arial"/>
                <w:sz w:val="20"/>
                <w:szCs w:val="20"/>
              </w:rPr>
            </w:pPr>
            <w:r w:rsidRPr="000746B9">
              <w:rPr>
                <w:rFonts w:cs="Arial"/>
                <w:sz w:val="20"/>
                <w:szCs w:val="20"/>
              </w:rPr>
              <w:t>•Rapid transportation aids diagnosis samples should arrive and be processed within 4h unless boric acid is used.</w:t>
            </w:r>
          </w:p>
          <w:p w14:paraId="11E34D9E" w14:textId="77777777" w:rsidR="000746B9" w:rsidRPr="000746B9" w:rsidRDefault="000746B9" w:rsidP="00DA217C">
            <w:pPr>
              <w:pStyle w:val="Paragraphnonumbers"/>
              <w:rPr>
                <w:rFonts w:cs="Arial"/>
                <w:sz w:val="20"/>
                <w:szCs w:val="20"/>
              </w:rPr>
            </w:pPr>
            <w:r w:rsidRPr="000746B9">
              <w:rPr>
                <w:rFonts w:cs="Arial"/>
                <w:sz w:val="20"/>
                <w:szCs w:val="20"/>
              </w:rPr>
              <w:t xml:space="preserve">•Where delays to arrival or processing are unavoidable keep refrigerated for up to 48h restrict bacterial growth. </w:t>
            </w:r>
          </w:p>
          <w:p w14:paraId="58255B72" w14:textId="77777777" w:rsidR="000746B9" w:rsidRPr="000746B9" w:rsidRDefault="000746B9" w:rsidP="00DA217C">
            <w:pPr>
              <w:pStyle w:val="TableText1"/>
              <w:rPr>
                <w:rFonts w:cs="Arial"/>
                <w:sz w:val="20"/>
                <w:szCs w:val="20"/>
              </w:rPr>
            </w:pPr>
            <w:r w:rsidRPr="000746B9">
              <w:rPr>
                <w:rFonts w:cs="Arial"/>
                <w:sz w:val="20"/>
                <w:szCs w:val="20"/>
              </w:rPr>
              <w:t>•Use a boric acid preservative to prevent bacterial overgrowth for 48-96 hours. Toxicity of boric acid to some organisms has been reported (delayed effect) and this can be due underfilling of containers</w:t>
            </w:r>
          </w:p>
        </w:tc>
        <w:tc>
          <w:tcPr>
            <w:tcW w:w="3769" w:type="dxa"/>
          </w:tcPr>
          <w:p w14:paraId="2C321555" w14:textId="77777777" w:rsidR="000746B9" w:rsidRPr="000746B9" w:rsidRDefault="000746B9" w:rsidP="00DA217C">
            <w:pPr>
              <w:textAlignment w:val="baseline"/>
              <w:rPr>
                <w:rFonts w:ascii="Arial" w:hAnsi="Arial" w:cs="Arial"/>
                <w:sz w:val="20"/>
                <w:szCs w:val="20"/>
                <w:lang w:eastAsia="en-GB"/>
              </w:rPr>
            </w:pPr>
            <w:r w:rsidRPr="000746B9">
              <w:rPr>
                <w:rFonts w:ascii="Arial" w:hAnsi="Arial" w:cs="Arial"/>
                <w:sz w:val="20"/>
                <w:szCs w:val="20"/>
              </w:rPr>
              <w:t>PHE, 2019, UK Standards for Microbiology Investigations. Investigation of urine.   </w:t>
            </w:r>
          </w:p>
          <w:p w14:paraId="18692D75" w14:textId="77777777" w:rsidR="000746B9" w:rsidRPr="000746B9" w:rsidRDefault="000746B9" w:rsidP="00DA217C">
            <w:pPr>
              <w:rPr>
                <w:rFonts w:ascii="Arial" w:hAnsi="Arial" w:cs="Arial"/>
                <w:sz w:val="20"/>
                <w:szCs w:val="20"/>
              </w:rPr>
            </w:pPr>
          </w:p>
        </w:tc>
      </w:tr>
      <w:tr w:rsidR="000746B9" w:rsidRPr="000746B9" w14:paraId="6279EB34" w14:textId="77777777" w:rsidTr="007C6ED4">
        <w:trPr>
          <w:trHeight w:val="282"/>
        </w:trPr>
        <w:tc>
          <w:tcPr>
            <w:tcW w:w="708" w:type="dxa"/>
          </w:tcPr>
          <w:p w14:paraId="552D7952" w14:textId="77777777" w:rsidR="000746B9" w:rsidRPr="000746B9" w:rsidRDefault="000746B9" w:rsidP="00E6662B">
            <w:pPr>
              <w:pStyle w:val="TableText1"/>
              <w:numPr>
                <w:ilvl w:val="0"/>
                <w:numId w:val="45"/>
              </w:numPr>
              <w:rPr>
                <w:rFonts w:cs="Arial"/>
                <w:sz w:val="20"/>
                <w:szCs w:val="20"/>
              </w:rPr>
            </w:pPr>
            <w:r w:rsidRPr="000746B9">
              <w:rPr>
                <w:rFonts w:cs="Arial"/>
                <w:sz w:val="20"/>
                <w:szCs w:val="20"/>
              </w:rPr>
              <w:t>1c</w:t>
            </w:r>
          </w:p>
        </w:tc>
        <w:tc>
          <w:tcPr>
            <w:tcW w:w="2264" w:type="dxa"/>
          </w:tcPr>
          <w:p w14:paraId="4C94266A" w14:textId="77777777" w:rsidR="000746B9" w:rsidRPr="000746B9" w:rsidRDefault="000746B9" w:rsidP="00DA217C">
            <w:pPr>
              <w:pStyle w:val="TableText1"/>
              <w:rPr>
                <w:rFonts w:cs="Arial"/>
                <w:sz w:val="20"/>
                <w:szCs w:val="20"/>
              </w:rPr>
            </w:pPr>
            <w:r w:rsidRPr="000746B9">
              <w:rPr>
                <w:rFonts w:cs="Arial"/>
                <w:sz w:val="20"/>
                <w:szCs w:val="20"/>
              </w:rPr>
              <w:t>NHS England and NHS Improvement</w:t>
            </w:r>
          </w:p>
        </w:tc>
        <w:tc>
          <w:tcPr>
            <w:tcW w:w="3588" w:type="dxa"/>
          </w:tcPr>
          <w:p w14:paraId="6A92925D" w14:textId="77777777" w:rsidR="000746B9" w:rsidRPr="000746B9" w:rsidRDefault="000746B9" w:rsidP="00DA217C">
            <w:pPr>
              <w:pStyle w:val="TableText1"/>
              <w:rPr>
                <w:rFonts w:cs="Arial"/>
                <w:sz w:val="20"/>
                <w:szCs w:val="20"/>
              </w:rPr>
            </w:pPr>
            <w:proofErr w:type="gramStart"/>
            <w:r w:rsidRPr="000746B9">
              <w:rPr>
                <w:rFonts w:cs="Arial"/>
                <w:sz w:val="20"/>
                <w:szCs w:val="20"/>
              </w:rPr>
              <w:t>Pre Lab Diagnosis</w:t>
            </w:r>
            <w:proofErr w:type="gramEnd"/>
          </w:p>
        </w:tc>
        <w:tc>
          <w:tcPr>
            <w:tcW w:w="4350" w:type="dxa"/>
          </w:tcPr>
          <w:p w14:paraId="1405DC2B" w14:textId="77777777" w:rsidR="000746B9" w:rsidRPr="000746B9" w:rsidRDefault="000746B9" w:rsidP="00DA217C">
            <w:pPr>
              <w:pStyle w:val="TableText1"/>
              <w:rPr>
                <w:rFonts w:cs="Arial"/>
                <w:sz w:val="20"/>
                <w:szCs w:val="20"/>
              </w:rPr>
            </w:pPr>
            <w:r w:rsidRPr="000746B9">
              <w:rPr>
                <w:rFonts w:cs="Arial"/>
                <w:sz w:val="20"/>
                <w:szCs w:val="20"/>
              </w:rPr>
              <w:t xml:space="preserve">The recent GIRFT report highlighted that there is high variation in rejection rates for urine </w:t>
            </w:r>
            <w:r w:rsidRPr="000746B9">
              <w:rPr>
                <w:rFonts w:cs="Arial"/>
                <w:sz w:val="20"/>
                <w:szCs w:val="20"/>
              </w:rPr>
              <w:lastRenderedPageBreak/>
              <w:t>samples and equally large variation in unwarranted requests. This suggests potential for improvement in pre-lab diagnosis.</w:t>
            </w:r>
          </w:p>
        </w:tc>
        <w:tc>
          <w:tcPr>
            <w:tcW w:w="3769" w:type="dxa"/>
          </w:tcPr>
          <w:p w14:paraId="3FDC240E" w14:textId="77777777" w:rsidR="000746B9" w:rsidRPr="000746B9" w:rsidRDefault="000746B9" w:rsidP="00DA217C">
            <w:pPr>
              <w:textAlignment w:val="baseline"/>
              <w:rPr>
                <w:rFonts w:ascii="Arial" w:hAnsi="Arial" w:cs="Arial"/>
                <w:sz w:val="20"/>
                <w:szCs w:val="20"/>
                <w:lang w:eastAsia="en-GB"/>
              </w:rPr>
            </w:pPr>
            <w:r w:rsidRPr="000746B9">
              <w:rPr>
                <w:rFonts w:ascii="Arial" w:hAnsi="Arial" w:cs="Arial"/>
                <w:sz w:val="20"/>
                <w:szCs w:val="20"/>
              </w:rPr>
              <w:lastRenderedPageBreak/>
              <w:t xml:space="preserve">PHE, 2018, Diagnosis of urinary tract infections - Quick reference tool for </w:t>
            </w:r>
            <w:r w:rsidRPr="000746B9">
              <w:rPr>
                <w:rFonts w:ascii="Arial" w:hAnsi="Arial" w:cs="Arial"/>
                <w:sz w:val="20"/>
                <w:szCs w:val="20"/>
              </w:rPr>
              <w:lastRenderedPageBreak/>
              <w:t xml:space="preserve">primary care for consultation and local adaptation, version 3 </w:t>
            </w:r>
          </w:p>
          <w:p w14:paraId="7B5FFD08" w14:textId="77777777" w:rsidR="000746B9" w:rsidRPr="000746B9" w:rsidRDefault="00AC503C" w:rsidP="00DA217C">
            <w:pPr>
              <w:textAlignment w:val="baseline"/>
              <w:rPr>
                <w:rFonts w:ascii="Arial" w:hAnsi="Arial" w:cs="Arial"/>
                <w:sz w:val="20"/>
                <w:szCs w:val="20"/>
              </w:rPr>
            </w:pPr>
            <w:hyperlink r:id="rId70" w:history="1">
              <w:r w:rsidR="000746B9" w:rsidRPr="000746B9">
                <w:rPr>
                  <w:rStyle w:val="Hyperlink"/>
                  <w:rFonts w:ascii="Arial" w:hAnsi="Arial" w:cs="Arial"/>
                  <w:sz w:val="20"/>
                  <w:szCs w:val="20"/>
                </w:rPr>
                <w:t>https://assets.publishing.service.gov.uk/government/uploads/system/uploads/attachment_data/file/927195/UTI_diagnostic_flowchart_NICE-October_2020-FINAL.pdf</w:t>
              </w:r>
            </w:hyperlink>
          </w:p>
          <w:p w14:paraId="2C7B14D8" w14:textId="77777777" w:rsidR="000746B9" w:rsidRPr="000746B9" w:rsidRDefault="000746B9" w:rsidP="00DA217C">
            <w:pPr>
              <w:textAlignment w:val="baseline"/>
              <w:rPr>
                <w:rFonts w:ascii="Arial" w:hAnsi="Arial" w:cs="Arial"/>
                <w:sz w:val="20"/>
                <w:szCs w:val="20"/>
              </w:rPr>
            </w:pPr>
            <w:r w:rsidRPr="000746B9">
              <w:rPr>
                <w:rFonts w:ascii="Arial" w:hAnsi="Arial" w:cs="Arial"/>
                <w:sz w:val="20"/>
                <w:szCs w:val="20"/>
              </w:rPr>
              <w:t>(This document is currently under review)</w:t>
            </w:r>
          </w:p>
          <w:p w14:paraId="08DB5C8B" w14:textId="77777777" w:rsidR="000746B9" w:rsidRPr="000746B9" w:rsidRDefault="00AC503C" w:rsidP="00DA217C">
            <w:pPr>
              <w:rPr>
                <w:rFonts w:ascii="Arial" w:hAnsi="Arial" w:cs="Arial"/>
                <w:sz w:val="20"/>
                <w:szCs w:val="20"/>
              </w:rPr>
            </w:pPr>
            <w:hyperlink r:id="rId71" w:history="1">
              <w:r w:rsidR="000746B9" w:rsidRPr="000746B9">
                <w:rPr>
                  <w:rStyle w:val="Hyperlink"/>
                  <w:rFonts w:ascii="Arial" w:hAnsi="Arial" w:cs="Arial"/>
                  <w:sz w:val="20"/>
                  <w:szCs w:val="20"/>
                </w:rPr>
                <w:t>https://future.nhs.uk/connect.ti/GIRFTNational/view?objectId=112161637</w:t>
              </w:r>
            </w:hyperlink>
          </w:p>
        </w:tc>
      </w:tr>
      <w:tr w:rsidR="000746B9" w:rsidRPr="000746B9" w14:paraId="6D171762" w14:textId="77777777" w:rsidTr="007C6ED4">
        <w:trPr>
          <w:trHeight w:val="282"/>
        </w:trPr>
        <w:tc>
          <w:tcPr>
            <w:tcW w:w="708" w:type="dxa"/>
          </w:tcPr>
          <w:p w14:paraId="7A411842" w14:textId="77777777" w:rsidR="000746B9" w:rsidRPr="000746B9" w:rsidRDefault="000746B9" w:rsidP="00E6662B">
            <w:pPr>
              <w:pStyle w:val="TableText1"/>
              <w:numPr>
                <w:ilvl w:val="0"/>
                <w:numId w:val="45"/>
              </w:numPr>
              <w:rPr>
                <w:rFonts w:cs="Arial"/>
                <w:sz w:val="20"/>
                <w:szCs w:val="20"/>
              </w:rPr>
            </w:pPr>
            <w:r w:rsidRPr="000746B9">
              <w:rPr>
                <w:rFonts w:cs="Arial"/>
                <w:sz w:val="20"/>
                <w:szCs w:val="20"/>
              </w:rPr>
              <w:lastRenderedPageBreak/>
              <w:t>1c</w:t>
            </w:r>
          </w:p>
        </w:tc>
        <w:tc>
          <w:tcPr>
            <w:tcW w:w="2264" w:type="dxa"/>
          </w:tcPr>
          <w:p w14:paraId="2E4C8B2C" w14:textId="77777777" w:rsidR="000746B9" w:rsidRPr="000746B9" w:rsidRDefault="000746B9" w:rsidP="00DA217C">
            <w:pPr>
              <w:pStyle w:val="TableText1"/>
              <w:rPr>
                <w:rFonts w:cs="Arial"/>
                <w:sz w:val="20"/>
                <w:szCs w:val="20"/>
              </w:rPr>
            </w:pPr>
            <w:r w:rsidRPr="000746B9">
              <w:rPr>
                <w:rFonts w:cs="Arial"/>
                <w:sz w:val="20"/>
                <w:szCs w:val="20"/>
              </w:rPr>
              <w:t>NHS England and NHS Improvement</w:t>
            </w:r>
          </w:p>
        </w:tc>
        <w:tc>
          <w:tcPr>
            <w:tcW w:w="3588" w:type="dxa"/>
          </w:tcPr>
          <w:p w14:paraId="4983DFBD" w14:textId="77777777" w:rsidR="000746B9" w:rsidRPr="000746B9" w:rsidRDefault="000746B9" w:rsidP="00DA217C">
            <w:pPr>
              <w:pStyle w:val="TableText1"/>
              <w:rPr>
                <w:rFonts w:cs="Arial"/>
                <w:sz w:val="20"/>
                <w:szCs w:val="20"/>
              </w:rPr>
            </w:pPr>
            <w:r w:rsidRPr="000746B9">
              <w:rPr>
                <w:rFonts w:cs="Arial"/>
                <w:sz w:val="20"/>
                <w:szCs w:val="20"/>
              </w:rPr>
              <w:t>UTI Lab Testing</w:t>
            </w:r>
          </w:p>
        </w:tc>
        <w:tc>
          <w:tcPr>
            <w:tcW w:w="4350" w:type="dxa"/>
          </w:tcPr>
          <w:p w14:paraId="632B3DCF" w14:textId="77777777" w:rsidR="000746B9" w:rsidRPr="000746B9" w:rsidRDefault="000746B9" w:rsidP="00DA217C">
            <w:pPr>
              <w:pStyle w:val="Paragraphnonumbers"/>
              <w:rPr>
                <w:rFonts w:cs="Arial"/>
                <w:sz w:val="20"/>
                <w:szCs w:val="20"/>
              </w:rPr>
            </w:pPr>
            <w:r w:rsidRPr="000746B9">
              <w:rPr>
                <w:rFonts w:cs="Arial"/>
                <w:sz w:val="20"/>
                <w:szCs w:val="20"/>
              </w:rPr>
              <w:t xml:space="preserve">UK Standards for Microbiology Investigations, Investigation of urine document links to Guidance for Primary Care </w:t>
            </w:r>
          </w:p>
          <w:p w14:paraId="0CEF1A79" w14:textId="77777777" w:rsidR="000746B9" w:rsidRPr="000746B9" w:rsidRDefault="000746B9" w:rsidP="00DA217C">
            <w:pPr>
              <w:pStyle w:val="Paragraphnonumbers"/>
              <w:rPr>
                <w:rFonts w:cs="Arial"/>
                <w:sz w:val="20"/>
                <w:szCs w:val="20"/>
              </w:rPr>
            </w:pPr>
            <w:r w:rsidRPr="000746B9">
              <w:rPr>
                <w:rFonts w:cs="Arial"/>
                <w:sz w:val="20"/>
                <w:szCs w:val="20"/>
              </w:rPr>
              <w:t xml:space="preserve">Lab investigations to diagnose UTI consist of: </w:t>
            </w:r>
          </w:p>
          <w:p w14:paraId="4BD7597D" w14:textId="77777777" w:rsidR="000746B9" w:rsidRPr="000746B9" w:rsidRDefault="000746B9" w:rsidP="00DA217C">
            <w:pPr>
              <w:pStyle w:val="Paragraphnonumbers"/>
              <w:rPr>
                <w:rFonts w:cs="Arial"/>
                <w:sz w:val="20"/>
                <w:szCs w:val="20"/>
              </w:rPr>
            </w:pPr>
            <w:r w:rsidRPr="000746B9">
              <w:rPr>
                <w:rFonts w:cs="Arial"/>
                <w:sz w:val="20"/>
                <w:szCs w:val="20"/>
              </w:rPr>
              <w:t xml:space="preserve">Microscopy to detect the presence of white blood cells, red blood cells, casts, squamous epithelial </w:t>
            </w:r>
            <w:proofErr w:type="gramStart"/>
            <w:r w:rsidRPr="000746B9">
              <w:rPr>
                <w:rFonts w:cs="Arial"/>
                <w:sz w:val="20"/>
                <w:szCs w:val="20"/>
              </w:rPr>
              <w:t>cells</w:t>
            </w:r>
            <w:proofErr w:type="gramEnd"/>
            <w:r w:rsidRPr="000746B9">
              <w:rPr>
                <w:rFonts w:cs="Arial"/>
                <w:sz w:val="20"/>
                <w:szCs w:val="20"/>
              </w:rPr>
              <w:t xml:space="preserve"> and other cellular components. It is used alongside culture and clinical symptoms to diagnose UTI and demonstration of significant pyuria (&gt;104 WBC/mL) correlates well with the presence of bacteria and symptoms.</w:t>
            </w:r>
          </w:p>
          <w:p w14:paraId="1F90FFD5" w14:textId="77777777" w:rsidR="000746B9" w:rsidRPr="000746B9" w:rsidRDefault="000746B9" w:rsidP="00DA217C">
            <w:pPr>
              <w:pStyle w:val="Paragraphnonumbers"/>
              <w:rPr>
                <w:rFonts w:cs="Arial"/>
                <w:sz w:val="20"/>
                <w:szCs w:val="20"/>
              </w:rPr>
            </w:pPr>
            <w:r w:rsidRPr="000746B9">
              <w:rPr>
                <w:rFonts w:cs="Arial"/>
                <w:sz w:val="20"/>
                <w:szCs w:val="20"/>
              </w:rPr>
              <w:t>Non-culture methods (</w:t>
            </w:r>
            <w:proofErr w:type="spellStart"/>
            <w:proofErr w:type="gramStart"/>
            <w:r w:rsidRPr="000746B9">
              <w:rPr>
                <w:rFonts w:cs="Arial"/>
                <w:sz w:val="20"/>
                <w:szCs w:val="20"/>
              </w:rPr>
              <w:t>eg</w:t>
            </w:r>
            <w:proofErr w:type="spellEnd"/>
            <w:proofErr w:type="gramEnd"/>
            <w:r w:rsidRPr="000746B9">
              <w:rPr>
                <w:rFonts w:cs="Arial"/>
                <w:sz w:val="20"/>
                <w:szCs w:val="20"/>
              </w:rPr>
              <w:t xml:space="preserve"> flow cytometry or particle recognition) to demonstrate red and white blood cells, epithelial cells, casts, crystals, bacteria and yeasts, sperm, mucus.  </w:t>
            </w:r>
            <w:r w:rsidRPr="000746B9">
              <w:rPr>
                <w:rFonts w:cs="Arial"/>
                <w:sz w:val="20"/>
                <w:szCs w:val="20"/>
              </w:rPr>
              <w:lastRenderedPageBreak/>
              <w:t xml:space="preserve">Often used to reduce the </w:t>
            </w:r>
            <w:proofErr w:type="gramStart"/>
            <w:r w:rsidRPr="000746B9">
              <w:rPr>
                <w:rFonts w:cs="Arial"/>
                <w:sz w:val="20"/>
                <w:szCs w:val="20"/>
              </w:rPr>
              <w:t>amount</w:t>
            </w:r>
            <w:proofErr w:type="gramEnd"/>
            <w:r w:rsidRPr="000746B9">
              <w:rPr>
                <w:rFonts w:cs="Arial"/>
                <w:sz w:val="20"/>
                <w:szCs w:val="20"/>
              </w:rPr>
              <w:t xml:space="preserve"> of samples cultured. </w:t>
            </w:r>
          </w:p>
          <w:p w14:paraId="18B345AE" w14:textId="77777777" w:rsidR="000746B9" w:rsidRPr="000746B9" w:rsidRDefault="000746B9" w:rsidP="00DA217C">
            <w:pPr>
              <w:pStyle w:val="Paragraphnonumbers"/>
              <w:rPr>
                <w:rFonts w:cs="Arial"/>
                <w:sz w:val="20"/>
                <w:szCs w:val="20"/>
              </w:rPr>
            </w:pPr>
            <w:r w:rsidRPr="000746B9">
              <w:rPr>
                <w:rFonts w:cs="Arial"/>
                <w:sz w:val="20"/>
                <w:szCs w:val="20"/>
              </w:rPr>
              <w:t xml:space="preserve">Quantitative culture (manual or automated culture on selective or colorimetric agar) on agar plates - either with a quantitative loop, or with multipoint </w:t>
            </w:r>
            <w:proofErr w:type="spellStart"/>
            <w:r w:rsidRPr="000746B9">
              <w:rPr>
                <w:rFonts w:cs="Arial"/>
                <w:sz w:val="20"/>
                <w:szCs w:val="20"/>
              </w:rPr>
              <w:t>incoluation</w:t>
            </w:r>
            <w:proofErr w:type="spellEnd"/>
            <w:r w:rsidRPr="000746B9">
              <w:rPr>
                <w:rFonts w:cs="Arial"/>
                <w:sz w:val="20"/>
                <w:szCs w:val="20"/>
              </w:rPr>
              <w:t xml:space="preserve"> of many samples per plates. Alternative some technologies use multipoint inoculation of </w:t>
            </w:r>
            <w:proofErr w:type="spellStart"/>
            <w:r w:rsidRPr="000746B9">
              <w:rPr>
                <w:rFonts w:cs="Arial"/>
                <w:sz w:val="20"/>
                <w:szCs w:val="20"/>
              </w:rPr>
              <w:t>microtitre</w:t>
            </w:r>
            <w:proofErr w:type="spellEnd"/>
            <w:r w:rsidRPr="000746B9">
              <w:rPr>
                <w:rFonts w:cs="Arial"/>
                <w:sz w:val="20"/>
                <w:szCs w:val="20"/>
              </w:rPr>
              <w:t xml:space="preserve"> tray wells. </w:t>
            </w:r>
          </w:p>
          <w:p w14:paraId="3084D9A3" w14:textId="77777777" w:rsidR="000746B9" w:rsidRPr="000746B9" w:rsidRDefault="000746B9" w:rsidP="00DA217C">
            <w:pPr>
              <w:pStyle w:val="TableText1"/>
              <w:rPr>
                <w:rFonts w:cs="Arial"/>
                <w:sz w:val="20"/>
                <w:szCs w:val="20"/>
              </w:rPr>
            </w:pPr>
            <w:r w:rsidRPr="000746B9">
              <w:rPr>
                <w:rFonts w:cs="Arial"/>
                <w:sz w:val="20"/>
                <w:szCs w:val="20"/>
              </w:rPr>
              <w:t>NHSE/I UTI diagnostic workshop to be held on 20 July 2022, with a focus on understanding gaps between current practice and guidance, and how these can be addressed (improvement and/or innovation)</w:t>
            </w:r>
          </w:p>
        </w:tc>
        <w:tc>
          <w:tcPr>
            <w:tcW w:w="3769" w:type="dxa"/>
          </w:tcPr>
          <w:p w14:paraId="739E093E" w14:textId="77777777" w:rsidR="000746B9" w:rsidRPr="000746B9" w:rsidRDefault="000746B9" w:rsidP="00DA217C">
            <w:pPr>
              <w:textAlignment w:val="baseline"/>
              <w:rPr>
                <w:rFonts w:ascii="Arial" w:hAnsi="Arial" w:cs="Arial"/>
                <w:sz w:val="20"/>
                <w:szCs w:val="20"/>
                <w:lang w:eastAsia="en-GB"/>
              </w:rPr>
            </w:pPr>
            <w:r w:rsidRPr="000746B9">
              <w:rPr>
                <w:rFonts w:ascii="Arial" w:hAnsi="Arial" w:cs="Arial"/>
                <w:sz w:val="20"/>
                <w:szCs w:val="20"/>
              </w:rPr>
              <w:lastRenderedPageBreak/>
              <w:t>PHE, 2019, UK Standards for Microbiology Investigations. Investigation of urine.   </w:t>
            </w:r>
          </w:p>
          <w:p w14:paraId="10D59739" w14:textId="77777777" w:rsidR="000746B9" w:rsidRPr="000746B9" w:rsidRDefault="000746B9" w:rsidP="00DA217C">
            <w:pPr>
              <w:rPr>
                <w:rFonts w:ascii="Arial" w:hAnsi="Arial" w:cs="Arial"/>
                <w:sz w:val="20"/>
                <w:szCs w:val="20"/>
              </w:rPr>
            </w:pPr>
          </w:p>
        </w:tc>
      </w:tr>
      <w:tr w:rsidR="000746B9" w:rsidRPr="000746B9" w14:paraId="1A84A272" w14:textId="77777777" w:rsidTr="007C6ED4">
        <w:trPr>
          <w:trHeight w:val="282"/>
        </w:trPr>
        <w:tc>
          <w:tcPr>
            <w:tcW w:w="708" w:type="dxa"/>
          </w:tcPr>
          <w:p w14:paraId="29E8F4DA" w14:textId="77777777" w:rsidR="000746B9" w:rsidRPr="000746B9" w:rsidRDefault="000746B9" w:rsidP="00E6662B">
            <w:pPr>
              <w:pStyle w:val="TableText1"/>
              <w:numPr>
                <w:ilvl w:val="0"/>
                <w:numId w:val="45"/>
              </w:numPr>
              <w:rPr>
                <w:rFonts w:cs="Arial"/>
                <w:sz w:val="20"/>
                <w:szCs w:val="20"/>
              </w:rPr>
            </w:pPr>
            <w:r w:rsidRPr="000746B9">
              <w:rPr>
                <w:rFonts w:cs="Arial"/>
                <w:sz w:val="20"/>
                <w:szCs w:val="20"/>
              </w:rPr>
              <w:t>1c</w:t>
            </w:r>
          </w:p>
        </w:tc>
        <w:tc>
          <w:tcPr>
            <w:tcW w:w="2264" w:type="dxa"/>
          </w:tcPr>
          <w:p w14:paraId="6906188C" w14:textId="71F2CD74" w:rsidR="000746B9" w:rsidRPr="000746B9" w:rsidRDefault="000746B9" w:rsidP="00DA217C">
            <w:pPr>
              <w:pStyle w:val="TableText1"/>
              <w:rPr>
                <w:rFonts w:cs="Arial"/>
                <w:sz w:val="20"/>
                <w:szCs w:val="20"/>
              </w:rPr>
            </w:pPr>
            <w:r w:rsidRPr="000746B9">
              <w:rPr>
                <w:rFonts w:cs="Arial"/>
                <w:sz w:val="20"/>
                <w:szCs w:val="20"/>
              </w:rPr>
              <w:t xml:space="preserve">SCM 1 </w:t>
            </w:r>
          </w:p>
        </w:tc>
        <w:tc>
          <w:tcPr>
            <w:tcW w:w="3588" w:type="dxa"/>
          </w:tcPr>
          <w:p w14:paraId="29E8AC65" w14:textId="77777777" w:rsidR="000746B9" w:rsidRPr="000746B9" w:rsidRDefault="000746B9" w:rsidP="00DA217C">
            <w:pPr>
              <w:pStyle w:val="TableText1"/>
              <w:rPr>
                <w:rFonts w:cs="Arial"/>
                <w:sz w:val="20"/>
                <w:szCs w:val="20"/>
              </w:rPr>
            </w:pPr>
            <w:r w:rsidRPr="000746B9">
              <w:rPr>
                <w:rFonts w:cs="Arial"/>
                <w:sz w:val="20"/>
                <w:szCs w:val="20"/>
              </w:rPr>
              <w:t>Acceptance of samples</w:t>
            </w:r>
          </w:p>
        </w:tc>
        <w:tc>
          <w:tcPr>
            <w:tcW w:w="4350" w:type="dxa"/>
          </w:tcPr>
          <w:p w14:paraId="5E2A69FE" w14:textId="77777777" w:rsidR="000746B9" w:rsidRPr="000746B9" w:rsidRDefault="000746B9" w:rsidP="00DA217C">
            <w:pPr>
              <w:pStyle w:val="TableText1"/>
              <w:snapToGrid w:val="0"/>
              <w:rPr>
                <w:rFonts w:cs="Arial"/>
                <w:sz w:val="20"/>
                <w:szCs w:val="20"/>
                <w:lang w:eastAsia="ar-SA"/>
              </w:rPr>
            </w:pPr>
            <w:r w:rsidRPr="000746B9">
              <w:rPr>
                <w:rFonts w:cs="Arial"/>
                <w:sz w:val="20"/>
                <w:szCs w:val="20"/>
              </w:rPr>
              <w:t xml:space="preserve">Patients and staff </w:t>
            </w:r>
            <w:proofErr w:type="gramStart"/>
            <w:r w:rsidRPr="000746B9">
              <w:rPr>
                <w:rFonts w:cs="Arial"/>
                <w:sz w:val="20"/>
                <w:szCs w:val="20"/>
              </w:rPr>
              <w:t>need  awareness</w:t>
            </w:r>
            <w:proofErr w:type="gramEnd"/>
            <w:r w:rsidRPr="000746B9">
              <w:rPr>
                <w:rFonts w:cs="Arial"/>
                <w:sz w:val="20"/>
                <w:szCs w:val="20"/>
              </w:rPr>
              <w:t xml:space="preserve"> on the importance of a sterile container for collection and the need for accurate labelling, and the implications if this is not adhered to.</w:t>
            </w:r>
          </w:p>
          <w:p w14:paraId="1C31242B" w14:textId="77777777" w:rsidR="000746B9" w:rsidRPr="000746B9" w:rsidRDefault="000746B9" w:rsidP="00DA217C">
            <w:pPr>
              <w:pStyle w:val="TableText1"/>
              <w:snapToGrid w:val="0"/>
              <w:rPr>
                <w:rFonts w:cs="Arial"/>
                <w:sz w:val="20"/>
                <w:szCs w:val="20"/>
              </w:rPr>
            </w:pPr>
          </w:p>
          <w:p w14:paraId="244558DE" w14:textId="77777777" w:rsidR="000746B9" w:rsidRPr="000746B9" w:rsidRDefault="000746B9" w:rsidP="00DA217C">
            <w:pPr>
              <w:pStyle w:val="TableText1"/>
              <w:snapToGrid w:val="0"/>
              <w:rPr>
                <w:rFonts w:cs="Arial"/>
                <w:sz w:val="20"/>
                <w:szCs w:val="20"/>
              </w:rPr>
            </w:pPr>
            <w:r w:rsidRPr="000746B9">
              <w:rPr>
                <w:rFonts w:cs="Arial"/>
                <w:sz w:val="20"/>
                <w:szCs w:val="20"/>
              </w:rPr>
              <w:t>It will reduce a delay in testing and repeat / discarding of samples.</w:t>
            </w:r>
          </w:p>
          <w:p w14:paraId="136F0EEC" w14:textId="77777777" w:rsidR="000746B9" w:rsidRPr="000746B9" w:rsidRDefault="000746B9" w:rsidP="00DA217C">
            <w:pPr>
              <w:pStyle w:val="TableText1"/>
              <w:snapToGrid w:val="0"/>
              <w:rPr>
                <w:rFonts w:cs="Arial"/>
                <w:sz w:val="20"/>
                <w:szCs w:val="20"/>
              </w:rPr>
            </w:pPr>
          </w:p>
          <w:p w14:paraId="269C3825" w14:textId="77777777" w:rsidR="000746B9" w:rsidRPr="000746B9" w:rsidRDefault="000746B9" w:rsidP="00DA217C">
            <w:pPr>
              <w:pStyle w:val="TableText1"/>
              <w:snapToGrid w:val="0"/>
              <w:rPr>
                <w:rFonts w:cs="Arial"/>
                <w:sz w:val="20"/>
                <w:szCs w:val="20"/>
                <w:lang w:eastAsia="ar-SA"/>
              </w:rPr>
            </w:pPr>
            <w:r w:rsidRPr="000746B9">
              <w:rPr>
                <w:rFonts w:cs="Arial"/>
                <w:sz w:val="20"/>
                <w:szCs w:val="20"/>
              </w:rPr>
              <w:t>Consistent patient education in this area will aid adherence.</w:t>
            </w:r>
            <w:r w:rsidRPr="000746B9">
              <w:rPr>
                <w:rFonts w:cs="Arial"/>
                <w:sz w:val="20"/>
                <w:szCs w:val="20"/>
              </w:rPr>
              <w:br/>
            </w:r>
            <w:r w:rsidRPr="000746B9">
              <w:rPr>
                <w:rFonts w:cs="Arial"/>
                <w:sz w:val="20"/>
                <w:szCs w:val="20"/>
              </w:rPr>
              <w:br/>
              <w:t xml:space="preserve">Urine samples risk </w:t>
            </w:r>
            <w:proofErr w:type="gramStart"/>
            <w:r w:rsidRPr="000746B9">
              <w:rPr>
                <w:rFonts w:cs="Arial"/>
                <w:sz w:val="20"/>
                <w:szCs w:val="20"/>
              </w:rPr>
              <w:t>being  dropped</w:t>
            </w:r>
            <w:proofErr w:type="gramEnd"/>
            <w:r w:rsidRPr="000746B9">
              <w:rPr>
                <w:rFonts w:cs="Arial"/>
                <w:sz w:val="20"/>
                <w:szCs w:val="20"/>
              </w:rPr>
              <w:t xml:space="preserve"> off by patients which are not in </w:t>
            </w:r>
            <w:proofErr w:type="spellStart"/>
            <w:r w:rsidRPr="000746B9">
              <w:rPr>
                <w:rFonts w:cs="Arial"/>
                <w:sz w:val="20"/>
                <w:szCs w:val="20"/>
              </w:rPr>
              <w:t>a</w:t>
            </w:r>
            <w:proofErr w:type="spellEnd"/>
            <w:r w:rsidRPr="000746B9">
              <w:rPr>
                <w:rFonts w:cs="Arial"/>
                <w:sz w:val="20"/>
                <w:szCs w:val="20"/>
              </w:rPr>
              <w:t xml:space="preserve"> approved container and are  not clearly labelled.</w:t>
            </w:r>
          </w:p>
          <w:p w14:paraId="5222B710" w14:textId="77777777" w:rsidR="000746B9" w:rsidRPr="000746B9" w:rsidRDefault="000746B9" w:rsidP="00DA217C">
            <w:pPr>
              <w:pStyle w:val="TableText1"/>
              <w:snapToGrid w:val="0"/>
              <w:rPr>
                <w:rFonts w:cs="Arial"/>
                <w:sz w:val="20"/>
                <w:szCs w:val="20"/>
              </w:rPr>
            </w:pPr>
            <w:r w:rsidRPr="000746B9">
              <w:rPr>
                <w:rFonts w:cs="Arial"/>
                <w:sz w:val="20"/>
                <w:szCs w:val="20"/>
              </w:rPr>
              <w:t xml:space="preserve">This can result in samples being rejected, samples being </w:t>
            </w:r>
            <w:proofErr w:type="gramStart"/>
            <w:r w:rsidRPr="000746B9">
              <w:rPr>
                <w:rFonts w:cs="Arial"/>
                <w:sz w:val="20"/>
                <w:szCs w:val="20"/>
              </w:rPr>
              <w:t>accepted  but</w:t>
            </w:r>
            <w:proofErr w:type="gramEnd"/>
            <w:r w:rsidRPr="000746B9">
              <w:rPr>
                <w:rFonts w:cs="Arial"/>
                <w:sz w:val="20"/>
                <w:szCs w:val="20"/>
              </w:rPr>
              <w:t xml:space="preserve"> risk being contaminated if not in the correct container and risk of </w:t>
            </w:r>
          </w:p>
          <w:p w14:paraId="18D5AF91" w14:textId="77777777" w:rsidR="000746B9" w:rsidRPr="000746B9" w:rsidRDefault="000746B9" w:rsidP="00DA217C">
            <w:pPr>
              <w:pStyle w:val="TableText1"/>
              <w:snapToGrid w:val="0"/>
              <w:rPr>
                <w:rFonts w:cs="Arial"/>
                <w:sz w:val="20"/>
                <w:szCs w:val="20"/>
              </w:rPr>
            </w:pPr>
            <w:r w:rsidRPr="000746B9">
              <w:rPr>
                <w:rFonts w:cs="Arial"/>
                <w:sz w:val="20"/>
                <w:szCs w:val="20"/>
              </w:rPr>
              <w:lastRenderedPageBreak/>
              <w:t>Samples being rejected by the practice, rejected by the laboratory or at worst a mix up of patient samples if not labelled clearly</w:t>
            </w:r>
          </w:p>
          <w:p w14:paraId="58BCFD7B" w14:textId="77777777" w:rsidR="000746B9" w:rsidRPr="000746B9" w:rsidRDefault="000746B9" w:rsidP="00DA217C">
            <w:pPr>
              <w:pStyle w:val="TableText1"/>
              <w:rPr>
                <w:rFonts w:cs="Arial"/>
                <w:sz w:val="20"/>
                <w:szCs w:val="20"/>
              </w:rPr>
            </w:pPr>
          </w:p>
        </w:tc>
        <w:tc>
          <w:tcPr>
            <w:tcW w:w="3769" w:type="dxa"/>
          </w:tcPr>
          <w:p w14:paraId="65552D2D" w14:textId="77777777" w:rsidR="000746B9" w:rsidRPr="000746B9" w:rsidRDefault="000746B9" w:rsidP="00DA217C">
            <w:pPr>
              <w:pStyle w:val="TableText1"/>
              <w:snapToGrid w:val="0"/>
              <w:rPr>
                <w:rFonts w:cs="Arial"/>
                <w:sz w:val="20"/>
                <w:szCs w:val="20"/>
                <w:lang w:eastAsia="ar-SA"/>
              </w:rPr>
            </w:pPr>
            <w:r w:rsidRPr="000746B9">
              <w:rPr>
                <w:rFonts w:cs="Arial"/>
                <w:sz w:val="20"/>
                <w:szCs w:val="20"/>
              </w:rPr>
              <w:lastRenderedPageBreak/>
              <w:t xml:space="preserve">On looking I found this document.  </w:t>
            </w:r>
            <w:proofErr w:type="gramStart"/>
            <w:r w:rsidRPr="000746B9">
              <w:rPr>
                <w:rFonts w:cs="Arial"/>
                <w:sz w:val="20"/>
                <w:szCs w:val="20"/>
              </w:rPr>
              <w:t>However</w:t>
            </w:r>
            <w:proofErr w:type="gramEnd"/>
            <w:r w:rsidRPr="000746B9">
              <w:rPr>
                <w:rFonts w:cs="Arial"/>
                <w:sz w:val="20"/>
                <w:szCs w:val="20"/>
              </w:rPr>
              <w:t xml:space="preserve"> I have never come across this document before and even though it is a NHS England document it refers to containers which aren't used across the country</w:t>
            </w:r>
          </w:p>
          <w:p w14:paraId="0FB2FADB" w14:textId="77777777" w:rsidR="000746B9" w:rsidRPr="000746B9" w:rsidRDefault="00AC503C" w:rsidP="00DA217C">
            <w:pPr>
              <w:pStyle w:val="TableText1"/>
              <w:snapToGrid w:val="0"/>
              <w:rPr>
                <w:rFonts w:cs="Arial"/>
                <w:sz w:val="20"/>
                <w:szCs w:val="20"/>
              </w:rPr>
            </w:pPr>
            <w:hyperlink r:id="rId72" w:history="1">
              <w:r w:rsidR="000746B9" w:rsidRPr="000746B9">
                <w:rPr>
                  <w:rStyle w:val="Hyperlink"/>
                  <w:rFonts w:cs="Arial"/>
                  <w:sz w:val="20"/>
                  <w:szCs w:val="20"/>
                </w:rPr>
                <w:t>https://www.england.nhs.uk/wp-content/uploads/2020/08/Taking_a_urine_sample.pdf</w:t>
              </w:r>
            </w:hyperlink>
          </w:p>
          <w:p w14:paraId="604E5F6D" w14:textId="77777777" w:rsidR="000746B9" w:rsidRPr="000746B9" w:rsidRDefault="000746B9" w:rsidP="00DA217C">
            <w:pPr>
              <w:pStyle w:val="TableText1"/>
              <w:snapToGrid w:val="0"/>
              <w:rPr>
                <w:rFonts w:cs="Arial"/>
                <w:sz w:val="20"/>
                <w:szCs w:val="20"/>
              </w:rPr>
            </w:pPr>
          </w:p>
          <w:p w14:paraId="39AFB775" w14:textId="77777777" w:rsidR="000746B9" w:rsidRPr="000746B9" w:rsidRDefault="00AC503C" w:rsidP="00DA217C">
            <w:pPr>
              <w:pStyle w:val="TableText1"/>
              <w:snapToGrid w:val="0"/>
              <w:rPr>
                <w:rFonts w:cs="Arial"/>
                <w:sz w:val="20"/>
                <w:szCs w:val="20"/>
              </w:rPr>
            </w:pPr>
            <w:hyperlink r:id="rId73" w:history="1">
              <w:r w:rsidR="000746B9" w:rsidRPr="000746B9">
                <w:rPr>
                  <w:rStyle w:val="Hyperlink"/>
                  <w:rFonts w:cs="Arial"/>
                  <w:sz w:val="20"/>
                  <w:szCs w:val="20"/>
                </w:rPr>
                <w:t>https://www.nhs.uk/common-health-questions/infections/how-should-i-collect-and-store-a-urine-sample/</w:t>
              </w:r>
            </w:hyperlink>
          </w:p>
          <w:p w14:paraId="251DDBB2" w14:textId="77777777" w:rsidR="000746B9" w:rsidRPr="000746B9" w:rsidRDefault="000746B9" w:rsidP="00DA217C">
            <w:pPr>
              <w:pStyle w:val="TableText1"/>
              <w:snapToGrid w:val="0"/>
              <w:rPr>
                <w:rFonts w:cs="Arial"/>
                <w:sz w:val="20"/>
                <w:szCs w:val="20"/>
              </w:rPr>
            </w:pPr>
          </w:p>
          <w:p w14:paraId="05820D7D" w14:textId="77777777" w:rsidR="000746B9" w:rsidRPr="000746B9" w:rsidRDefault="000746B9" w:rsidP="00DA217C">
            <w:pPr>
              <w:pStyle w:val="TableText1"/>
              <w:snapToGrid w:val="0"/>
              <w:rPr>
                <w:rFonts w:cs="Arial"/>
                <w:sz w:val="20"/>
                <w:szCs w:val="20"/>
              </w:rPr>
            </w:pPr>
          </w:p>
          <w:p w14:paraId="694C355F" w14:textId="77777777" w:rsidR="000746B9" w:rsidRPr="000746B9" w:rsidRDefault="00AC503C" w:rsidP="00DA217C">
            <w:pPr>
              <w:pStyle w:val="TableText1"/>
              <w:snapToGrid w:val="0"/>
              <w:rPr>
                <w:rFonts w:cs="Arial"/>
                <w:sz w:val="20"/>
                <w:szCs w:val="20"/>
              </w:rPr>
            </w:pPr>
            <w:hyperlink r:id="rId74" w:history="1">
              <w:r w:rsidR="000746B9" w:rsidRPr="000746B9">
                <w:rPr>
                  <w:rStyle w:val="Hyperlink"/>
                  <w:rFonts w:cs="Arial"/>
                  <w:sz w:val="20"/>
                  <w:szCs w:val="20"/>
                </w:rPr>
                <w:t>https://www.ibms.org/resources/documents/patient-sample-and-request-form-identification-criteria/</w:t>
              </w:r>
            </w:hyperlink>
          </w:p>
          <w:p w14:paraId="2BA869DC" w14:textId="77777777" w:rsidR="000746B9" w:rsidRPr="000746B9" w:rsidRDefault="000746B9" w:rsidP="00DA217C">
            <w:pPr>
              <w:pStyle w:val="TableText1"/>
              <w:snapToGrid w:val="0"/>
              <w:rPr>
                <w:rFonts w:cs="Arial"/>
                <w:sz w:val="20"/>
                <w:szCs w:val="20"/>
              </w:rPr>
            </w:pPr>
          </w:p>
          <w:p w14:paraId="76F1E96C" w14:textId="77777777" w:rsidR="000746B9" w:rsidRPr="000746B9" w:rsidRDefault="00AC503C" w:rsidP="00DA217C">
            <w:pPr>
              <w:pStyle w:val="TableText1"/>
              <w:snapToGrid w:val="0"/>
              <w:rPr>
                <w:rFonts w:cs="Arial"/>
                <w:sz w:val="20"/>
                <w:szCs w:val="20"/>
              </w:rPr>
            </w:pPr>
            <w:hyperlink r:id="rId75" w:history="1">
              <w:r w:rsidR="000746B9" w:rsidRPr="000746B9">
                <w:rPr>
                  <w:rStyle w:val="Hyperlink"/>
                  <w:rFonts w:cs="Arial"/>
                  <w:sz w:val="20"/>
                  <w:szCs w:val="20"/>
                </w:rPr>
                <w:t>https://www.kidney.org/news/kidneyCare/spring10/UrineSamples</w:t>
              </w:r>
            </w:hyperlink>
          </w:p>
          <w:p w14:paraId="3994BF88" w14:textId="77777777" w:rsidR="000746B9" w:rsidRPr="000746B9" w:rsidRDefault="000746B9" w:rsidP="00DA217C">
            <w:pPr>
              <w:pStyle w:val="TableText1"/>
              <w:rPr>
                <w:rFonts w:cs="Arial"/>
                <w:sz w:val="20"/>
                <w:szCs w:val="20"/>
              </w:rPr>
            </w:pPr>
          </w:p>
        </w:tc>
      </w:tr>
      <w:tr w:rsidR="000746B9" w:rsidRPr="000746B9" w14:paraId="3832CC05" w14:textId="77777777" w:rsidTr="007C6ED4">
        <w:trPr>
          <w:trHeight w:val="282"/>
        </w:trPr>
        <w:tc>
          <w:tcPr>
            <w:tcW w:w="708" w:type="dxa"/>
          </w:tcPr>
          <w:p w14:paraId="6D58A150" w14:textId="77777777" w:rsidR="000746B9" w:rsidRPr="000746B9" w:rsidRDefault="000746B9" w:rsidP="00E6662B">
            <w:pPr>
              <w:pStyle w:val="TableText1"/>
              <w:numPr>
                <w:ilvl w:val="0"/>
                <w:numId w:val="45"/>
              </w:numPr>
              <w:rPr>
                <w:rFonts w:cs="Arial"/>
                <w:sz w:val="20"/>
                <w:szCs w:val="20"/>
              </w:rPr>
            </w:pPr>
            <w:r w:rsidRPr="000746B9">
              <w:rPr>
                <w:rFonts w:cs="Arial"/>
                <w:sz w:val="20"/>
                <w:szCs w:val="20"/>
              </w:rPr>
              <w:lastRenderedPageBreak/>
              <w:t>1c</w:t>
            </w:r>
          </w:p>
        </w:tc>
        <w:tc>
          <w:tcPr>
            <w:tcW w:w="2264" w:type="dxa"/>
          </w:tcPr>
          <w:p w14:paraId="7C317936" w14:textId="0AC0E1CA" w:rsidR="000746B9" w:rsidRPr="000746B9" w:rsidRDefault="000746B9" w:rsidP="00DA217C">
            <w:pPr>
              <w:pStyle w:val="TableText1"/>
              <w:rPr>
                <w:rFonts w:cs="Arial"/>
                <w:sz w:val="20"/>
                <w:szCs w:val="20"/>
              </w:rPr>
            </w:pPr>
            <w:r w:rsidRPr="000746B9">
              <w:rPr>
                <w:rFonts w:cs="Arial"/>
                <w:sz w:val="20"/>
                <w:szCs w:val="20"/>
              </w:rPr>
              <w:t>SCM3</w:t>
            </w:r>
          </w:p>
        </w:tc>
        <w:tc>
          <w:tcPr>
            <w:tcW w:w="3588" w:type="dxa"/>
          </w:tcPr>
          <w:p w14:paraId="11041643" w14:textId="77777777" w:rsidR="000746B9" w:rsidRPr="000746B9" w:rsidRDefault="000746B9" w:rsidP="00DA217C">
            <w:pPr>
              <w:pStyle w:val="Heading3"/>
              <w:shd w:val="clear" w:color="auto" w:fill="FAFAFB"/>
              <w:rPr>
                <w:b w:val="0"/>
                <w:bCs w:val="0"/>
                <w:color w:val="0E0E0E"/>
                <w:sz w:val="20"/>
                <w:szCs w:val="20"/>
              </w:rPr>
            </w:pPr>
            <w:r w:rsidRPr="000746B9">
              <w:rPr>
                <w:b w:val="0"/>
                <w:bCs w:val="0"/>
                <w:color w:val="0E0E0E"/>
                <w:sz w:val="20"/>
                <w:szCs w:val="20"/>
              </w:rPr>
              <w:t>Key area for quality improvement 4</w:t>
            </w:r>
          </w:p>
          <w:p w14:paraId="64D6D5BD" w14:textId="77777777" w:rsidR="000746B9" w:rsidRPr="000746B9" w:rsidRDefault="000746B9" w:rsidP="00DA217C">
            <w:pPr>
              <w:rPr>
                <w:rFonts w:ascii="Arial" w:hAnsi="Arial" w:cs="Arial"/>
                <w:sz w:val="20"/>
                <w:szCs w:val="20"/>
              </w:rPr>
            </w:pPr>
          </w:p>
          <w:p w14:paraId="20D2A5DA" w14:textId="77777777" w:rsidR="000746B9" w:rsidRPr="000746B9" w:rsidRDefault="000746B9" w:rsidP="00DA217C">
            <w:pPr>
              <w:pStyle w:val="Heading3"/>
              <w:shd w:val="clear" w:color="auto" w:fill="FAFAFB"/>
              <w:rPr>
                <w:b w:val="0"/>
                <w:bCs w:val="0"/>
                <w:color w:val="0E0E0E"/>
                <w:sz w:val="20"/>
                <w:szCs w:val="20"/>
                <w:lang w:eastAsia="en-GB"/>
              </w:rPr>
            </w:pPr>
            <w:r w:rsidRPr="000746B9">
              <w:rPr>
                <w:b w:val="0"/>
                <w:bCs w:val="0"/>
                <w:color w:val="0E0E0E"/>
                <w:sz w:val="20"/>
                <w:szCs w:val="20"/>
              </w:rPr>
              <w:t xml:space="preserve">Urine culture for adults with a urinary tract infection that does </w:t>
            </w:r>
            <w:bookmarkStart w:id="124" w:name="_Hlk107237751"/>
            <w:r w:rsidRPr="000746B9">
              <w:rPr>
                <w:b w:val="0"/>
                <w:bCs w:val="0"/>
                <w:color w:val="0E0E0E"/>
                <w:sz w:val="20"/>
                <w:szCs w:val="20"/>
              </w:rPr>
              <w:t>not respond to initial antibiotic treatment</w:t>
            </w:r>
          </w:p>
          <w:bookmarkEnd w:id="124"/>
          <w:p w14:paraId="4C316F24" w14:textId="77777777" w:rsidR="000746B9" w:rsidRPr="000746B9" w:rsidRDefault="000746B9" w:rsidP="00DA217C">
            <w:pPr>
              <w:pStyle w:val="TableText1"/>
              <w:rPr>
                <w:rFonts w:cs="Arial"/>
                <w:sz w:val="20"/>
                <w:szCs w:val="20"/>
              </w:rPr>
            </w:pPr>
          </w:p>
        </w:tc>
        <w:tc>
          <w:tcPr>
            <w:tcW w:w="4350" w:type="dxa"/>
          </w:tcPr>
          <w:p w14:paraId="1F8194D7" w14:textId="77777777" w:rsidR="000746B9" w:rsidRPr="000746B9" w:rsidRDefault="000746B9" w:rsidP="00DA217C">
            <w:pPr>
              <w:pStyle w:val="TableText1"/>
              <w:rPr>
                <w:rFonts w:cs="Arial"/>
                <w:sz w:val="20"/>
                <w:szCs w:val="20"/>
              </w:rPr>
            </w:pPr>
            <w:r w:rsidRPr="000746B9">
              <w:rPr>
                <w:rFonts w:cs="Arial"/>
                <w:sz w:val="20"/>
                <w:szCs w:val="20"/>
              </w:rPr>
              <w:t>As per current UTI QS document online.</w:t>
            </w:r>
          </w:p>
          <w:p w14:paraId="4937D100" w14:textId="77777777" w:rsidR="000746B9" w:rsidRPr="000746B9" w:rsidRDefault="000746B9" w:rsidP="00DA217C">
            <w:pPr>
              <w:pStyle w:val="TableText1"/>
              <w:rPr>
                <w:rFonts w:cs="Arial"/>
                <w:sz w:val="20"/>
                <w:szCs w:val="20"/>
              </w:rPr>
            </w:pPr>
          </w:p>
          <w:p w14:paraId="7D59BF1E" w14:textId="77777777" w:rsidR="000746B9" w:rsidRPr="000746B9" w:rsidRDefault="000746B9" w:rsidP="00DA217C">
            <w:pPr>
              <w:pStyle w:val="TableText1"/>
              <w:rPr>
                <w:rFonts w:cs="Arial"/>
                <w:sz w:val="20"/>
                <w:szCs w:val="20"/>
              </w:rPr>
            </w:pPr>
            <w:r w:rsidRPr="000746B9">
              <w:rPr>
                <w:rFonts w:cs="Arial"/>
                <w:color w:val="0E0E0E"/>
                <w:sz w:val="20"/>
                <w:szCs w:val="20"/>
                <w:shd w:val="clear" w:color="auto" w:fill="FAFAFB"/>
              </w:rPr>
              <w:t>Some urinary tract infections are resistant to initial antibiotic treatment and a urine culture is needed (or a repeat where an initial urine culture was taken) to determine which antibiotic will work against the specific strain of bacteria causing the urinary tract infection. A urine culture is needed to guide a change in antibiotic treatment in people who do not respond to initial treatment with antibiotics.</w:t>
            </w:r>
          </w:p>
        </w:tc>
        <w:tc>
          <w:tcPr>
            <w:tcW w:w="3769" w:type="dxa"/>
          </w:tcPr>
          <w:p w14:paraId="7705E518" w14:textId="77777777" w:rsidR="000746B9" w:rsidRPr="000746B9" w:rsidRDefault="00AC503C" w:rsidP="00DA217C">
            <w:pPr>
              <w:rPr>
                <w:rFonts w:ascii="Arial" w:hAnsi="Arial" w:cs="Arial"/>
                <w:sz w:val="20"/>
                <w:szCs w:val="20"/>
              </w:rPr>
            </w:pPr>
            <w:hyperlink r:id="rId76" w:history="1">
              <w:r w:rsidR="000746B9" w:rsidRPr="000746B9">
                <w:rPr>
                  <w:rStyle w:val="Hyperlink"/>
                  <w:rFonts w:ascii="Arial" w:hAnsi="Arial" w:cs="Arial"/>
                  <w:sz w:val="20"/>
                  <w:szCs w:val="20"/>
                </w:rPr>
                <w:t>https://www.nice.org.uk/guidance/qs90/chapter/Quality-statement-4-Urine-culture-for-adults-with-a-urinary-tract-infection-that-does-not-respond-to-initial-antibiotic-treatment</w:t>
              </w:r>
            </w:hyperlink>
          </w:p>
        </w:tc>
      </w:tr>
      <w:tr w:rsidR="000746B9" w:rsidRPr="000746B9" w14:paraId="5E577D52" w14:textId="77777777" w:rsidTr="007C6ED4">
        <w:trPr>
          <w:trHeight w:val="282"/>
        </w:trPr>
        <w:tc>
          <w:tcPr>
            <w:tcW w:w="708" w:type="dxa"/>
          </w:tcPr>
          <w:p w14:paraId="0FC9B0DD" w14:textId="77777777" w:rsidR="000746B9" w:rsidRPr="000746B9" w:rsidRDefault="000746B9" w:rsidP="00E6662B">
            <w:pPr>
              <w:pStyle w:val="TableText1"/>
              <w:numPr>
                <w:ilvl w:val="0"/>
                <w:numId w:val="45"/>
              </w:numPr>
              <w:rPr>
                <w:rFonts w:cs="Arial"/>
                <w:sz w:val="20"/>
                <w:szCs w:val="20"/>
              </w:rPr>
            </w:pPr>
            <w:r w:rsidRPr="000746B9">
              <w:rPr>
                <w:rFonts w:cs="Arial"/>
                <w:sz w:val="20"/>
                <w:szCs w:val="20"/>
              </w:rPr>
              <w:t>1c</w:t>
            </w:r>
          </w:p>
        </w:tc>
        <w:tc>
          <w:tcPr>
            <w:tcW w:w="2264" w:type="dxa"/>
          </w:tcPr>
          <w:p w14:paraId="4792C7FB" w14:textId="2766A6EE" w:rsidR="000746B9" w:rsidRPr="000746B9" w:rsidRDefault="000746B9" w:rsidP="00DA217C">
            <w:pPr>
              <w:pStyle w:val="TableText1"/>
              <w:rPr>
                <w:rFonts w:cs="Arial"/>
                <w:sz w:val="20"/>
                <w:szCs w:val="20"/>
              </w:rPr>
            </w:pPr>
            <w:r w:rsidRPr="000746B9">
              <w:rPr>
                <w:rFonts w:cs="Arial"/>
                <w:sz w:val="20"/>
                <w:szCs w:val="20"/>
              </w:rPr>
              <w:t xml:space="preserve">SCM4 </w:t>
            </w:r>
          </w:p>
        </w:tc>
        <w:tc>
          <w:tcPr>
            <w:tcW w:w="3588" w:type="dxa"/>
          </w:tcPr>
          <w:p w14:paraId="650EBCC7" w14:textId="77777777" w:rsidR="000746B9" w:rsidRPr="000746B9" w:rsidRDefault="000746B9" w:rsidP="00DA217C">
            <w:pPr>
              <w:pStyle w:val="TableText1"/>
              <w:rPr>
                <w:rFonts w:cs="Arial"/>
                <w:sz w:val="20"/>
                <w:szCs w:val="20"/>
              </w:rPr>
            </w:pPr>
            <w:r w:rsidRPr="000746B9">
              <w:rPr>
                <w:rFonts w:cs="Arial"/>
                <w:sz w:val="20"/>
                <w:szCs w:val="20"/>
              </w:rPr>
              <w:t xml:space="preserve">The </w:t>
            </w:r>
            <w:proofErr w:type="spellStart"/>
            <w:r w:rsidRPr="000746B9">
              <w:rPr>
                <w:rFonts w:cs="Arial"/>
                <w:sz w:val="20"/>
                <w:szCs w:val="20"/>
              </w:rPr>
              <w:t>Kass</w:t>
            </w:r>
            <w:proofErr w:type="spellEnd"/>
            <w:r w:rsidRPr="000746B9">
              <w:rPr>
                <w:rFonts w:cs="Arial"/>
                <w:sz w:val="20"/>
                <w:szCs w:val="20"/>
              </w:rPr>
              <w:t xml:space="preserve"> criteria for urine analysis</w:t>
            </w:r>
          </w:p>
        </w:tc>
        <w:tc>
          <w:tcPr>
            <w:tcW w:w="4350" w:type="dxa"/>
          </w:tcPr>
          <w:p w14:paraId="016CFAE9" w14:textId="77777777" w:rsidR="000746B9" w:rsidRPr="000746B9" w:rsidRDefault="000746B9" w:rsidP="00DA217C">
            <w:pPr>
              <w:pStyle w:val="TableText1"/>
              <w:rPr>
                <w:rFonts w:cs="Arial"/>
                <w:sz w:val="20"/>
                <w:szCs w:val="20"/>
              </w:rPr>
            </w:pPr>
            <w:r w:rsidRPr="000746B9">
              <w:rPr>
                <w:rFonts w:cs="Arial"/>
                <w:sz w:val="20"/>
                <w:szCs w:val="20"/>
              </w:rPr>
              <w:t>Patients are being mis-diagnosed and unable to access treatment.</w:t>
            </w:r>
          </w:p>
          <w:p w14:paraId="4CE25D3D" w14:textId="77777777" w:rsidR="000746B9" w:rsidRPr="000746B9" w:rsidRDefault="000746B9" w:rsidP="00DA217C">
            <w:pPr>
              <w:pStyle w:val="TableText1"/>
              <w:rPr>
                <w:rFonts w:cs="Arial"/>
                <w:sz w:val="20"/>
                <w:szCs w:val="20"/>
              </w:rPr>
            </w:pPr>
          </w:p>
          <w:p w14:paraId="231FC787" w14:textId="77777777" w:rsidR="000746B9" w:rsidRPr="000746B9" w:rsidRDefault="000746B9" w:rsidP="00DA217C">
            <w:pPr>
              <w:pStyle w:val="TableText1"/>
              <w:rPr>
                <w:rFonts w:cs="Arial"/>
                <w:sz w:val="20"/>
                <w:szCs w:val="20"/>
              </w:rPr>
            </w:pPr>
            <w:r w:rsidRPr="000746B9">
              <w:rPr>
                <w:rFonts w:cs="Arial"/>
                <w:sz w:val="20"/>
                <w:szCs w:val="20"/>
              </w:rPr>
              <w:t xml:space="preserve">There is evidence that this is failing sufferers. Among other issues is the problem that urine is </w:t>
            </w:r>
            <w:proofErr w:type="spellStart"/>
            <w:r w:rsidRPr="000746B9">
              <w:rPr>
                <w:rFonts w:cs="Arial"/>
                <w:sz w:val="20"/>
                <w:szCs w:val="20"/>
              </w:rPr>
              <w:t>idenfied</w:t>
            </w:r>
            <w:proofErr w:type="spellEnd"/>
            <w:r w:rsidRPr="000746B9">
              <w:rPr>
                <w:rFonts w:cs="Arial"/>
                <w:sz w:val="20"/>
                <w:szCs w:val="20"/>
              </w:rPr>
              <w:t xml:space="preserve"> by </w:t>
            </w:r>
            <w:proofErr w:type="spellStart"/>
            <w:r w:rsidRPr="000746B9">
              <w:rPr>
                <w:rFonts w:cs="Arial"/>
                <w:sz w:val="20"/>
                <w:szCs w:val="20"/>
              </w:rPr>
              <w:t>Kass</w:t>
            </w:r>
            <w:proofErr w:type="spellEnd"/>
            <w:r w:rsidRPr="000746B9">
              <w:rPr>
                <w:rFonts w:cs="Arial"/>
                <w:sz w:val="20"/>
                <w:szCs w:val="20"/>
              </w:rPr>
              <w:t xml:space="preserve"> as being sterile. Recent research demonstrates that urine has a microbiome. The threshold at which an infection is diagnosed is also too high</w:t>
            </w:r>
          </w:p>
        </w:tc>
        <w:tc>
          <w:tcPr>
            <w:tcW w:w="3769" w:type="dxa"/>
          </w:tcPr>
          <w:p w14:paraId="1536473C" w14:textId="77777777" w:rsidR="000746B9" w:rsidRPr="000746B9" w:rsidRDefault="000746B9" w:rsidP="00DA217C">
            <w:pPr>
              <w:rPr>
                <w:rFonts w:ascii="Arial" w:hAnsi="Arial" w:cs="Arial"/>
                <w:sz w:val="20"/>
                <w:szCs w:val="20"/>
              </w:rPr>
            </w:pPr>
            <w:r w:rsidRPr="000746B9">
              <w:rPr>
                <w:rFonts w:ascii="Arial" w:hAnsi="Arial" w:cs="Arial"/>
                <w:sz w:val="20"/>
                <w:szCs w:val="20"/>
              </w:rPr>
              <w:t xml:space="preserve">Please see the study below </w:t>
            </w:r>
            <w:hyperlink r:id="rId77" w:history="1">
              <w:r w:rsidRPr="000746B9">
                <w:rPr>
                  <w:rStyle w:val="Hyperlink"/>
                  <w:rFonts w:ascii="Arial" w:hAnsi="Arial" w:cs="Arial"/>
                  <w:sz w:val="20"/>
                  <w:szCs w:val="20"/>
                </w:rPr>
                <w:t>https://www.ncbi.nlm.nih.gov/pmc/articles/PMC6628711/</w:t>
              </w:r>
            </w:hyperlink>
          </w:p>
        </w:tc>
      </w:tr>
    </w:tbl>
    <w:p w14:paraId="69954466" w14:textId="2B377169" w:rsidR="00943B7D" w:rsidRDefault="00943B7D"/>
    <w:p w14:paraId="7C84C5F7" w14:textId="6779A34C" w:rsidR="00943B7D" w:rsidRDefault="00943B7D" w:rsidP="00943B7D">
      <w:pPr>
        <w:pStyle w:val="Heading4"/>
      </w:pPr>
      <w:r>
        <w:lastRenderedPageBreak/>
        <w:t>Treatment: Self-care /delayed prescribing</w:t>
      </w:r>
    </w:p>
    <w:tbl>
      <w:tblPr>
        <w:tblW w:w="1467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708"/>
        <w:gridCol w:w="2264"/>
        <w:gridCol w:w="3588"/>
        <w:gridCol w:w="4350"/>
        <w:gridCol w:w="3769"/>
      </w:tblGrid>
      <w:tr w:rsidR="00943B7D" w:rsidRPr="000746B9" w14:paraId="252583A1" w14:textId="77777777" w:rsidTr="00DA217C">
        <w:trPr>
          <w:tblHeader/>
        </w:trPr>
        <w:tc>
          <w:tcPr>
            <w:tcW w:w="708" w:type="dxa"/>
            <w:shd w:val="clear" w:color="auto" w:fill="E6E6E6"/>
          </w:tcPr>
          <w:p w14:paraId="213C15B7" w14:textId="77777777" w:rsidR="00943B7D" w:rsidRPr="000746B9" w:rsidRDefault="00943B7D" w:rsidP="00DA217C">
            <w:pPr>
              <w:pStyle w:val="Heading4"/>
              <w:rPr>
                <w:rFonts w:cs="Arial"/>
                <w:sz w:val="20"/>
                <w:szCs w:val="20"/>
              </w:rPr>
            </w:pPr>
            <w:r>
              <w:rPr>
                <w:rFonts w:cs="Arial"/>
                <w:sz w:val="20"/>
                <w:szCs w:val="20"/>
              </w:rPr>
              <w:t>ID</w:t>
            </w:r>
          </w:p>
        </w:tc>
        <w:tc>
          <w:tcPr>
            <w:tcW w:w="2264" w:type="dxa"/>
            <w:shd w:val="clear" w:color="auto" w:fill="E6E6E6"/>
          </w:tcPr>
          <w:p w14:paraId="1919DE2E" w14:textId="77777777" w:rsidR="00943B7D" w:rsidRPr="000746B9" w:rsidRDefault="00943B7D" w:rsidP="00DA217C">
            <w:pPr>
              <w:pStyle w:val="Heading4"/>
              <w:rPr>
                <w:rFonts w:cs="Arial"/>
                <w:sz w:val="20"/>
                <w:szCs w:val="20"/>
              </w:rPr>
            </w:pPr>
            <w:r w:rsidRPr="000746B9">
              <w:rPr>
                <w:rFonts w:cs="Arial"/>
                <w:sz w:val="20"/>
                <w:szCs w:val="20"/>
              </w:rPr>
              <w:t>Stakeholder</w:t>
            </w:r>
          </w:p>
        </w:tc>
        <w:tc>
          <w:tcPr>
            <w:tcW w:w="3588" w:type="dxa"/>
            <w:shd w:val="clear" w:color="auto" w:fill="E6E6E6"/>
          </w:tcPr>
          <w:p w14:paraId="106D563E" w14:textId="77777777" w:rsidR="00943B7D" w:rsidRPr="000746B9" w:rsidRDefault="00943B7D" w:rsidP="00DA217C">
            <w:pPr>
              <w:pStyle w:val="Heading4"/>
              <w:rPr>
                <w:rFonts w:cs="Arial"/>
                <w:sz w:val="20"/>
                <w:szCs w:val="20"/>
              </w:rPr>
            </w:pPr>
            <w:r w:rsidRPr="000746B9">
              <w:rPr>
                <w:rFonts w:cs="Arial"/>
                <w:sz w:val="20"/>
                <w:szCs w:val="20"/>
              </w:rPr>
              <w:t>Key area for quality improvement</w:t>
            </w:r>
          </w:p>
        </w:tc>
        <w:tc>
          <w:tcPr>
            <w:tcW w:w="4350" w:type="dxa"/>
            <w:shd w:val="clear" w:color="auto" w:fill="E6E6E6"/>
          </w:tcPr>
          <w:p w14:paraId="4D923F98" w14:textId="77777777" w:rsidR="00943B7D" w:rsidRPr="000746B9" w:rsidRDefault="00943B7D" w:rsidP="00DA217C">
            <w:pPr>
              <w:pStyle w:val="Heading1"/>
              <w:rPr>
                <w:sz w:val="20"/>
                <w:szCs w:val="20"/>
              </w:rPr>
            </w:pPr>
            <w:bookmarkStart w:id="125" w:name="_Toc107929203"/>
            <w:bookmarkStart w:id="126" w:name="_Toc112833010"/>
            <w:r w:rsidRPr="000746B9">
              <w:rPr>
                <w:sz w:val="20"/>
                <w:szCs w:val="20"/>
              </w:rPr>
              <w:t>Why is this a key area for quality improvement?</w:t>
            </w:r>
            <w:bookmarkEnd w:id="125"/>
            <w:bookmarkEnd w:id="126"/>
          </w:p>
        </w:tc>
        <w:tc>
          <w:tcPr>
            <w:tcW w:w="3769" w:type="dxa"/>
            <w:shd w:val="clear" w:color="auto" w:fill="E6E6E6"/>
          </w:tcPr>
          <w:p w14:paraId="7E9E9776" w14:textId="77777777" w:rsidR="00943B7D" w:rsidRPr="000746B9" w:rsidRDefault="00943B7D" w:rsidP="00DA217C">
            <w:pPr>
              <w:rPr>
                <w:rFonts w:ascii="Arial" w:hAnsi="Arial" w:cs="Arial"/>
                <w:b/>
                <w:sz w:val="20"/>
                <w:szCs w:val="20"/>
              </w:rPr>
            </w:pPr>
            <w:r w:rsidRPr="000746B9">
              <w:rPr>
                <w:rFonts w:ascii="Arial" w:hAnsi="Arial" w:cs="Arial"/>
                <w:b/>
                <w:sz w:val="20"/>
                <w:szCs w:val="20"/>
              </w:rPr>
              <w:t>Supporting information</w:t>
            </w:r>
          </w:p>
        </w:tc>
      </w:tr>
      <w:tr w:rsidR="000746B9" w:rsidRPr="000746B9" w14:paraId="5213E928" w14:textId="77777777" w:rsidTr="007C6ED4">
        <w:trPr>
          <w:trHeight w:val="282"/>
        </w:trPr>
        <w:tc>
          <w:tcPr>
            <w:tcW w:w="708" w:type="dxa"/>
          </w:tcPr>
          <w:p w14:paraId="5D6F994A" w14:textId="77777777" w:rsidR="000746B9" w:rsidRPr="000746B9" w:rsidRDefault="000746B9" w:rsidP="00E6662B">
            <w:pPr>
              <w:pStyle w:val="TableText1"/>
              <w:numPr>
                <w:ilvl w:val="0"/>
                <w:numId w:val="45"/>
              </w:numPr>
              <w:rPr>
                <w:rFonts w:cs="Arial"/>
                <w:sz w:val="20"/>
                <w:szCs w:val="20"/>
              </w:rPr>
            </w:pPr>
            <w:r w:rsidRPr="000746B9">
              <w:rPr>
                <w:rFonts w:cs="Arial"/>
                <w:sz w:val="20"/>
                <w:szCs w:val="20"/>
              </w:rPr>
              <w:t>2a</w:t>
            </w:r>
          </w:p>
        </w:tc>
        <w:tc>
          <w:tcPr>
            <w:tcW w:w="2264" w:type="dxa"/>
          </w:tcPr>
          <w:p w14:paraId="1D58984E" w14:textId="77777777" w:rsidR="000746B9" w:rsidRPr="000746B9" w:rsidRDefault="000746B9" w:rsidP="00DA217C">
            <w:pPr>
              <w:pStyle w:val="TableText1"/>
              <w:rPr>
                <w:rFonts w:cs="Arial"/>
                <w:sz w:val="20"/>
                <w:szCs w:val="20"/>
              </w:rPr>
            </w:pPr>
            <w:r w:rsidRPr="000746B9">
              <w:rPr>
                <w:rFonts w:cs="Arial"/>
                <w:sz w:val="20"/>
                <w:szCs w:val="20"/>
              </w:rPr>
              <w:t>Cardiff University</w:t>
            </w:r>
          </w:p>
        </w:tc>
        <w:tc>
          <w:tcPr>
            <w:tcW w:w="3588" w:type="dxa"/>
          </w:tcPr>
          <w:p w14:paraId="6AD7BBCE" w14:textId="77777777" w:rsidR="000746B9" w:rsidRPr="000746B9" w:rsidRDefault="000746B9" w:rsidP="00DA217C">
            <w:pPr>
              <w:pStyle w:val="TableText1"/>
              <w:rPr>
                <w:rFonts w:cs="Arial"/>
                <w:sz w:val="20"/>
                <w:szCs w:val="20"/>
              </w:rPr>
            </w:pPr>
            <w:r w:rsidRPr="000746B9">
              <w:rPr>
                <w:rFonts w:cs="Arial"/>
                <w:sz w:val="20"/>
                <w:szCs w:val="20"/>
              </w:rPr>
              <w:t>Avoiding antibiotics in asymptomatic bacteriuria (elderly)</w:t>
            </w:r>
          </w:p>
        </w:tc>
        <w:tc>
          <w:tcPr>
            <w:tcW w:w="4350" w:type="dxa"/>
          </w:tcPr>
          <w:p w14:paraId="714CB502" w14:textId="77777777" w:rsidR="000746B9" w:rsidRPr="000746B9" w:rsidRDefault="000746B9" w:rsidP="00DA217C">
            <w:pPr>
              <w:pStyle w:val="Paragraphnonumbers"/>
              <w:rPr>
                <w:rFonts w:cs="Arial"/>
                <w:sz w:val="20"/>
                <w:szCs w:val="20"/>
                <w:shd w:val="clear" w:color="auto" w:fill="FFFFFF"/>
              </w:rPr>
            </w:pPr>
            <w:r w:rsidRPr="000746B9">
              <w:rPr>
                <w:rFonts w:cs="Arial"/>
                <w:sz w:val="20"/>
                <w:szCs w:val="20"/>
                <w:shd w:val="clear" w:color="auto" w:fill="FFFFFF"/>
              </w:rPr>
              <w:t xml:space="preserve">The harms and lack of clinical benefit of antibiotic use for older patients outweigh any benefits </w:t>
            </w:r>
            <w:hyperlink r:id="rId78" w:history="1">
              <w:r w:rsidRPr="000746B9">
                <w:rPr>
                  <w:rStyle w:val="Hyperlink"/>
                  <w:rFonts w:cs="Arial"/>
                  <w:sz w:val="20"/>
                  <w:szCs w:val="20"/>
                  <w:shd w:val="clear" w:color="auto" w:fill="FFFFFF"/>
                </w:rPr>
                <w:t>https://bjgp.org/content/early/2022/05/05/BJGP.2022.0059</w:t>
              </w:r>
            </w:hyperlink>
          </w:p>
          <w:p w14:paraId="26C91294" w14:textId="77777777" w:rsidR="000746B9" w:rsidRPr="000746B9" w:rsidRDefault="000746B9" w:rsidP="00DA217C">
            <w:pPr>
              <w:pStyle w:val="Paragraphnonumbers"/>
              <w:rPr>
                <w:rFonts w:cs="Arial"/>
                <w:sz w:val="20"/>
                <w:szCs w:val="20"/>
                <w:shd w:val="clear" w:color="auto" w:fill="FFFFFF"/>
              </w:rPr>
            </w:pPr>
            <w:r w:rsidRPr="000746B9">
              <w:rPr>
                <w:rFonts w:cs="Arial"/>
                <w:sz w:val="20"/>
                <w:szCs w:val="20"/>
                <w:shd w:val="clear" w:color="auto" w:fill="FFFFFF"/>
              </w:rPr>
              <w:t xml:space="preserve">Despite this, older patients are given antibiotics based on poorly predictive dipstick testing, with little clinical evidence to support a diagnosis of UTI. </w:t>
            </w:r>
          </w:p>
          <w:p w14:paraId="0ADA6D31" w14:textId="77777777" w:rsidR="000746B9" w:rsidRPr="000746B9" w:rsidRDefault="00AC503C" w:rsidP="00DA217C">
            <w:pPr>
              <w:pStyle w:val="Paragraphnonumbers"/>
              <w:rPr>
                <w:rFonts w:cs="Arial"/>
                <w:sz w:val="20"/>
                <w:szCs w:val="20"/>
                <w:shd w:val="clear" w:color="auto" w:fill="FFFFFF"/>
              </w:rPr>
            </w:pPr>
            <w:hyperlink r:id="rId79" w:history="1">
              <w:r w:rsidR="000746B9" w:rsidRPr="000746B9">
                <w:rPr>
                  <w:rStyle w:val="Hyperlink"/>
                  <w:rFonts w:cs="Arial"/>
                  <w:sz w:val="20"/>
                  <w:szCs w:val="20"/>
                  <w:shd w:val="clear" w:color="auto" w:fill="FFFFFF"/>
                </w:rPr>
                <w:t>https://aricjournal.biomedcentral.com/articles/10.1186/s13756-019-0519-1</w:t>
              </w:r>
            </w:hyperlink>
          </w:p>
          <w:p w14:paraId="789BB7D4" w14:textId="77777777" w:rsidR="000746B9" w:rsidRPr="000746B9" w:rsidRDefault="000746B9" w:rsidP="00DA217C">
            <w:pPr>
              <w:pStyle w:val="TableText1"/>
              <w:rPr>
                <w:rFonts w:cs="Arial"/>
                <w:sz w:val="20"/>
                <w:szCs w:val="20"/>
              </w:rPr>
            </w:pPr>
          </w:p>
        </w:tc>
        <w:tc>
          <w:tcPr>
            <w:tcW w:w="3769" w:type="dxa"/>
          </w:tcPr>
          <w:p w14:paraId="08E847B7" w14:textId="77777777" w:rsidR="000746B9" w:rsidRPr="000746B9" w:rsidRDefault="000746B9" w:rsidP="00DA217C">
            <w:pPr>
              <w:pStyle w:val="TableText1"/>
              <w:rPr>
                <w:rFonts w:cs="Arial"/>
                <w:sz w:val="20"/>
                <w:szCs w:val="20"/>
              </w:rPr>
            </w:pPr>
            <w:r w:rsidRPr="000746B9">
              <w:rPr>
                <w:rFonts w:cs="Arial"/>
                <w:sz w:val="20"/>
                <w:szCs w:val="20"/>
              </w:rPr>
              <w:t>NICE guidance UTI (lower): antimicrobial prescribing</w:t>
            </w:r>
          </w:p>
        </w:tc>
      </w:tr>
      <w:tr w:rsidR="000746B9" w:rsidRPr="000746B9" w14:paraId="5FB6C7E3" w14:textId="77777777" w:rsidTr="007C6ED4">
        <w:trPr>
          <w:trHeight w:val="282"/>
        </w:trPr>
        <w:tc>
          <w:tcPr>
            <w:tcW w:w="708" w:type="dxa"/>
          </w:tcPr>
          <w:p w14:paraId="60E48DC7" w14:textId="77777777" w:rsidR="000746B9" w:rsidRPr="000746B9" w:rsidRDefault="000746B9" w:rsidP="00E6662B">
            <w:pPr>
              <w:pStyle w:val="TableText1"/>
              <w:numPr>
                <w:ilvl w:val="0"/>
                <w:numId w:val="45"/>
              </w:numPr>
              <w:rPr>
                <w:rFonts w:cs="Arial"/>
                <w:sz w:val="20"/>
                <w:szCs w:val="20"/>
              </w:rPr>
            </w:pPr>
            <w:r w:rsidRPr="000746B9">
              <w:rPr>
                <w:rFonts w:cs="Arial"/>
                <w:sz w:val="20"/>
                <w:szCs w:val="20"/>
              </w:rPr>
              <w:t>2a</w:t>
            </w:r>
          </w:p>
        </w:tc>
        <w:tc>
          <w:tcPr>
            <w:tcW w:w="2264" w:type="dxa"/>
          </w:tcPr>
          <w:p w14:paraId="3B1FFADD" w14:textId="77777777" w:rsidR="000746B9" w:rsidRPr="000746B9" w:rsidRDefault="000746B9" w:rsidP="00DA217C">
            <w:pPr>
              <w:pStyle w:val="TableText1"/>
              <w:rPr>
                <w:rFonts w:cs="Arial"/>
                <w:sz w:val="20"/>
                <w:szCs w:val="20"/>
              </w:rPr>
            </w:pPr>
            <w:r w:rsidRPr="000746B9">
              <w:rPr>
                <w:rFonts w:cs="Arial"/>
                <w:sz w:val="20"/>
                <w:szCs w:val="20"/>
              </w:rPr>
              <w:t>Company Chemists Association</w:t>
            </w:r>
          </w:p>
        </w:tc>
        <w:tc>
          <w:tcPr>
            <w:tcW w:w="3588" w:type="dxa"/>
          </w:tcPr>
          <w:p w14:paraId="54E7B585" w14:textId="77777777" w:rsidR="000746B9" w:rsidRPr="000746B9" w:rsidRDefault="000746B9" w:rsidP="00DA217C">
            <w:pPr>
              <w:pStyle w:val="Paragraphnonumbers"/>
              <w:spacing w:after="120"/>
              <w:rPr>
                <w:rFonts w:cs="Arial"/>
                <w:b/>
                <w:bCs/>
                <w:sz w:val="20"/>
                <w:szCs w:val="20"/>
              </w:rPr>
            </w:pPr>
            <w:r w:rsidRPr="000746B9">
              <w:rPr>
                <w:rFonts w:cs="Arial"/>
                <w:b/>
                <w:bCs/>
                <w:sz w:val="20"/>
                <w:szCs w:val="20"/>
              </w:rPr>
              <w:t>Key area for quality improvement 1:</w:t>
            </w:r>
          </w:p>
          <w:p w14:paraId="582B82DC" w14:textId="77777777" w:rsidR="000746B9" w:rsidRPr="000746B9" w:rsidRDefault="000746B9" w:rsidP="00DA217C">
            <w:pPr>
              <w:pStyle w:val="TableText1"/>
              <w:rPr>
                <w:rFonts w:cs="Arial"/>
                <w:b/>
                <w:sz w:val="20"/>
                <w:szCs w:val="20"/>
              </w:rPr>
            </w:pPr>
            <w:r w:rsidRPr="000746B9">
              <w:rPr>
                <w:rFonts w:cs="Arial"/>
                <w:sz w:val="20"/>
                <w:szCs w:val="20"/>
              </w:rPr>
              <w:t xml:space="preserve">Local antimicrobial stewardship </w:t>
            </w:r>
          </w:p>
        </w:tc>
        <w:tc>
          <w:tcPr>
            <w:tcW w:w="4350" w:type="dxa"/>
          </w:tcPr>
          <w:p w14:paraId="18482012" w14:textId="77777777" w:rsidR="000746B9" w:rsidRPr="000746B9" w:rsidRDefault="000746B9" w:rsidP="00DA217C">
            <w:pPr>
              <w:pStyle w:val="Paragraphnonumbers"/>
              <w:rPr>
                <w:rFonts w:cs="Arial"/>
                <w:bCs/>
                <w:sz w:val="20"/>
                <w:szCs w:val="20"/>
              </w:rPr>
            </w:pPr>
            <w:r w:rsidRPr="000746B9">
              <w:rPr>
                <w:rFonts w:cs="Arial"/>
                <w:bCs/>
                <w:sz w:val="20"/>
                <w:szCs w:val="20"/>
              </w:rPr>
              <w:t xml:space="preserve">Antimicrobial resistance (AMR) is widely recognised as one of the biggest threats to public health, with rising levels of drug resistant-UTIs. Expanding the role of antimicrobial stewardship in local and primary healthcare settings is an important part of minimising harm. </w:t>
            </w:r>
          </w:p>
          <w:p w14:paraId="22030677" w14:textId="77777777" w:rsidR="000746B9" w:rsidRPr="000746B9" w:rsidRDefault="000746B9" w:rsidP="00DA217C">
            <w:pPr>
              <w:pStyle w:val="Paragraphnonumbers"/>
              <w:rPr>
                <w:rFonts w:cs="Arial"/>
                <w:bCs/>
                <w:sz w:val="20"/>
                <w:szCs w:val="20"/>
              </w:rPr>
            </w:pPr>
            <w:r w:rsidRPr="000746B9">
              <w:rPr>
                <w:rFonts w:cs="Arial"/>
                <w:bCs/>
                <w:sz w:val="20"/>
                <w:szCs w:val="20"/>
              </w:rPr>
              <w:t xml:space="preserve">Millions use their local pharmacy in England every year. As one of the most accessible providers of healthcare, pharmacy-led stewardship presents a feasible and effective intervention for many patients Community </w:t>
            </w:r>
            <w:r w:rsidRPr="000746B9">
              <w:rPr>
                <w:rFonts w:cs="Arial"/>
                <w:bCs/>
                <w:sz w:val="20"/>
                <w:szCs w:val="20"/>
              </w:rPr>
              <w:lastRenderedPageBreak/>
              <w:t>pharmacy</w:t>
            </w:r>
            <w:r w:rsidRPr="000746B9">
              <w:rPr>
                <w:rFonts w:cs="Arial"/>
                <w:b/>
                <w:bCs/>
                <w:sz w:val="20"/>
                <w:szCs w:val="20"/>
              </w:rPr>
              <w:t>-</w:t>
            </w:r>
            <w:r w:rsidRPr="000746B9">
              <w:rPr>
                <w:rFonts w:cs="Arial"/>
                <w:sz w:val="20"/>
                <w:szCs w:val="20"/>
              </w:rPr>
              <w:t xml:space="preserve">driven intervention can offer effective antimicrobial stewardship. Community pharmacy staff </w:t>
            </w:r>
            <w:proofErr w:type="gramStart"/>
            <w:r w:rsidRPr="000746B9">
              <w:rPr>
                <w:rFonts w:cs="Arial"/>
                <w:sz w:val="20"/>
                <w:szCs w:val="20"/>
              </w:rPr>
              <w:t>have the opportunity to</w:t>
            </w:r>
            <w:proofErr w:type="gramEnd"/>
            <w:r w:rsidRPr="000746B9">
              <w:rPr>
                <w:rFonts w:cs="Arial"/>
                <w:sz w:val="20"/>
                <w:szCs w:val="20"/>
              </w:rPr>
              <w:t xml:space="preserve"> influence patients’ use of antibiotics by advising patients on effective self-care treatments, appropriateness of antibiotics, antibiotic adherence and the consequences of using antibiotics incorrectly.</w:t>
            </w:r>
          </w:p>
          <w:p w14:paraId="691BD859" w14:textId="77777777" w:rsidR="000746B9" w:rsidRPr="000746B9" w:rsidRDefault="000746B9" w:rsidP="00DA217C">
            <w:pPr>
              <w:pStyle w:val="Paragraphnonumbers"/>
              <w:rPr>
                <w:rFonts w:cs="Arial"/>
                <w:bCs/>
                <w:sz w:val="20"/>
                <w:szCs w:val="20"/>
              </w:rPr>
            </w:pPr>
            <w:r w:rsidRPr="000746B9">
              <w:rPr>
                <w:rFonts w:cs="Arial"/>
                <w:bCs/>
                <w:sz w:val="20"/>
                <w:szCs w:val="20"/>
              </w:rPr>
              <w:t xml:space="preserve">An international example of best practice is Canada, with patients reporting high levels of satisfaction when receiving community pharmacy care for UTIs. Importantly the time frame for accessing treatment from community pharmacy than general practice was significantly shorter – reducing the likelihood of delayed treatment and condition escalation. </w:t>
            </w:r>
          </w:p>
          <w:p w14:paraId="6C47B55B" w14:textId="77777777" w:rsidR="000746B9" w:rsidRPr="000746B9" w:rsidRDefault="000746B9" w:rsidP="00DA217C">
            <w:pPr>
              <w:pStyle w:val="TableText1"/>
              <w:rPr>
                <w:rFonts w:cs="Arial"/>
                <w:sz w:val="20"/>
                <w:szCs w:val="20"/>
              </w:rPr>
            </w:pPr>
          </w:p>
        </w:tc>
        <w:tc>
          <w:tcPr>
            <w:tcW w:w="3769" w:type="dxa"/>
          </w:tcPr>
          <w:p w14:paraId="16055AE6" w14:textId="77777777" w:rsidR="000746B9" w:rsidRPr="000746B9" w:rsidRDefault="000746B9" w:rsidP="00DA217C">
            <w:pPr>
              <w:pStyle w:val="Paragraphnonumbers"/>
              <w:rPr>
                <w:rFonts w:cs="Arial"/>
                <w:sz w:val="20"/>
                <w:szCs w:val="20"/>
              </w:rPr>
            </w:pPr>
          </w:p>
          <w:p w14:paraId="667CE053" w14:textId="77777777" w:rsidR="000746B9" w:rsidRPr="000746B9" w:rsidRDefault="000746B9" w:rsidP="00DA217C">
            <w:pPr>
              <w:rPr>
                <w:rFonts w:ascii="Arial" w:hAnsi="Arial" w:cs="Arial"/>
                <w:sz w:val="20"/>
                <w:szCs w:val="20"/>
              </w:rPr>
            </w:pPr>
            <w:r w:rsidRPr="000746B9">
              <w:rPr>
                <w:rFonts w:ascii="Arial" w:hAnsi="Arial" w:cs="Arial"/>
                <w:b/>
                <w:bCs/>
                <w:noProof/>
                <w:sz w:val="20"/>
                <w:szCs w:val="20"/>
              </w:rPr>
              <w:t>See</w:t>
            </w:r>
            <w:r w:rsidRPr="000746B9">
              <w:rPr>
                <w:rFonts w:ascii="Arial" w:hAnsi="Arial" w:cs="Arial"/>
                <w:noProof/>
                <w:sz w:val="20"/>
                <w:szCs w:val="20"/>
              </w:rPr>
              <w:t xml:space="preserve">: T. Thornley, C. Kirkdale, E. Beech, P. Howard and P. Wilson, “Evaluation of a community pharmacy-led test-and-treat service for women with uncomplicated lower urinary tract infection in England,” </w:t>
            </w:r>
            <w:r w:rsidRPr="000746B9">
              <w:rPr>
                <w:rFonts w:ascii="Arial" w:hAnsi="Arial" w:cs="Arial"/>
                <w:i/>
                <w:iCs/>
                <w:noProof/>
                <w:sz w:val="20"/>
                <w:szCs w:val="20"/>
              </w:rPr>
              <w:t xml:space="preserve">JAC-Antimicrobial Resistance, </w:t>
            </w:r>
            <w:r w:rsidRPr="000746B9">
              <w:rPr>
                <w:rFonts w:ascii="Arial" w:hAnsi="Arial" w:cs="Arial"/>
                <w:noProof/>
                <w:sz w:val="20"/>
                <w:szCs w:val="20"/>
              </w:rPr>
              <w:t>vol. 2, no. 1, 2020.</w:t>
            </w:r>
          </w:p>
        </w:tc>
      </w:tr>
      <w:tr w:rsidR="000746B9" w:rsidRPr="000746B9" w14:paraId="2E612131" w14:textId="77777777" w:rsidTr="007C6ED4">
        <w:trPr>
          <w:trHeight w:val="282"/>
        </w:trPr>
        <w:tc>
          <w:tcPr>
            <w:tcW w:w="708" w:type="dxa"/>
          </w:tcPr>
          <w:p w14:paraId="021F3359" w14:textId="77777777" w:rsidR="000746B9" w:rsidRPr="000746B9" w:rsidRDefault="000746B9" w:rsidP="00E6662B">
            <w:pPr>
              <w:pStyle w:val="TableText1"/>
              <w:numPr>
                <w:ilvl w:val="0"/>
                <w:numId w:val="45"/>
              </w:numPr>
              <w:rPr>
                <w:rFonts w:cs="Arial"/>
                <w:sz w:val="20"/>
                <w:szCs w:val="20"/>
              </w:rPr>
            </w:pPr>
            <w:r w:rsidRPr="000746B9">
              <w:rPr>
                <w:rFonts w:cs="Arial"/>
                <w:sz w:val="20"/>
                <w:szCs w:val="20"/>
              </w:rPr>
              <w:t>2a</w:t>
            </w:r>
          </w:p>
        </w:tc>
        <w:tc>
          <w:tcPr>
            <w:tcW w:w="2264" w:type="dxa"/>
          </w:tcPr>
          <w:p w14:paraId="020195AF" w14:textId="77777777" w:rsidR="000746B9" w:rsidRPr="000746B9" w:rsidRDefault="000746B9" w:rsidP="00DA217C">
            <w:pPr>
              <w:pStyle w:val="TableText1"/>
              <w:rPr>
                <w:rFonts w:cs="Arial"/>
                <w:sz w:val="20"/>
                <w:szCs w:val="20"/>
              </w:rPr>
            </w:pPr>
            <w:r w:rsidRPr="000746B9">
              <w:rPr>
                <w:rFonts w:cs="Arial"/>
                <w:sz w:val="20"/>
                <w:szCs w:val="20"/>
              </w:rPr>
              <w:t>Company Chemists Association</w:t>
            </w:r>
          </w:p>
        </w:tc>
        <w:tc>
          <w:tcPr>
            <w:tcW w:w="3588" w:type="dxa"/>
          </w:tcPr>
          <w:p w14:paraId="11D7FE78" w14:textId="77777777" w:rsidR="000746B9" w:rsidRPr="000746B9" w:rsidRDefault="000746B9" w:rsidP="00DA217C">
            <w:pPr>
              <w:pStyle w:val="Paragraphnonumbers"/>
              <w:spacing w:after="120"/>
              <w:rPr>
                <w:rFonts w:cs="Arial"/>
                <w:b/>
                <w:bCs/>
                <w:sz w:val="20"/>
                <w:szCs w:val="20"/>
              </w:rPr>
            </w:pPr>
            <w:r w:rsidRPr="000746B9">
              <w:rPr>
                <w:rFonts w:cs="Arial"/>
                <w:b/>
                <w:bCs/>
                <w:sz w:val="20"/>
                <w:szCs w:val="20"/>
              </w:rPr>
              <w:t>Key area for quality improvement 2:</w:t>
            </w:r>
          </w:p>
          <w:p w14:paraId="264A0C4B" w14:textId="77777777" w:rsidR="000746B9" w:rsidRPr="000746B9" w:rsidRDefault="000746B9" w:rsidP="00DA217C">
            <w:pPr>
              <w:pStyle w:val="Paragraphnonumbers"/>
              <w:spacing w:after="120"/>
              <w:rPr>
                <w:rFonts w:cs="Arial"/>
                <w:b/>
                <w:bCs/>
                <w:sz w:val="20"/>
                <w:szCs w:val="20"/>
              </w:rPr>
            </w:pPr>
            <w:bookmarkStart w:id="127" w:name="_Hlk107215183"/>
            <w:r w:rsidRPr="000746B9">
              <w:rPr>
                <w:rFonts w:cs="Arial"/>
                <w:sz w:val="20"/>
                <w:szCs w:val="20"/>
              </w:rPr>
              <w:t>Reporting on medicines received by patients</w:t>
            </w:r>
            <w:bookmarkEnd w:id="127"/>
          </w:p>
        </w:tc>
        <w:tc>
          <w:tcPr>
            <w:tcW w:w="4350" w:type="dxa"/>
          </w:tcPr>
          <w:p w14:paraId="01C66F23" w14:textId="77777777" w:rsidR="000746B9" w:rsidRPr="000746B9" w:rsidRDefault="000746B9" w:rsidP="00DA217C">
            <w:pPr>
              <w:rPr>
                <w:rFonts w:ascii="Arial" w:hAnsi="Arial" w:cs="Arial"/>
                <w:bCs/>
                <w:sz w:val="20"/>
                <w:szCs w:val="20"/>
              </w:rPr>
            </w:pPr>
            <w:r w:rsidRPr="000746B9">
              <w:rPr>
                <w:rFonts w:ascii="Arial" w:hAnsi="Arial" w:cs="Arial"/>
                <w:bCs/>
                <w:sz w:val="20"/>
                <w:szCs w:val="20"/>
              </w:rPr>
              <w:t xml:space="preserve">Inappropriate use of antibiotics – both under and overuse – can be detrimental. Public reporting and disclosure of antibiotic prescribing are vital for harm reduction. </w:t>
            </w:r>
          </w:p>
          <w:p w14:paraId="34A24378" w14:textId="77777777" w:rsidR="000746B9" w:rsidRPr="000746B9" w:rsidRDefault="000746B9" w:rsidP="00DA217C">
            <w:pPr>
              <w:rPr>
                <w:rFonts w:ascii="Arial" w:hAnsi="Arial" w:cs="Arial"/>
                <w:bCs/>
                <w:sz w:val="20"/>
                <w:szCs w:val="20"/>
              </w:rPr>
            </w:pPr>
          </w:p>
          <w:p w14:paraId="50031D73" w14:textId="77777777" w:rsidR="000746B9" w:rsidRPr="000746B9" w:rsidRDefault="000746B9" w:rsidP="00DA217C">
            <w:pPr>
              <w:rPr>
                <w:rFonts w:ascii="Arial" w:hAnsi="Arial" w:cs="Arial"/>
                <w:bCs/>
                <w:sz w:val="20"/>
                <w:szCs w:val="20"/>
              </w:rPr>
            </w:pPr>
            <w:r w:rsidRPr="000746B9">
              <w:rPr>
                <w:rFonts w:ascii="Arial" w:hAnsi="Arial" w:cs="Arial"/>
                <w:bCs/>
                <w:sz w:val="20"/>
                <w:szCs w:val="20"/>
              </w:rPr>
              <w:t xml:space="preserve">Audits and patient feedback are also important to curbing inappropriate supply. </w:t>
            </w:r>
            <w:r w:rsidRPr="000746B9">
              <w:rPr>
                <w:rFonts w:ascii="Arial" w:hAnsi="Arial" w:cs="Arial"/>
                <w:sz w:val="20"/>
                <w:szCs w:val="20"/>
              </w:rPr>
              <w:t xml:space="preserve">In 2019, community pharmacies in England were invited to participate in an antimicrobial stewardship (AMS) intervention. The intervention included: a short staff webinar; Antibiotic Checklists to be completed by patients and pharmacists; TARGET Treating </w:t>
            </w:r>
            <w:r w:rsidRPr="000746B9">
              <w:rPr>
                <w:rFonts w:ascii="Arial" w:hAnsi="Arial" w:cs="Arial"/>
                <w:sz w:val="20"/>
                <w:szCs w:val="20"/>
              </w:rPr>
              <w:lastRenderedPageBreak/>
              <w:t>Your Infection leaflets; posters; counter mats; shelf-danglers; and stickers for prescription bags. Patients completing checklists were invited to feed back.</w:t>
            </w:r>
          </w:p>
        </w:tc>
        <w:tc>
          <w:tcPr>
            <w:tcW w:w="3769" w:type="dxa"/>
          </w:tcPr>
          <w:p w14:paraId="228DA0DE" w14:textId="77777777" w:rsidR="000746B9" w:rsidRPr="000746B9" w:rsidRDefault="000746B9" w:rsidP="00DA217C">
            <w:pPr>
              <w:pStyle w:val="Paragraphnonumbers"/>
              <w:rPr>
                <w:rFonts w:cs="Arial"/>
                <w:sz w:val="20"/>
                <w:szCs w:val="20"/>
              </w:rPr>
            </w:pPr>
          </w:p>
        </w:tc>
      </w:tr>
      <w:tr w:rsidR="000746B9" w:rsidRPr="000746B9" w14:paraId="2E1DC1D4" w14:textId="77777777" w:rsidTr="007C6ED4">
        <w:trPr>
          <w:trHeight w:val="282"/>
        </w:trPr>
        <w:tc>
          <w:tcPr>
            <w:tcW w:w="708" w:type="dxa"/>
          </w:tcPr>
          <w:p w14:paraId="5F4325A6" w14:textId="77777777" w:rsidR="000746B9" w:rsidRPr="000746B9" w:rsidRDefault="000746B9" w:rsidP="00E6662B">
            <w:pPr>
              <w:pStyle w:val="TableText1"/>
              <w:numPr>
                <w:ilvl w:val="0"/>
                <w:numId w:val="45"/>
              </w:numPr>
              <w:rPr>
                <w:rFonts w:cs="Arial"/>
                <w:sz w:val="20"/>
                <w:szCs w:val="20"/>
              </w:rPr>
            </w:pPr>
            <w:r w:rsidRPr="000746B9">
              <w:rPr>
                <w:rFonts w:cs="Arial"/>
                <w:sz w:val="20"/>
                <w:szCs w:val="20"/>
              </w:rPr>
              <w:t>2a</w:t>
            </w:r>
          </w:p>
        </w:tc>
        <w:tc>
          <w:tcPr>
            <w:tcW w:w="2264" w:type="dxa"/>
          </w:tcPr>
          <w:p w14:paraId="2E082AC5" w14:textId="77777777" w:rsidR="000746B9" w:rsidRPr="000746B9" w:rsidRDefault="000746B9" w:rsidP="00DA217C">
            <w:pPr>
              <w:pStyle w:val="TableText1"/>
              <w:rPr>
                <w:rFonts w:cs="Arial"/>
                <w:sz w:val="20"/>
                <w:szCs w:val="20"/>
              </w:rPr>
            </w:pPr>
            <w:r w:rsidRPr="000746B9">
              <w:rPr>
                <w:rFonts w:cs="Arial"/>
                <w:sz w:val="20"/>
                <w:szCs w:val="20"/>
              </w:rPr>
              <w:t>Company Chemists Association</w:t>
            </w:r>
          </w:p>
        </w:tc>
        <w:tc>
          <w:tcPr>
            <w:tcW w:w="3588" w:type="dxa"/>
          </w:tcPr>
          <w:p w14:paraId="0A5D9CC3" w14:textId="77777777" w:rsidR="000746B9" w:rsidRPr="000746B9" w:rsidRDefault="000746B9" w:rsidP="00DA217C">
            <w:pPr>
              <w:pStyle w:val="Paragraphnonumbers"/>
              <w:spacing w:after="120"/>
              <w:rPr>
                <w:rFonts w:cs="Arial"/>
                <w:b/>
                <w:bCs/>
                <w:sz w:val="20"/>
                <w:szCs w:val="20"/>
              </w:rPr>
            </w:pPr>
            <w:r w:rsidRPr="000746B9">
              <w:rPr>
                <w:rFonts w:cs="Arial"/>
                <w:b/>
                <w:bCs/>
                <w:sz w:val="20"/>
                <w:szCs w:val="20"/>
              </w:rPr>
              <w:t>Key area for quality improvement 3:</w:t>
            </w:r>
          </w:p>
          <w:p w14:paraId="4453AC79" w14:textId="77777777" w:rsidR="000746B9" w:rsidRPr="000746B9" w:rsidRDefault="000746B9" w:rsidP="00DA217C">
            <w:pPr>
              <w:pStyle w:val="Paragraphnonumbers"/>
              <w:spacing w:after="120"/>
              <w:rPr>
                <w:rFonts w:cs="Arial"/>
                <w:b/>
                <w:bCs/>
                <w:sz w:val="20"/>
                <w:szCs w:val="20"/>
              </w:rPr>
            </w:pPr>
            <w:r w:rsidRPr="000746B9">
              <w:rPr>
                <w:rFonts w:cs="Arial"/>
                <w:sz w:val="20"/>
                <w:szCs w:val="20"/>
              </w:rPr>
              <w:t>Impact on Symptom Escalation</w:t>
            </w:r>
          </w:p>
        </w:tc>
        <w:tc>
          <w:tcPr>
            <w:tcW w:w="4350" w:type="dxa"/>
          </w:tcPr>
          <w:p w14:paraId="590C6A4F" w14:textId="77777777" w:rsidR="000746B9" w:rsidRPr="000746B9" w:rsidRDefault="000746B9" w:rsidP="00DA217C">
            <w:pPr>
              <w:rPr>
                <w:rFonts w:ascii="Arial" w:hAnsi="Arial" w:cs="Arial"/>
                <w:sz w:val="20"/>
                <w:szCs w:val="20"/>
              </w:rPr>
            </w:pPr>
            <w:r w:rsidRPr="000746B9">
              <w:rPr>
                <w:rFonts w:ascii="Arial" w:hAnsi="Arial" w:cs="Arial"/>
                <w:sz w:val="20"/>
                <w:szCs w:val="20"/>
              </w:rPr>
              <w:t xml:space="preserve">The prevention of secondary infections and complicated UTIs may be better controlled through pharmacy-led intervention. Raising awareness of red flag symptoms, safety netting advice and further counselling within pharmacy settings allows for better management of UTIs. </w:t>
            </w:r>
          </w:p>
          <w:p w14:paraId="4C57360F" w14:textId="77777777" w:rsidR="000746B9" w:rsidRPr="000746B9" w:rsidRDefault="000746B9" w:rsidP="00DA217C">
            <w:pPr>
              <w:rPr>
                <w:rFonts w:ascii="Arial" w:hAnsi="Arial" w:cs="Arial"/>
                <w:sz w:val="20"/>
                <w:szCs w:val="20"/>
              </w:rPr>
            </w:pPr>
          </w:p>
          <w:p w14:paraId="48C1C3BA" w14:textId="77777777" w:rsidR="000746B9" w:rsidRPr="000746B9" w:rsidRDefault="000746B9" w:rsidP="00DA217C">
            <w:pPr>
              <w:rPr>
                <w:rFonts w:ascii="Arial" w:hAnsi="Arial" w:cs="Arial"/>
                <w:bCs/>
                <w:sz w:val="20"/>
                <w:szCs w:val="20"/>
              </w:rPr>
            </w:pPr>
            <w:r w:rsidRPr="000746B9">
              <w:rPr>
                <w:rFonts w:ascii="Arial" w:hAnsi="Arial" w:cs="Arial"/>
                <w:sz w:val="20"/>
                <w:szCs w:val="20"/>
              </w:rPr>
              <w:t xml:space="preserve">Pharmacy teams offer safe non-antimicrobial strategies where early, non-complicated infection is suspected. </w:t>
            </w:r>
          </w:p>
        </w:tc>
        <w:tc>
          <w:tcPr>
            <w:tcW w:w="3769" w:type="dxa"/>
          </w:tcPr>
          <w:p w14:paraId="4C7E8E16" w14:textId="77777777" w:rsidR="000746B9" w:rsidRPr="000746B9" w:rsidRDefault="000746B9" w:rsidP="00DA217C">
            <w:pPr>
              <w:pStyle w:val="Paragraphnonumbers"/>
              <w:rPr>
                <w:rFonts w:cs="Arial"/>
                <w:sz w:val="20"/>
                <w:szCs w:val="20"/>
              </w:rPr>
            </w:pPr>
          </w:p>
        </w:tc>
      </w:tr>
      <w:tr w:rsidR="000746B9" w:rsidRPr="000746B9" w14:paraId="6DC069B6" w14:textId="77777777" w:rsidTr="007C6ED4">
        <w:trPr>
          <w:trHeight w:val="282"/>
        </w:trPr>
        <w:tc>
          <w:tcPr>
            <w:tcW w:w="708" w:type="dxa"/>
          </w:tcPr>
          <w:p w14:paraId="46A1A1B4" w14:textId="77777777" w:rsidR="000746B9" w:rsidRPr="000746B9" w:rsidRDefault="000746B9" w:rsidP="00E6662B">
            <w:pPr>
              <w:pStyle w:val="TableText1"/>
              <w:numPr>
                <w:ilvl w:val="0"/>
                <w:numId w:val="45"/>
              </w:numPr>
              <w:rPr>
                <w:rFonts w:cs="Arial"/>
                <w:sz w:val="20"/>
                <w:szCs w:val="20"/>
              </w:rPr>
            </w:pPr>
            <w:r w:rsidRPr="000746B9">
              <w:rPr>
                <w:rFonts w:cs="Arial"/>
                <w:sz w:val="20"/>
                <w:szCs w:val="20"/>
              </w:rPr>
              <w:t>2a</w:t>
            </w:r>
          </w:p>
        </w:tc>
        <w:tc>
          <w:tcPr>
            <w:tcW w:w="2264" w:type="dxa"/>
          </w:tcPr>
          <w:p w14:paraId="41C55F5E" w14:textId="2FF0BE66" w:rsidR="000746B9" w:rsidRPr="000746B9" w:rsidRDefault="000746B9" w:rsidP="00DA217C">
            <w:pPr>
              <w:pStyle w:val="TableText1"/>
              <w:rPr>
                <w:rFonts w:cs="Arial"/>
                <w:sz w:val="20"/>
                <w:szCs w:val="20"/>
              </w:rPr>
            </w:pPr>
            <w:r w:rsidRPr="000746B9">
              <w:rPr>
                <w:rFonts w:cs="Arial"/>
                <w:sz w:val="20"/>
                <w:szCs w:val="20"/>
              </w:rPr>
              <w:t>SCM1</w:t>
            </w:r>
          </w:p>
        </w:tc>
        <w:tc>
          <w:tcPr>
            <w:tcW w:w="3588" w:type="dxa"/>
          </w:tcPr>
          <w:p w14:paraId="4BE85EFB" w14:textId="77777777" w:rsidR="000746B9" w:rsidRPr="000746B9" w:rsidRDefault="000746B9" w:rsidP="00DA217C">
            <w:pPr>
              <w:pStyle w:val="TableText1"/>
              <w:rPr>
                <w:rFonts w:cs="Arial"/>
                <w:sz w:val="20"/>
                <w:szCs w:val="20"/>
              </w:rPr>
            </w:pPr>
            <w:r w:rsidRPr="000746B9">
              <w:rPr>
                <w:rFonts w:cs="Arial"/>
                <w:sz w:val="20"/>
                <w:szCs w:val="20"/>
              </w:rPr>
              <w:t xml:space="preserve">Patient expectations on </w:t>
            </w:r>
            <w:proofErr w:type="gramStart"/>
            <w:r w:rsidRPr="000746B9">
              <w:rPr>
                <w:rFonts w:cs="Arial"/>
                <w:sz w:val="20"/>
                <w:szCs w:val="20"/>
              </w:rPr>
              <w:t>treatment  /</w:t>
            </w:r>
            <w:proofErr w:type="gramEnd"/>
            <w:r w:rsidRPr="000746B9">
              <w:rPr>
                <w:rFonts w:cs="Arial"/>
                <w:sz w:val="20"/>
                <w:szCs w:val="20"/>
              </w:rPr>
              <w:t xml:space="preserve"> issuing of antibiotics</w:t>
            </w:r>
          </w:p>
        </w:tc>
        <w:tc>
          <w:tcPr>
            <w:tcW w:w="4350" w:type="dxa"/>
          </w:tcPr>
          <w:p w14:paraId="2C90A81D" w14:textId="77777777" w:rsidR="000746B9" w:rsidRPr="000746B9" w:rsidRDefault="000746B9" w:rsidP="00DA217C">
            <w:pPr>
              <w:pStyle w:val="TableText1"/>
              <w:snapToGrid w:val="0"/>
              <w:rPr>
                <w:rFonts w:cs="Arial"/>
                <w:sz w:val="20"/>
                <w:szCs w:val="20"/>
              </w:rPr>
            </w:pPr>
            <w:r w:rsidRPr="000746B9">
              <w:rPr>
                <w:rFonts w:cs="Arial"/>
                <w:sz w:val="20"/>
                <w:szCs w:val="20"/>
              </w:rPr>
              <w:t xml:space="preserve">Care and treatment </w:t>
            </w:r>
            <w:proofErr w:type="gramStart"/>
            <w:r w:rsidRPr="000746B9">
              <w:rPr>
                <w:rFonts w:cs="Arial"/>
                <w:sz w:val="20"/>
                <w:szCs w:val="20"/>
              </w:rPr>
              <w:t>needs</w:t>
            </w:r>
            <w:proofErr w:type="gramEnd"/>
            <w:r w:rsidRPr="000746B9">
              <w:rPr>
                <w:rFonts w:cs="Arial"/>
                <w:sz w:val="20"/>
                <w:szCs w:val="20"/>
              </w:rPr>
              <w:t xml:space="preserve"> to be based on clinical findings and evidence based practice, and not patient expectations and/or request. </w:t>
            </w:r>
          </w:p>
          <w:p w14:paraId="448E2DB6" w14:textId="77777777" w:rsidR="000746B9" w:rsidRPr="000746B9" w:rsidRDefault="000746B9" w:rsidP="00DA217C">
            <w:pPr>
              <w:pStyle w:val="TableText1"/>
              <w:snapToGrid w:val="0"/>
              <w:rPr>
                <w:rFonts w:cs="Arial"/>
                <w:sz w:val="20"/>
                <w:szCs w:val="20"/>
                <w:lang w:eastAsia="ar-SA"/>
              </w:rPr>
            </w:pPr>
            <w:r w:rsidRPr="000746B9">
              <w:rPr>
                <w:rFonts w:cs="Arial"/>
                <w:sz w:val="20"/>
                <w:szCs w:val="20"/>
              </w:rPr>
              <w:t xml:space="preserve">Patients risk having increased expectations to be able to drop a urine sample off without it being requested and expect issuing of antibiotics. This may increase patient demand and promote inaccurate, ineffective and </w:t>
            </w:r>
            <w:proofErr w:type="gramStart"/>
            <w:r w:rsidRPr="000746B9">
              <w:rPr>
                <w:rFonts w:cs="Arial"/>
                <w:sz w:val="20"/>
                <w:szCs w:val="20"/>
              </w:rPr>
              <w:t>a</w:t>
            </w:r>
            <w:proofErr w:type="gramEnd"/>
            <w:r w:rsidRPr="000746B9">
              <w:rPr>
                <w:rFonts w:cs="Arial"/>
                <w:sz w:val="20"/>
                <w:szCs w:val="20"/>
              </w:rPr>
              <w:t xml:space="preserve"> unsafe practice culture</w:t>
            </w:r>
          </w:p>
        </w:tc>
        <w:tc>
          <w:tcPr>
            <w:tcW w:w="3769" w:type="dxa"/>
          </w:tcPr>
          <w:p w14:paraId="1D7C7C68" w14:textId="77777777" w:rsidR="000746B9" w:rsidRPr="000746B9" w:rsidRDefault="00AC503C" w:rsidP="00DA217C">
            <w:pPr>
              <w:pStyle w:val="TableText1"/>
              <w:snapToGrid w:val="0"/>
              <w:rPr>
                <w:rFonts w:cs="Arial"/>
                <w:sz w:val="20"/>
                <w:szCs w:val="20"/>
                <w:lang w:eastAsia="ar-SA"/>
              </w:rPr>
            </w:pPr>
            <w:hyperlink r:id="rId80" w:history="1">
              <w:r w:rsidR="000746B9" w:rsidRPr="000746B9">
                <w:rPr>
                  <w:rStyle w:val="Hyperlink"/>
                  <w:rFonts w:cs="Arial"/>
                  <w:sz w:val="20"/>
                  <w:szCs w:val="20"/>
                </w:rPr>
                <w:t>https://target-webinars.com/webinars/managing-patient-expectations/</w:t>
              </w:r>
            </w:hyperlink>
          </w:p>
          <w:p w14:paraId="4BBD5ABA" w14:textId="77777777" w:rsidR="000746B9" w:rsidRPr="000746B9" w:rsidRDefault="000746B9" w:rsidP="00DA217C">
            <w:pPr>
              <w:pStyle w:val="TableText1"/>
              <w:snapToGrid w:val="0"/>
              <w:rPr>
                <w:rFonts w:cs="Arial"/>
                <w:sz w:val="20"/>
                <w:szCs w:val="20"/>
              </w:rPr>
            </w:pPr>
          </w:p>
          <w:p w14:paraId="3A4E6D35" w14:textId="77777777" w:rsidR="000746B9" w:rsidRPr="000746B9" w:rsidRDefault="00AC503C" w:rsidP="00DA217C">
            <w:pPr>
              <w:pStyle w:val="TableText1"/>
              <w:rPr>
                <w:rFonts w:cs="Arial"/>
                <w:sz w:val="20"/>
                <w:szCs w:val="20"/>
              </w:rPr>
            </w:pPr>
            <w:hyperlink r:id="rId81" w:history="1">
              <w:r w:rsidR="000746B9" w:rsidRPr="000746B9">
                <w:rPr>
                  <w:rStyle w:val="Hyperlink"/>
                  <w:rFonts w:cs="Arial"/>
                  <w:sz w:val="20"/>
                  <w:szCs w:val="20"/>
                  <w:lang w:eastAsia="ne-NP" w:bidi="ne-NP"/>
                </w:rPr>
                <w:t>Urinary tract infection (recurrent): antimicrobial prescribing</w:t>
              </w:r>
            </w:hyperlink>
            <w:r w:rsidR="000746B9" w:rsidRPr="000746B9">
              <w:rPr>
                <w:rFonts w:cs="Arial"/>
                <w:sz w:val="20"/>
                <w:szCs w:val="20"/>
                <w:lang w:eastAsia="ne-NP" w:bidi="ne-NP"/>
              </w:rPr>
              <w:t xml:space="preserve"> (2018) NICE guideline NG112</w:t>
            </w:r>
          </w:p>
        </w:tc>
      </w:tr>
      <w:tr w:rsidR="000746B9" w:rsidRPr="000746B9" w14:paraId="6E7B0FD1" w14:textId="77777777" w:rsidTr="007C6ED4">
        <w:trPr>
          <w:trHeight w:val="282"/>
        </w:trPr>
        <w:tc>
          <w:tcPr>
            <w:tcW w:w="708" w:type="dxa"/>
          </w:tcPr>
          <w:p w14:paraId="09A454B2" w14:textId="77777777" w:rsidR="000746B9" w:rsidRPr="000746B9" w:rsidRDefault="000746B9" w:rsidP="00E6662B">
            <w:pPr>
              <w:pStyle w:val="TableText1"/>
              <w:numPr>
                <w:ilvl w:val="0"/>
                <w:numId w:val="45"/>
              </w:numPr>
              <w:rPr>
                <w:rFonts w:cs="Arial"/>
                <w:sz w:val="20"/>
                <w:szCs w:val="20"/>
              </w:rPr>
            </w:pPr>
            <w:r w:rsidRPr="000746B9">
              <w:rPr>
                <w:rFonts w:cs="Arial"/>
                <w:sz w:val="20"/>
                <w:szCs w:val="20"/>
              </w:rPr>
              <w:t>2a</w:t>
            </w:r>
          </w:p>
        </w:tc>
        <w:tc>
          <w:tcPr>
            <w:tcW w:w="2264" w:type="dxa"/>
          </w:tcPr>
          <w:p w14:paraId="0051E199" w14:textId="51DE6438" w:rsidR="000746B9" w:rsidRPr="000746B9" w:rsidRDefault="000746B9" w:rsidP="00DA217C">
            <w:pPr>
              <w:pStyle w:val="TableText1"/>
              <w:rPr>
                <w:rFonts w:cs="Arial"/>
                <w:sz w:val="20"/>
                <w:szCs w:val="20"/>
              </w:rPr>
            </w:pPr>
            <w:r w:rsidRPr="000746B9">
              <w:rPr>
                <w:rFonts w:cs="Arial"/>
                <w:sz w:val="20"/>
                <w:szCs w:val="20"/>
              </w:rPr>
              <w:t>SCM2</w:t>
            </w:r>
          </w:p>
        </w:tc>
        <w:tc>
          <w:tcPr>
            <w:tcW w:w="3588" w:type="dxa"/>
            <w:shd w:val="clear" w:color="auto" w:fill="FFFFFF"/>
          </w:tcPr>
          <w:p w14:paraId="60484F25" w14:textId="77777777" w:rsidR="000746B9" w:rsidRPr="000746B9" w:rsidRDefault="000746B9" w:rsidP="00DA217C">
            <w:pPr>
              <w:pStyle w:val="Paragraphnonumbers"/>
              <w:spacing w:after="120"/>
              <w:rPr>
                <w:rFonts w:cs="Arial"/>
                <w:sz w:val="20"/>
                <w:szCs w:val="20"/>
              </w:rPr>
            </w:pPr>
            <w:bookmarkStart w:id="128" w:name="_Hlk107214168"/>
            <w:r w:rsidRPr="000746B9">
              <w:rPr>
                <w:rFonts w:cs="Arial"/>
                <w:sz w:val="20"/>
                <w:szCs w:val="20"/>
              </w:rPr>
              <w:t>Avoid unnecessary treatment of asymptomatic bacteriuria</w:t>
            </w:r>
            <w:bookmarkEnd w:id="128"/>
            <w:r w:rsidRPr="000746B9">
              <w:rPr>
                <w:rFonts w:cs="Arial"/>
                <w:sz w:val="20"/>
                <w:szCs w:val="20"/>
              </w:rPr>
              <w:t xml:space="preserve">. </w:t>
            </w:r>
          </w:p>
        </w:tc>
        <w:tc>
          <w:tcPr>
            <w:tcW w:w="4350" w:type="dxa"/>
            <w:shd w:val="clear" w:color="auto" w:fill="FFFFFF"/>
          </w:tcPr>
          <w:p w14:paraId="511130DC" w14:textId="77777777" w:rsidR="000746B9" w:rsidRPr="000746B9" w:rsidRDefault="000746B9" w:rsidP="00DA217C">
            <w:pPr>
              <w:pStyle w:val="Paragraphnonumbers"/>
              <w:rPr>
                <w:rFonts w:cs="Arial"/>
                <w:sz w:val="20"/>
                <w:szCs w:val="20"/>
              </w:rPr>
            </w:pPr>
            <w:r w:rsidRPr="000746B9">
              <w:rPr>
                <w:rFonts w:cs="Arial"/>
                <w:sz w:val="20"/>
                <w:szCs w:val="20"/>
              </w:rPr>
              <w:t>Reducing unnecessary antimicrobial treatment will reduce antimicrobial resistance and minimise adverse effects.</w:t>
            </w:r>
          </w:p>
          <w:p w14:paraId="1B8C37CC" w14:textId="77777777" w:rsidR="000746B9" w:rsidRPr="000746B9" w:rsidRDefault="000746B9" w:rsidP="00DA217C">
            <w:pPr>
              <w:pStyle w:val="NormalWeb"/>
              <w:rPr>
                <w:rFonts w:ascii="Arial" w:hAnsi="Arial" w:cs="Arial"/>
                <w:sz w:val="20"/>
                <w:szCs w:val="20"/>
              </w:rPr>
            </w:pPr>
            <w:r w:rsidRPr="000746B9">
              <w:rPr>
                <w:rFonts w:ascii="Arial" w:hAnsi="Arial" w:cs="Arial"/>
                <w:i/>
                <w:iCs/>
                <w:color w:val="262626"/>
                <w:sz w:val="20"/>
                <w:szCs w:val="20"/>
              </w:rPr>
              <w:t>Healthcare professionals do not prescribe antibiotics to treat asymptomatic bacteriuria in adults with catheters and non-pregnant women++.</w:t>
            </w:r>
            <w:r w:rsidRPr="000746B9">
              <w:rPr>
                <w:rFonts w:ascii="Arial" w:hAnsi="Arial" w:cs="Arial"/>
                <w:sz w:val="20"/>
                <w:szCs w:val="20"/>
              </w:rPr>
              <w:t xml:space="preserve"> </w:t>
            </w:r>
          </w:p>
          <w:p w14:paraId="6D4558B6" w14:textId="77777777" w:rsidR="000746B9" w:rsidRPr="000746B9" w:rsidRDefault="000746B9" w:rsidP="00DA217C">
            <w:pPr>
              <w:pStyle w:val="NormalWeb"/>
              <w:rPr>
                <w:rFonts w:ascii="Arial" w:hAnsi="Arial" w:cs="Arial"/>
                <w:i/>
                <w:iCs/>
                <w:sz w:val="20"/>
                <w:szCs w:val="20"/>
              </w:rPr>
            </w:pPr>
            <w:r w:rsidRPr="000746B9">
              <w:rPr>
                <w:rFonts w:ascii="Arial" w:hAnsi="Arial" w:cs="Arial"/>
                <w:i/>
                <w:iCs/>
                <w:sz w:val="20"/>
                <w:szCs w:val="20"/>
              </w:rPr>
              <w:lastRenderedPageBreak/>
              <w:t xml:space="preserve">Do not treat asymptomatic bacteriuria in non-pregnant women of any age**. </w:t>
            </w:r>
          </w:p>
          <w:p w14:paraId="18692286" w14:textId="77777777" w:rsidR="000746B9" w:rsidRPr="000746B9" w:rsidRDefault="000746B9" w:rsidP="00DA217C">
            <w:pPr>
              <w:pStyle w:val="Paragraphnonumbers"/>
              <w:rPr>
                <w:rFonts w:cs="Arial"/>
                <w:sz w:val="20"/>
                <w:szCs w:val="20"/>
              </w:rPr>
            </w:pPr>
            <w:r w:rsidRPr="000746B9">
              <w:rPr>
                <w:rFonts w:cs="Arial"/>
                <w:sz w:val="20"/>
                <w:szCs w:val="20"/>
              </w:rPr>
              <w:t>See supporting information</w:t>
            </w:r>
          </w:p>
        </w:tc>
        <w:tc>
          <w:tcPr>
            <w:tcW w:w="3769" w:type="dxa"/>
            <w:shd w:val="clear" w:color="auto" w:fill="FFFFFF"/>
          </w:tcPr>
          <w:p w14:paraId="145E3172" w14:textId="77777777" w:rsidR="000746B9" w:rsidRPr="000746B9" w:rsidRDefault="000746B9" w:rsidP="00DA217C">
            <w:pPr>
              <w:pStyle w:val="NormalWeb"/>
              <w:rPr>
                <w:rFonts w:ascii="Arial" w:hAnsi="Arial" w:cs="Arial"/>
                <w:sz w:val="20"/>
                <w:szCs w:val="20"/>
              </w:rPr>
            </w:pPr>
            <w:r w:rsidRPr="000746B9">
              <w:rPr>
                <w:rFonts w:ascii="Arial" w:hAnsi="Arial" w:cs="Arial"/>
                <w:sz w:val="20"/>
                <w:szCs w:val="20"/>
              </w:rPr>
              <w:lastRenderedPageBreak/>
              <w:t>++ Note this is a recommendation (Statement 5) in existing QS90 (2015)</w:t>
            </w:r>
          </w:p>
          <w:p w14:paraId="7C9B8FD1" w14:textId="77777777" w:rsidR="000746B9" w:rsidRPr="000746B9" w:rsidRDefault="000746B9" w:rsidP="00DA217C">
            <w:pPr>
              <w:pStyle w:val="NormalWeb"/>
              <w:rPr>
                <w:rFonts w:ascii="Arial" w:hAnsi="Arial" w:cs="Arial"/>
                <w:sz w:val="20"/>
                <w:szCs w:val="20"/>
              </w:rPr>
            </w:pPr>
            <w:r w:rsidRPr="000746B9">
              <w:rPr>
                <w:rFonts w:ascii="Arial" w:hAnsi="Arial" w:cs="Arial"/>
                <w:sz w:val="20"/>
                <w:szCs w:val="20"/>
              </w:rPr>
              <w:t>**This is a recommendation in SIGN 160 (Sept 2020) Guideline ‘Management of suspected bacterial UTI in adult women’</w:t>
            </w:r>
          </w:p>
          <w:p w14:paraId="76E947F9" w14:textId="77777777" w:rsidR="000746B9" w:rsidRPr="000746B9" w:rsidRDefault="000746B9" w:rsidP="00DA217C">
            <w:pPr>
              <w:pStyle w:val="NormalWeb"/>
              <w:rPr>
                <w:rFonts w:ascii="Arial" w:hAnsi="Arial" w:cs="Arial"/>
                <w:sz w:val="20"/>
                <w:szCs w:val="20"/>
              </w:rPr>
            </w:pPr>
            <w:r w:rsidRPr="000746B9">
              <w:rPr>
                <w:rFonts w:ascii="Arial" w:hAnsi="Arial" w:cs="Arial"/>
                <w:sz w:val="20"/>
                <w:szCs w:val="20"/>
              </w:rPr>
              <w:lastRenderedPageBreak/>
              <w:t>Supported by Cochrane review (2015</w:t>
            </w:r>
            <w:proofErr w:type="gramStart"/>
            <w:r w:rsidRPr="000746B9">
              <w:rPr>
                <w:rFonts w:ascii="Arial" w:hAnsi="Arial" w:cs="Arial"/>
                <w:sz w:val="20"/>
                <w:szCs w:val="20"/>
              </w:rPr>
              <w:t>).This</w:t>
            </w:r>
            <w:proofErr w:type="gramEnd"/>
            <w:r w:rsidRPr="000746B9">
              <w:rPr>
                <w:rFonts w:ascii="Arial" w:hAnsi="Arial" w:cs="Arial"/>
                <w:sz w:val="20"/>
                <w:szCs w:val="20"/>
              </w:rPr>
              <w:t xml:space="preserve"> comparing treatment of asymptomatic bacteriuria in men and non-pregnant women with antimicrobials or placebo reported an increased risk of adverse events associated with antimicrobial treatment (RR 3.77, 95% CI 1.4 to 10.15).76 Only three of the nine studies included in this review recruited patients under the age of 65 years.</w:t>
            </w:r>
          </w:p>
        </w:tc>
      </w:tr>
      <w:tr w:rsidR="000746B9" w:rsidRPr="000746B9" w14:paraId="4040E138" w14:textId="77777777" w:rsidTr="007C6ED4">
        <w:trPr>
          <w:trHeight w:val="282"/>
        </w:trPr>
        <w:tc>
          <w:tcPr>
            <w:tcW w:w="708" w:type="dxa"/>
          </w:tcPr>
          <w:p w14:paraId="021AC894" w14:textId="77777777" w:rsidR="000746B9" w:rsidRPr="000746B9" w:rsidRDefault="000746B9" w:rsidP="00E6662B">
            <w:pPr>
              <w:pStyle w:val="TableText1"/>
              <w:numPr>
                <w:ilvl w:val="0"/>
                <w:numId w:val="45"/>
              </w:numPr>
              <w:rPr>
                <w:rFonts w:cs="Arial"/>
                <w:sz w:val="20"/>
                <w:szCs w:val="20"/>
              </w:rPr>
            </w:pPr>
            <w:r w:rsidRPr="000746B9">
              <w:rPr>
                <w:rFonts w:cs="Arial"/>
                <w:sz w:val="20"/>
                <w:szCs w:val="20"/>
              </w:rPr>
              <w:lastRenderedPageBreak/>
              <w:t>2a</w:t>
            </w:r>
          </w:p>
        </w:tc>
        <w:tc>
          <w:tcPr>
            <w:tcW w:w="2264" w:type="dxa"/>
          </w:tcPr>
          <w:p w14:paraId="588D8EC9" w14:textId="7AE582F8" w:rsidR="000746B9" w:rsidRPr="000746B9" w:rsidRDefault="000746B9" w:rsidP="00DA217C">
            <w:pPr>
              <w:pStyle w:val="TableText1"/>
              <w:rPr>
                <w:rFonts w:cs="Arial"/>
                <w:sz w:val="20"/>
                <w:szCs w:val="20"/>
              </w:rPr>
            </w:pPr>
            <w:r w:rsidRPr="000746B9">
              <w:rPr>
                <w:rFonts w:cs="Arial"/>
                <w:sz w:val="20"/>
                <w:szCs w:val="20"/>
              </w:rPr>
              <w:t>SCM3</w:t>
            </w:r>
          </w:p>
        </w:tc>
        <w:tc>
          <w:tcPr>
            <w:tcW w:w="3588" w:type="dxa"/>
          </w:tcPr>
          <w:p w14:paraId="49AB97A1" w14:textId="77777777" w:rsidR="000746B9" w:rsidRPr="000746B9" w:rsidRDefault="000746B9" w:rsidP="00DA217C">
            <w:pPr>
              <w:pStyle w:val="TableText1"/>
              <w:rPr>
                <w:rFonts w:cs="Arial"/>
                <w:sz w:val="20"/>
                <w:szCs w:val="20"/>
              </w:rPr>
            </w:pPr>
            <w:r w:rsidRPr="000746B9">
              <w:rPr>
                <w:rFonts w:cs="Arial"/>
                <w:sz w:val="20"/>
                <w:szCs w:val="20"/>
              </w:rPr>
              <w:t>Key area for quality improvement 1</w:t>
            </w:r>
          </w:p>
          <w:p w14:paraId="56E4C777" w14:textId="77777777" w:rsidR="000746B9" w:rsidRPr="000746B9" w:rsidRDefault="000746B9" w:rsidP="00DA217C">
            <w:pPr>
              <w:pStyle w:val="TableText1"/>
              <w:rPr>
                <w:rFonts w:cs="Arial"/>
                <w:sz w:val="20"/>
                <w:szCs w:val="20"/>
              </w:rPr>
            </w:pPr>
          </w:p>
          <w:p w14:paraId="21C5011D" w14:textId="77777777" w:rsidR="000746B9" w:rsidRPr="000746B9" w:rsidRDefault="000746B9" w:rsidP="00DA217C">
            <w:pPr>
              <w:pStyle w:val="TableText1"/>
              <w:rPr>
                <w:rFonts w:cs="Arial"/>
                <w:sz w:val="20"/>
                <w:szCs w:val="20"/>
              </w:rPr>
            </w:pPr>
            <w:r w:rsidRPr="000746B9">
              <w:rPr>
                <w:rFonts w:cs="Arial"/>
                <w:sz w:val="20"/>
                <w:szCs w:val="20"/>
              </w:rPr>
              <w:t>Advice on UTI as a self-limiting condition</w:t>
            </w:r>
          </w:p>
          <w:p w14:paraId="1DC88A0F" w14:textId="77777777" w:rsidR="000746B9" w:rsidRPr="000746B9" w:rsidRDefault="000746B9" w:rsidP="00DA217C">
            <w:pPr>
              <w:pStyle w:val="TableText1"/>
              <w:rPr>
                <w:rFonts w:cs="Arial"/>
                <w:sz w:val="20"/>
                <w:szCs w:val="20"/>
              </w:rPr>
            </w:pPr>
          </w:p>
        </w:tc>
        <w:tc>
          <w:tcPr>
            <w:tcW w:w="4350" w:type="dxa"/>
          </w:tcPr>
          <w:p w14:paraId="316510BB" w14:textId="77777777" w:rsidR="000746B9" w:rsidRPr="000746B9" w:rsidRDefault="000746B9" w:rsidP="00DA217C">
            <w:pPr>
              <w:pStyle w:val="TableText1"/>
              <w:rPr>
                <w:rFonts w:cs="Arial"/>
                <w:color w:val="0E0E0E"/>
                <w:sz w:val="20"/>
                <w:szCs w:val="20"/>
                <w:shd w:val="clear" w:color="auto" w:fill="FAFAFB"/>
              </w:rPr>
            </w:pPr>
            <w:r w:rsidRPr="000746B9">
              <w:rPr>
                <w:rFonts w:cs="Arial"/>
                <w:color w:val="0E0E0E"/>
                <w:sz w:val="20"/>
                <w:szCs w:val="20"/>
                <w:shd w:val="clear" w:color="auto" w:fill="FAFAFB"/>
              </w:rPr>
              <w:t xml:space="preserve">UTI are often a </w:t>
            </w:r>
            <w:proofErr w:type="spellStart"/>
            <w:r w:rsidRPr="000746B9">
              <w:rPr>
                <w:rFonts w:cs="Arial"/>
                <w:color w:val="0E0E0E"/>
                <w:sz w:val="20"/>
                <w:szCs w:val="20"/>
                <w:shd w:val="clear" w:color="auto" w:fill="FAFAFB"/>
              </w:rPr>
              <w:t>self limiting</w:t>
            </w:r>
            <w:proofErr w:type="spellEnd"/>
            <w:r w:rsidRPr="000746B9">
              <w:rPr>
                <w:rFonts w:cs="Arial"/>
                <w:color w:val="0E0E0E"/>
                <w:sz w:val="20"/>
                <w:szCs w:val="20"/>
                <w:shd w:val="clear" w:color="auto" w:fill="FAFAFB"/>
              </w:rPr>
              <w:t xml:space="preserve"> condition and with the appropriate </w:t>
            </w:r>
            <w:proofErr w:type="gramStart"/>
            <w:r w:rsidRPr="000746B9">
              <w:rPr>
                <w:rFonts w:cs="Arial"/>
                <w:color w:val="0E0E0E"/>
                <w:sz w:val="20"/>
                <w:szCs w:val="20"/>
                <w:shd w:val="clear" w:color="auto" w:fill="FAFAFB"/>
              </w:rPr>
              <w:t>advice  patients</w:t>
            </w:r>
            <w:proofErr w:type="gramEnd"/>
            <w:r w:rsidRPr="000746B9">
              <w:rPr>
                <w:rFonts w:cs="Arial"/>
                <w:color w:val="0E0E0E"/>
                <w:sz w:val="20"/>
                <w:szCs w:val="20"/>
                <w:shd w:val="clear" w:color="auto" w:fill="FAFAFB"/>
              </w:rPr>
              <w:t xml:space="preserve"> can </w:t>
            </w:r>
            <w:proofErr w:type="spellStart"/>
            <w:r w:rsidRPr="000746B9">
              <w:rPr>
                <w:rFonts w:cs="Arial"/>
                <w:color w:val="0E0E0E"/>
                <w:sz w:val="20"/>
                <w:szCs w:val="20"/>
                <w:shd w:val="clear" w:color="auto" w:fill="FAFAFB"/>
              </w:rPr>
              <w:t>self treat</w:t>
            </w:r>
            <w:proofErr w:type="spellEnd"/>
            <w:r w:rsidRPr="000746B9">
              <w:rPr>
                <w:rFonts w:cs="Arial"/>
                <w:color w:val="0E0E0E"/>
                <w:sz w:val="20"/>
                <w:szCs w:val="20"/>
                <w:shd w:val="clear" w:color="auto" w:fill="FAFAFB"/>
              </w:rPr>
              <w:t>.</w:t>
            </w:r>
          </w:p>
          <w:p w14:paraId="0D3FA104" w14:textId="77777777" w:rsidR="000746B9" w:rsidRPr="000746B9" w:rsidRDefault="000746B9" w:rsidP="00DA217C">
            <w:pPr>
              <w:pStyle w:val="TableText1"/>
              <w:rPr>
                <w:rFonts w:cs="Arial"/>
                <w:color w:val="0E0E0E"/>
                <w:sz w:val="20"/>
                <w:szCs w:val="20"/>
                <w:shd w:val="clear" w:color="auto" w:fill="FAFAFB"/>
              </w:rPr>
            </w:pPr>
          </w:p>
          <w:p w14:paraId="5D10CA14" w14:textId="77777777" w:rsidR="000746B9" w:rsidRPr="000746B9" w:rsidRDefault="000746B9" w:rsidP="00DA217C">
            <w:pPr>
              <w:pStyle w:val="TableText1"/>
              <w:rPr>
                <w:rFonts w:cs="Arial"/>
                <w:color w:val="0E0E0E"/>
                <w:sz w:val="20"/>
                <w:szCs w:val="20"/>
                <w:shd w:val="clear" w:color="auto" w:fill="FAFAFB"/>
              </w:rPr>
            </w:pPr>
            <w:r w:rsidRPr="000746B9">
              <w:rPr>
                <w:rFonts w:cs="Arial"/>
                <w:color w:val="0E0E0E"/>
                <w:sz w:val="20"/>
                <w:szCs w:val="20"/>
                <w:shd w:val="clear" w:color="auto" w:fill="FAFAFB"/>
              </w:rPr>
              <w:t>Helping to educate patients will manage their expectations.</w:t>
            </w:r>
          </w:p>
          <w:p w14:paraId="682540DF" w14:textId="77777777" w:rsidR="000746B9" w:rsidRPr="000746B9" w:rsidRDefault="000746B9" w:rsidP="00DA217C">
            <w:pPr>
              <w:pStyle w:val="TableText1"/>
              <w:rPr>
                <w:rFonts w:cs="Arial"/>
                <w:sz w:val="20"/>
                <w:szCs w:val="20"/>
              </w:rPr>
            </w:pPr>
          </w:p>
          <w:p w14:paraId="7836A285" w14:textId="77777777" w:rsidR="000746B9" w:rsidRPr="000746B9" w:rsidRDefault="000746B9" w:rsidP="00DA217C">
            <w:pPr>
              <w:pStyle w:val="TableText1"/>
              <w:rPr>
                <w:rFonts w:cs="Arial"/>
                <w:sz w:val="20"/>
                <w:szCs w:val="20"/>
              </w:rPr>
            </w:pPr>
            <w:r w:rsidRPr="000746B9">
              <w:rPr>
                <w:rFonts w:cs="Arial"/>
                <w:sz w:val="20"/>
                <w:szCs w:val="20"/>
              </w:rPr>
              <w:t>It will also contribute towards reduction in overuse of antibiotics across the population.</w:t>
            </w:r>
          </w:p>
          <w:p w14:paraId="6305BDA7" w14:textId="77777777" w:rsidR="000746B9" w:rsidRPr="000746B9" w:rsidRDefault="000746B9" w:rsidP="00DA217C">
            <w:pPr>
              <w:pStyle w:val="TableText1"/>
              <w:rPr>
                <w:rFonts w:cs="Arial"/>
                <w:sz w:val="20"/>
                <w:szCs w:val="20"/>
              </w:rPr>
            </w:pPr>
            <w:r w:rsidRPr="000746B9">
              <w:rPr>
                <w:rFonts w:cs="Arial"/>
                <w:color w:val="0E0E0E"/>
                <w:sz w:val="20"/>
                <w:szCs w:val="20"/>
                <w:shd w:val="clear" w:color="auto" w:fill="FAFAFB"/>
              </w:rPr>
              <w:t>People with minor ailments and other self</w:t>
            </w:r>
            <w:r w:rsidRPr="000746B9">
              <w:rPr>
                <w:rFonts w:cs="Arial"/>
                <w:color w:val="0E0E0E"/>
                <w:sz w:val="20"/>
                <w:szCs w:val="20"/>
                <w:shd w:val="clear" w:color="auto" w:fill="FAFAFB"/>
              </w:rPr>
              <w:noBreakHyphen/>
              <w:t>limiting conditions may not know that they are likely to get better without treatment and they may expect to be prescribed an antimicrobial.</w:t>
            </w:r>
          </w:p>
        </w:tc>
        <w:tc>
          <w:tcPr>
            <w:tcW w:w="3769" w:type="dxa"/>
          </w:tcPr>
          <w:p w14:paraId="6E499AE3" w14:textId="77777777" w:rsidR="000746B9" w:rsidRPr="000746B9" w:rsidRDefault="000746B9" w:rsidP="00DA217C">
            <w:pPr>
              <w:pStyle w:val="Heading1"/>
              <w:shd w:val="clear" w:color="auto" w:fill="FFFFFF"/>
              <w:spacing w:after="300" w:line="293" w:lineRule="atLeast"/>
              <w:textAlignment w:val="baseline"/>
              <w:rPr>
                <w:b w:val="0"/>
                <w:bCs w:val="0"/>
                <w:color w:val="131313"/>
                <w:spacing w:val="-7"/>
                <w:sz w:val="20"/>
                <w:szCs w:val="20"/>
                <w:lang w:eastAsia="en-GB"/>
              </w:rPr>
            </w:pPr>
            <w:bookmarkStart w:id="129" w:name="_Toc107929204"/>
            <w:bookmarkStart w:id="130" w:name="_Toc112833011"/>
            <w:r w:rsidRPr="000746B9">
              <w:rPr>
                <w:b w:val="0"/>
                <w:bCs w:val="0"/>
                <w:color w:val="131313"/>
                <w:spacing w:val="-7"/>
                <w:sz w:val="20"/>
                <w:szCs w:val="20"/>
              </w:rPr>
              <w:t>Non-antibiotic treatment of acute urinary tract infection in primary care: a qualitative study</w:t>
            </w:r>
            <w:bookmarkEnd w:id="129"/>
            <w:bookmarkEnd w:id="130"/>
          </w:p>
          <w:p w14:paraId="18C7F3E6" w14:textId="77777777" w:rsidR="000746B9" w:rsidRPr="000746B9" w:rsidRDefault="00AC503C" w:rsidP="00DA217C">
            <w:pPr>
              <w:pStyle w:val="TableText1"/>
              <w:rPr>
                <w:rFonts w:cs="Arial"/>
                <w:color w:val="0E0E0E"/>
                <w:sz w:val="20"/>
                <w:szCs w:val="20"/>
                <w:shd w:val="clear" w:color="auto" w:fill="FAFAFB"/>
              </w:rPr>
            </w:pPr>
            <w:hyperlink r:id="rId82" w:history="1">
              <w:r w:rsidR="000746B9" w:rsidRPr="000746B9">
                <w:rPr>
                  <w:rStyle w:val="Hyperlink"/>
                  <w:rFonts w:cs="Arial"/>
                  <w:sz w:val="20"/>
                  <w:szCs w:val="20"/>
                </w:rPr>
                <w:t>https://bjgp.org/content/72/717/e252</w:t>
              </w:r>
            </w:hyperlink>
            <w:r w:rsidR="000746B9" w:rsidRPr="000746B9">
              <w:rPr>
                <w:rFonts w:cs="Arial"/>
                <w:sz w:val="20"/>
                <w:szCs w:val="20"/>
              </w:rPr>
              <w:t xml:space="preserve"> </w:t>
            </w:r>
            <w:r w:rsidR="000746B9" w:rsidRPr="000746B9">
              <w:rPr>
                <w:rFonts w:cs="Arial"/>
                <w:color w:val="0E0E0E"/>
                <w:sz w:val="20"/>
                <w:szCs w:val="20"/>
                <w:shd w:val="clear" w:color="auto" w:fill="FAFAFB"/>
              </w:rPr>
              <w:t>.</w:t>
            </w:r>
          </w:p>
          <w:p w14:paraId="49E474BA" w14:textId="77777777" w:rsidR="000746B9" w:rsidRPr="000746B9" w:rsidRDefault="00AC503C" w:rsidP="00DA217C">
            <w:pPr>
              <w:pStyle w:val="Paragraph"/>
              <w:ind w:left="709" w:hanging="709"/>
              <w:rPr>
                <w:rFonts w:cs="Arial"/>
                <w:sz w:val="20"/>
                <w:szCs w:val="20"/>
                <w:lang w:eastAsia="en-GB"/>
              </w:rPr>
            </w:pPr>
            <w:hyperlink r:id="rId83" w:history="1">
              <w:r w:rsidR="000746B9" w:rsidRPr="000746B9">
                <w:rPr>
                  <w:rStyle w:val="Hyperlink"/>
                  <w:rFonts w:cs="Arial"/>
                  <w:sz w:val="20"/>
                  <w:szCs w:val="20"/>
                </w:rPr>
                <w:t>https://elearning.rcgp.org.uk/mod/book/view.php?id=12652</w:t>
              </w:r>
            </w:hyperlink>
            <w:r w:rsidR="000746B9" w:rsidRPr="000746B9">
              <w:rPr>
                <w:rFonts w:cs="Arial"/>
                <w:sz w:val="20"/>
                <w:szCs w:val="20"/>
              </w:rPr>
              <w:t xml:space="preserve"> </w:t>
            </w:r>
          </w:p>
          <w:p w14:paraId="5C5EE9EC" w14:textId="77777777" w:rsidR="000746B9" w:rsidRPr="000746B9" w:rsidRDefault="000746B9" w:rsidP="00DA217C">
            <w:pPr>
              <w:pStyle w:val="TableText1"/>
              <w:rPr>
                <w:rFonts w:cs="Arial"/>
                <w:sz w:val="20"/>
                <w:szCs w:val="20"/>
              </w:rPr>
            </w:pPr>
          </w:p>
        </w:tc>
      </w:tr>
      <w:tr w:rsidR="000746B9" w:rsidRPr="000746B9" w14:paraId="1E8F3860" w14:textId="77777777" w:rsidTr="007C6ED4">
        <w:trPr>
          <w:trHeight w:val="282"/>
        </w:trPr>
        <w:tc>
          <w:tcPr>
            <w:tcW w:w="708" w:type="dxa"/>
          </w:tcPr>
          <w:p w14:paraId="140CFD0F" w14:textId="77777777" w:rsidR="000746B9" w:rsidRPr="000746B9" w:rsidRDefault="000746B9" w:rsidP="00E6662B">
            <w:pPr>
              <w:pStyle w:val="TableText1"/>
              <w:numPr>
                <w:ilvl w:val="0"/>
                <w:numId w:val="45"/>
              </w:numPr>
              <w:rPr>
                <w:rFonts w:cs="Arial"/>
                <w:sz w:val="20"/>
                <w:szCs w:val="20"/>
              </w:rPr>
            </w:pPr>
            <w:r w:rsidRPr="000746B9">
              <w:rPr>
                <w:rFonts w:cs="Arial"/>
                <w:sz w:val="20"/>
                <w:szCs w:val="20"/>
              </w:rPr>
              <w:t>2a</w:t>
            </w:r>
          </w:p>
        </w:tc>
        <w:tc>
          <w:tcPr>
            <w:tcW w:w="2264" w:type="dxa"/>
          </w:tcPr>
          <w:p w14:paraId="5154E883" w14:textId="46EFDC5C" w:rsidR="000746B9" w:rsidRPr="000746B9" w:rsidRDefault="000746B9" w:rsidP="00DA217C">
            <w:pPr>
              <w:pStyle w:val="TableText1"/>
              <w:rPr>
                <w:rFonts w:cs="Arial"/>
                <w:sz w:val="20"/>
                <w:szCs w:val="20"/>
              </w:rPr>
            </w:pPr>
            <w:r w:rsidRPr="000746B9">
              <w:rPr>
                <w:rFonts w:cs="Arial"/>
                <w:sz w:val="20"/>
                <w:szCs w:val="20"/>
              </w:rPr>
              <w:t>SCM3</w:t>
            </w:r>
          </w:p>
        </w:tc>
        <w:tc>
          <w:tcPr>
            <w:tcW w:w="3588" w:type="dxa"/>
          </w:tcPr>
          <w:p w14:paraId="4168CF0B" w14:textId="77777777" w:rsidR="000746B9" w:rsidRPr="000746B9" w:rsidRDefault="000746B9" w:rsidP="00DA217C">
            <w:pPr>
              <w:pStyle w:val="Heading3"/>
              <w:shd w:val="clear" w:color="auto" w:fill="FAFAFB"/>
              <w:rPr>
                <w:b w:val="0"/>
                <w:bCs w:val="0"/>
                <w:color w:val="0E0E0E"/>
                <w:sz w:val="20"/>
                <w:szCs w:val="20"/>
              </w:rPr>
            </w:pPr>
            <w:r w:rsidRPr="000746B9">
              <w:rPr>
                <w:b w:val="0"/>
                <w:bCs w:val="0"/>
                <w:color w:val="0E0E0E"/>
                <w:sz w:val="20"/>
                <w:szCs w:val="20"/>
              </w:rPr>
              <w:t>Key area for quality improvement 2</w:t>
            </w:r>
          </w:p>
          <w:p w14:paraId="6CDBB096" w14:textId="77777777" w:rsidR="000746B9" w:rsidRPr="000746B9" w:rsidRDefault="000746B9" w:rsidP="00DA217C">
            <w:pPr>
              <w:rPr>
                <w:rFonts w:ascii="Arial" w:hAnsi="Arial" w:cs="Arial"/>
                <w:sz w:val="20"/>
                <w:szCs w:val="20"/>
              </w:rPr>
            </w:pPr>
          </w:p>
          <w:p w14:paraId="4312514B" w14:textId="77777777" w:rsidR="000746B9" w:rsidRPr="000746B9" w:rsidRDefault="000746B9" w:rsidP="00DA217C">
            <w:pPr>
              <w:pStyle w:val="Heading3"/>
              <w:shd w:val="clear" w:color="auto" w:fill="FAFAFB"/>
              <w:rPr>
                <w:b w:val="0"/>
                <w:bCs w:val="0"/>
                <w:color w:val="0E0E0E"/>
                <w:sz w:val="20"/>
                <w:szCs w:val="20"/>
                <w:lang w:eastAsia="en-GB"/>
              </w:rPr>
            </w:pPr>
            <w:r w:rsidRPr="000746B9">
              <w:rPr>
                <w:b w:val="0"/>
                <w:bCs w:val="0"/>
                <w:color w:val="0E0E0E"/>
                <w:sz w:val="20"/>
                <w:szCs w:val="20"/>
              </w:rPr>
              <w:t>Back-up (delayed) prescribing</w:t>
            </w:r>
          </w:p>
          <w:p w14:paraId="30C58C2E" w14:textId="77777777" w:rsidR="000746B9" w:rsidRPr="000746B9" w:rsidRDefault="000746B9" w:rsidP="00DA217C">
            <w:pPr>
              <w:pStyle w:val="TableText1"/>
              <w:rPr>
                <w:rFonts w:cs="Arial"/>
                <w:sz w:val="20"/>
                <w:szCs w:val="20"/>
              </w:rPr>
            </w:pPr>
          </w:p>
        </w:tc>
        <w:tc>
          <w:tcPr>
            <w:tcW w:w="4350" w:type="dxa"/>
          </w:tcPr>
          <w:p w14:paraId="259F83B3" w14:textId="77777777" w:rsidR="000746B9" w:rsidRPr="000746B9" w:rsidRDefault="000746B9" w:rsidP="00DA217C">
            <w:pPr>
              <w:pStyle w:val="TableText1"/>
              <w:rPr>
                <w:rFonts w:cs="Arial"/>
                <w:sz w:val="20"/>
                <w:szCs w:val="20"/>
              </w:rPr>
            </w:pPr>
            <w:r w:rsidRPr="000746B9">
              <w:rPr>
                <w:rFonts w:cs="Arial"/>
                <w:sz w:val="20"/>
                <w:szCs w:val="20"/>
              </w:rPr>
              <w:t>Same as above helps patients to learn and manage future expectations</w:t>
            </w:r>
          </w:p>
          <w:p w14:paraId="738C2C56" w14:textId="77777777" w:rsidR="000746B9" w:rsidRPr="000746B9" w:rsidRDefault="000746B9" w:rsidP="00DA217C">
            <w:pPr>
              <w:pStyle w:val="TableText1"/>
              <w:rPr>
                <w:rFonts w:cs="Arial"/>
                <w:sz w:val="20"/>
                <w:szCs w:val="20"/>
              </w:rPr>
            </w:pPr>
          </w:p>
          <w:p w14:paraId="638DD5ED" w14:textId="77777777" w:rsidR="000746B9" w:rsidRPr="000746B9" w:rsidRDefault="000746B9" w:rsidP="00DA217C">
            <w:pPr>
              <w:pStyle w:val="TableText1"/>
              <w:rPr>
                <w:rFonts w:cs="Arial"/>
                <w:sz w:val="20"/>
                <w:szCs w:val="20"/>
              </w:rPr>
            </w:pPr>
            <w:bookmarkStart w:id="131" w:name="_Hlk107214712"/>
            <w:r w:rsidRPr="000746B9">
              <w:rPr>
                <w:rFonts w:cs="Arial"/>
                <w:sz w:val="20"/>
                <w:szCs w:val="20"/>
              </w:rPr>
              <w:t>Allows clinicians to discuss risks/ adverse effects of antibiotics with patients and raises awareness in patients about side effects of antibiotics</w:t>
            </w:r>
            <w:bookmarkEnd w:id="131"/>
            <w:r w:rsidRPr="000746B9">
              <w:rPr>
                <w:rFonts w:cs="Arial"/>
                <w:sz w:val="20"/>
                <w:szCs w:val="20"/>
              </w:rPr>
              <w:t>.</w:t>
            </w:r>
          </w:p>
          <w:p w14:paraId="5354DA82" w14:textId="77777777" w:rsidR="000746B9" w:rsidRPr="000746B9" w:rsidRDefault="000746B9" w:rsidP="00DA217C">
            <w:pPr>
              <w:pStyle w:val="TableText1"/>
              <w:rPr>
                <w:rFonts w:cs="Arial"/>
                <w:sz w:val="20"/>
                <w:szCs w:val="20"/>
              </w:rPr>
            </w:pPr>
          </w:p>
          <w:p w14:paraId="794F9F44" w14:textId="77777777" w:rsidR="000746B9" w:rsidRPr="000746B9" w:rsidRDefault="000746B9" w:rsidP="00DA217C">
            <w:pPr>
              <w:pStyle w:val="TableText1"/>
              <w:rPr>
                <w:rFonts w:cs="Arial"/>
                <w:sz w:val="20"/>
                <w:szCs w:val="20"/>
              </w:rPr>
            </w:pPr>
            <w:r w:rsidRPr="000746B9">
              <w:rPr>
                <w:rFonts w:cs="Arial"/>
                <w:sz w:val="20"/>
                <w:szCs w:val="20"/>
              </w:rPr>
              <w:t>May need to have an exclusion such as &lt;&gt;65 years.</w:t>
            </w:r>
          </w:p>
          <w:p w14:paraId="7E9DDF12" w14:textId="77777777" w:rsidR="000746B9" w:rsidRPr="000746B9" w:rsidRDefault="000746B9" w:rsidP="00DA217C">
            <w:pPr>
              <w:pStyle w:val="TableText1"/>
              <w:rPr>
                <w:rFonts w:cs="Arial"/>
                <w:sz w:val="20"/>
                <w:szCs w:val="20"/>
              </w:rPr>
            </w:pPr>
            <w:r w:rsidRPr="000746B9">
              <w:rPr>
                <w:rFonts w:cs="Arial"/>
                <w:sz w:val="20"/>
                <w:szCs w:val="20"/>
              </w:rPr>
              <w:lastRenderedPageBreak/>
              <w:t xml:space="preserve">As some evidence that if &gt;65 &amp; UTI delay in antibiotics can lead to sepsis </w:t>
            </w:r>
            <w:hyperlink r:id="rId84" w:history="1">
              <w:r w:rsidRPr="000746B9">
                <w:rPr>
                  <w:rStyle w:val="Hyperlink"/>
                  <w:rFonts w:cs="Arial"/>
                  <w:sz w:val="20"/>
                  <w:szCs w:val="20"/>
                </w:rPr>
                <w:t>https://www.bmj.com/content/364/bmj.l922</w:t>
              </w:r>
            </w:hyperlink>
            <w:r w:rsidRPr="000746B9">
              <w:rPr>
                <w:rFonts w:cs="Arial"/>
                <w:sz w:val="20"/>
                <w:szCs w:val="20"/>
              </w:rPr>
              <w:br/>
            </w:r>
            <w:r w:rsidRPr="000746B9">
              <w:rPr>
                <w:rFonts w:cs="Arial"/>
                <w:sz w:val="20"/>
                <w:szCs w:val="20"/>
              </w:rPr>
              <w:br/>
            </w:r>
            <w:bookmarkStart w:id="132" w:name="_Hlk107214877"/>
            <w:r w:rsidRPr="000746B9">
              <w:rPr>
                <w:rFonts w:cs="Arial"/>
                <w:color w:val="0E0E0E"/>
                <w:sz w:val="20"/>
                <w:szCs w:val="20"/>
                <w:shd w:val="clear" w:color="auto" w:fill="FAFAFB"/>
              </w:rPr>
              <w:t>It encourages self-management as a first step, but allows a person to access antimicrobials without another appointment if their condition gets worse.</w:t>
            </w:r>
            <w:bookmarkEnd w:id="132"/>
          </w:p>
        </w:tc>
        <w:tc>
          <w:tcPr>
            <w:tcW w:w="3769" w:type="dxa"/>
          </w:tcPr>
          <w:p w14:paraId="0983C0FC" w14:textId="77777777" w:rsidR="000746B9" w:rsidRPr="000746B9" w:rsidRDefault="000746B9" w:rsidP="00DA217C">
            <w:pPr>
              <w:rPr>
                <w:rFonts w:ascii="Arial" w:hAnsi="Arial" w:cs="Arial"/>
                <w:sz w:val="20"/>
                <w:szCs w:val="20"/>
              </w:rPr>
            </w:pPr>
          </w:p>
        </w:tc>
      </w:tr>
      <w:tr w:rsidR="000746B9" w:rsidRPr="000746B9" w14:paraId="28142240" w14:textId="77777777" w:rsidTr="007C6ED4">
        <w:trPr>
          <w:trHeight w:val="282"/>
        </w:trPr>
        <w:tc>
          <w:tcPr>
            <w:tcW w:w="708" w:type="dxa"/>
          </w:tcPr>
          <w:p w14:paraId="77727085" w14:textId="77777777" w:rsidR="000746B9" w:rsidRPr="000746B9" w:rsidRDefault="000746B9" w:rsidP="00E6662B">
            <w:pPr>
              <w:pStyle w:val="TableText1"/>
              <w:numPr>
                <w:ilvl w:val="0"/>
                <w:numId w:val="45"/>
              </w:numPr>
              <w:rPr>
                <w:rFonts w:cs="Arial"/>
                <w:sz w:val="20"/>
                <w:szCs w:val="20"/>
              </w:rPr>
            </w:pPr>
            <w:r w:rsidRPr="000746B9">
              <w:rPr>
                <w:rFonts w:cs="Arial"/>
                <w:sz w:val="20"/>
                <w:szCs w:val="20"/>
              </w:rPr>
              <w:t>2a</w:t>
            </w:r>
          </w:p>
        </w:tc>
        <w:tc>
          <w:tcPr>
            <w:tcW w:w="2264" w:type="dxa"/>
          </w:tcPr>
          <w:p w14:paraId="7C53A09D" w14:textId="415076F1" w:rsidR="000746B9" w:rsidRPr="000746B9" w:rsidRDefault="000746B9" w:rsidP="00DA217C">
            <w:pPr>
              <w:pStyle w:val="TableText1"/>
              <w:rPr>
                <w:rFonts w:cs="Arial"/>
                <w:sz w:val="20"/>
                <w:szCs w:val="20"/>
              </w:rPr>
            </w:pPr>
            <w:r w:rsidRPr="000746B9">
              <w:rPr>
                <w:rFonts w:cs="Arial"/>
                <w:sz w:val="20"/>
                <w:szCs w:val="20"/>
              </w:rPr>
              <w:t>SCM3</w:t>
            </w:r>
          </w:p>
        </w:tc>
        <w:tc>
          <w:tcPr>
            <w:tcW w:w="3588" w:type="dxa"/>
          </w:tcPr>
          <w:p w14:paraId="2F45A272" w14:textId="77777777" w:rsidR="000746B9" w:rsidRPr="000746B9" w:rsidRDefault="000746B9" w:rsidP="00DA217C">
            <w:pPr>
              <w:pStyle w:val="Heading3"/>
              <w:shd w:val="clear" w:color="auto" w:fill="FAFAFB"/>
              <w:rPr>
                <w:b w:val="0"/>
                <w:bCs w:val="0"/>
                <w:color w:val="0E0E0E"/>
                <w:sz w:val="20"/>
                <w:szCs w:val="20"/>
              </w:rPr>
            </w:pPr>
            <w:r w:rsidRPr="000746B9">
              <w:rPr>
                <w:b w:val="0"/>
                <w:bCs w:val="0"/>
                <w:color w:val="0E0E0E"/>
                <w:sz w:val="20"/>
                <w:szCs w:val="20"/>
              </w:rPr>
              <w:t>Key area for quality improvement 5</w:t>
            </w:r>
          </w:p>
          <w:p w14:paraId="1D75A930" w14:textId="77777777" w:rsidR="000746B9" w:rsidRPr="000746B9" w:rsidRDefault="000746B9" w:rsidP="00DA217C">
            <w:pPr>
              <w:rPr>
                <w:rFonts w:ascii="Arial" w:hAnsi="Arial" w:cs="Arial"/>
                <w:sz w:val="20"/>
                <w:szCs w:val="20"/>
              </w:rPr>
            </w:pPr>
          </w:p>
          <w:p w14:paraId="45E84BA3" w14:textId="77777777" w:rsidR="000746B9" w:rsidRPr="000746B9" w:rsidRDefault="000746B9" w:rsidP="00DA217C">
            <w:pPr>
              <w:pStyle w:val="Heading3"/>
              <w:shd w:val="clear" w:color="auto" w:fill="FAFAFB"/>
              <w:rPr>
                <w:b w:val="0"/>
                <w:bCs w:val="0"/>
                <w:color w:val="0E0E0E"/>
                <w:sz w:val="20"/>
                <w:szCs w:val="20"/>
                <w:lang w:eastAsia="en-GB"/>
              </w:rPr>
            </w:pPr>
            <w:r w:rsidRPr="000746B9">
              <w:rPr>
                <w:b w:val="0"/>
                <w:bCs w:val="0"/>
                <w:color w:val="0E0E0E"/>
                <w:sz w:val="20"/>
                <w:szCs w:val="20"/>
              </w:rPr>
              <w:t>Data collection and feedback</w:t>
            </w:r>
          </w:p>
          <w:p w14:paraId="7BAA84B4" w14:textId="77777777" w:rsidR="000746B9" w:rsidRPr="000746B9" w:rsidRDefault="000746B9" w:rsidP="00DA217C">
            <w:pPr>
              <w:pStyle w:val="TableText1"/>
              <w:rPr>
                <w:rFonts w:cs="Arial"/>
                <w:sz w:val="20"/>
                <w:szCs w:val="20"/>
              </w:rPr>
            </w:pPr>
          </w:p>
        </w:tc>
        <w:tc>
          <w:tcPr>
            <w:tcW w:w="4350" w:type="dxa"/>
          </w:tcPr>
          <w:p w14:paraId="57B1DB16" w14:textId="77777777" w:rsidR="000746B9" w:rsidRPr="000746B9" w:rsidRDefault="000746B9" w:rsidP="00DA217C">
            <w:pPr>
              <w:pStyle w:val="TableText1"/>
              <w:rPr>
                <w:rFonts w:cs="Arial"/>
                <w:sz w:val="20"/>
                <w:szCs w:val="20"/>
              </w:rPr>
            </w:pPr>
            <w:r w:rsidRPr="000746B9">
              <w:rPr>
                <w:rFonts w:cs="Arial"/>
                <w:color w:val="0E0E0E"/>
                <w:sz w:val="20"/>
                <w:szCs w:val="20"/>
                <w:shd w:val="clear" w:color="auto" w:fill="FAFAFB"/>
              </w:rPr>
              <w:t xml:space="preserve">Monitoring and reviewing prescribing data </w:t>
            </w:r>
            <w:proofErr w:type="gramStart"/>
            <w:r w:rsidRPr="000746B9">
              <w:rPr>
                <w:rFonts w:cs="Arial"/>
                <w:color w:val="0E0E0E"/>
                <w:sz w:val="20"/>
                <w:szCs w:val="20"/>
                <w:shd w:val="clear" w:color="auto" w:fill="FAFAFB"/>
              </w:rPr>
              <w:t>enables</w:t>
            </w:r>
            <w:proofErr w:type="gramEnd"/>
            <w:r w:rsidRPr="000746B9">
              <w:rPr>
                <w:rFonts w:cs="Arial"/>
                <w:color w:val="0E0E0E"/>
                <w:sz w:val="20"/>
                <w:szCs w:val="20"/>
                <w:shd w:val="clear" w:color="auto" w:fill="FAFAFB"/>
              </w:rPr>
              <w:t xml:space="preserve"> individuals and teams responsible for antimicrobial stewardship to check adherence to local formularies, provide feedback, recognise good practice and to challenge inappropriate prescribing. It also allows peer </w:t>
            </w:r>
            <w:proofErr w:type="gramStart"/>
            <w:r w:rsidRPr="000746B9">
              <w:rPr>
                <w:rFonts w:cs="Arial"/>
                <w:color w:val="0E0E0E"/>
                <w:sz w:val="20"/>
                <w:szCs w:val="20"/>
                <w:shd w:val="clear" w:color="auto" w:fill="FAFAFB"/>
              </w:rPr>
              <w:t>review, and</w:t>
            </w:r>
            <w:proofErr w:type="gramEnd"/>
            <w:r w:rsidRPr="000746B9">
              <w:rPr>
                <w:rFonts w:cs="Arial"/>
                <w:color w:val="0E0E0E"/>
                <w:sz w:val="20"/>
                <w:szCs w:val="20"/>
                <w:shd w:val="clear" w:color="auto" w:fill="FAFAFB"/>
              </w:rPr>
              <w:t xml:space="preserve"> identifying training needs and areas for quality improvement.</w:t>
            </w:r>
            <w:r w:rsidRPr="000746B9">
              <w:rPr>
                <w:rFonts w:cs="Arial"/>
                <w:sz w:val="20"/>
                <w:szCs w:val="20"/>
              </w:rPr>
              <w:t xml:space="preserve"> </w:t>
            </w:r>
          </w:p>
          <w:p w14:paraId="5D2EB1D5" w14:textId="77777777" w:rsidR="000746B9" w:rsidRPr="000746B9" w:rsidRDefault="000746B9" w:rsidP="00DA217C">
            <w:pPr>
              <w:pStyle w:val="TableText1"/>
              <w:rPr>
                <w:rFonts w:cs="Arial"/>
                <w:sz w:val="20"/>
                <w:szCs w:val="20"/>
              </w:rPr>
            </w:pPr>
          </w:p>
          <w:p w14:paraId="63692639" w14:textId="77777777" w:rsidR="000746B9" w:rsidRPr="000746B9" w:rsidRDefault="000746B9" w:rsidP="00DA217C">
            <w:pPr>
              <w:pStyle w:val="TableText1"/>
              <w:rPr>
                <w:rFonts w:cs="Arial"/>
                <w:sz w:val="20"/>
                <w:szCs w:val="20"/>
              </w:rPr>
            </w:pPr>
            <w:r w:rsidRPr="000746B9">
              <w:rPr>
                <w:rFonts w:cs="Arial"/>
                <w:sz w:val="20"/>
                <w:szCs w:val="20"/>
              </w:rPr>
              <w:t>We need the change in prescriber behaviour to reduce the over prescribing of antibiotics for UTI</w:t>
            </w:r>
          </w:p>
          <w:p w14:paraId="53EC3D7C" w14:textId="77777777" w:rsidR="000746B9" w:rsidRPr="000746B9" w:rsidRDefault="000746B9" w:rsidP="00DA217C">
            <w:pPr>
              <w:pStyle w:val="TableText1"/>
              <w:rPr>
                <w:rFonts w:cs="Arial"/>
                <w:sz w:val="20"/>
                <w:szCs w:val="20"/>
              </w:rPr>
            </w:pPr>
          </w:p>
        </w:tc>
        <w:tc>
          <w:tcPr>
            <w:tcW w:w="3769" w:type="dxa"/>
          </w:tcPr>
          <w:p w14:paraId="28FFA3A7" w14:textId="77777777" w:rsidR="000746B9" w:rsidRPr="000746B9" w:rsidRDefault="00AC503C" w:rsidP="00DA217C">
            <w:pPr>
              <w:pStyle w:val="TableText1"/>
              <w:rPr>
                <w:rFonts w:cs="Arial"/>
                <w:sz w:val="20"/>
                <w:szCs w:val="20"/>
              </w:rPr>
            </w:pPr>
            <w:hyperlink r:id="rId85" w:history="1">
              <w:r w:rsidR="000746B9" w:rsidRPr="000746B9">
                <w:rPr>
                  <w:rStyle w:val="Hyperlink"/>
                  <w:rFonts w:cs="Arial"/>
                  <w:sz w:val="20"/>
                  <w:szCs w:val="20"/>
                </w:rPr>
                <w:t>https://elearning.rcgp.org.uk/mod/book/view.php?id=12650</w:t>
              </w:r>
            </w:hyperlink>
            <w:r w:rsidR="000746B9" w:rsidRPr="000746B9">
              <w:rPr>
                <w:rFonts w:cs="Arial"/>
                <w:sz w:val="20"/>
                <w:szCs w:val="20"/>
              </w:rPr>
              <w:t xml:space="preserve"> </w:t>
            </w:r>
          </w:p>
          <w:p w14:paraId="7235FCD4" w14:textId="77777777" w:rsidR="000746B9" w:rsidRPr="000746B9" w:rsidRDefault="000746B9" w:rsidP="00DA217C">
            <w:pPr>
              <w:pStyle w:val="TableText1"/>
              <w:rPr>
                <w:rFonts w:cs="Arial"/>
                <w:sz w:val="20"/>
                <w:szCs w:val="20"/>
              </w:rPr>
            </w:pPr>
          </w:p>
          <w:p w14:paraId="1C3155F1" w14:textId="77777777" w:rsidR="000746B9" w:rsidRPr="000746B9" w:rsidRDefault="000746B9" w:rsidP="00DA217C">
            <w:pPr>
              <w:pStyle w:val="TableText1"/>
              <w:rPr>
                <w:rFonts w:cs="Arial"/>
                <w:sz w:val="20"/>
                <w:szCs w:val="20"/>
              </w:rPr>
            </w:pPr>
            <w:r w:rsidRPr="000746B9">
              <w:rPr>
                <w:rFonts w:cs="Arial"/>
                <w:sz w:val="20"/>
                <w:szCs w:val="20"/>
              </w:rPr>
              <w:t xml:space="preserve">resources available to help prescribers </w:t>
            </w:r>
          </w:p>
          <w:p w14:paraId="2BBABB05" w14:textId="77777777" w:rsidR="000746B9" w:rsidRPr="000746B9" w:rsidRDefault="000746B9" w:rsidP="00DA217C">
            <w:pPr>
              <w:pStyle w:val="TableText1"/>
              <w:rPr>
                <w:rFonts w:cs="Arial"/>
                <w:sz w:val="20"/>
                <w:szCs w:val="20"/>
              </w:rPr>
            </w:pPr>
          </w:p>
          <w:p w14:paraId="35A578B2" w14:textId="77777777" w:rsidR="000746B9" w:rsidRPr="000746B9" w:rsidRDefault="000746B9" w:rsidP="00DA217C">
            <w:pPr>
              <w:rPr>
                <w:rFonts w:ascii="Arial" w:hAnsi="Arial" w:cs="Arial"/>
                <w:sz w:val="20"/>
                <w:szCs w:val="20"/>
              </w:rPr>
            </w:pPr>
            <w:r w:rsidRPr="000746B9">
              <w:rPr>
                <w:rFonts w:ascii="Arial" w:hAnsi="Arial" w:cs="Arial"/>
                <w:color w:val="515A63"/>
                <w:sz w:val="20"/>
                <w:szCs w:val="20"/>
                <w:shd w:val="clear" w:color="auto" w:fill="FFFFFF"/>
              </w:rPr>
              <w:t>learning courses, highlights simple key actions to help improve your antibiotic prescribing whilst improving the patient experience and their self-care, therefore freeing up your time.</w:t>
            </w:r>
          </w:p>
        </w:tc>
      </w:tr>
      <w:tr w:rsidR="000746B9" w:rsidRPr="000746B9" w14:paraId="517A8637" w14:textId="77777777" w:rsidTr="007C6ED4">
        <w:trPr>
          <w:trHeight w:val="282"/>
        </w:trPr>
        <w:tc>
          <w:tcPr>
            <w:tcW w:w="708" w:type="dxa"/>
          </w:tcPr>
          <w:p w14:paraId="2772C612" w14:textId="77777777" w:rsidR="000746B9" w:rsidRPr="000746B9" w:rsidRDefault="000746B9" w:rsidP="00E6662B">
            <w:pPr>
              <w:pStyle w:val="TableText1"/>
              <w:numPr>
                <w:ilvl w:val="0"/>
                <w:numId w:val="45"/>
              </w:numPr>
              <w:rPr>
                <w:rFonts w:cs="Arial"/>
                <w:sz w:val="20"/>
                <w:szCs w:val="20"/>
              </w:rPr>
            </w:pPr>
            <w:r w:rsidRPr="000746B9">
              <w:rPr>
                <w:rFonts w:cs="Arial"/>
                <w:sz w:val="20"/>
                <w:szCs w:val="20"/>
              </w:rPr>
              <w:t>2a</w:t>
            </w:r>
          </w:p>
        </w:tc>
        <w:tc>
          <w:tcPr>
            <w:tcW w:w="2264" w:type="dxa"/>
          </w:tcPr>
          <w:p w14:paraId="79256BB0" w14:textId="3E46E874" w:rsidR="000746B9" w:rsidRPr="000746B9" w:rsidRDefault="000746B9" w:rsidP="00DA217C">
            <w:pPr>
              <w:pStyle w:val="TableText1"/>
              <w:rPr>
                <w:rFonts w:cs="Arial"/>
                <w:sz w:val="20"/>
                <w:szCs w:val="20"/>
              </w:rPr>
            </w:pPr>
            <w:r w:rsidRPr="000746B9">
              <w:rPr>
                <w:rFonts w:cs="Arial"/>
                <w:sz w:val="20"/>
                <w:szCs w:val="20"/>
              </w:rPr>
              <w:t>SCM6</w:t>
            </w:r>
          </w:p>
        </w:tc>
        <w:tc>
          <w:tcPr>
            <w:tcW w:w="3588" w:type="dxa"/>
          </w:tcPr>
          <w:p w14:paraId="2BA14642" w14:textId="77777777" w:rsidR="000746B9" w:rsidRPr="000746B9" w:rsidRDefault="000746B9" w:rsidP="00DA217C">
            <w:pPr>
              <w:pStyle w:val="TableText1"/>
              <w:rPr>
                <w:rFonts w:cs="Arial"/>
                <w:sz w:val="20"/>
                <w:szCs w:val="20"/>
              </w:rPr>
            </w:pPr>
            <w:r w:rsidRPr="000746B9">
              <w:rPr>
                <w:rFonts w:cs="Arial"/>
                <w:sz w:val="20"/>
                <w:szCs w:val="20"/>
              </w:rPr>
              <w:t>Key area for quality improvement 4</w:t>
            </w:r>
          </w:p>
          <w:p w14:paraId="65112D9D" w14:textId="77777777" w:rsidR="000746B9" w:rsidRPr="000746B9" w:rsidRDefault="000746B9" w:rsidP="00DA217C">
            <w:pPr>
              <w:pStyle w:val="TableText1"/>
              <w:rPr>
                <w:rFonts w:cs="Arial"/>
                <w:sz w:val="20"/>
                <w:szCs w:val="20"/>
              </w:rPr>
            </w:pPr>
          </w:p>
          <w:p w14:paraId="5F0FBF7E" w14:textId="77777777" w:rsidR="000746B9" w:rsidRPr="000746B9" w:rsidRDefault="000746B9" w:rsidP="00DA217C">
            <w:pPr>
              <w:pStyle w:val="TableText1"/>
              <w:rPr>
                <w:rFonts w:cs="Arial"/>
                <w:sz w:val="20"/>
                <w:szCs w:val="20"/>
              </w:rPr>
            </w:pPr>
            <w:r w:rsidRPr="000746B9">
              <w:rPr>
                <w:rFonts w:cs="Arial"/>
                <w:sz w:val="20"/>
                <w:szCs w:val="20"/>
              </w:rPr>
              <w:t>Cranberry intake to reduce UTI</w:t>
            </w:r>
          </w:p>
        </w:tc>
        <w:tc>
          <w:tcPr>
            <w:tcW w:w="4350" w:type="dxa"/>
          </w:tcPr>
          <w:p w14:paraId="7A322E58" w14:textId="77777777" w:rsidR="000746B9" w:rsidRPr="000746B9" w:rsidRDefault="000746B9" w:rsidP="00DA217C">
            <w:pPr>
              <w:pStyle w:val="TableText1"/>
              <w:rPr>
                <w:rFonts w:cs="Arial"/>
                <w:sz w:val="20"/>
                <w:szCs w:val="20"/>
              </w:rPr>
            </w:pPr>
            <w:r w:rsidRPr="000746B9">
              <w:rPr>
                <w:rFonts w:cs="Arial"/>
                <w:sz w:val="20"/>
                <w:szCs w:val="20"/>
              </w:rPr>
              <w:t xml:space="preserve">Cranberries use has no benefits in most </w:t>
            </w:r>
            <w:proofErr w:type="gramStart"/>
            <w:r w:rsidRPr="000746B9">
              <w:rPr>
                <w:rFonts w:cs="Arial"/>
                <w:sz w:val="20"/>
                <w:szCs w:val="20"/>
              </w:rPr>
              <w:t>populations</w:t>
            </w:r>
            <w:proofErr w:type="gramEnd"/>
            <w:r w:rsidRPr="000746B9">
              <w:rPr>
                <w:rFonts w:cs="Arial"/>
                <w:sz w:val="20"/>
                <w:szCs w:val="20"/>
              </w:rPr>
              <w:t xml:space="preserve"> groups.</w:t>
            </w:r>
          </w:p>
          <w:p w14:paraId="7228E38C" w14:textId="77777777" w:rsidR="000746B9" w:rsidRPr="000746B9" w:rsidRDefault="000746B9" w:rsidP="00DA217C">
            <w:pPr>
              <w:pStyle w:val="TableText1"/>
              <w:rPr>
                <w:rFonts w:cs="Arial"/>
                <w:sz w:val="20"/>
                <w:szCs w:val="20"/>
              </w:rPr>
            </w:pPr>
          </w:p>
          <w:p w14:paraId="25AE5C2F" w14:textId="77777777" w:rsidR="000746B9" w:rsidRPr="000746B9" w:rsidRDefault="000746B9" w:rsidP="00DA217C">
            <w:pPr>
              <w:pStyle w:val="TableText1"/>
              <w:rPr>
                <w:rFonts w:cs="Arial"/>
                <w:sz w:val="20"/>
                <w:szCs w:val="20"/>
              </w:rPr>
            </w:pPr>
            <w:r w:rsidRPr="000746B9">
              <w:rPr>
                <w:rFonts w:cs="Arial"/>
                <w:sz w:val="20"/>
                <w:szCs w:val="20"/>
              </w:rPr>
              <w:t xml:space="preserve">The reported outcomes are based on urine cultures rather than patients’’ reported outcomes, expensive and the mechanism of action only address </w:t>
            </w:r>
            <w:proofErr w:type="gramStart"/>
            <w:r w:rsidRPr="000746B9">
              <w:rPr>
                <w:rFonts w:cs="Arial"/>
                <w:sz w:val="20"/>
                <w:szCs w:val="20"/>
              </w:rPr>
              <w:t>E.coli</w:t>
            </w:r>
            <w:proofErr w:type="gramEnd"/>
            <w:r w:rsidRPr="000746B9">
              <w:rPr>
                <w:rFonts w:cs="Arial"/>
                <w:sz w:val="20"/>
                <w:szCs w:val="20"/>
              </w:rPr>
              <w:t>.</w:t>
            </w:r>
          </w:p>
        </w:tc>
        <w:tc>
          <w:tcPr>
            <w:tcW w:w="3769" w:type="dxa"/>
          </w:tcPr>
          <w:p w14:paraId="2D134753" w14:textId="77777777" w:rsidR="000746B9" w:rsidRPr="000746B9" w:rsidRDefault="000746B9" w:rsidP="00DA217C">
            <w:pPr>
              <w:pStyle w:val="Paragraphnonumbers"/>
              <w:rPr>
                <w:rFonts w:cs="Arial"/>
                <w:sz w:val="20"/>
                <w:szCs w:val="20"/>
              </w:rPr>
            </w:pPr>
            <w:r w:rsidRPr="000746B9">
              <w:rPr>
                <w:rFonts w:cs="Arial"/>
                <w:sz w:val="20"/>
                <w:szCs w:val="20"/>
              </w:rPr>
              <w:t xml:space="preserve">Effect of Cranberry Capsules on Bacteriuria Plus Pyuria Among Older Women in Nursing Homes: A Randomized Clinical Trial </w:t>
            </w:r>
            <w:hyperlink r:id="rId86" w:history="1">
              <w:r w:rsidRPr="000746B9">
                <w:rPr>
                  <w:rStyle w:val="Hyperlink"/>
                  <w:rFonts w:cs="Arial"/>
                  <w:sz w:val="20"/>
                  <w:szCs w:val="20"/>
                </w:rPr>
                <w:t>https://doi.org/10.1001/jama.2016.16141</w:t>
              </w:r>
            </w:hyperlink>
            <w:r w:rsidRPr="000746B9">
              <w:rPr>
                <w:rFonts w:cs="Arial"/>
                <w:sz w:val="20"/>
                <w:szCs w:val="20"/>
              </w:rPr>
              <w:t xml:space="preserve"> </w:t>
            </w:r>
          </w:p>
          <w:p w14:paraId="57A4033B" w14:textId="77777777" w:rsidR="000746B9" w:rsidRPr="000746B9" w:rsidRDefault="000746B9" w:rsidP="00DA217C">
            <w:pPr>
              <w:pStyle w:val="Paragraphnonumbers"/>
              <w:rPr>
                <w:rFonts w:cs="Arial"/>
                <w:sz w:val="20"/>
                <w:szCs w:val="20"/>
              </w:rPr>
            </w:pPr>
            <w:r w:rsidRPr="000746B9">
              <w:rPr>
                <w:rFonts w:cs="Arial"/>
                <w:sz w:val="20"/>
                <w:szCs w:val="20"/>
              </w:rPr>
              <w:t>Cranberries for preventing urinary tract infections</w:t>
            </w:r>
          </w:p>
          <w:p w14:paraId="4A1CE498" w14:textId="77777777" w:rsidR="000746B9" w:rsidRPr="000746B9" w:rsidRDefault="00AC503C" w:rsidP="00DA217C">
            <w:pPr>
              <w:pStyle w:val="Paragraphnonumbers"/>
              <w:rPr>
                <w:rFonts w:cs="Arial"/>
                <w:sz w:val="20"/>
                <w:szCs w:val="20"/>
              </w:rPr>
            </w:pPr>
            <w:hyperlink r:id="rId87" w:history="1">
              <w:r w:rsidR="000746B9" w:rsidRPr="000746B9">
                <w:rPr>
                  <w:rStyle w:val="Hyperlink"/>
                  <w:rFonts w:cs="Arial"/>
                  <w:sz w:val="20"/>
                  <w:szCs w:val="20"/>
                </w:rPr>
                <w:t>https://doi.org/10.1002/14651858.CD001321.pub5</w:t>
              </w:r>
            </w:hyperlink>
            <w:r w:rsidR="000746B9" w:rsidRPr="000746B9">
              <w:rPr>
                <w:rFonts w:cs="Arial"/>
                <w:sz w:val="20"/>
                <w:szCs w:val="20"/>
              </w:rPr>
              <w:t xml:space="preserve"> </w:t>
            </w:r>
          </w:p>
        </w:tc>
      </w:tr>
      <w:tr w:rsidR="000746B9" w:rsidRPr="000746B9" w14:paraId="53C47214" w14:textId="77777777" w:rsidTr="007C6ED4">
        <w:trPr>
          <w:trHeight w:val="282"/>
        </w:trPr>
        <w:tc>
          <w:tcPr>
            <w:tcW w:w="708" w:type="dxa"/>
          </w:tcPr>
          <w:p w14:paraId="647BD481" w14:textId="77777777" w:rsidR="000746B9" w:rsidRPr="000746B9" w:rsidRDefault="000746B9" w:rsidP="00E6662B">
            <w:pPr>
              <w:pStyle w:val="TableText1"/>
              <w:numPr>
                <w:ilvl w:val="0"/>
                <w:numId w:val="45"/>
              </w:numPr>
              <w:rPr>
                <w:rFonts w:cs="Arial"/>
                <w:sz w:val="20"/>
                <w:szCs w:val="20"/>
              </w:rPr>
            </w:pPr>
            <w:r w:rsidRPr="000746B9">
              <w:rPr>
                <w:rFonts w:cs="Arial"/>
                <w:sz w:val="20"/>
                <w:szCs w:val="20"/>
              </w:rPr>
              <w:lastRenderedPageBreak/>
              <w:t>2a</w:t>
            </w:r>
          </w:p>
        </w:tc>
        <w:tc>
          <w:tcPr>
            <w:tcW w:w="2264" w:type="dxa"/>
          </w:tcPr>
          <w:p w14:paraId="7D94419C" w14:textId="77777777" w:rsidR="000746B9" w:rsidRPr="000746B9" w:rsidRDefault="000746B9" w:rsidP="00DA217C">
            <w:pPr>
              <w:pStyle w:val="TableText1"/>
              <w:rPr>
                <w:rFonts w:cs="Arial"/>
                <w:sz w:val="20"/>
                <w:szCs w:val="20"/>
              </w:rPr>
            </w:pPr>
            <w:r w:rsidRPr="000746B9">
              <w:rPr>
                <w:rFonts w:cs="Arial"/>
                <w:sz w:val="20"/>
                <w:szCs w:val="20"/>
              </w:rPr>
              <w:t>The Royal College of Pathologists</w:t>
            </w:r>
          </w:p>
        </w:tc>
        <w:tc>
          <w:tcPr>
            <w:tcW w:w="3588" w:type="dxa"/>
          </w:tcPr>
          <w:p w14:paraId="3BA5FB54" w14:textId="77777777" w:rsidR="000746B9" w:rsidRPr="000746B9" w:rsidRDefault="000746B9" w:rsidP="00DA217C">
            <w:pPr>
              <w:pStyle w:val="Paragraphnonumbers"/>
              <w:spacing w:after="120"/>
              <w:rPr>
                <w:rFonts w:cs="Arial"/>
                <w:sz w:val="20"/>
                <w:szCs w:val="20"/>
              </w:rPr>
            </w:pPr>
            <w:r w:rsidRPr="000746B9">
              <w:rPr>
                <w:rFonts w:cs="Arial"/>
                <w:sz w:val="20"/>
                <w:szCs w:val="20"/>
              </w:rPr>
              <w:t>Key area for quality improvement 4</w:t>
            </w:r>
          </w:p>
          <w:p w14:paraId="69A79084" w14:textId="77777777" w:rsidR="000746B9" w:rsidRPr="000746B9" w:rsidRDefault="000746B9" w:rsidP="00DA217C">
            <w:pPr>
              <w:pStyle w:val="TableText1"/>
              <w:rPr>
                <w:rFonts w:cs="Arial"/>
                <w:b/>
                <w:sz w:val="20"/>
                <w:szCs w:val="20"/>
              </w:rPr>
            </w:pPr>
            <w:r w:rsidRPr="000746B9">
              <w:rPr>
                <w:rFonts w:cs="Arial"/>
                <w:sz w:val="20"/>
                <w:szCs w:val="20"/>
              </w:rPr>
              <w:t xml:space="preserve">Treatment of asymptomatic patients with indwelling urinary catheters and non-pregnant women.  </w:t>
            </w:r>
          </w:p>
        </w:tc>
        <w:tc>
          <w:tcPr>
            <w:tcW w:w="4350" w:type="dxa"/>
          </w:tcPr>
          <w:p w14:paraId="5C601156" w14:textId="77777777" w:rsidR="000746B9" w:rsidRPr="000746B9" w:rsidRDefault="000746B9" w:rsidP="00DA217C">
            <w:pPr>
              <w:pStyle w:val="Paragraphnonumbers"/>
              <w:rPr>
                <w:rFonts w:cs="Arial"/>
                <w:sz w:val="20"/>
                <w:szCs w:val="20"/>
              </w:rPr>
            </w:pPr>
            <w:r w:rsidRPr="000746B9">
              <w:rPr>
                <w:rFonts w:cs="Arial"/>
                <w:sz w:val="20"/>
                <w:szCs w:val="20"/>
              </w:rPr>
              <w:t xml:space="preserve">NICE (2015) acknowledges </w:t>
            </w:r>
            <w:proofErr w:type="gramStart"/>
            <w:r w:rsidRPr="000746B9">
              <w:rPr>
                <w:rFonts w:cs="Arial"/>
                <w:sz w:val="20"/>
                <w:szCs w:val="20"/>
              </w:rPr>
              <w:t>that  antibiotic</w:t>
            </w:r>
            <w:proofErr w:type="gramEnd"/>
            <w:r w:rsidRPr="000746B9">
              <w:rPr>
                <w:rFonts w:cs="Arial"/>
                <w:sz w:val="20"/>
                <w:szCs w:val="20"/>
              </w:rPr>
              <w:t xml:space="preserve"> treatment of asymptomatic  catheterised adults and non-pregnant women can lead to antimicrobial resistance, as well as being ineffective.</w:t>
            </w:r>
          </w:p>
          <w:p w14:paraId="6C85F3F8" w14:textId="77777777" w:rsidR="000746B9" w:rsidRPr="000746B9" w:rsidRDefault="000746B9" w:rsidP="00DA217C">
            <w:pPr>
              <w:pStyle w:val="TableText1"/>
              <w:rPr>
                <w:rFonts w:cs="Arial"/>
                <w:sz w:val="20"/>
                <w:szCs w:val="20"/>
              </w:rPr>
            </w:pPr>
          </w:p>
        </w:tc>
        <w:tc>
          <w:tcPr>
            <w:tcW w:w="3769" w:type="dxa"/>
          </w:tcPr>
          <w:p w14:paraId="69ED683A" w14:textId="77777777" w:rsidR="000746B9" w:rsidRPr="000746B9" w:rsidRDefault="000746B9" w:rsidP="00DA217C">
            <w:pPr>
              <w:rPr>
                <w:rFonts w:ascii="Arial" w:hAnsi="Arial" w:cs="Arial"/>
                <w:sz w:val="20"/>
                <w:szCs w:val="20"/>
              </w:rPr>
            </w:pPr>
            <w:r w:rsidRPr="000746B9">
              <w:rPr>
                <w:rFonts w:ascii="Arial" w:hAnsi="Arial" w:cs="Arial"/>
                <w:sz w:val="20"/>
                <w:szCs w:val="20"/>
              </w:rPr>
              <w:t>Currently an existing NICE Quality standard for urinary tract infection</w:t>
            </w:r>
          </w:p>
        </w:tc>
      </w:tr>
    </w:tbl>
    <w:p w14:paraId="7BA29971" w14:textId="5638409E" w:rsidR="00943B7D" w:rsidRDefault="00943B7D"/>
    <w:p w14:paraId="7B67FF26" w14:textId="77777777" w:rsidR="00A6717D" w:rsidRDefault="00A6717D" w:rsidP="00A6717D">
      <w:pPr>
        <w:pStyle w:val="Heading4"/>
      </w:pPr>
      <w:r>
        <w:t>Treatment: Choice of antibiotic and course duration</w:t>
      </w:r>
    </w:p>
    <w:tbl>
      <w:tblPr>
        <w:tblW w:w="1467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708"/>
        <w:gridCol w:w="2264"/>
        <w:gridCol w:w="3588"/>
        <w:gridCol w:w="4350"/>
        <w:gridCol w:w="3769"/>
      </w:tblGrid>
      <w:tr w:rsidR="00943B7D" w:rsidRPr="000746B9" w14:paraId="166906D8" w14:textId="77777777" w:rsidTr="00DA217C">
        <w:trPr>
          <w:tblHeader/>
        </w:trPr>
        <w:tc>
          <w:tcPr>
            <w:tcW w:w="708" w:type="dxa"/>
            <w:shd w:val="clear" w:color="auto" w:fill="E6E6E6"/>
          </w:tcPr>
          <w:p w14:paraId="06DED7C9" w14:textId="77777777" w:rsidR="00943B7D" w:rsidRPr="000746B9" w:rsidRDefault="00943B7D" w:rsidP="00DA217C">
            <w:pPr>
              <w:pStyle w:val="Heading4"/>
              <w:rPr>
                <w:rFonts w:cs="Arial"/>
                <w:sz w:val="20"/>
                <w:szCs w:val="20"/>
              </w:rPr>
            </w:pPr>
            <w:r>
              <w:rPr>
                <w:rFonts w:cs="Arial"/>
                <w:sz w:val="20"/>
                <w:szCs w:val="20"/>
              </w:rPr>
              <w:t>ID</w:t>
            </w:r>
          </w:p>
        </w:tc>
        <w:tc>
          <w:tcPr>
            <w:tcW w:w="2264" w:type="dxa"/>
            <w:shd w:val="clear" w:color="auto" w:fill="E6E6E6"/>
          </w:tcPr>
          <w:p w14:paraId="2E08E4A8" w14:textId="77777777" w:rsidR="00943B7D" w:rsidRPr="000746B9" w:rsidRDefault="00943B7D" w:rsidP="00DA217C">
            <w:pPr>
              <w:pStyle w:val="Heading4"/>
              <w:rPr>
                <w:rFonts w:cs="Arial"/>
                <w:sz w:val="20"/>
                <w:szCs w:val="20"/>
              </w:rPr>
            </w:pPr>
            <w:r w:rsidRPr="000746B9">
              <w:rPr>
                <w:rFonts w:cs="Arial"/>
                <w:sz w:val="20"/>
                <w:szCs w:val="20"/>
              </w:rPr>
              <w:t>Stakeholder</w:t>
            </w:r>
          </w:p>
        </w:tc>
        <w:tc>
          <w:tcPr>
            <w:tcW w:w="3588" w:type="dxa"/>
            <w:shd w:val="clear" w:color="auto" w:fill="E6E6E6"/>
          </w:tcPr>
          <w:p w14:paraId="2638C212" w14:textId="77777777" w:rsidR="00943B7D" w:rsidRPr="000746B9" w:rsidRDefault="00943B7D" w:rsidP="00DA217C">
            <w:pPr>
              <w:pStyle w:val="Heading4"/>
              <w:rPr>
                <w:rFonts w:cs="Arial"/>
                <w:sz w:val="20"/>
                <w:szCs w:val="20"/>
              </w:rPr>
            </w:pPr>
            <w:r w:rsidRPr="000746B9">
              <w:rPr>
                <w:rFonts w:cs="Arial"/>
                <w:sz w:val="20"/>
                <w:szCs w:val="20"/>
              </w:rPr>
              <w:t>Key area for quality improvement</w:t>
            </w:r>
          </w:p>
        </w:tc>
        <w:tc>
          <w:tcPr>
            <w:tcW w:w="4350" w:type="dxa"/>
            <w:shd w:val="clear" w:color="auto" w:fill="E6E6E6"/>
          </w:tcPr>
          <w:p w14:paraId="6A79F97D" w14:textId="77777777" w:rsidR="00943B7D" w:rsidRPr="000746B9" w:rsidRDefault="00943B7D" w:rsidP="00DA217C">
            <w:pPr>
              <w:pStyle w:val="Heading1"/>
              <w:rPr>
                <w:sz w:val="20"/>
                <w:szCs w:val="20"/>
              </w:rPr>
            </w:pPr>
            <w:bookmarkStart w:id="133" w:name="_Toc107929205"/>
            <w:bookmarkStart w:id="134" w:name="_Toc112833012"/>
            <w:r w:rsidRPr="000746B9">
              <w:rPr>
                <w:sz w:val="20"/>
                <w:szCs w:val="20"/>
              </w:rPr>
              <w:t>Why is this a key area for quality improvement?</w:t>
            </w:r>
            <w:bookmarkEnd w:id="133"/>
            <w:bookmarkEnd w:id="134"/>
          </w:p>
        </w:tc>
        <w:tc>
          <w:tcPr>
            <w:tcW w:w="3769" w:type="dxa"/>
            <w:shd w:val="clear" w:color="auto" w:fill="E6E6E6"/>
          </w:tcPr>
          <w:p w14:paraId="64651F27" w14:textId="77777777" w:rsidR="00943B7D" w:rsidRPr="000746B9" w:rsidRDefault="00943B7D" w:rsidP="00DA217C">
            <w:pPr>
              <w:rPr>
                <w:rFonts w:ascii="Arial" w:hAnsi="Arial" w:cs="Arial"/>
                <w:b/>
                <w:sz w:val="20"/>
                <w:szCs w:val="20"/>
              </w:rPr>
            </w:pPr>
            <w:r w:rsidRPr="000746B9">
              <w:rPr>
                <w:rFonts w:ascii="Arial" w:hAnsi="Arial" w:cs="Arial"/>
                <w:b/>
                <w:sz w:val="20"/>
                <w:szCs w:val="20"/>
              </w:rPr>
              <w:t>Supporting information</w:t>
            </w:r>
          </w:p>
        </w:tc>
      </w:tr>
      <w:tr w:rsidR="000746B9" w:rsidRPr="000746B9" w14:paraId="585113EA" w14:textId="77777777" w:rsidTr="007C6ED4">
        <w:trPr>
          <w:trHeight w:val="282"/>
        </w:trPr>
        <w:tc>
          <w:tcPr>
            <w:tcW w:w="708" w:type="dxa"/>
          </w:tcPr>
          <w:p w14:paraId="32595085" w14:textId="77777777" w:rsidR="000746B9" w:rsidRPr="000746B9" w:rsidRDefault="000746B9" w:rsidP="00E6662B">
            <w:pPr>
              <w:pStyle w:val="TableText1"/>
              <w:numPr>
                <w:ilvl w:val="0"/>
                <w:numId w:val="45"/>
              </w:numPr>
              <w:rPr>
                <w:rFonts w:cs="Arial"/>
                <w:sz w:val="20"/>
                <w:szCs w:val="20"/>
              </w:rPr>
            </w:pPr>
            <w:r w:rsidRPr="000746B9">
              <w:rPr>
                <w:rFonts w:cs="Arial"/>
                <w:sz w:val="20"/>
                <w:szCs w:val="20"/>
              </w:rPr>
              <w:t>2b</w:t>
            </w:r>
          </w:p>
        </w:tc>
        <w:tc>
          <w:tcPr>
            <w:tcW w:w="2264" w:type="dxa"/>
          </w:tcPr>
          <w:p w14:paraId="2772BD55" w14:textId="77777777" w:rsidR="000746B9" w:rsidRPr="000746B9" w:rsidRDefault="000746B9" w:rsidP="00DA217C">
            <w:pPr>
              <w:pStyle w:val="TableText1"/>
              <w:rPr>
                <w:rFonts w:cs="Arial"/>
                <w:sz w:val="20"/>
                <w:szCs w:val="20"/>
              </w:rPr>
            </w:pPr>
            <w:r w:rsidRPr="000746B9">
              <w:rPr>
                <w:rFonts w:cs="Arial"/>
                <w:sz w:val="20"/>
                <w:szCs w:val="20"/>
              </w:rPr>
              <w:t>ADVANZ Pharma</w:t>
            </w:r>
          </w:p>
        </w:tc>
        <w:tc>
          <w:tcPr>
            <w:tcW w:w="3588" w:type="dxa"/>
          </w:tcPr>
          <w:p w14:paraId="77D63680" w14:textId="77777777" w:rsidR="000746B9" w:rsidRPr="000746B9" w:rsidRDefault="000746B9" w:rsidP="00DA217C">
            <w:pPr>
              <w:pStyle w:val="TableText1"/>
              <w:rPr>
                <w:rFonts w:cs="Arial"/>
                <w:sz w:val="20"/>
                <w:szCs w:val="20"/>
              </w:rPr>
            </w:pPr>
            <w:r w:rsidRPr="000746B9">
              <w:rPr>
                <w:rFonts w:cs="Arial"/>
                <w:sz w:val="20"/>
                <w:szCs w:val="20"/>
              </w:rPr>
              <w:t>Management of suspected bacterial lower urinary tract infection in adult women</w:t>
            </w:r>
          </w:p>
        </w:tc>
        <w:tc>
          <w:tcPr>
            <w:tcW w:w="4350" w:type="dxa"/>
          </w:tcPr>
          <w:p w14:paraId="6FF5B76C" w14:textId="77777777" w:rsidR="000746B9" w:rsidRPr="000746B9" w:rsidRDefault="000746B9" w:rsidP="00DA217C">
            <w:pPr>
              <w:pStyle w:val="Paragraphnonumbers"/>
              <w:jc w:val="both"/>
              <w:rPr>
                <w:rFonts w:cs="Arial"/>
                <w:sz w:val="20"/>
                <w:szCs w:val="20"/>
              </w:rPr>
            </w:pPr>
            <w:r w:rsidRPr="000746B9">
              <w:rPr>
                <w:rFonts w:cs="Arial"/>
                <w:sz w:val="20"/>
                <w:szCs w:val="20"/>
              </w:rPr>
              <w:t xml:space="preserve">Scottish Intercollegiate Guidelines Network SIGN 160 have excluded UTIs in pregnant women from there guidelines in 2020. </w:t>
            </w:r>
          </w:p>
          <w:p w14:paraId="408A8BDE" w14:textId="77777777" w:rsidR="000746B9" w:rsidRPr="000746B9" w:rsidRDefault="00AC503C" w:rsidP="00DA217C">
            <w:pPr>
              <w:pStyle w:val="Paragraphnonumbers"/>
              <w:jc w:val="both"/>
              <w:rPr>
                <w:rFonts w:cs="Arial"/>
                <w:sz w:val="20"/>
                <w:szCs w:val="20"/>
              </w:rPr>
            </w:pPr>
            <w:hyperlink r:id="rId88" w:history="1">
              <w:r w:rsidR="000746B9" w:rsidRPr="000746B9">
                <w:rPr>
                  <w:rStyle w:val="Hyperlink"/>
                  <w:rFonts w:cs="Arial"/>
                  <w:sz w:val="20"/>
                  <w:szCs w:val="20"/>
                </w:rPr>
                <w:t>https://www.sign.ac.uk/our-guidelines/management-of-suspected-bacterial-lower-urinary-tract-infection-in-adult-women/</w:t>
              </w:r>
            </w:hyperlink>
          </w:p>
          <w:p w14:paraId="1E249134" w14:textId="77777777" w:rsidR="000746B9" w:rsidRPr="000746B9" w:rsidRDefault="000746B9" w:rsidP="00DA217C">
            <w:pPr>
              <w:pStyle w:val="Paragraphnonumbers"/>
              <w:jc w:val="both"/>
              <w:rPr>
                <w:rFonts w:cs="Arial"/>
                <w:sz w:val="20"/>
                <w:szCs w:val="20"/>
              </w:rPr>
            </w:pPr>
            <w:r w:rsidRPr="000746B9">
              <w:rPr>
                <w:rFonts w:cs="Arial"/>
                <w:sz w:val="20"/>
                <w:szCs w:val="20"/>
              </w:rPr>
              <w:t xml:space="preserve">Urinary tract infections (UTIs) are major drivers of antibiotic prescribing in primary care. </w:t>
            </w:r>
            <w:bookmarkStart w:id="135" w:name="_Hlk107216156"/>
            <w:r w:rsidRPr="000746B9">
              <w:rPr>
                <w:rFonts w:cs="Arial"/>
                <w:sz w:val="20"/>
                <w:szCs w:val="20"/>
              </w:rPr>
              <w:lastRenderedPageBreak/>
              <w:t xml:space="preserve">Inappropriate antibiotic prescribing </w:t>
            </w:r>
            <w:bookmarkEnd w:id="135"/>
            <w:r w:rsidRPr="000746B9">
              <w:rPr>
                <w:rFonts w:cs="Arial"/>
                <w:sz w:val="20"/>
                <w:szCs w:val="20"/>
              </w:rPr>
              <w:t>for UTIs likely drives antibiotic resistance.</w:t>
            </w:r>
          </w:p>
          <w:p w14:paraId="7BE32B4A" w14:textId="77777777" w:rsidR="000746B9" w:rsidRPr="000746B9" w:rsidRDefault="000746B9" w:rsidP="00DA217C">
            <w:pPr>
              <w:pStyle w:val="Paragraphnonumbers"/>
              <w:jc w:val="both"/>
              <w:rPr>
                <w:rFonts w:cs="Arial"/>
                <w:sz w:val="20"/>
                <w:szCs w:val="20"/>
              </w:rPr>
            </w:pPr>
          </w:p>
          <w:p w14:paraId="5500A6F3" w14:textId="77777777" w:rsidR="000746B9" w:rsidRPr="000746B9" w:rsidRDefault="000746B9" w:rsidP="00DA217C">
            <w:pPr>
              <w:pStyle w:val="Paragraphnonumbers"/>
              <w:jc w:val="both"/>
              <w:rPr>
                <w:rFonts w:cs="Arial"/>
                <w:sz w:val="20"/>
                <w:szCs w:val="20"/>
              </w:rPr>
            </w:pPr>
            <w:r w:rsidRPr="000746B9">
              <w:rPr>
                <w:rFonts w:cs="Arial"/>
                <w:sz w:val="20"/>
                <w:szCs w:val="20"/>
              </w:rPr>
              <w:t xml:space="preserve">Treatment failure was found to prevalent amongst pregnant women. </w:t>
            </w:r>
          </w:p>
          <w:p w14:paraId="151195DE" w14:textId="77777777" w:rsidR="000746B9" w:rsidRPr="000746B9" w:rsidRDefault="000746B9" w:rsidP="00DA217C">
            <w:pPr>
              <w:pStyle w:val="TableText1"/>
              <w:rPr>
                <w:rFonts w:cs="Arial"/>
                <w:sz w:val="20"/>
                <w:szCs w:val="20"/>
              </w:rPr>
            </w:pPr>
          </w:p>
        </w:tc>
        <w:tc>
          <w:tcPr>
            <w:tcW w:w="3769" w:type="dxa"/>
          </w:tcPr>
          <w:p w14:paraId="5EAF141A" w14:textId="77777777" w:rsidR="000746B9" w:rsidRPr="000746B9" w:rsidRDefault="000746B9" w:rsidP="00DA217C">
            <w:pPr>
              <w:pStyle w:val="Paragraphnonumbers"/>
              <w:jc w:val="both"/>
              <w:rPr>
                <w:rFonts w:cs="Arial"/>
                <w:sz w:val="20"/>
                <w:szCs w:val="20"/>
              </w:rPr>
            </w:pPr>
            <w:r w:rsidRPr="000746B9">
              <w:rPr>
                <w:rFonts w:cs="Arial"/>
                <w:sz w:val="20"/>
                <w:szCs w:val="20"/>
              </w:rPr>
              <w:lastRenderedPageBreak/>
              <w:t xml:space="preserve">Please refer to the following study for further information: </w:t>
            </w:r>
          </w:p>
          <w:p w14:paraId="7DA31AF5" w14:textId="77777777" w:rsidR="000746B9" w:rsidRPr="000746B9" w:rsidRDefault="000746B9" w:rsidP="00DA217C">
            <w:pPr>
              <w:pStyle w:val="Paragraphnonumbers"/>
              <w:jc w:val="both"/>
              <w:rPr>
                <w:rFonts w:cs="Arial"/>
                <w:sz w:val="20"/>
                <w:szCs w:val="20"/>
              </w:rPr>
            </w:pPr>
            <w:r w:rsidRPr="000746B9">
              <w:rPr>
                <w:rFonts w:cs="Arial"/>
                <w:sz w:val="20"/>
                <w:szCs w:val="20"/>
              </w:rPr>
              <w:t>Lower Urinary Tract Infections: Management, Outcomes and Risk Factors for Antibiotic Re-prescription in Primary Care</w:t>
            </w:r>
          </w:p>
          <w:p w14:paraId="754E3052" w14:textId="77777777" w:rsidR="000746B9" w:rsidRPr="000746B9" w:rsidRDefault="00AC503C" w:rsidP="00DA217C">
            <w:pPr>
              <w:pStyle w:val="Paragraphnonumbers"/>
              <w:jc w:val="both"/>
              <w:rPr>
                <w:rFonts w:cs="Arial"/>
                <w:sz w:val="20"/>
                <w:szCs w:val="20"/>
              </w:rPr>
            </w:pPr>
            <w:hyperlink r:id="rId89" w:history="1">
              <w:r w:rsidR="000746B9" w:rsidRPr="000746B9">
                <w:rPr>
                  <w:rStyle w:val="Hyperlink"/>
                  <w:rFonts w:cs="Arial"/>
                  <w:sz w:val="20"/>
                  <w:szCs w:val="20"/>
                </w:rPr>
                <w:t>https://www.thelancet.com/journals/eclinm/article/PIIS2589-5370(19)30120-8/fulltext#%20</w:t>
              </w:r>
            </w:hyperlink>
          </w:p>
          <w:p w14:paraId="53A0BBCA" w14:textId="77777777" w:rsidR="000746B9" w:rsidRPr="000746B9" w:rsidRDefault="000746B9" w:rsidP="00DA217C">
            <w:pPr>
              <w:pStyle w:val="TableText1"/>
              <w:rPr>
                <w:rFonts w:cs="Arial"/>
                <w:sz w:val="20"/>
                <w:szCs w:val="20"/>
              </w:rPr>
            </w:pPr>
          </w:p>
        </w:tc>
      </w:tr>
      <w:tr w:rsidR="000746B9" w:rsidRPr="000746B9" w14:paraId="716A06E8" w14:textId="77777777" w:rsidTr="007C6ED4">
        <w:trPr>
          <w:trHeight w:val="282"/>
        </w:trPr>
        <w:tc>
          <w:tcPr>
            <w:tcW w:w="708" w:type="dxa"/>
          </w:tcPr>
          <w:p w14:paraId="3975E88D" w14:textId="77777777" w:rsidR="000746B9" w:rsidRPr="000746B9" w:rsidRDefault="000746B9" w:rsidP="00E6662B">
            <w:pPr>
              <w:pStyle w:val="TableText1"/>
              <w:numPr>
                <w:ilvl w:val="0"/>
                <w:numId w:val="45"/>
              </w:numPr>
              <w:rPr>
                <w:rFonts w:cs="Arial"/>
                <w:sz w:val="20"/>
                <w:szCs w:val="20"/>
              </w:rPr>
            </w:pPr>
            <w:r w:rsidRPr="000746B9">
              <w:rPr>
                <w:rFonts w:cs="Arial"/>
                <w:sz w:val="20"/>
                <w:szCs w:val="20"/>
              </w:rPr>
              <w:lastRenderedPageBreak/>
              <w:t>2b</w:t>
            </w:r>
          </w:p>
        </w:tc>
        <w:tc>
          <w:tcPr>
            <w:tcW w:w="2264" w:type="dxa"/>
          </w:tcPr>
          <w:p w14:paraId="7B673C51" w14:textId="77777777" w:rsidR="000746B9" w:rsidRPr="000746B9" w:rsidRDefault="000746B9" w:rsidP="00DA217C">
            <w:pPr>
              <w:pStyle w:val="TableText1"/>
              <w:rPr>
                <w:rFonts w:cs="Arial"/>
                <w:sz w:val="20"/>
                <w:szCs w:val="20"/>
              </w:rPr>
            </w:pPr>
            <w:r w:rsidRPr="000746B9">
              <w:rPr>
                <w:rFonts w:cs="Arial"/>
                <w:sz w:val="20"/>
                <w:szCs w:val="20"/>
              </w:rPr>
              <w:t>ADVANZ Pharma</w:t>
            </w:r>
          </w:p>
        </w:tc>
        <w:tc>
          <w:tcPr>
            <w:tcW w:w="3588" w:type="dxa"/>
          </w:tcPr>
          <w:p w14:paraId="4281DA20" w14:textId="77777777" w:rsidR="000746B9" w:rsidRPr="000746B9" w:rsidRDefault="000746B9" w:rsidP="00DA217C">
            <w:pPr>
              <w:pStyle w:val="TableText1"/>
              <w:rPr>
                <w:rFonts w:cs="Arial"/>
                <w:sz w:val="20"/>
                <w:szCs w:val="20"/>
              </w:rPr>
            </w:pPr>
            <w:r w:rsidRPr="000746B9">
              <w:rPr>
                <w:rFonts w:cs="Arial"/>
                <w:sz w:val="20"/>
                <w:szCs w:val="20"/>
              </w:rPr>
              <w:t>Urinary tract infection (lower): antimicrobial prescribing</w:t>
            </w:r>
          </w:p>
        </w:tc>
        <w:tc>
          <w:tcPr>
            <w:tcW w:w="4350" w:type="dxa"/>
          </w:tcPr>
          <w:p w14:paraId="0A99CA48" w14:textId="77777777" w:rsidR="000746B9" w:rsidRPr="000746B9" w:rsidRDefault="000746B9" w:rsidP="00DA217C">
            <w:pPr>
              <w:pStyle w:val="Paragraphnonumbers"/>
              <w:jc w:val="both"/>
              <w:rPr>
                <w:rFonts w:cs="Arial"/>
                <w:sz w:val="20"/>
                <w:szCs w:val="20"/>
              </w:rPr>
            </w:pPr>
            <w:r w:rsidRPr="000746B9">
              <w:rPr>
                <w:rFonts w:cs="Arial"/>
                <w:sz w:val="20"/>
                <w:szCs w:val="20"/>
              </w:rPr>
              <w:t xml:space="preserve">A cohort study has reported that an absence of antibiotics </w:t>
            </w:r>
            <w:proofErr w:type="gramStart"/>
            <w:r w:rsidRPr="000746B9">
              <w:rPr>
                <w:rFonts w:cs="Arial"/>
                <w:sz w:val="20"/>
                <w:szCs w:val="20"/>
              </w:rPr>
              <w:t>prescribing</w:t>
            </w:r>
            <w:proofErr w:type="gramEnd"/>
            <w:r w:rsidRPr="000746B9">
              <w:rPr>
                <w:rFonts w:cs="Arial"/>
                <w:sz w:val="20"/>
                <w:szCs w:val="20"/>
              </w:rPr>
              <w:t xml:space="preserve"> or delayed treatment were associated with a significant increase in bloodstream infection and </w:t>
            </w:r>
            <w:proofErr w:type="spellStart"/>
            <w:r w:rsidRPr="000746B9">
              <w:rPr>
                <w:rFonts w:cs="Arial"/>
                <w:sz w:val="20"/>
                <w:szCs w:val="20"/>
              </w:rPr>
              <w:t>all cause</w:t>
            </w:r>
            <w:proofErr w:type="spellEnd"/>
            <w:r w:rsidRPr="000746B9">
              <w:rPr>
                <w:rFonts w:cs="Arial"/>
                <w:sz w:val="20"/>
                <w:szCs w:val="20"/>
              </w:rPr>
              <w:t xml:space="preserve"> mortality compared with immediate antibiotics. </w:t>
            </w:r>
          </w:p>
          <w:p w14:paraId="48F1D8AA" w14:textId="77777777" w:rsidR="000746B9" w:rsidRPr="000746B9" w:rsidRDefault="000746B9" w:rsidP="00DA217C">
            <w:pPr>
              <w:pStyle w:val="TableText1"/>
              <w:rPr>
                <w:rFonts w:cs="Arial"/>
                <w:sz w:val="20"/>
                <w:szCs w:val="20"/>
              </w:rPr>
            </w:pPr>
            <w:bookmarkStart w:id="136" w:name="_Hlk107223262"/>
            <w:r w:rsidRPr="000746B9">
              <w:rPr>
                <w:rFonts w:cs="Arial"/>
                <w:sz w:val="20"/>
                <w:szCs w:val="20"/>
              </w:rPr>
              <w:t>Early initiation of recommended first line antibiotics for UTI in the older population is advocated.</w:t>
            </w:r>
            <w:bookmarkEnd w:id="136"/>
          </w:p>
        </w:tc>
        <w:tc>
          <w:tcPr>
            <w:tcW w:w="3769" w:type="dxa"/>
          </w:tcPr>
          <w:p w14:paraId="0111C78E" w14:textId="77777777" w:rsidR="000746B9" w:rsidRPr="000746B9" w:rsidRDefault="000746B9" w:rsidP="00DA217C">
            <w:pPr>
              <w:pStyle w:val="Paragraphnonumbers"/>
              <w:jc w:val="both"/>
              <w:rPr>
                <w:rFonts w:cs="Arial"/>
                <w:sz w:val="20"/>
                <w:szCs w:val="20"/>
              </w:rPr>
            </w:pPr>
            <w:r w:rsidRPr="000746B9">
              <w:rPr>
                <w:rFonts w:cs="Arial"/>
                <w:sz w:val="20"/>
                <w:szCs w:val="20"/>
              </w:rPr>
              <w:t xml:space="preserve">Please refer to the review article for further information: </w:t>
            </w:r>
          </w:p>
          <w:p w14:paraId="2221453D" w14:textId="77777777" w:rsidR="000746B9" w:rsidRPr="000746B9" w:rsidRDefault="00AC503C" w:rsidP="00DA217C">
            <w:pPr>
              <w:pStyle w:val="TableText1"/>
              <w:rPr>
                <w:rFonts w:cs="Arial"/>
                <w:sz w:val="20"/>
                <w:szCs w:val="20"/>
              </w:rPr>
            </w:pPr>
            <w:hyperlink r:id="rId90" w:history="1">
              <w:r w:rsidR="000746B9" w:rsidRPr="000746B9">
                <w:rPr>
                  <w:rStyle w:val="Hyperlink"/>
                  <w:rFonts w:cs="Arial"/>
                  <w:sz w:val="20"/>
                  <w:szCs w:val="20"/>
                </w:rPr>
                <w:t>https://www.bmj.com/content/364/bmj.l525</w:t>
              </w:r>
            </w:hyperlink>
          </w:p>
        </w:tc>
      </w:tr>
      <w:tr w:rsidR="000746B9" w:rsidRPr="000746B9" w14:paraId="45ECF3C8" w14:textId="77777777" w:rsidTr="007C6ED4">
        <w:trPr>
          <w:trHeight w:val="282"/>
        </w:trPr>
        <w:tc>
          <w:tcPr>
            <w:tcW w:w="708" w:type="dxa"/>
          </w:tcPr>
          <w:p w14:paraId="0B97DE25" w14:textId="77777777" w:rsidR="000746B9" w:rsidRPr="000746B9" w:rsidRDefault="000746B9" w:rsidP="00E6662B">
            <w:pPr>
              <w:pStyle w:val="TableText1"/>
              <w:numPr>
                <w:ilvl w:val="0"/>
                <w:numId w:val="45"/>
              </w:numPr>
              <w:rPr>
                <w:rFonts w:cs="Arial"/>
                <w:sz w:val="20"/>
                <w:szCs w:val="20"/>
              </w:rPr>
            </w:pPr>
            <w:r w:rsidRPr="000746B9">
              <w:rPr>
                <w:rFonts w:cs="Arial"/>
                <w:sz w:val="20"/>
                <w:szCs w:val="20"/>
              </w:rPr>
              <w:t>2b</w:t>
            </w:r>
          </w:p>
        </w:tc>
        <w:tc>
          <w:tcPr>
            <w:tcW w:w="2264" w:type="dxa"/>
          </w:tcPr>
          <w:p w14:paraId="5C31E3DE" w14:textId="77777777" w:rsidR="000746B9" w:rsidRPr="000746B9" w:rsidRDefault="000746B9" w:rsidP="00DA217C">
            <w:pPr>
              <w:pStyle w:val="TableText1"/>
              <w:rPr>
                <w:rFonts w:cs="Arial"/>
                <w:sz w:val="20"/>
                <w:szCs w:val="20"/>
              </w:rPr>
            </w:pPr>
            <w:r w:rsidRPr="000746B9">
              <w:rPr>
                <w:rFonts w:cs="Arial"/>
                <w:sz w:val="20"/>
                <w:szCs w:val="20"/>
              </w:rPr>
              <w:t>British Association of Urological Surgeons</w:t>
            </w:r>
          </w:p>
        </w:tc>
        <w:tc>
          <w:tcPr>
            <w:tcW w:w="3588" w:type="dxa"/>
          </w:tcPr>
          <w:p w14:paraId="00FF9EDC" w14:textId="77777777" w:rsidR="000746B9" w:rsidRPr="000746B9" w:rsidRDefault="000746B9" w:rsidP="00DA217C">
            <w:pPr>
              <w:pStyle w:val="TableText1"/>
              <w:rPr>
                <w:rFonts w:cs="Arial"/>
                <w:sz w:val="20"/>
                <w:szCs w:val="20"/>
              </w:rPr>
            </w:pPr>
            <w:r w:rsidRPr="000746B9">
              <w:rPr>
                <w:rFonts w:cs="Arial"/>
                <w:sz w:val="20"/>
                <w:szCs w:val="20"/>
              </w:rPr>
              <w:t>Advice on optimal duration of antibiotic course for patients with recurrent UTI</w:t>
            </w:r>
          </w:p>
        </w:tc>
        <w:tc>
          <w:tcPr>
            <w:tcW w:w="4350" w:type="dxa"/>
          </w:tcPr>
          <w:p w14:paraId="697DFDEA" w14:textId="77777777" w:rsidR="000746B9" w:rsidRPr="000746B9" w:rsidRDefault="000746B9" w:rsidP="00DA217C">
            <w:pPr>
              <w:pStyle w:val="TableText1"/>
              <w:rPr>
                <w:rFonts w:cs="Arial"/>
                <w:sz w:val="20"/>
                <w:szCs w:val="20"/>
              </w:rPr>
            </w:pPr>
            <w:r w:rsidRPr="000746B9">
              <w:rPr>
                <w:rFonts w:cs="Arial"/>
                <w:sz w:val="20"/>
                <w:szCs w:val="20"/>
              </w:rPr>
              <w:t>Patients are often treated with short 3-day course of antibiotics for UTI. However, this is only appropriate for simple UTI, not recurrent UTI. Bacterial persistence is recognised both through basic science and clinical investigations as requiring longer courses of antibiotics. Short courses maybe driving greater resistance in that group.</w:t>
            </w:r>
          </w:p>
        </w:tc>
        <w:tc>
          <w:tcPr>
            <w:tcW w:w="3769" w:type="dxa"/>
          </w:tcPr>
          <w:p w14:paraId="2182E95B" w14:textId="77777777" w:rsidR="000746B9" w:rsidRPr="000746B9" w:rsidRDefault="00AC503C" w:rsidP="00DA217C">
            <w:pPr>
              <w:pStyle w:val="Paragraphnonumbers"/>
              <w:rPr>
                <w:rFonts w:cs="Arial"/>
                <w:sz w:val="20"/>
                <w:szCs w:val="20"/>
              </w:rPr>
            </w:pPr>
            <w:hyperlink r:id="rId91" w:history="1">
              <w:r w:rsidR="000746B9" w:rsidRPr="000746B9">
                <w:rPr>
                  <w:rStyle w:val="Hyperlink"/>
                  <w:rFonts w:cs="Arial"/>
                  <w:sz w:val="20"/>
                  <w:szCs w:val="20"/>
                </w:rPr>
                <w:t>https://www.bmj.com/content/371/bmj.m4502</w:t>
              </w:r>
            </w:hyperlink>
          </w:p>
          <w:p w14:paraId="363F03DA" w14:textId="77777777" w:rsidR="000746B9" w:rsidRPr="000746B9" w:rsidRDefault="00AC503C" w:rsidP="00DA217C">
            <w:pPr>
              <w:pStyle w:val="Paragraphnonumbers"/>
              <w:rPr>
                <w:rFonts w:cs="Arial"/>
                <w:sz w:val="20"/>
                <w:szCs w:val="20"/>
              </w:rPr>
            </w:pPr>
            <w:hyperlink r:id="rId92" w:history="1">
              <w:r w:rsidR="000746B9" w:rsidRPr="000746B9">
                <w:rPr>
                  <w:rStyle w:val="Hyperlink"/>
                  <w:rFonts w:cs="Arial"/>
                  <w:sz w:val="20"/>
                  <w:szCs w:val="20"/>
                </w:rPr>
                <w:t>https://pubmed.ncbi.nlm.nih.gov/22278835/</w:t>
              </w:r>
            </w:hyperlink>
          </w:p>
          <w:p w14:paraId="2A839A16" w14:textId="77777777" w:rsidR="000746B9" w:rsidRPr="000746B9" w:rsidRDefault="00AC503C" w:rsidP="00DA217C">
            <w:pPr>
              <w:pStyle w:val="Paragraphnonumbers"/>
              <w:rPr>
                <w:rFonts w:cs="Arial"/>
                <w:sz w:val="20"/>
                <w:szCs w:val="20"/>
              </w:rPr>
            </w:pPr>
            <w:hyperlink r:id="rId93" w:history="1">
              <w:r w:rsidR="000746B9" w:rsidRPr="000746B9">
                <w:rPr>
                  <w:rStyle w:val="Hyperlink"/>
                  <w:rFonts w:cs="Arial"/>
                  <w:sz w:val="20"/>
                  <w:szCs w:val="20"/>
                </w:rPr>
                <w:t>https://www.ncbi.nlm.nih.gov/pmc/articles/PMC6394536/</w:t>
              </w:r>
            </w:hyperlink>
          </w:p>
          <w:p w14:paraId="15BB1A4F" w14:textId="77777777" w:rsidR="000746B9" w:rsidRPr="000746B9" w:rsidRDefault="000746B9" w:rsidP="00DA217C">
            <w:pPr>
              <w:pStyle w:val="TableText1"/>
              <w:rPr>
                <w:rFonts w:cs="Arial"/>
                <w:sz w:val="20"/>
                <w:szCs w:val="20"/>
              </w:rPr>
            </w:pPr>
          </w:p>
        </w:tc>
      </w:tr>
      <w:tr w:rsidR="000746B9" w:rsidRPr="000746B9" w14:paraId="5BAE59CF" w14:textId="77777777" w:rsidTr="007C6ED4">
        <w:trPr>
          <w:trHeight w:val="282"/>
        </w:trPr>
        <w:tc>
          <w:tcPr>
            <w:tcW w:w="708" w:type="dxa"/>
          </w:tcPr>
          <w:p w14:paraId="2E512A81" w14:textId="77777777" w:rsidR="000746B9" w:rsidRPr="000746B9" w:rsidRDefault="000746B9" w:rsidP="00E6662B">
            <w:pPr>
              <w:pStyle w:val="TableText1"/>
              <w:numPr>
                <w:ilvl w:val="0"/>
                <w:numId w:val="45"/>
              </w:numPr>
              <w:rPr>
                <w:rFonts w:cs="Arial"/>
                <w:sz w:val="20"/>
                <w:szCs w:val="20"/>
              </w:rPr>
            </w:pPr>
            <w:r w:rsidRPr="000746B9">
              <w:rPr>
                <w:rFonts w:cs="Arial"/>
                <w:sz w:val="20"/>
                <w:szCs w:val="20"/>
              </w:rPr>
              <w:t>2b</w:t>
            </w:r>
          </w:p>
        </w:tc>
        <w:tc>
          <w:tcPr>
            <w:tcW w:w="2264" w:type="dxa"/>
          </w:tcPr>
          <w:p w14:paraId="7AD87173" w14:textId="77777777" w:rsidR="000746B9" w:rsidRPr="000746B9" w:rsidRDefault="000746B9" w:rsidP="00DA217C">
            <w:pPr>
              <w:pStyle w:val="TableText1"/>
              <w:rPr>
                <w:rFonts w:cs="Arial"/>
                <w:sz w:val="20"/>
                <w:szCs w:val="20"/>
              </w:rPr>
            </w:pPr>
            <w:r w:rsidRPr="000746B9">
              <w:rPr>
                <w:rFonts w:cs="Arial"/>
                <w:sz w:val="20"/>
                <w:szCs w:val="20"/>
              </w:rPr>
              <w:t>British Geriatrics Society</w:t>
            </w:r>
          </w:p>
        </w:tc>
        <w:tc>
          <w:tcPr>
            <w:tcW w:w="3588" w:type="dxa"/>
          </w:tcPr>
          <w:p w14:paraId="5C8539C5" w14:textId="77777777" w:rsidR="000746B9" w:rsidRPr="000746B9" w:rsidRDefault="000746B9" w:rsidP="00DA217C">
            <w:pPr>
              <w:pStyle w:val="Paragraphnonumbers"/>
              <w:spacing w:after="120"/>
              <w:rPr>
                <w:rFonts w:cs="Arial"/>
                <w:sz w:val="20"/>
                <w:szCs w:val="20"/>
              </w:rPr>
            </w:pPr>
            <w:bookmarkStart w:id="137" w:name="_Hlk107223372"/>
            <w:r w:rsidRPr="000746B9">
              <w:rPr>
                <w:rFonts w:cs="Arial"/>
                <w:sz w:val="20"/>
                <w:szCs w:val="20"/>
              </w:rPr>
              <w:t>Prescribing for UTI for older frail people especially from Care Homes</w:t>
            </w:r>
          </w:p>
          <w:bookmarkEnd w:id="137"/>
          <w:p w14:paraId="7E06111B" w14:textId="77777777" w:rsidR="000746B9" w:rsidRPr="000746B9" w:rsidRDefault="000746B9" w:rsidP="00DA217C">
            <w:pPr>
              <w:pStyle w:val="TableText1"/>
              <w:rPr>
                <w:rFonts w:cs="Arial"/>
                <w:sz w:val="20"/>
                <w:szCs w:val="20"/>
              </w:rPr>
            </w:pPr>
          </w:p>
        </w:tc>
        <w:tc>
          <w:tcPr>
            <w:tcW w:w="4350" w:type="dxa"/>
          </w:tcPr>
          <w:p w14:paraId="49CB3125" w14:textId="77777777" w:rsidR="000746B9" w:rsidRPr="000746B9" w:rsidRDefault="000746B9" w:rsidP="00DA217C">
            <w:pPr>
              <w:pStyle w:val="TableText1"/>
              <w:rPr>
                <w:rFonts w:cs="Arial"/>
                <w:sz w:val="20"/>
                <w:szCs w:val="20"/>
              </w:rPr>
            </w:pPr>
            <w:r w:rsidRPr="000746B9">
              <w:rPr>
                <w:rFonts w:cs="Arial"/>
                <w:sz w:val="20"/>
                <w:szCs w:val="20"/>
              </w:rPr>
              <w:lastRenderedPageBreak/>
              <w:t>Antibiotic resistance and Growth of MRGNO currently seen in hospitals</w:t>
            </w:r>
          </w:p>
        </w:tc>
        <w:tc>
          <w:tcPr>
            <w:tcW w:w="3769" w:type="dxa"/>
          </w:tcPr>
          <w:p w14:paraId="1329277E" w14:textId="77777777" w:rsidR="000746B9" w:rsidRPr="000746B9" w:rsidRDefault="00AC503C" w:rsidP="00DA217C">
            <w:pPr>
              <w:pStyle w:val="Paragraphnonumbers"/>
              <w:rPr>
                <w:rFonts w:cs="Arial"/>
                <w:sz w:val="20"/>
                <w:szCs w:val="20"/>
              </w:rPr>
            </w:pPr>
            <w:hyperlink r:id="rId94" w:history="1">
              <w:r w:rsidR="000746B9" w:rsidRPr="000746B9">
                <w:rPr>
                  <w:rStyle w:val="Hyperlink"/>
                  <w:rFonts w:cs="Arial"/>
                  <w:sz w:val="20"/>
                  <w:szCs w:val="20"/>
                </w:rPr>
                <w:t xml:space="preserve">Decision aid for diagnosis and management of suspected urinary tract infection (UTI) in women aged 65 years </w:t>
              </w:r>
              <w:r w:rsidR="000746B9" w:rsidRPr="000746B9">
                <w:rPr>
                  <w:rStyle w:val="Hyperlink"/>
                  <w:rFonts w:cs="Arial"/>
                  <w:sz w:val="20"/>
                  <w:szCs w:val="20"/>
                </w:rPr>
                <w:lastRenderedPageBreak/>
                <w:t>and over (</w:t>
              </w:r>
              <w:proofErr w:type="spellStart"/>
              <w:proofErr w:type="gramStart"/>
              <w:r w:rsidR="000746B9" w:rsidRPr="000746B9">
                <w:rPr>
                  <w:rStyle w:val="Hyperlink"/>
                  <w:rFonts w:cs="Arial"/>
                  <w:sz w:val="20"/>
                  <w:szCs w:val="20"/>
                </w:rPr>
                <w:t>sapg.scot</w:t>
              </w:r>
              <w:proofErr w:type="spellEnd"/>
              <w:proofErr w:type="gramEnd"/>
              <w:r w:rsidR="000746B9" w:rsidRPr="000746B9">
                <w:rPr>
                  <w:rStyle w:val="Hyperlink"/>
                  <w:rFonts w:cs="Arial"/>
                  <w:sz w:val="20"/>
                  <w:szCs w:val="20"/>
                </w:rPr>
                <w:t>)</w:t>
              </w:r>
            </w:hyperlink>
            <w:r w:rsidR="000746B9" w:rsidRPr="000746B9">
              <w:rPr>
                <w:rFonts w:cs="Arial"/>
                <w:sz w:val="20"/>
                <w:szCs w:val="20"/>
              </w:rPr>
              <w:t xml:space="preserve"> – excellent and the current Scottish Reduction in Anti-microbial Prescribing (SCRAP2) Acute Urinary Tract infection Audit tool to look at results. </w:t>
            </w:r>
          </w:p>
          <w:p w14:paraId="2CDCD874" w14:textId="77777777" w:rsidR="000746B9" w:rsidRPr="000746B9" w:rsidRDefault="000746B9" w:rsidP="00DA217C">
            <w:pPr>
              <w:pStyle w:val="Paragraphnonumbers"/>
              <w:rPr>
                <w:rFonts w:cs="Arial"/>
                <w:sz w:val="20"/>
                <w:szCs w:val="20"/>
              </w:rPr>
            </w:pPr>
            <w:r w:rsidRPr="000746B9">
              <w:rPr>
                <w:rFonts w:cs="Arial"/>
                <w:sz w:val="20"/>
                <w:szCs w:val="20"/>
              </w:rPr>
              <w:t>Decision aid for diagnosis and management of suspected urinary tract infection (UTI) in people aged 65 years and over</w:t>
            </w:r>
          </w:p>
          <w:p w14:paraId="2F689F27" w14:textId="77777777" w:rsidR="000746B9" w:rsidRPr="000746B9" w:rsidRDefault="000746B9" w:rsidP="00DA217C">
            <w:pPr>
              <w:pStyle w:val="TableText1"/>
              <w:rPr>
                <w:rFonts w:cs="Arial"/>
                <w:sz w:val="20"/>
                <w:szCs w:val="20"/>
              </w:rPr>
            </w:pPr>
          </w:p>
        </w:tc>
      </w:tr>
      <w:tr w:rsidR="000746B9" w:rsidRPr="000746B9" w14:paraId="1921317C" w14:textId="77777777" w:rsidTr="007C6ED4">
        <w:trPr>
          <w:trHeight w:val="282"/>
        </w:trPr>
        <w:tc>
          <w:tcPr>
            <w:tcW w:w="708" w:type="dxa"/>
            <w:shd w:val="clear" w:color="auto" w:fill="auto"/>
          </w:tcPr>
          <w:p w14:paraId="4AB82E58" w14:textId="77777777" w:rsidR="000746B9" w:rsidRPr="000746B9" w:rsidRDefault="000746B9" w:rsidP="00E6662B">
            <w:pPr>
              <w:pStyle w:val="TableText1"/>
              <w:numPr>
                <w:ilvl w:val="0"/>
                <w:numId w:val="45"/>
              </w:numPr>
              <w:rPr>
                <w:rFonts w:cs="Arial"/>
                <w:sz w:val="20"/>
                <w:szCs w:val="20"/>
              </w:rPr>
            </w:pPr>
            <w:r w:rsidRPr="000746B9">
              <w:rPr>
                <w:rFonts w:cs="Arial"/>
                <w:sz w:val="20"/>
                <w:szCs w:val="20"/>
              </w:rPr>
              <w:lastRenderedPageBreak/>
              <w:t>2b</w:t>
            </w:r>
          </w:p>
        </w:tc>
        <w:tc>
          <w:tcPr>
            <w:tcW w:w="2264" w:type="dxa"/>
            <w:shd w:val="clear" w:color="auto" w:fill="auto"/>
          </w:tcPr>
          <w:p w14:paraId="16D6BF23" w14:textId="77777777" w:rsidR="000746B9" w:rsidRPr="000746B9" w:rsidRDefault="000746B9" w:rsidP="00DA217C">
            <w:pPr>
              <w:pStyle w:val="TableText1"/>
              <w:rPr>
                <w:rFonts w:cs="Arial"/>
                <w:sz w:val="20"/>
                <w:szCs w:val="20"/>
              </w:rPr>
            </w:pPr>
            <w:r w:rsidRPr="000746B9">
              <w:rPr>
                <w:rFonts w:cs="Arial"/>
                <w:sz w:val="20"/>
                <w:szCs w:val="20"/>
              </w:rPr>
              <w:t>Cardiff University</w:t>
            </w:r>
          </w:p>
        </w:tc>
        <w:tc>
          <w:tcPr>
            <w:tcW w:w="3588" w:type="dxa"/>
            <w:shd w:val="clear" w:color="auto" w:fill="auto"/>
          </w:tcPr>
          <w:p w14:paraId="476F5B09" w14:textId="77777777" w:rsidR="000746B9" w:rsidRPr="000746B9" w:rsidRDefault="000746B9" w:rsidP="00DA217C">
            <w:pPr>
              <w:pStyle w:val="TableText1"/>
              <w:rPr>
                <w:rFonts w:cs="Arial"/>
                <w:sz w:val="20"/>
                <w:szCs w:val="20"/>
              </w:rPr>
            </w:pPr>
            <w:bookmarkStart w:id="138" w:name="_Hlk107223415"/>
            <w:r w:rsidRPr="000746B9">
              <w:rPr>
                <w:rFonts w:cs="Arial"/>
                <w:sz w:val="20"/>
                <w:szCs w:val="20"/>
              </w:rPr>
              <w:t>Appropriate antibiotic course duration for adult women</w:t>
            </w:r>
            <w:bookmarkEnd w:id="138"/>
          </w:p>
        </w:tc>
        <w:tc>
          <w:tcPr>
            <w:tcW w:w="4350" w:type="dxa"/>
            <w:shd w:val="clear" w:color="auto" w:fill="auto"/>
          </w:tcPr>
          <w:p w14:paraId="16044063" w14:textId="77777777" w:rsidR="000746B9" w:rsidRPr="000746B9" w:rsidRDefault="000746B9" w:rsidP="00DA217C">
            <w:pPr>
              <w:pStyle w:val="Paragraphnonumbers"/>
              <w:rPr>
                <w:rFonts w:cs="Arial"/>
                <w:sz w:val="20"/>
                <w:szCs w:val="20"/>
              </w:rPr>
            </w:pPr>
            <w:r w:rsidRPr="000746B9">
              <w:rPr>
                <w:rFonts w:cs="Arial"/>
                <w:sz w:val="20"/>
                <w:szCs w:val="20"/>
              </w:rPr>
              <w:t xml:space="preserve">This UK paper estimates around 50% of treatment for lower UTI in women is still more than 3 days despite guidelines </w:t>
            </w:r>
            <w:hyperlink r:id="rId95" w:history="1">
              <w:r w:rsidRPr="000746B9">
                <w:rPr>
                  <w:rStyle w:val="Hyperlink"/>
                  <w:rFonts w:cs="Arial"/>
                  <w:sz w:val="20"/>
                  <w:szCs w:val="20"/>
                </w:rPr>
                <w:t>https://www.bmj.com/content/364/bmj.l440</w:t>
              </w:r>
            </w:hyperlink>
          </w:p>
          <w:p w14:paraId="3C26E0D2" w14:textId="77777777" w:rsidR="000746B9" w:rsidRPr="000746B9" w:rsidRDefault="000746B9" w:rsidP="00DA217C">
            <w:pPr>
              <w:pStyle w:val="TableText1"/>
              <w:rPr>
                <w:rFonts w:cs="Arial"/>
                <w:sz w:val="20"/>
                <w:szCs w:val="20"/>
              </w:rPr>
            </w:pPr>
          </w:p>
        </w:tc>
        <w:tc>
          <w:tcPr>
            <w:tcW w:w="3769" w:type="dxa"/>
            <w:shd w:val="clear" w:color="auto" w:fill="auto"/>
          </w:tcPr>
          <w:p w14:paraId="3A8B9D60" w14:textId="77777777" w:rsidR="000746B9" w:rsidRPr="000746B9" w:rsidRDefault="000746B9" w:rsidP="00DA217C">
            <w:pPr>
              <w:pStyle w:val="TableText1"/>
              <w:rPr>
                <w:rFonts w:cs="Arial"/>
                <w:sz w:val="20"/>
                <w:szCs w:val="20"/>
              </w:rPr>
            </w:pPr>
            <w:r w:rsidRPr="000746B9">
              <w:rPr>
                <w:rFonts w:cs="Arial"/>
                <w:sz w:val="20"/>
                <w:szCs w:val="20"/>
              </w:rPr>
              <w:t>NICE guidance UTI (lower): antimicrobial prescribing</w:t>
            </w:r>
          </w:p>
        </w:tc>
      </w:tr>
      <w:tr w:rsidR="000746B9" w:rsidRPr="000746B9" w14:paraId="6DE23FE4" w14:textId="77777777" w:rsidTr="007C6ED4">
        <w:trPr>
          <w:trHeight w:val="282"/>
        </w:trPr>
        <w:tc>
          <w:tcPr>
            <w:tcW w:w="708" w:type="dxa"/>
          </w:tcPr>
          <w:p w14:paraId="29743212" w14:textId="77777777" w:rsidR="000746B9" w:rsidRPr="000746B9" w:rsidRDefault="000746B9" w:rsidP="00E6662B">
            <w:pPr>
              <w:pStyle w:val="TableText1"/>
              <w:numPr>
                <w:ilvl w:val="0"/>
                <w:numId w:val="45"/>
              </w:numPr>
              <w:rPr>
                <w:rFonts w:cs="Arial"/>
                <w:sz w:val="20"/>
                <w:szCs w:val="20"/>
              </w:rPr>
            </w:pPr>
            <w:r w:rsidRPr="000746B9">
              <w:rPr>
                <w:rFonts w:cs="Arial"/>
                <w:sz w:val="20"/>
                <w:szCs w:val="20"/>
              </w:rPr>
              <w:t>2b</w:t>
            </w:r>
          </w:p>
        </w:tc>
        <w:tc>
          <w:tcPr>
            <w:tcW w:w="2264" w:type="dxa"/>
          </w:tcPr>
          <w:p w14:paraId="69B1B613" w14:textId="77777777" w:rsidR="000746B9" w:rsidRPr="000746B9" w:rsidRDefault="000746B9" w:rsidP="00DA217C">
            <w:pPr>
              <w:pStyle w:val="TableText1"/>
              <w:rPr>
                <w:rFonts w:cs="Arial"/>
                <w:sz w:val="20"/>
                <w:szCs w:val="20"/>
              </w:rPr>
            </w:pPr>
            <w:r w:rsidRPr="000746B9">
              <w:rPr>
                <w:rFonts w:cs="Arial"/>
                <w:sz w:val="20"/>
                <w:szCs w:val="20"/>
              </w:rPr>
              <w:t>NHS England and NHS Improvement</w:t>
            </w:r>
          </w:p>
        </w:tc>
        <w:tc>
          <w:tcPr>
            <w:tcW w:w="3588" w:type="dxa"/>
          </w:tcPr>
          <w:p w14:paraId="61A2F96D" w14:textId="77777777" w:rsidR="000746B9" w:rsidRPr="000746B9" w:rsidRDefault="000746B9" w:rsidP="00DA217C">
            <w:pPr>
              <w:pStyle w:val="Paragraphnonumbers"/>
              <w:spacing w:after="120"/>
              <w:rPr>
                <w:rFonts w:cs="Arial"/>
                <w:sz w:val="20"/>
                <w:szCs w:val="20"/>
              </w:rPr>
            </w:pPr>
            <w:r w:rsidRPr="000746B9">
              <w:rPr>
                <w:rFonts w:cs="Arial"/>
                <w:sz w:val="20"/>
                <w:szCs w:val="20"/>
              </w:rPr>
              <w:t xml:space="preserve">A 7-day antibiotic treatment course for </w:t>
            </w:r>
            <w:bookmarkStart w:id="139" w:name="_Hlk107223838"/>
            <w:r w:rsidRPr="000746B9">
              <w:rPr>
                <w:rFonts w:cs="Arial"/>
                <w:sz w:val="20"/>
                <w:szCs w:val="20"/>
              </w:rPr>
              <w:t>suspected lower UTI in men over 16 years and in pregnant women over 12 years</w:t>
            </w:r>
          </w:p>
          <w:bookmarkEnd w:id="139"/>
          <w:p w14:paraId="4447B479" w14:textId="77777777" w:rsidR="000746B9" w:rsidRPr="000746B9" w:rsidRDefault="000746B9" w:rsidP="00DA217C">
            <w:pPr>
              <w:pStyle w:val="Paragraphnonumbers"/>
              <w:spacing w:after="120"/>
              <w:rPr>
                <w:rFonts w:cs="Arial"/>
                <w:sz w:val="20"/>
                <w:szCs w:val="20"/>
              </w:rPr>
            </w:pPr>
          </w:p>
          <w:p w14:paraId="0DE352B0" w14:textId="77777777" w:rsidR="000746B9" w:rsidRPr="000746B9" w:rsidRDefault="000746B9" w:rsidP="00DA217C">
            <w:pPr>
              <w:pStyle w:val="Paragraphnonumbers"/>
              <w:spacing w:after="120"/>
              <w:rPr>
                <w:rFonts w:cs="Arial"/>
                <w:sz w:val="20"/>
                <w:szCs w:val="20"/>
              </w:rPr>
            </w:pPr>
            <w:r w:rsidRPr="000746B9">
              <w:rPr>
                <w:rFonts w:cs="Arial"/>
                <w:sz w:val="20"/>
                <w:szCs w:val="20"/>
              </w:rPr>
              <w:t xml:space="preserve">Numerator= Number of men and pregnant women a 7-day antibiotic treatment course for suspected lower UTI </w:t>
            </w:r>
          </w:p>
          <w:p w14:paraId="64E7DD69" w14:textId="77777777" w:rsidR="000746B9" w:rsidRPr="000746B9" w:rsidRDefault="000746B9" w:rsidP="00DA217C">
            <w:pPr>
              <w:pStyle w:val="TableText1"/>
              <w:rPr>
                <w:rFonts w:cs="Arial"/>
                <w:sz w:val="20"/>
                <w:szCs w:val="20"/>
              </w:rPr>
            </w:pPr>
            <w:r w:rsidRPr="000746B9">
              <w:rPr>
                <w:rFonts w:cs="Arial"/>
                <w:sz w:val="20"/>
                <w:szCs w:val="20"/>
              </w:rPr>
              <w:lastRenderedPageBreak/>
              <w:t>Denominator= Number of men and pregnant women prescribed an antibiotic for suspected lower UTI</w:t>
            </w:r>
          </w:p>
        </w:tc>
        <w:tc>
          <w:tcPr>
            <w:tcW w:w="4350" w:type="dxa"/>
          </w:tcPr>
          <w:p w14:paraId="2E25FD2E" w14:textId="77777777" w:rsidR="000746B9" w:rsidRPr="000746B9" w:rsidRDefault="000746B9" w:rsidP="00DA217C">
            <w:pPr>
              <w:pStyle w:val="TableText1"/>
              <w:rPr>
                <w:rFonts w:cs="Arial"/>
                <w:sz w:val="20"/>
                <w:szCs w:val="20"/>
              </w:rPr>
            </w:pPr>
            <w:r w:rsidRPr="000746B9">
              <w:rPr>
                <w:rFonts w:cs="Arial"/>
                <w:color w:val="000000"/>
                <w:spacing w:val="-2"/>
                <w:sz w:val="20"/>
                <w:szCs w:val="20"/>
              </w:rPr>
              <w:lastRenderedPageBreak/>
              <w:t xml:space="preserve">Ahmed H et al 2018 </w:t>
            </w:r>
            <w:hyperlink r:id="rId96" w:history="1">
              <w:r w:rsidRPr="000746B9">
                <w:rPr>
                  <w:rStyle w:val="Hyperlink"/>
                  <w:rFonts w:cs="Arial"/>
                  <w:sz w:val="20"/>
                  <w:szCs w:val="20"/>
                </w:rPr>
                <w:t>Incidence and antibiotic prescribing for clinically diagnosed urinary tract infection in older adults in UK primary care, 2004-2014 - PMC (nih.gov)</w:t>
              </w:r>
            </w:hyperlink>
            <w:r w:rsidRPr="000746B9">
              <w:rPr>
                <w:rFonts w:cs="Arial"/>
                <w:color w:val="212121"/>
                <w:sz w:val="20"/>
                <w:szCs w:val="20"/>
              </w:rPr>
              <w:t xml:space="preserve"> Multi-level logistic regression showed an increase in the proportion of older men prescribed seven-day antibiotic therapy between 2004 and 2014, from 42% to 69%.</w:t>
            </w:r>
          </w:p>
        </w:tc>
        <w:tc>
          <w:tcPr>
            <w:tcW w:w="3769" w:type="dxa"/>
          </w:tcPr>
          <w:p w14:paraId="026EA71B" w14:textId="77777777" w:rsidR="000746B9" w:rsidRPr="000746B9" w:rsidRDefault="00AC503C" w:rsidP="007C6ED4">
            <w:pPr>
              <w:pStyle w:val="Bulletleft1"/>
              <w:numPr>
                <w:ilvl w:val="0"/>
                <w:numId w:val="35"/>
              </w:numPr>
              <w:tabs>
                <w:tab w:val="left" w:pos="720"/>
              </w:tabs>
              <w:rPr>
                <w:rFonts w:cs="Arial"/>
                <w:sz w:val="20"/>
                <w:szCs w:val="20"/>
              </w:rPr>
            </w:pPr>
            <w:hyperlink r:id="rId97" w:history="1">
              <w:r w:rsidR="000746B9" w:rsidRPr="000746B9">
                <w:rPr>
                  <w:rStyle w:val="Hyperlink"/>
                  <w:rFonts w:cs="Arial"/>
                  <w:kern w:val="32"/>
                  <w:sz w:val="20"/>
                  <w:szCs w:val="20"/>
                  <w:lang w:eastAsia="en-GB"/>
                </w:rPr>
                <w:t>Urinary tract infection (lower): antimicrobial prescribing</w:t>
              </w:r>
            </w:hyperlink>
            <w:r w:rsidR="000746B9" w:rsidRPr="000746B9">
              <w:rPr>
                <w:rFonts w:cs="Arial"/>
                <w:color w:val="0E0E0E"/>
                <w:kern w:val="32"/>
                <w:sz w:val="20"/>
                <w:szCs w:val="20"/>
                <w:lang w:eastAsia="en-GB"/>
              </w:rPr>
              <w:t xml:space="preserve"> (2018) NICE guideline NG109</w:t>
            </w:r>
          </w:p>
          <w:p w14:paraId="6A0D5EAB" w14:textId="77777777" w:rsidR="000746B9" w:rsidRPr="000746B9" w:rsidRDefault="000746B9" w:rsidP="00DA217C">
            <w:pPr>
              <w:pStyle w:val="Bulletleft1"/>
              <w:tabs>
                <w:tab w:val="left" w:pos="720"/>
              </w:tabs>
              <w:ind w:left="360"/>
              <w:rPr>
                <w:rFonts w:cs="Arial"/>
                <w:sz w:val="20"/>
                <w:szCs w:val="20"/>
              </w:rPr>
            </w:pPr>
          </w:p>
          <w:p w14:paraId="1DF5B83E" w14:textId="77777777" w:rsidR="000746B9" w:rsidRPr="000746B9" w:rsidRDefault="00AC503C" w:rsidP="007C6ED4">
            <w:pPr>
              <w:pStyle w:val="Bulletleft1"/>
              <w:numPr>
                <w:ilvl w:val="0"/>
                <w:numId w:val="35"/>
              </w:numPr>
              <w:tabs>
                <w:tab w:val="left" w:pos="720"/>
              </w:tabs>
              <w:rPr>
                <w:rFonts w:cs="Arial"/>
                <w:sz w:val="20"/>
                <w:szCs w:val="20"/>
              </w:rPr>
            </w:pPr>
            <w:hyperlink r:id="rId98" w:history="1">
              <w:r w:rsidR="000746B9" w:rsidRPr="000746B9">
                <w:rPr>
                  <w:rStyle w:val="Hyperlink"/>
                  <w:rFonts w:cs="Arial"/>
                  <w:sz w:val="20"/>
                  <w:szCs w:val="20"/>
                </w:rPr>
                <w:t>Commissioning for Quality and Innovation (CQUIN): 2022/23 Guidance</w:t>
              </w:r>
            </w:hyperlink>
            <w:r w:rsidR="000746B9" w:rsidRPr="000746B9">
              <w:rPr>
                <w:rStyle w:val="Hyperlink"/>
                <w:rFonts w:cs="Arial"/>
                <w:sz w:val="20"/>
                <w:szCs w:val="20"/>
              </w:rPr>
              <w:t xml:space="preserve">  </w:t>
            </w:r>
            <w:r w:rsidR="000746B9" w:rsidRPr="000746B9">
              <w:rPr>
                <w:rFonts w:cs="Arial"/>
                <w:sz w:val="20"/>
                <w:szCs w:val="20"/>
              </w:rPr>
              <w:t>CCG2: Appropriate antibiotic prescribing for UTI in adults aged 16+</w:t>
            </w:r>
          </w:p>
          <w:p w14:paraId="76A9DF23" w14:textId="77777777" w:rsidR="000746B9" w:rsidRPr="000746B9" w:rsidRDefault="000746B9" w:rsidP="00DA217C">
            <w:pPr>
              <w:rPr>
                <w:rFonts w:ascii="Arial" w:hAnsi="Arial" w:cs="Arial"/>
                <w:sz w:val="20"/>
                <w:szCs w:val="20"/>
              </w:rPr>
            </w:pPr>
            <w:r w:rsidRPr="000746B9">
              <w:rPr>
                <w:rFonts w:ascii="Arial" w:hAnsi="Arial" w:cs="Arial"/>
                <w:sz w:val="20"/>
                <w:szCs w:val="20"/>
              </w:rPr>
              <w:lastRenderedPageBreak/>
              <w:t>This NHS England CQUIN scheme involves audit against 5 care processes aligned to NICE guidance including NG109.</w:t>
            </w:r>
          </w:p>
        </w:tc>
      </w:tr>
      <w:tr w:rsidR="000746B9" w:rsidRPr="000746B9" w14:paraId="497CE7DB" w14:textId="77777777" w:rsidTr="007C6ED4">
        <w:trPr>
          <w:trHeight w:val="282"/>
        </w:trPr>
        <w:tc>
          <w:tcPr>
            <w:tcW w:w="708" w:type="dxa"/>
          </w:tcPr>
          <w:p w14:paraId="1BBA098A" w14:textId="77777777" w:rsidR="000746B9" w:rsidRPr="000746B9" w:rsidRDefault="000746B9" w:rsidP="00E6662B">
            <w:pPr>
              <w:pStyle w:val="TableText1"/>
              <w:numPr>
                <w:ilvl w:val="0"/>
                <w:numId w:val="45"/>
              </w:numPr>
              <w:rPr>
                <w:rFonts w:cs="Arial"/>
                <w:sz w:val="20"/>
                <w:szCs w:val="20"/>
              </w:rPr>
            </w:pPr>
            <w:r w:rsidRPr="000746B9">
              <w:rPr>
                <w:rFonts w:cs="Arial"/>
                <w:sz w:val="20"/>
                <w:szCs w:val="20"/>
              </w:rPr>
              <w:lastRenderedPageBreak/>
              <w:t>2b</w:t>
            </w:r>
          </w:p>
        </w:tc>
        <w:tc>
          <w:tcPr>
            <w:tcW w:w="2264" w:type="dxa"/>
          </w:tcPr>
          <w:p w14:paraId="4B0CA26A" w14:textId="1046C655" w:rsidR="000746B9" w:rsidRPr="000746B9" w:rsidRDefault="000746B9" w:rsidP="00DA217C">
            <w:pPr>
              <w:pStyle w:val="TableText1"/>
              <w:rPr>
                <w:rFonts w:cs="Arial"/>
                <w:sz w:val="20"/>
                <w:szCs w:val="20"/>
              </w:rPr>
            </w:pPr>
            <w:r w:rsidRPr="000746B9">
              <w:rPr>
                <w:rFonts w:cs="Arial"/>
                <w:sz w:val="20"/>
                <w:szCs w:val="20"/>
              </w:rPr>
              <w:t>SCM2</w:t>
            </w:r>
          </w:p>
        </w:tc>
        <w:tc>
          <w:tcPr>
            <w:tcW w:w="3588" w:type="dxa"/>
            <w:shd w:val="clear" w:color="auto" w:fill="FFFFFF"/>
          </w:tcPr>
          <w:p w14:paraId="3EBF8796" w14:textId="77777777" w:rsidR="000746B9" w:rsidRPr="000746B9" w:rsidRDefault="000746B9" w:rsidP="00DA217C">
            <w:pPr>
              <w:pStyle w:val="Paragraphnonumbers"/>
              <w:spacing w:after="120"/>
              <w:rPr>
                <w:rFonts w:cs="Arial"/>
                <w:sz w:val="20"/>
                <w:szCs w:val="20"/>
              </w:rPr>
            </w:pPr>
            <w:r w:rsidRPr="000746B9">
              <w:rPr>
                <w:rFonts w:cs="Arial"/>
                <w:sz w:val="20"/>
                <w:szCs w:val="20"/>
              </w:rPr>
              <w:t xml:space="preserve">Advice about the importance of using short (3 day) course of antimicrobial for </w:t>
            </w:r>
            <w:bookmarkStart w:id="140" w:name="_Hlk107223542"/>
            <w:r w:rsidRPr="000746B9">
              <w:rPr>
                <w:rFonts w:cs="Arial"/>
                <w:sz w:val="20"/>
                <w:szCs w:val="20"/>
              </w:rPr>
              <w:t>treatment of uncomplicated lower UTI in adult women</w:t>
            </w:r>
            <w:bookmarkEnd w:id="140"/>
          </w:p>
        </w:tc>
        <w:tc>
          <w:tcPr>
            <w:tcW w:w="4350" w:type="dxa"/>
            <w:shd w:val="clear" w:color="auto" w:fill="FFFFFF"/>
          </w:tcPr>
          <w:p w14:paraId="54C15F7B" w14:textId="77777777" w:rsidR="000746B9" w:rsidRPr="000746B9" w:rsidRDefault="000746B9" w:rsidP="00DA217C">
            <w:pPr>
              <w:pStyle w:val="Paragraphnonumbers"/>
              <w:rPr>
                <w:rFonts w:cs="Arial"/>
                <w:sz w:val="20"/>
                <w:szCs w:val="20"/>
              </w:rPr>
            </w:pPr>
            <w:r w:rsidRPr="000746B9">
              <w:rPr>
                <w:rFonts w:cs="Arial"/>
                <w:sz w:val="20"/>
                <w:szCs w:val="20"/>
              </w:rPr>
              <w:t xml:space="preserve">Reduction in duration of exposure to people with UTI antimicrobial treatment </w:t>
            </w:r>
            <w:bookmarkStart w:id="141" w:name="_Hlk107223647"/>
            <w:r w:rsidRPr="000746B9">
              <w:rPr>
                <w:rFonts w:cs="Arial"/>
                <w:sz w:val="20"/>
                <w:szCs w:val="20"/>
              </w:rPr>
              <w:t xml:space="preserve">beneficial in terms of adverse effects and may have an impact on antimicrobial resistance.  </w:t>
            </w:r>
            <w:bookmarkEnd w:id="141"/>
          </w:p>
          <w:p w14:paraId="1978D14B" w14:textId="77777777" w:rsidR="000746B9" w:rsidRPr="000746B9" w:rsidRDefault="000746B9" w:rsidP="00DA217C">
            <w:pPr>
              <w:pStyle w:val="Paragraphnonumbers"/>
              <w:rPr>
                <w:rFonts w:cs="Arial"/>
                <w:i/>
                <w:iCs/>
                <w:sz w:val="20"/>
                <w:szCs w:val="20"/>
              </w:rPr>
            </w:pPr>
            <w:r w:rsidRPr="000746B9">
              <w:rPr>
                <w:rFonts w:cs="Arial"/>
                <w:i/>
                <w:iCs/>
                <w:sz w:val="20"/>
                <w:szCs w:val="20"/>
              </w:rPr>
              <w:t>Use a short (3 day) course of antimicrobial for treatment of uncomplicated LUTI in women aged &lt;65.</w:t>
            </w:r>
          </w:p>
          <w:p w14:paraId="4B01FB65" w14:textId="77777777" w:rsidR="000746B9" w:rsidRPr="000746B9" w:rsidRDefault="000746B9" w:rsidP="00DA217C">
            <w:pPr>
              <w:pStyle w:val="Paragraphnonumbers"/>
              <w:rPr>
                <w:rFonts w:cs="Arial"/>
                <w:sz w:val="20"/>
                <w:szCs w:val="20"/>
              </w:rPr>
            </w:pPr>
            <w:r w:rsidRPr="000746B9">
              <w:rPr>
                <w:rFonts w:cs="Arial"/>
                <w:sz w:val="20"/>
                <w:szCs w:val="20"/>
              </w:rPr>
              <w:t>See supporting information</w:t>
            </w:r>
          </w:p>
        </w:tc>
        <w:tc>
          <w:tcPr>
            <w:tcW w:w="3769" w:type="dxa"/>
            <w:shd w:val="clear" w:color="auto" w:fill="FFFFFF"/>
          </w:tcPr>
          <w:p w14:paraId="261620AB" w14:textId="77777777" w:rsidR="000746B9" w:rsidRPr="000746B9" w:rsidRDefault="000746B9" w:rsidP="00DA217C">
            <w:pPr>
              <w:pStyle w:val="Paragraphnonumbers"/>
              <w:rPr>
                <w:rFonts w:cs="Arial"/>
                <w:sz w:val="20"/>
                <w:szCs w:val="20"/>
              </w:rPr>
            </w:pPr>
            <w:r w:rsidRPr="000746B9">
              <w:rPr>
                <w:rFonts w:cs="Arial"/>
                <w:sz w:val="20"/>
                <w:szCs w:val="20"/>
              </w:rPr>
              <w:t xml:space="preserve"> This is a recommendation in SIGN 160 (Sept 2020) Guideline ‘Management of suspected bacterial UTI in adult women’</w:t>
            </w:r>
          </w:p>
          <w:p w14:paraId="39F004D5" w14:textId="77777777" w:rsidR="000746B9" w:rsidRPr="000746B9" w:rsidRDefault="000746B9" w:rsidP="00DA217C">
            <w:pPr>
              <w:pStyle w:val="Paragraphnonumbers"/>
              <w:rPr>
                <w:rFonts w:cs="Arial"/>
                <w:sz w:val="20"/>
                <w:szCs w:val="20"/>
              </w:rPr>
            </w:pPr>
          </w:p>
          <w:p w14:paraId="47F62882" w14:textId="77777777" w:rsidR="000746B9" w:rsidRPr="000746B9" w:rsidRDefault="000746B9" w:rsidP="00DA217C">
            <w:pPr>
              <w:pStyle w:val="Paragraphnonumbers"/>
              <w:rPr>
                <w:rFonts w:cs="Arial"/>
                <w:sz w:val="20"/>
                <w:szCs w:val="20"/>
              </w:rPr>
            </w:pPr>
            <w:r w:rsidRPr="000746B9">
              <w:rPr>
                <w:rFonts w:cs="Arial"/>
                <w:sz w:val="20"/>
                <w:szCs w:val="20"/>
              </w:rPr>
              <w:t xml:space="preserve">Supported by a Cochrane review in 2005. 3 day antimicrobial as likely to achieve short and long term cure for UTI as longer </w:t>
            </w:r>
            <w:proofErr w:type="gramStart"/>
            <w:r w:rsidRPr="000746B9">
              <w:rPr>
                <w:rFonts w:cs="Arial"/>
                <w:sz w:val="20"/>
                <w:szCs w:val="20"/>
              </w:rPr>
              <w:t>treatment,  with</w:t>
            </w:r>
            <w:proofErr w:type="gramEnd"/>
            <w:r w:rsidRPr="000746B9">
              <w:rPr>
                <w:rFonts w:cs="Arial"/>
                <w:sz w:val="20"/>
                <w:szCs w:val="20"/>
              </w:rPr>
              <w:t xml:space="preserve"> less adverse events.  </w:t>
            </w:r>
          </w:p>
        </w:tc>
      </w:tr>
      <w:tr w:rsidR="000746B9" w:rsidRPr="000746B9" w14:paraId="11E58A30" w14:textId="77777777" w:rsidTr="007C6ED4">
        <w:trPr>
          <w:trHeight w:val="282"/>
        </w:trPr>
        <w:tc>
          <w:tcPr>
            <w:tcW w:w="708" w:type="dxa"/>
          </w:tcPr>
          <w:p w14:paraId="57D79439" w14:textId="77777777" w:rsidR="000746B9" w:rsidRPr="000746B9" w:rsidRDefault="000746B9" w:rsidP="00E6662B">
            <w:pPr>
              <w:pStyle w:val="TableText1"/>
              <w:numPr>
                <w:ilvl w:val="0"/>
                <w:numId w:val="45"/>
              </w:numPr>
              <w:rPr>
                <w:rFonts w:cs="Arial"/>
                <w:sz w:val="20"/>
                <w:szCs w:val="20"/>
              </w:rPr>
            </w:pPr>
            <w:r w:rsidRPr="000746B9">
              <w:rPr>
                <w:rFonts w:cs="Arial"/>
                <w:sz w:val="20"/>
                <w:szCs w:val="20"/>
              </w:rPr>
              <w:t>2b</w:t>
            </w:r>
          </w:p>
        </w:tc>
        <w:tc>
          <w:tcPr>
            <w:tcW w:w="2264" w:type="dxa"/>
          </w:tcPr>
          <w:p w14:paraId="045E3C7B" w14:textId="063373A3" w:rsidR="000746B9" w:rsidRPr="000746B9" w:rsidRDefault="000746B9" w:rsidP="00DA217C">
            <w:pPr>
              <w:pStyle w:val="TableText1"/>
              <w:rPr>
                <w:rFonts w:cs="Arial"/>
                <w:sz w:val="20"/>
                <w:szCs w:val="20"/>
              </w:rPr>
            </w:pPr>
            <w:r w:rsidRPr="000746B9">
              <w:rPr>
                <w:rFonts w:cs="Arial"/>
                <w:sz w:val="20"/>
                <w:szCs w:val="20"/>
              </w:rPr>
              <w:t>SCM3</w:t>
            </w:r>
          </w:p>
        </w:tc>
        <w:tc>
          <w:tcPr>
            <w:tcW w:w="3588" w:type="dxa"/>
          </w:tcPr>
          <w:p w14:paraId="2E42F222" w14:textId="77777777" w:rsidR="000746B9" w:rsidRPr="000746B9" w:rsidRDefault="000746B9" w:rsidP="00DA217C">
            <w:pPr>
              <w:pStyle w:val="TableText1"/>
              <w:rPr>
                <w:rFonts w:cs="Arial"/>
                <w:sz w:val="20"/>
                <w:szCs w:val="20"/>
              </w:rPr>
            </w:pPr>
            <w:r w:rsidRPr="000746B9">
              <w:rPr>
                <w:rFonts w:cs="Arial"/>
                <w:sz w:val="20"/>
                <w:szCs w:val="20"/>
              </w:rPr>
              <w:t>Key area for quality improvement 3</w:t>
            </w:r>
          </w:p>
          <w:p w14:paraId="594FC5B6" w14:textId="77777777" w:rsidR="000746B9" w:rsidRPr="000746B9" w:rsidRDefault="000746B9" w:rsidP="00DA217C">
            <w:pPr>
              <w:pStyle w:val="TableText1"/>
              <w:rPr>
                <w:rFonts w:cs="Arial"/>
                <w:sz w:val="20"/>
                <w:szCs w:val="20"/>
              </w:rPr>
            </w:pPr>
          </w:p>
          <w:p w14:paraId="6460BC45" w14:textId="77777777" w:rsidR="000746B9" w:rsidRPr="000746B9" w:rsidRDefault="000746B9" w:rsidP="00DA217C">
            <w:pPr>
              <w:pStyle w:val="TableText1"/>
              <w:rPr>
                <w:rFonts w:cs="Arial"/>
                <w:sz w:val="20"/>
                <w:szCs w:val="20"/>
              </w:rPr>
            </w:pPr>
            <w:r w:rsidRPr="000746B9">
              <w:rPr>
                <w:rFonts w:cs="Arial"/>
                <w:sz w:val="20"/>
                <w:szCs w:val="20"/>
              </w:rPr>
              <w:t>Aligning antibiotics with European or International guidelines</w:t>
            </w:r>
          </w:p>
        </w:tc>
        <w:tc>
          <w:tcPr>
            <w:tcW w:w="4350" w:type="dxa"/>
          </w:tcPr>
          <w:p w14:paraId="6E238525" w14:textId="77777777" w:rsidR="000746B9" w:rsidRPr="000746B9" w:rsidRDefault="000746B9" w:rsidP="00DA217C">
            <w:pPr>
              <w:pStyle w:val="TableText1"/>
              <w:rPr>
                <w:rFonts w:cs="Arial"/>
                <w:color w:val="212121"/>
                <w:sz w:val="20"/>
                <w:szCs w:val="20"/>
                <w:shd w:val="clear" w:color="auto" w:fill="FFFFFF"/>
              </w:rPr>
            </w:pPr>
            <w:r w:rsidRPr="000746B9">
              <w:rPr>
                <w:rFonts w:cs="Arial"/>
                <w:color w:val="212121"/>
                <w:sz w:val="20"/>
                <w:szCs w:val="20"/>
                <w:shd w:val="clear" w:color="auto" w:fill="FFFFFF"/>
              </w:rPr>
              <w:t xml:space="preserve">National surveillance data on antimicrobial susceptibility of </w:t>
            </w:r>
            <w:proofErr w:type="spellStart"/>
            <w:r w:rsidRPr="000746B9">
              <w:rPr>
                <w:rFonts w:cs="Arial"/>
                <w:color w:val="212121"/>
                <w:sz w:val="20"/>
                <w:szCs w:val="20"/>
                <w:shd w:val="clear" w:color="auto" w:fill="FFFFFF"/>
              </w:rPr>
              <w:t>uropathogens</w:t>
            </w:r>
            <w:proofErr w:type="spellEnd"/>
            <w:r w:rsidRPr="000746B9">
              <w:rPr>
                <w:rFonts w:cs="Arial"/>
                <w:color w:val="212121"/>
                <w:sz w:val="20"/>
                <w:szCs w:val="20"/>
                <w:shd w:val="clear" w:color="auto" w:fill="FFFFFF"/>
              </w:rPr>
              <w:t xml:space="preserve"> were available in 13 of 15 countries. Resistance epidemiology could not explain the observed differences between guidelines, and comparison of resistance rates was hampered by variations in methods. This study revealed major differences in treatment guidelines for UTIs within Europe, indicating that there are opportunities for improvement.</w:t>
            </w:r>
          </w:p>
          <w:p w14:paraId="63B7D3BA" w14:textId="77777777" w:rsidR="000746B9" w:rsidRPr="000746B9" w:rsidRDefault="000746B9" w:rsidP="00DA217C">
            <w:pPr>
              <w:pStyle w:val="TableText1"/>
              <w:rPr>
                <w:rFonts w:cs="Arial"/>
                <w:sz w:val="20"/>
                <w:szCs w:val="20"/>
              </w:rPr>
            </w:pPr>
          </w:p>
          <w:p w14:paraId="1E426701" w14:textId="77777777" w:rsidR="000746B9" w:rsidRPr="000746B9" w:rsidRDefault="000746B9" w:rsidP="00DA217C">
            <w:pPr>
              <w:pStyle w:val="TableText1"/>
              <w:rPr>
                <w:rFonts w:cs="Arial"/>
                <w:sz w:val="20"/>
                <w:szCs w:val="20"/>
              </w:rPr>
            </w:pPr>
            <w:r w:rsidRPr="000746B9">
              <w:rPr>
                <w:rFonts w:cs="Arial"/>
                <w:sz w:val="20"/>
                <w:szCs w:val="20"/>
              </w:rPr>
              <w:t xml:space="preserve">Antibiotic </w:t>
            </w:r>
            <w:proofErr w:type="spellStart"/>
            <w:r w:rsidRPr="000746B9">
              <w:rPr>
                <w:rFonts w:cs="Arial"/>
                <w:sz w:val="20"/>
                <w:szCs w:val="20"/>
              </w:rPr>
              <w:t>reisstance</w:t>
            </w:r>
            <w:proofErr w:type="spellEnd"/>
            <w:r w:rsidRPr="000746B9">
              <w:rPr>
                <w:rFonts w:cs="Arial"/>
                <w:sz w:val="20"/>
                <w:szCs w:val="20"/>
              </w:rPr>
              <w:t xml:space="preserve"> is a worldwide issue and we should try to align to </w:t>
            </w:r>
            <w:proofErr w:type="spellStart"/>
            <w:proofErr w:type="gramStart"/>
            <w:r w:rsidRPr="000746B9">
              <w:rPr>
                <w:rFonts w:cs="Arial"/>
                <w:sz w:val="20"/>
                <w:szCs w:val="20"/>
              </w:rPr>
              <w:t>world wide</w:t>
            </w:r>
            <w:proofErr w:type="spellEnd"/>
            <w:proofErr w:type="gramEnd"/>
            <w:r w:rsidRPr="000746B9">
              <w:rPr>
                <w:rFonts w:cs="Arial"/>
                <w:sz w:val="20"/>
                <w:szCs w:val="20"/>
              </w:rPr>
              <w:t xml:space="preserve"> concerns.</w:t>
            </w:r>
          </w:p>
          <w:p w14:paraId="7476626F" w14:textId="77777777" w:rsidR="000746B9" w:rsidRPr="000746B9" w:rsidRDefault="000746B9" w:rsidP="00DA217C">
            <w:pPr>
              <w:pStyle w:val="TableText1"/>
              <w:rPr>
                <w:rFonts w:cs="Arial"/>
                <w:sz w:val="20"/>
                <w:szCs w:val="20"/>
              </w:rPr>
            </w:pPr>
          </w:p>
        </w:tc>
        <w:tc>
          <w:tcPr>
            <w:tcW w:w="3769" w:type="dxa"/>
          </w:tcPr>
          <w:p w14:paraId="7CAB2AB1" w14:textId="77777777" w:rsidR="000746B9" w:rsidRPr="000746B9" w:rsidRDefault="00AC503C" w:rsidP="00DA217C">
            <w:pPr>
              <w:pStyle w:val="TableText1"/>
              <w:rPr>
                <w:rFonts w:cs="Arial"/>
                <w:sz w:val="20"/>
                <w:szCs w:val="20"/>
              </w:rPr>
            </w:pPr>
            <w:hyperlink r:id="rId99" w:history="1">
              <w:r w:rsidR="000746B9" w:rsidRPr="000746B9">
                <w:rPr>
                  <w:rStyle w:val="Hyperlink"/>
                  <w:rFonts w:cs="Arial"/>
                  <w:sz w:val="20"/>
                  <w:szCs w:val="20"/>
                </w:rPr>
                <w:t>https://pubmed.ncbi.nlm.nih.gov/31229671/</w:t>
              </w:r>
            </w:hyperlink>
            <w:r w:rsidR="000746B9" w:rsidRPr="000746B9">
              <w:rPr>
                <w:rFonts w:cs="Arial"/>
                <w:sz w:val="20"/>
                <w:szCs w:val="20"/>
              </w:rPr>
              <w:t xml:space="preserve"> </w:t>
            </w:r>
          </w:p>
          <w:p w14:paraId="4D91B792" w14:textId="77777777" w:rsidR="000746B9" w:rsidRPr="000746B9" w:rsidRDefault="000746B9" w:rsidP="00DA217C">
            <w:pPr>
              <w:pStyle w:val="TableText1"/>
              <w:rPr>
                <w:rFonts w:cs="Arial"/>
                <w:sz w:val="20"/>
                <w:szCs w:val="20"/>
              </w:rPr>
            </w:pPr>
          </w:p>
          <w:p w14:paraId="6A3C2BD6" w14:textId="77777777" w:rsidR="000746B9" w:rsidRPr="000746B9" w:rsidRDefault="000746B9" w:rsidP="00DA217C">
            <w:pPr>
              <w:pStyle w:val="Heading1"/>
              <w:shd w:val="clear" w:color="auto" w:fill="FFFFFF"/>
              <w:rPr>
                <w:b w:val="0"/>
                <w:bCs w:val="0"/>
                <w:color w:val="212121"/>
                <w:sz w:val="20"/>
                <w:szCs w:val="20"/>
              </w:rPr>
            </w:pPr>
            <w:bookmarkStart w:id="142" w:name="_Toc107929206"/>
            <w:bookmarkStart w:id="143" w:name="_Toc112833013"/>
            <w:r w:rsidRPr="000746B9">
              <w:rPr>
                <w:b w:val="0"/>
                <w:bCs w:val="0"/>
                <w:color w:val="212121"/>
                <w:sz w:val="20"/>
                <w:szCs w:val="20"/>
              </w:rPr>
              <w:t>Comparison of antibiotic treatment guidelines for urinary tract infections in 15 European countries: Results of an online survey</w:t>
            </w:r>
            <w:bookmarkEnd w:id="142"/>
            <w:bookmarkEnd w:id="143"/>
          </w:p>
          <w:p w14:paraId="216A9BBE" w14:textId="77777777" w:rsidR="000746B9" w:rsidRPr="000746B9" w:rsidRDefault="000746B9" w:rsidP="00DA217C">
            <w:pPr>
              <w:rPr>
                <w:rFonts w:ascii="Arial" w:hAnsi="Arial" w:cs="Arial"/>
                <w:sz w:val="20"/>
                <w:szCs w:val="20"/>
              </w:rPr>
            </w:pPr>
          </w:p>
        </w:tc>
      </w:tr>
      <w:tr w:rsidR="000746B9" w:rsidRPr="000746B9" w14:paraId="2D649206" w14:textId="77777777" w:rsidTr="007C6ED4">
        <w:trPr>
          <w:trHeight w:val="282"/>
        </w:trPr>
        <w:tc>
          <w:tcPr>
            <w:tcW w:w="708" w:type="dxa"/>
          </w:tcPr>
          <w:p w14:paraId="2DF315D3" w14:textId="77777777" w:rsidR="000746B9" w:rsidRPr="000746B9" w:rsidRDefault="000746B9" w:rsidP="00E6662B">
            <w:pPr>
              <w:pStyle w:val="TableText1"/>
              <w:numPr>
                <w:ilvl w:val="0"/>
                <w:numId w:val="45"/>
              </w:numPr>
              <w:rPr>
                <w:rFonts w:cs="Arial"/>
                <w:sz w:val="20"/>
                <w:szCs w:val="20"/>
              </w:rPr>
            </w:pPr>
            <w:r w:rsidRPr="000746B9">
              <w:rPr>
                <w:rFonts w:cs="Arial"/>
                <w:sz w:val="20"/>
                <w:szCs w:val="20"/>
              </w:rPr>
              <w:lastRenderedPageBreak/>
              <w:t>2b</w:t>
            </w:r>
          </w:p>
        </w:tc>
        <w:tc>
          <w:tcPr>
            <w:tcW w:w="2264" w:type="dxa"/>
          </w:tcPr>
          <w:p w14:paraId="619916F1" w14:textId="7EE7F600" w:rsidR="000746B9" w:rsidRPr="000746B9" w:rsidRDefault="000746B9" w:rsidP="00DA217C">
            <w:pPr>
              <w:pStyle w:val="TableText1"/>
              <w:rPr>
                <w:rFonts w:cs="Arial"/>
                <w:sz w:val="20"/>
                <w:szCs w:val="20"/>
              </w:rPr>
            </w:pPr>
            <w:r w:rsidRPr="000746B9">
              <w:rPr>
                <w:rFonts w:cs="Arial"/>
                <w:sz w:val="20"/>
                <w:szCs w:val="20"/>
              </w:rPr>
              <w:t>SCM5</w:t>
            </w:r>
          </w:p>
        </w:tc>
        <w:tc>
          <w:tcPr>
            <w:tcW w:w="3588" w:type="dxa"/>
          </w:tcPr>
          <w:p w14:paraId="49120CD8" w14:textId="77777777" w:rsidR="000746B9" w:rsidRPr="000746B9" w:rsidRDefault="000746B9" w:rsidP="00DA217C">
            <w:pPr>
              <w:pStyle w:val="TableText1"/>
              <w:rPr>
                <w:rFonts w:cs="Arial"/>
                <w:sz w:val="20"/>
                <w:szCs w:val="20"/>
              </w:rPr>
            </w:pPr>
            <w:r w:rsidRPr="000746B9">
              <w:rPr>
                <w:rFonts w:cs="Arial"/>
                <w:sz w:val="20"/>
                <w:szCs w:val="20"/>
              </w:rPr>
              <w:t>Key area for quality improvement 2</w:t>
            </w:r>
          </w:p>
          <w:p w14:paraId="54838685" w14:textId="77777777" w:rsidR="000746B9" w:rsidRPr="000746B9" w:rsidRDefault="000746B9" w:rsidP="00DA217C">
            <w:pPr>
              <w:pStyle w:val="TableText1"/>
              <w:rPr>
                <w:rFonts w:cs="Arial"/>
                <w:sz w:val="20"/>
                <w:szCs w:val="20"/>
              </w:rPr>
            </w:pPr>
          </w:p>
          <w:p w14:paraId="54CC842B" w14:textId="77777777" w:rsidR="000746B9" w:rsidRPr="000746B9" w:rsidRDefault="000746B9" w:rsidP="00DA217C">
            <w:pPr>
              <w:pStyle w:val="TableText1"/>
              <w:rPr>
                <w:rFonts w:cs="Arial"/>
                <w:sz w:val="20"/>
                <w:szCs w:val="20"/>
              </w:rPr>
            </w:pPr>
            <w:r w:rsidRPr="000746B9">
              <w:rPr>
                <w:rFonts w:cs="Arial"/>
                <w:sz w:val="20"/>
                <w:szCs w:val="20"/>
              </w:rPr>
              <w:t>Appropriate antibiotic choice &amp; duration</w:t>
            </w:r>
          </w:p>
          <w:p w14:paraId="44F73605" w14:textId="77777777" w:rsidR="000746B9" w:rsidRPr="000746B9" w:rsidRDefault="000746B9" w:rsidP="00DA217C">
            <w:pPr>
              <w:pStyle w:val="TableText1"/>
              <w:rPr>
                <w:rFonts w:cs="Arial"/>
                <w:sz w:val="20"/>
                <w:szCs w:val="20"/>
              </w:rPr>
            </w:pPr>
          </w:p>
          <w:p w14:paraId="5AE033D5" w14:textId="77777777" w:rsidR="000746B9" w:rsidRPr="000746B9" w:rsidRDefault="000746B9" w:rsidP="00DA217C">
            <w:pPr>
              <w:rPr>
                <w:rFonts w:ascii="Arial" w:hAnsi="Arial" w:cs="Arial"/>
                <w:sz w:val="20"/>
                <w:szCs w:val="20"/>
              </w:rPr>
            </w:pPr>
            <w:r w:rsidRPr="000746B9">
              <w:rPr>
                <w:rFonts w:ascii="Arial" w:hAnsi="Arial" w:cs="Arial"/>
                <w:sz w:val="20"/>
                <w:szCs w:val="20"/>
              </w:rPr>
              <w:t>(</w:t>
            </w:r>
            <w:proofErr w:type="spellStart"/>
            <w:r w:rsidRPr="000746B9">
              <w:rPr>
                <w:rFonts w:ascii="Arial" w:hAnsi="Arial" w:cs="Arial"/>
                <w:sz w:val="20"/>
                <w:szCs w:val="20"/>
              </w:rPr>
              <w:t>i</w:t>
            </w:r>
            <w:proofErr w:type="spellEnd"/>
            <w:r w:rsidRPr="000746B9">
              <w:rPr>
                <w:rFonts w:ascii="Arial" w:hAnsi="Arial" w:cs="Arial"/>
                <w:sz w:val="20"/>
                <w:szCs w:val="20"/>
              </w:rPr>
              <w:t>)</w:t>
            </w:r>
            <w:bookmarkStart w:id="144" w:name="_Hlk107224128"/>
            <w:r w:rsidRPr="000746B9">
              <w:rPr>
                <w:rFonts w:ascii="Arial" w:hAnsi="Arial" w:cs="Arial"/>
                <w:sz w:val="20"/>
                <w:szCs w:val="20"/>
              </w:rPr>
              <w:t xml:space="preserve">Do not use nitrofurantoin, oral </w:t>
            </w:r>
            <w:proofErr w:type="spellStart"/>
            <w:r w:rsidRPr="000746B9">
              <w:rPr>
                <w:rFonts w:ascii="Arial" w:hAnsi="Arial" w:cs="Arial"/>
                <w:sz w:val="20"/>
                <w:szCs w:val="20"/>
              </w:rPr>
              <w:t>fosfomycin</w:t>
            </w:r>
            <w:proofErr w:type="spellEnd"/>
            <w:r w:rsidRPr="000746B9">
              <w:rPr>
                <w:rFonts w:ascii="Arial" w:hAnsi="Arial" w:cs="Arial"/>
                <w:sz w:val="20"/>
                <w:szCs w:val="20"/>
              </w:rPr>
              <w:t xml:space="preserve">, and </w:t>
            </w:r>
            <w:proofErr w:type="spellStart"/>
            <w:r w:rsidRPr="000746B9">
              <w:rPr>
                <w:rFonts w:ascii="Arial" w:hAnsi="Arial" w:cs="Arial"/>
                <w:sz w:val="20"/>
                <w:szCs w:val="20"/>
              </w:rPr>
              <w:t>pivmecillinam</w:t>
            </w:r>
            <w:proofErr w:type="spellEnd"/>
            <w:r w:rsidRPr="000746B9">
              <w:rPr>
                <w:rFonts w:ascii="Arial" w:hAnsi="Arial" w:cs="Arial"/>
                <w:sz w:val="20"/>
                <w:szCs w:val="20"/>
              </w:rPr>
              <w:t xml:space="preserve"> to treat </w:t>
            </w:r>
          </w:p>
          <w:p w14:paraId="6631604C" w14:textId="77777777" w:rsidR="000746B9" w:rsidRPr="000746B9" w:rsidRDefault="000746B9" w:rsidP="00DA217C">
            <w:pPr>
              <w:pStyle w:val="TableText1"/>
              <w:rPr>
                <w:rFonts w:cs="Arial"/>
                <w:sz w:val="20"/>
                <w:szCs w:val="20"/>
              </w:rPr>
            </w:pPr>
            <w:r w:rsidRPr="000746B9">
              <w:rPr>
                <w:rFonts w:cs="Arial"/>
                <w:sz w:val="20"/>
                <w:szCs w:val="20"/>
              </w:rPr>
              <w:t>pyelonephritis.</w:t>
            </w:r>
          </w:p>
          <w:p w14:paraId="0F482F5C" w14:textId="77777777" w:rsidR="000746B9" w:rsidRPr="000746B9" w:rsidRDefault="000746B9" w:rsidP="00DA217C">
            <w:pPr>
              <w:pStyle w:val="TableText1"/>
              <w:rPr>
                <w:rFonts w:cs="Arial"/>
                <w:sz w:val="20"/>
                <w:szCs w:val="20"/>
              </w:rPr>
            </w:pPr>
            <w:r w:rsidRPr="000746B9">
              <w:rPr>
                <w:rFonts w:cs="Arial"/>
                <w:i/>
                <w:iCs/>
                <w:sz w:val="20"/>
                <w:szCs w:val="20"/>
              </w:rPr>
              <w:t>Also</w:t>
            </w:r>
            <w:r w:rsidRPr="000746B9">
              <w:rPr>
                <w:rFonts w:cs="Arial"/>
                <w:sz w:val="20"/>
                <w:szCs w:val="20"/>
              </w:rPr>
              <w:t xml:space="preserve"> </w:t>
            </w:r>
          </w:p>
          <w:p w14:paraId="5F4D978A" w14:textId="77777777" w:rsidR="000746B9" w:rsidRPr="000746B9" w:rsidRDefault="000746B9" w:rsidP="00DA217C">
            <w:pPr>
              <w:pStyle w:val="TableText1"/>
              <w:rPr>
                <w:rFonts w:cs="Arial"/>
                <w:sz w:val="20"/>
                <w:szCs w:val="20"/>
              </w:rPr>
            </w:pPr>
            <w:r w:rsidRPr="000746B9">
              <w:rPr>
                <w:rFonts w:cs="Arial"/>
                <w:sz w:val="20"/>
                <w:szCs w:val="20"/>
              </w:rPr>
              <w:t xml:space="preserve">(b) Do not use trimethoprim if it has been given in the previous 3 months, unless MSU shows sensitivity. </w:t>
            </w:r>
          </w:p>
          <w:p w14:paraId="3EBB6F09" w14:textId="77777777" w:rsidR="000746B9" w:rsidRPr="000746B9" w:rsidRDefault="000746B9" w:rsidP="00DA217C">
            <w:pPr>
              <w:pStyle w:val="TableText1"/>
              <w:rPr>
                <w:rFonts w:cs="Arial"/>
                <w:sz w:val="20"/>
                <w:szCs w:val="20"/>
              </w:rPr>
            </w:pPr>
            <w:r w:rsidRPr="000746B9">
              <w:rPr>
                <w:rFonts w:cs="Arial"/>
                <w:sz w:val="20"/>
                <w:szCs w:val="20"/>
              </w:rPr>
              <w:t xml:space="preserve">c. course length – 3 days treatment is not suitable for men, in pregnancy, complicated UTI </w:t>
            </w:r>
          </w:p>
          <w:bookmarkEnd w:id="144"/>
          <w:p w14:paraId="379F874F" w14:textId="77777777" w:rsidR="000746B9" w:rsidRPr="000746B9" w:rsidRDefault="000746B9" w:rsidP="00DA217C">
            <w:pPr>
              <w:pStyle w:val="TableText1"/>
              <w:rPr>
                <w:rFonts w:cs="Arial"/>
                <w:sz w:val="20"/>
                <w:szCs w:val="20"/>
              </w:rPr>
            </w:pPr>
          </w:p>
        </w:tc>
        <w:tc>
          <w:tcPr>
            <w:tcW w:w="4350" w:type="dxa"/>
          </w:tcPr>
          <w:p w14:paraId="7E16AFC5" w14:textId="77777777" w:rsidR="000746B9" w:rsidRPr="000746B9" w:rsidRDefault="000746B9" w:rsidP="00DA217C">
            <w:pPr>
              <w:pStyle w:val="TableText1"/>
              <w:rPr>
                <w:rFonts w:cs="Arial"/>
                <w:sz w:val="20"/>
                <w:szCs w:val="20"/>
              </w:rPr>
            </w:pPr>
            <w:r w:rsidRPr="000746B9">
              <w:rPr>
                <w:rFonts w:cs="Arial"/>
                <w:sz w:val="20"/>
                <w:szCs w:val="20"/>
              </w:rPr>
              <w:t xml:space="preserve">There are concerns that the strong message to use nitrofurantoin 3 days first </w:t>
            </w:r>
            <w:proofErr w:type="gramStart"/>
            <w:r w:rsidRPr="000746B9">
              <w:rPr>
                <w:rFonts w:cs="Arial"/>
                <w:sz w:val="20"/>
                <w:szCs w:val="20"/>
              </w:rPr>
              <w:t>line  to</w:t>
            </w:r>
            <w:proofErr w:type="gramEnd"/>
            <w:r w:rsidRPr="000746B9">
              <w:rPr>
                <w:rFonts w:cs="Arial"/>
                <w:sz w:val="20"/>
                <w:szCs w:val="20"/>
              </w:rPr>
              <w:t xml:space="preserve"> treat UTI  can lead to inadequate treatment for certain people. </w:t>
            </w:r>
          </w:p>
          <w:p w14:paraId="4762231C" w14:textId="77777777" w:rsidR="000746B9" w:rsidRPr="000746B9" w:rsidRDefault="000746B9" w:rsidP="00DA217C">
            <w:pPr>
              <w:pStyle w:val="TableText1"/>
              <w:rPr>
                <w:rFonts w:cs="Arial"/>
                <w:sz w:val="20"/>
                <w:szCs w:val="20"/>
              </w:rPr>
            </w:pPr>
          </w:p>
          <w:p w14:paraId="1AE9BD78" w14:textId="77777777" w:rsidR="000746B9" w:rsidRPr="000746B9" w:rsidRDefault="000746B9" w:rsidP="007C6ED4">
            <w:pPr>
              <w:pStyle w:val="TableText1"/>
              <w:numPr>
                <w:ilvl w:val="0"/>
                <w:numId w:val="37"/>
              </w:numPr>
              <w:rPr>
                <w:rFonts w:cs="Arial"/>
                <w:sz w:val="20"/>
                <w:szCs w:val="20"/>
              </w:rPr>
            </w:pPr>
            <w:r w:rsidRPr="000746B9">
              <w:rPr>
                <w:rFonts w:cs="Arial"/>
                <w:sz w:val="20"/>
                <w:szCs w:val="20"/>
              </w:rPr>
              <w:t xml:space="preserve">AWMSG Best practice reminder </w:t>
            </w:r>
            <w:r w:rsidRPr="000746B9">
              <w:rPr>
                <w:rFonts w:cs="Arial"/>
                <w:i/>
                <w:iCs/>
                <w:sz w:val="20"/>
                <w:szCs w:val="20"/>
              </w:rPr>
              <w:t>“Avoid Nitrofurantoin in the Treatment of Pyelonephritis”</w:t>
            </w:r>
            <w:r w:rsidRPr="000746B9">
              <w:rPr>
                <w:rFonts w:cs="Arial"/>
                <w:sz w:val="20"/>
                <w:szCs w:val="20"/>
              </w:rPr>
              <w:t xml:space="preserve"> Includes current practice information </w:t>
            </w:r>
            <w:hyperlink r:id="rId100" w:history="1">
              <w:r w:rsidRPr="000746B9">
                <w:rPr>
                  <w:rStyle w:val="Hyperlink"/>
                  <w:rFonts w:cs="Arial"/>
                  <w:sz w:val="20"/>
                  <w:szCs w:val="20"/>
                </w:rPr>
                <w:t>https://awttc.nhs.wales/medicines-optimisation-and-safety/medicines-optimisation-guidance-resources-and-data/prescribing-guidance/best-practice-reminder-avoid-nitrofurantoin-in-the-treatment-of-pyelonephritis/</w:t>
              </w:r>
            </w:hyperlink>
          </w:p>
          <w:p w14:paraId="14166556" w14:textId="77777777" w:rsidR="000746B9" w:rsidRPr="000746B9" w:rsidRDefault="000746B9" w:rsidP="00DA217C">
            <w:pPr>
              <w:pStyle w:val="TableText1"/>
              <w:rPr>
                <w:rFonts w:cs="Arial"/>
                <w:sz w:val="20"/>
                <w:szCs w:val="20"/>
              </w:rPr>
            </w:pPr>
            <w:r w:rsidRPr="000746B9">
              <w:rPr>
                <w:rFonts w:cs="Arial"/>
                <w:sz w:val="20"/>
                <w:szCs w:val="20"/>
              </w:rPr>
              <w:t xml:space="preserve">                 [DOI – author]</w:t>
            </w:r>
          </w:p>
          <w:p w14:paraId="3A3A4552" w14:textId="77777777" w:rsidR="000746B9" w:rsidRPr="000746B9" w:rsidRDefault="000746B9" w:rsidP="00DA217C">
            <w:pPr>
              <w:pStyle w:val="TableText1"/>
              <w:rPr>
                <w:rFonts w:cs="Arial"/>
                <w:sz w:val="20"/>
                <w:szCs w:val="20"/>
              </w:rPr>
            </w:pPr>
          </w:p>
          <w:p w14:paraId="688233A7" w14:textId="77777777" w:rsidR="000746B9" w:rsidRPr="000746B9" w:rsidRDefault="000746B9" w:rsidP="007C6ED4">
            <w:pPr>
              <w:numPr>
                <w:ilvl w:val="0"/>
                <w:numId w:val="38"/>
              </w:numPr>
              <w:rPr>
                <w:rFonts w:ascii="Arial" w:hAnsi="Arial" w:cs="Arial"/>
                <w:sz w:val="20"/>
                <w:szCs w:val="20"/>
                <w:lang w:eastAsia="en-GB"/>
              </w:rPr>
            </w:pPr>
            <w:r w:rsidRPr="000746B9">
              <w:rPr>
                <w:rFonts w:ascii="Arial" w:hAnsi="Arial" w:cs="Arial"/>
                <w:sz w:val="20"/>
                <w:szCs w:val="20"/>
              </w:rPr>
              <w:t xml:space="preserve">Nitrofurantoin (at usual dose) does not reach adequate levels in renal tissue, risking worsening illness  </w:t>
            </w:r>
          </w:p>
          <w:p w14:paraId="660477D7" w14:textId="77777777" w:rsidR="000746B9" w:rsidRPr="000746B9" w:rsidRDefault="000746B9" w:rsidP="00DA217C">
            <w:pPr>
              <w:rPr>
                <w:rFonts w:ascii="Arial" w:hAnsi="Arial" w:cs="Arial"/>
                <w:sz w:val="20"/>
                <w:szCs w:val="20"/>
              </w:rPr>
            </w:pPr>
          </w:p>
          <w:p w14:paraId="54765BB4" w14:textId="77777777" w:rsidR="000746B9" w:rsidRPr="000746B9" w:rsidRDefault="000746B9" w:rsidP="00DA217C">
            <w:pPr>
              <w:rPr>
                <w:rFonts w:ascii="Arial" w:hAnsi="Arial" w:cs="Arial"/>
                <w:sz w:val="20"/>
                <w:szCs w:val="20"/>
              </w:rPr>
            </w:pPr>
          </w:p>
          <w:p w14:paraId="5BA8F81B" w14:textId="77777777" w:rsidR="000746B9" w:rsidRPr="000746B9" w:rsidRDefault="000746B9" w:rsidP="00DA217C">
            <w:pPr>
              <w:rPr>
                <w:rFonts w:ascii="Arial" w:hAnsi="Arial" w:cs="Arial"/>
                <w:sz w:val="20"/>
                <w:szCs w:val="20"/>
              </w:rPr>
            </w:pPr>
          </w:p>
          <w:p w14:paraId="7C431D57" w14:textId="77777777" w:rsidR="000746B9" w:rsidRPr="000746B9" w:rsidRDefault="000746B9" w:rsidP="007C6ED4">
            <w:pPr>
              <w:numPr>
                <w:ilvl w:val="0"/>
                <w:numId w:val="38"/>
              </w:numPr>
              <w:rPr>
                <w:rFonts w:ascii="Arial" w:hAnsi="Arial" w:cs="Arial"/>
                <w:sz w:val="20"/>
                <w:szCs w:val="20"/>
              </w:rPr>
            </w:pPr>
            <w:r w:rsidRPr="000746B9">
              <w:rPr>
                <w:rFonts w:ascii="Arial" w:hAnsi="Arial" w:cs="Arial"/>
                <w:sz w:val="20"/>
                <w:szCs w:val="20"/>
              </w:rPr>
              <w:t xml:space="preserve">If trimethoprim used in the last 3 months there is a higher risk of resistant organisms </w:t>
            </w:r>
          </w:p>
          <w:p w14:paraId="35C98446" w14:textId="77777777" w:rsidR="000746B9" w:rsidRPr="000746B9" w:rsidRDefault="000746B9" w:rsidP="00DA217C">
            <w:pPr>
              <w:ind w:left="1080"/>
              <w:rPr>
                <w:rFonts w:ascii="Arial" w:hAnsi="Arial" w:cs="Arial"/>
                <w:sz w:val="20"/>
                <w:szCs w:val="20"/>
              </w:rPr>
            </w:pPr>
            <w:r w:rsidRPr="000746B9">
              <w:rPr>
                <w:rFonts w:ascii="Arial" w:hAnsi="Arial" w:cs="Arial"/>
                <w:sz w:val="20"/>
                <w:szCs w:val="20"/>
              </w:rPr>
              <w:t xml:space="preserve">[NICE NG 109] risking worsening illness, pyelonephritis, admission </w:t>
            </w:r>
          </w:p>
          <w:p w14:paraId="0EE43A0A" w14:textId="77777777" w:rsidR="000746B9" w:rsidRPr="000746B9" w:rsidRDefault="000746B9" w:rsidP="00DA217C">
            <w:pPr>
              <w:ind w:left="1080"/>
              <w:rPr>
                <w:rFonts w:ascii="Arial" w:hAnsi="Arial" w:cs="Arial"/>
                <w:sz w:val="20"/>
                <w:szCs w:val="20"/>
              </w:rPr>
            </w:pPr>
          </w:p>
          <w:p w14:paraId="6493457B" w14:textId="77777777" w:rsidR="000746B9" w:rsidRPr="000746B9" w:rsidRDefault="000746B9" w:rsidP="00DA217C">
            <w:pPr>
              <w:pStyle w:val="TableText1"/>
              <w:rPr>
                <w:rFonts w:cs="Arial"/>
                <w:sz w:val="20"/>
                <w:szCs w:val="20"/>
              </w:rPr>
            </w:pPr>
            <w:r w:rsidRPr="000746B9">
              <w:rPr>
                <w:rFonts w:cs="Arial"/>
                <w:sz w:val="20"/>
                <w:szCs w:val="20"/>
              </w:rPr>
              <w:t>Inadequate treatment as above</w:t>
            </w:r>
          </w:p>
          <w:p w14:paraId="00DD7434" w14:textId="77777777" w:rsidR="000746B9" w:rsidRPr="000746B9" w:rsidRDefault="000746B9" w:rsidP="00DA217C">
            <w:pPr>
              <w:pStyle w:val="TableText1"/>
              <w:rPr>
                <w:rFonts w:cs="Arial"/>
                <w:sz w:val="20"/>
                <w:szCs w:val="20"/>
              </w:rPr>
            </w:pPr>
          </w:p>
        </w:tc>
        <w:tc>
          <w:tcPr>
            <w:tcW w:w="3769" w:type="dxa"/>
          </w:tcPr>
          <w:p w14:paraId="4ABF8D50" w14:textId="77777777" w:rsidR="000746B9" w:rsidRPr="000746B9" w:rsidRDefault="00AC503C" w:rsidP="00DA217C">
            <w:pPr>
              <w:pStyle w:val="TableText1"/>
              <w:rPr>
                <w:rFonts w:cs="Arial"/>
                <w:sz w:val="20"/>
                <w:szCs w:val="20"/>
              </w:rPr>
            </w:pPr>
            <w:hyperlink r:id="rId101" w:history="1">
              <w:r w:rsidR="000746B9" w:rsidRPr="000746B9">
                <w:rPr>
                  <w:rStyle w:val="Hyperlink"/>
                  <w:rFonts w:cs="Arial"/>
                  <w:sz w:val="20"/>
                  <w:szCs w:val="20"/>
                </w:rPr>
                <w:t>Pyelonephritis (acute): antimicrobial prescribing</w:t>
              </w:r>
            </w:hyperlink>
            <w:r w:rsidR="000746B9" w:rsidRPr="000746B9">
              <w:rPr>
                <w:rFonts w:cs="Arial"/>
                <w:sz w:val="20"/>
                <w:szCs w:val="20"/>
              </w:rPr>
              <w:t xml:space="preserve"> (2018) NICE guideline NG111</w:t>
            </w:r>
          </w:p>
          <w:p w14:paraId="319D062A" w14:textId="77777777" w:rsidR="000746B9" w:rsidRPr="000746B9" w:rsidRDefault="00AC503C" w:rsidP="00DA217C">
            <w:pPr>
              <w:pStyle w:val="TableText1"/>
              <w:rPr>
                <w:rFonts w:cs="Arial"/>
                <w:sz w:val="20"/>
                <w:szCs w:val="20"/>
              </w:rPr>
            </w:pPr>
            <w:hyperlink r:id="rId102" w:history="1">
              <w:r w:rsidR="000746B9" w:rsidRPr="000746B9">
                <w:rPr>
                  <w:rStyle w:val="Hyperlink"/>
                  <w:rFonts w:cs="Arial"/>
                  <w:sz w:val="20"/>
                  <w:szCs w:val="20"/>
                </w:rPr>
                <w:t>Urinary tract infection (lower): antimicrobial prescribing</w:t>
              </w:r>
            </w:hyperlink>
            <w:r w:rsidR="000746B9" w:rsidRPr="000746B9">
              <w:rPr>
                <w:rFonts w:cs="Arial"/>
                <w:sz w:val="20"/>
                <w:szCs w:val="20"/>
              </w:rPr>
              <w:t xml:space="preserve"> (2018) NICE guideline NG109</w:t>
            </w:r>
          </w:p>
          <w:p w14:paraId="70023EDD" w14:textId="77777777" w:rsidR="000746B9" w:rsidRPr="000746B9" w:rsidRDefault="000746B9" w:rsidP="00DA217C">
            <w:pPr>
              <w:pStyle w:val="TableText1"/>
              <w:rPr>
                <w:rFonts w:cs="Arial"/>
                <w:sz w:val="20"/>
                <w:szCs w:val="20"/>
              </w:rPr>
            </w:pPr>
          </w:p>
          <w:p w14:paraId="21329AAD" w14:textId="77777777" w:rsidR="000746B9" w:rsidRPr="000746B9" w:rsidRDefault="000746B9" w:rsidP="00DA217C">
            <w:pPr>
              <w:rPr>
                <w:rFonts w:ascii="Arial" w:hAnsi="Arial" w:cs="Arial"/>
                <w:sz w:val="20"/>
                <w:szCs w:val="20"/>
              </w:rPr>
            </w:pPr>
            <w:r w:rsidRPr="000746B9">
              <w:rPr>
                <w:rFonts w:ascii="Arial" w:hAnsi="Arial" w:cs="Arial"/>
                <w:sz w:val="20"/>
                <w:szCs w:val="20"/>
              </w:rPr>
              <w:t xml:space="preserve">EAU </w:t>
            </w:r>
            <w:r w:rsidRPr="000746B9">
              <w:rPr>
                <w:rFonts w:ascii="Arial" w:hAnsi="Arial" w:cs="Arial"/>
                <w:i/>
                <w:iCs/>
                <w:sz w:val="20"/>
                <w:szCs w:val="20"/>
              </w:rPr>
              <w:t xml:space="preserve">Do not use nitrofurantoin, oral </w:t>
            </w:r>
            <w:proofErr w:type="spellStart"/>
            <w:r w:rsidRPr="000746B9">
              <w:rPr>
                <w:rFonts w:ascii="Arial" w:hAnsi="Arial" w:cs="Arial"/>
                <w:i/>
                <w:iCs/>
                <w:sz w:val="20"/>
                <w:szCs w:val="20"/>
              </w:rPr>
              <w:t>fosfomycin</w:t>
            </w:r>
            <w:proofErr w:type="spellEnd"/>
            <w:r w:rsidRPr="000746B9">
              <w:rPr>
                <w:rFonts w:ascii="Arial" w:hAnsi="Arial" w:cs="Arial"/>
                <w:i/>
                <w:iCs/>
                <w:sz w:val="20"/>
                <w:szCs w:val="20"/>
              </w:rPr>
              <w:t xml:space="preserve">, and </w:t>
            </w:r>
            <w:proofErr w:type="spellStart"/>
            <w:r w:rsidRPr="000746B9">
              <w:rPr>
                <w:rFonts w:ascii="Arial" w:hAnsi="Arial" w:cs="Arial"/>
                <w:i/>
                <w:iCs/>
                <w:sz w:val="20"/>
                <w:szCs w:val="20"/>
              </w:rPr>
              <w:t>pivmecillinam</w:t>
            </w:r>
            <w:proofErr w:type="spellEnd"/>
            <w:r w:rsidRPr="000746B9">
              <w:rPr>
                <w:rFonts w:ascii="Arial" w:hAnsi="Arial" w:cs="Arial"/>
                <w:i/>
                <w:iCs/>
                <w:sz w:val="20"/>
                <w:szCs w:val="20"/>
              </w:rPr>
              <w:t xml:space="preserve"> to treat uncomplicated pyelonephritis</w:t>
            </w:r>
            <w:r w:rsidRPr="000746B9">
              <w:rPr>
                <w:rFonts w:ascii="Arial" w:hAnsi="Arial" w:cs="Arial"/>
                <w:sz w:val="20"/>
                <w:szCs w:val="20"/>
              </w:rPr>
              <w:t>.</w:t>
            </w:r>
          </w:p>
        </w:tc>
      </w:tr>
      <w:tr w:rsidR="000746B9" w:rsidRPr="000746B9" w14:paraId="56C1F784" w14:textId="77777777" w:rsidTr="007C6ED4">
        <w:trPr>
          <w:trHeight w:val="282"/>
        </w:trPr>
        <w:tc>
          <w:tcPr>
            <w:tcW w:w="708" w:type="dxa"/>
          </w:tcPr>
          <w:p w14:paraId="0642CC58" w14:textId="77777777" w:rsidR="000746B9" w:rsidRPr="000746B9" w:rsidRDefault="000746B9" w:rsidP="00E6662B">
            <w:pPr>
              <w:pStyle w:val="TableText1"/>
              <w:numPr>
                <w:ilvl w:val="0"/>
                <w:numId w:val="45"/>
              </w:numPr>
              <w:rPr>
                <w:rFonts w:cs="Arial"/>
                <w:sz w:val="20"/>
                <w:szCs w:val="20"/>
              </w:rPr>
            </w:pPr>
            <w:r w:rsidRPr="000746B9">
              <w:rPr>
                <w:rFonts w:cs="Arial"/>
                <w:sz w:val="20"/>
                <w:szCs w:val="20"/>
              </w:rPr>
              <w:t>2b</w:t>
            </w:r>
          </w:p>
        </w:tc>
        <w:tc>
          <w:tcPr>
            <w:tcW w:w="2264" w:type="dxa"/>
          </w:tcPr>
          <w:p w14:paraId="4BA60F7B" w14:textId="488F250A" w:rsidR="000746B9" w:rsidRPr="000746B9" w:rsidRDefault="000746B9" w:rsidP="00DA217C">
            <w:pPr>
              <w:pStyle w:val="TableText1"/>
              <w:rPr>
                <w:rFonts w:cs="Arial"/>
                <w:sz w:val="20"/>
                <w:szCs w:val="20"/>
              </w:rPr>
            </w:pPr>
            <w:r w:rsidRPr="000746B9">
              <w:rPr>
                <w:rFonts w:cs="Arial"/>
                <w:sz w:val="20"/>
                <w:szCs w:val="20"/>
              </w:rPr>
              <w:t>SCM6</w:t>
            </w:r>
          </w:p>
        </w:tc>
        <w:tc>
          <w:tcPr>
            <w:tcW w:w="3588" w:type="dxa"/>
          </w:tcPr>
          <w:p w14:paraId="3CACAE69" w14:textId="77777777" w:rsidR="000746B9" w:rsidRPr="000746B9" w:rsidRDefault="000746B9" w:rsidP="00DA217C">
            <w:pPr>
              <w:pStyle w:val="TableText1"/>
              <w:rPr>
                <w:rFonts w:cs="Arial"/>
                <w:sz w:val="20"/>
                <w:szCs w:val="20"/>
              </w:rPr>
            </w:pPr>
            <w:r w:rsidRPr="000746B9">
              <w:rPr>
                <w:rFonts w:cs="Arial"/>
                <w:sz w:val="20"/>
                <w:szCs w:val="20"/>
              </w:rPr>
              <w:t>Key area for quality improvement 3</w:t>
            </w:r>
          </w:p>
          <w:p w14:paraId="47ABCBFC" w14:textId="77777777" w:rsidR="000746B9" w:rsidRPr="000746B9" w:rsidRDefault="000746B9" w:rsidP="00DA217C">
            <w:pPr>
              <w:pStyle w:val="TableText1"/>
              <w:rPr>
                <w:rFonts w:cs="Arial"/>
                <w:sz w:val="20"/>
                <w:szCs w:val="20"/>
              </w:rPr>
            </w:pPr>
          </w:p>
          <w:p w14:paraId="24BD5439" w14:textId="77777777" w:rsidR="000746B9" w:rsidRPr="000746B9" w:rsidRDefault="000746B9" w:rsidP="00DA217C">
            <w:pPr>
              <w:pStyle w:val="TableText1"/>
              <w:rPr>
                <w:rFonts w:cs="Arial"/>
                <w:sz w:val="20"/>
                <w:szCs w:val="20"/>
              </w:rPr>
            </w:pPr>
            <w:r w:rsidRPr="000746B9">
              <w:rPr>
                <w:rFonts w:cs="Arial"/>
                <w:sz w:val="20"/>
                <w:szCs w:val="20"/>
              </w:rPr>
              <w:t>Duration of antibiotics treatment during the acute episode of UTI</w:t>
            </w:r>
          </w:p>
        </w:tc>
        <w:tc>
          <w:tcPr>
            <w:tcW w:w="4350" w:type="dxa"/>
          </w:tcPr>
          <w:p w14:paraId="0E54C1BD" w14:textId="77777777" w:rsidR="000746B9" w:rsidRPr="000746B9" w:rsidRDefault="000746B9" w:rsidP="00DA217C">
            <w:pPr>
              <w:pStyle w:val="TableText1"/>
              <w:rPr>
                <w:rFonts w:cs="Arial"/>
                <w:sz w:val="20"/>
                <w:szCs w:val="20"/>
              </w:rPr>
            </w:pPr>
            <w:r w:rsidRPr="000746B9">
              <w:rPr>
                <w:rFonts w:cs="Arial"/>
                <w:sz w:val="20"/>
                <w:szCs w:val="20"/>
              </w:rPr>
              <w:t xml:space="preserve">Three days of antibiotic therapy is </w:t>
            </w:r>
            <w:proofErr w:type="gramStart"/>
            <w:r w:rsidRPr="000746B9">
              <w:rPr>
                <w:rFonts w:cs="Arial"/>
                <w:sz w:val="20"/>
                <w:szCs w:val="20"/>
              </w:rPr>
              <w:t>similar to</w:t>
            </w:r>
            <w:proofErr w:type="gramEnd"/>
            <w:r w:rsidRPr="000746B9">
              <w:rPr>
                <w:rFonts w:cs="Arial"/>
                <w:sz w:val="20"/>
                <w:szCs w:val="20"/>
              </w:rPr>
              <w:t xml:space="preserve"> 5</w:t>
            </w:r>
            <w:r w:rsidRPr="000746B9">
              <w:rPr>
                <w:rFonts w:ascii="Cambria Math" w:hAnsi="Cambria Math" w:cs="Cambria Math"/>
                <w:sz w:val="20"/>
                <w:szCs w:val="20"/>
              </w:rPr>
              <w:t>‐</w:t>
            </w:r>
            <w:r w:rsidRPr="000746B9">
              <w:rPr>
                <w:rFonts w:cs="Arial"/>
                <w:sz w:val="20"/>
                <w:szCs w:val="20"/>
              </w:rPr>
              <w:t>10 days in achieving symptomatic cure during uncomplicated UTI treatment, while the longer treatment is more effective in obtaining bacteriological cure.</w:t>
            </w:r>
          </w:p>
          <w:p w14:paraId="64991785" w14:textId="77777777" w:rsidR="000746B9" w:rsidRPr="000746B9" w:rsidRDefault="000746B9" w:rsidP="00DA217C">
            <w:pPr>
              <w:pStyle w:val="TableText1"/>
              <w:rPr>
                <w:rFonts w:cs="Arial"/>
                <w:sz w:val="20"/>
                <w:szCs w:val="20"/>
              </w:rPr>
            </w:pPr>
          </w:p>
          <w:p w14:paraId="60283B6E" w14:textId="77777777" w:rsidR="000746B9" w:rsidRPr="000746B9" w:rsidRDefault="000746B9" w:rsidP="007C6ED4">
            <w:pPr>
              <w:pStyle w:val="TableText1"/>
              <w:numPr>
                <w:ilvl w:val="0"/>
                <w:numId w:val="42"/>
              </w:numPr>
              <w:ind w:left="360"/>
              <w:rPr>
                <w:rFonts w:cs="Arial"/>
                <w:sz w:val="20"/>
                <w:szCs w:val="20"/>
              </w:rPr>
            </w:pPr>
            <w:r w:rsidRPr="000746B9">
              <w:rPr>
                <w:rFonts w:cs="Arial"/>
                <w:sz w:val="20"/>
                <w:szCs w:val="20"/>
              </w:rPr>
              <w:t>Treatment for 5</w:t>
            </w:r>
            <w:r w:rsidRPr="000746B9">
              <w:rPr>
                <w:rFonts w:ascii="Cambria Math" w:hAnsi="Cambria Math" w:cs="Cambria Math"/>
                <w:sz w:val="20"/>
                <w:szCs w:val="20"/>
              </w:rPr>
              <w:t>‐</w:t>
            </w:r>
            <w:r w:rsidRPr="000746B9">
              <w:rPr>
                <w:rFonts w:cs="Arial"/>
                <w:sz w:val="20"/>
                <w:szCs w:val="20"/>
              </w:rPr>
              <w:t>10 days could be considered for treatment of women in whom eradication of bacteriuria is important.</w:t>
            </w:r>
          </w:p>
          <w:p w14:paraId="027CDD4E" w14:textId="77777777" w:rsidR="000746B9" w:rsidRPr="000746B9" w:rsidRDefault="000746B9" w:rsidP="00DA217C">
            <w:pPr>
              <w:pStyle w:val="TableText1"/>
              <w:rPr>
                <w:rFonts w:cs="Arial"/>
                <w:sz w:val="20"/>
                <w:szCs w:val="20"/>
              </w:rPr>
            </w:pPr>
          </w:p>
          <w:p w14:paraId="0B42B3DC" w14:textId="77777777" w:rsidR="000746B9" w:rsidRPr="000746B9" w:rsidRDefault="000746B9" w:rsidP="007C6ED4">
            <w:pPr>
              <w:pStyle w:val="TableText1"/>
              <w:numPr>
                <w:ilvl w:val="0"/>
                <w:numId w:val="42"/>
              </w:numPr>
              <w:ind w:left="360"/>
              <w:rPr>
                <w:rFonts w:cs="Arial"/>
                <w:sz w:val="20"/>
                <w:szCs w:val="20"/>
              </w:rPr>
            </w:pPr>
            <w:r w:rsidRPr="000746B9">
              <w:rPr>
                <w:rFonts w:cs="Arial"/>
                <w:sz w:val="20"/>
                <w:szCs w:val="20"/>
              </w:rPr>
              <w:t>The advantage of longer therapy might be the survival of bacteria in subepithelial loci of the lower urinary tract after a shorter course of antibiotic treatment.</w:t>
            </w:r>
          </w:p>
        </w:tc>
        <w:tc>
          <w:tcPr>
            <w:tcW w:w="3769" w:type="dxa"/>
          </w:tcPr>
          <w:p w14:paraId="18FAAD15" w14:textId="77777777" w:rsidR="000746B9" w:rsidRPr="000746B9" w:rsidRDefault="000746B9" w:rsidP="00DA217C">
            <w:pPr>
              <w:pStyle w:val="TableText1"/>
              <w:rPr>
                <w:rFonts w:cs="Arial"/>
                <w:sz w:val="20"/>
                <w:szCs w:val="20"/>
              </w:rPr>
            </w:pPr>
            <w:r w:rsidRPr="000746B9">
              <w:rPr>
                <w:rFonts w:cs="Arial"/>
                <w:sz w:val="20"/>
                <w:szCs w:val="20"/>
              </w:rPr>
              <w:t>Duration of antibacterial treatment for uncomplicated urinary tract infection in women</w:t>
            </w:r>
          </w:p>
          <w:p w14:paraId="63CEC4E7" w14:textId="77777777" w:rsidR="000746B9" w:rsidRPr="000746B9" w:rsidRDefault="00AC503C" w:rsidP="00DA217C">
            <w:pPr>
              <w:pStyle w:val="TableText1"/>
              <w:rPr>
                <w:rFonts w:cs="Arial"/>
                <w:sz w:val="20"/>
                <w:szCs w:val="20"/>
              </w:rPr>
            </w:pPr>
            <w:hyperlink r:id="rId103" w:history="1">
              <w:r w:rsidR="000746B9" w:rsidRPr="000746B9">
                <w:rPr>
                  <w:rStyle w:val="Hyperlink"/>
                  <w:rFonts w:cs="Arial"/>
                  <w:sz w:val="20"/>
                  <w:szCs w:val="20"/>
                </w:rPr>
                <w:t>https://doi.org/10.1002/14651858.cd004682.pub2</w:t>
              </w:r>
            </w:hyperlink>
            <w:r w:rsidR="000746B9" w:rsidRPr="000746B9">
              <w:rPr>
                <w:rFonts w:cs="Arial"/>
                <w:sz w:val="20"/>
                <w:szCs w:val="20"/>
              </w:rPr>
              <w:t xml:space="preserve"> </w:t>
            </w:r>
          </w:p>
          <w:p w14:paraId="0E64AB0C" w14:textId="77777777" w:rsidR="000746B9" w:rsidRPr="000746B9" w:rsidRDefault="000746B9" w:rsidP="00DA217C">
            <w:pPr>
              <w:pStyle w:val="TableText1"/>
              <w:rPr>
                <w:rFonts w:cs="Arial"/>
                <w:sz w:val="20"/>
                <w:szCs w:val="20"/>
              </w:rPr>
            </w:pPr>
            <w:r w:rsidRPr="000746B9">
              <w:rPr>
                <w:rFonts w:cs="Arial"/>
                <w:sz w:val="20"/>
                <w:szCs w:val="20"/>
              </w:rPr>
              <w:t xml:space="preserve"> </w:t>
            </w:r>
          </w:p>
          <w:p w14:paraId="4702B457" w14:textId="77777777" w:rsidR="000746B9" w:rsidRPr="000746B9" w:rsidRDefault="000746B9" w:rsidP="00DA217C">
            <w:pPr>
              <w:pStyle w:val="TableText1"/>
              <w:rPr>
                <w:rFonts w:cs="Arial"/>
                <w:sz w:val="20"/>
                <w:szCs w:val="20"/>
              </w:rPr>
            </w:pPr>
            <w:r w:rsidRPr="000746B9">
              <w:rPr>
                <w:rFonts w:cs="Arial"/>
                <w:sz w:val="20"/>
                <w:szCs w:val="20"/>
              </w:rPr>
              <w:t>Current therapy of acute uncomplicated cystitis</w:t>
            </w:r>
          </w:p>
          <w:p w14:paraId="4DCD444C" w14:textId="77777777" w:rsidR="000746B9" w:rsidRPr="000746B9" w:rsidRDefault="00AC503C" w:rsidP="00DA217C">
            <w:pPr>
              <w:pStyle w:val="TableText1"/>
              <w:rPr>
                <w:rFonts w:cs="Arial"/>
                <w:sz w:val="20"/>
                <w:szCs w:val="20"/>
              </w:rPr>
            </w:pPr>
            <w:hyperlink r:id="rId104" w:history="1">
              <w:r w:rsidR="000746B9" w:rsidRPr="000746B9">
                <w:rPr>
                  <w:rStyle w:val="Hyperlink"/>
                  <w:rFonts w:cs="Arial"/>
                  <w:sz w:val="20"/>
                  <w:szCs w:val="20"/>
                </w:rPr>
                <w:t>https://doi.org/10.1111/j.1442-2042.2010.02500.x</w:t>
              </w:r>
            </w:hyperlink>
            <w:r w:rsidR="000746B9" w:rsidRPr="000746B9">
              <w:rPr>
                <w:rFonts w:cs="Arial"/>
                <w:sz w:val="20"/>
                <w:szCs w:val="20"/>
              </w:rPr>
              <w:t xml:space="preserve"> </w:t>
            </w:r>
          </w:p>
        </w:tc>
      </w:tr>
      <w:tr w:rsidR="000746B9" w:rsidRPr="000746B9" w14:paraId="4661A890" w14:textId="77777777" w:rsidTr="007C6ED4">
        <w:trPr>
          <w:trHeight w:val="282"/>
        </w:trPr>
        <w:tc>
          <w:tcPr>
            <w:tcW w:w="708" w:type="dxa"/>
          </w:tcPr>
          <w:p w14:paraId="6A416FF9" w14:textId="77777777" w:rsidR="000746B9" w:rsidRPr="000746B9" w:rsidRDefault="000746B9" w:rsidP="00E6662B">
            <w:pPr>
              <w:pStyle w:val="TableText1"/>
              <w:numPr>
                <w:ilvl w:val="0"/>
                <w:numId w:val="45"/>
              </w:numPr>
              <w:rPr>
                <w:rFonts w:cs="Arial"/>
                <w:sz w:val="20"/>
                <w:szCs w:val="20"/>
              </w:rPr>
            </w:pPr>
            <w:r w:rsidRPr="000746B9">
              <w:rPr>
                <w:rFonts w:cs="Arial"/>
                <w:sz w:val="20"/>
                <w:szCs w:val="20"/>
              </w:rPr>
              <w:t>2b</w:t>
            </w:r>
          </w:p>
        </w:tc>
        <w:tc>
          <w:tcPr>
            <w:tcW w:w="2264" w:type="dxa"/>
          </w:tcPr>
          <w:p w14:paraId="6B71884F" w14:textId="50C7C692" w:rsidR="000746B9" w:rsidRPr="000746B9" w:rsidRDefault="000746B9" w:rsidP="00DA217C">
            <w:pPr>
              <w:pStyle w:val="TableText1"/>
              <w:rPr>
                <w:rFonts w:cs="Arial"/>
                <w:sz w:val="20"/>
                <w:szCs w:val="20"/>
              </w:rPr>
            </w:pPr>
            <w:r w:rsidRPr="000746B9">
              <w:rPr>
                <w:rFonts w:cs="Arial"/>
                <w:sz w:val="20"/>
                <w:szCs w:val="20"/>
              </w:rPr>
              <w:t>SCM6</w:t>
            </w:r>
          </w:p>
        </w:tc>
        <w:tc>
          <w:tcPr>
            <w:tcW w:w="3588" w:type="dxa"/>
          </w:tcPr>
          <w:p w14:paraId="7D872B44" w14:textId="77777777" w:rsidR="000746B9" w:rsidRPr="000746B9" w:rsidRDefault="000746B9" w:rsidP="00DA217C">
            <w:pPr>
              <w:pStyle w:val="TableText1"/>
              <w:rPr>
                <w:rFonts w:cs="Arial"/>
                <w:sz w:val="20"/>
                <w:szCs w:val="20"/>
              </w:rPr>
            </w:pPr>
            <w:r w:rsidRPr="000746B9">
              <w:rPr>
                <w:rFonts w:cs="Arial"/>
                <w:sz w:val="20"/>
                <w:szCs w:val="20"/>
              </w:rPr>
              <w:t>Key area for quality improvement 5</w:t>
            </w:r>
          </w:p>
          <w:p w14:paraId="4593D78C" w14:textId="77777777" w:rsidR="000746B9" w:rsidRPr="000746B9" w:rsidRDefault="000746B9" w:rsidP="00DA217C">
            <w:pPr>
              <w:pStyle w:val="TableText1"/>
              <w:rPr>
                <w:rFonts w:cs="Arial"/>
                <w:sz w:val="20"/>
                <w:szCs w:val="20"/>
              </w:rPr>
            </w:pPr>
          </w:p>
          <w:p w14:paraId="53C0FBD6" w14:textId="77777777" w:rsidR="000746B9" w:rsidRPr="000746B9" w:rsidRDefault="000746B9" w:rsidP="00DA217C">
            <w:pPr>
              <w:pStyle w:val="TableText1"/>
              <w:rPr>
                <w:rFonts w:cs="Arial"/>
                <w:sz w:val="20"/>
                <w:szCs w:val="20"/>
              </w:rPr>
            </w:pPr>
            <w:r w:rsidRPr="000746B9">
              <w:rPr>
                <w:rFonts w:cs="Arial"/>
                <w:sz w:val="20"/>
                <w:szCs w:val="20"/>
              </w:rPr>
              <w:t>UTI as a self-limiting disease</w:t>
            </w:r>
          </w:p>
        </w:tc>
        <w:tc>
          <w:tcPr>
            <w:tcW w:w="4350" w:type="dxa"/>
          </w:tcPr>
          <w:p w14:paraId="2D8A22C0" w14:textId="77777777" w:rsidR="000746B9" w:rsidRPr="000746B9" w:rsidRDefault="000746B9" w:rsidP="00DA217C">
            <w:pPr>
              <w:pStyle w:val="Paragraphnonumbers"/>
              <w:rPr>
                <w:rFonts w:cs="Arial"/>
                <w:sz w:val="20"/>
                <w:szCs w:val="20"/>
              </w:rPr>
            </w:pPr>
            <w:r w:rsidRPr="000746B9">
              <w:rPr>
                <w:rFonts w:cs="Arial"/>
                <w:sz w:val="20"/>
                <w:szCs w:val="20"/>
              </w:rPr>
              <w:t>A UTI is a debilitating condition causing the onset of painful urination (dysuria), increased urinary frequency, the inability to start urinating (hesitancy) and the sensation of a sudden need to urinate (urgency</w:t>
            </w:r>
            <w:proofErr w:type="gramStart"/>
            <w:r w:rsidRPr="000746B9">
              <w:rPr>
                <w:rFonts w:cs="Arial"/>
                <w:sz w:val="20"/>
                <w:szCs w:val="20"/>
              </w:rPr>
              <w:t>) ,</w:t>
            </w:r>
            <w:proofErr w:type="gramEnd"/>
            <w:r w:rsidRPr="000746B9">
              <w:rPr>
                <w:rFonts w:cs="Arial"/>
                <w:sz w:val="20"/>
                <w:szCs w:val="20"/>
              </w:rPr>
              <w:t xml:space="preserve"> all of which are classified as lower urinary tract symptoms (LUTS).</w:t>
            </w:r>
          </w:p>
          <w:p w14:paraId="2763E9B5" w14:textId="77777777" w:rsidR="000746B9" w:rsidRPr="000746B9" w:rsidRDefault="000746B9" w:rsidP="00DA217C">
            <w:pPr>
              <w:pStyle w:val="Paragraphnonumbers"/>
              <w:rPr>
                <w:rFonts w:cs="Arial"/>
                <w:sz w:val="20"/>
                <w:szCs w:val="20"/>
              </w:rPr>
            </w:pPr>
            <w:r w:rsidRPr="000746B9">
              <w:rPr>
                <w:rFonts w:cs="Arial"/>
                <w:sz w:val="20"/>
                <w:szCs w:val="20"/>
              </w:rPr>
              <w:t xml:space="preserve">It is not a self-limiting </w:t>
            </w:r>
            <w:proofErr w:type="gramStart"/>
            <w:r w:rsidRPr="000746B9">
              <w:rPr>
                <w:rFonts w:cs="Arial"/>
                <w:sz w:val="20"/>
                <w:szCs w:val="20"/>
              </w:rPr>
              <w:t>disease</w:t>
            </w:r>
            <w:proofErr w:type="gramEnd"/>
            <w:r w:rsidRPr="000746B9">
              <w:rPr>
                <w:rFonts w:cs="Arial"/>
                <w:sz w:val="20"/>
                <w:szCs w:val="20"/>
              </w:rPr>
              <w:t xml:space="preserve"> and it needs treatment.</w:t>
            </w:r>
          </w:p>
        </w:tc>
        <w:tc>
          <w:tcPr>
            <w:tcW w:w="3769" w:type="dxa"/>
          </w:tcPr>
          <w:p w14:paraId="3F0982F2" w14:textId="77777777" w:rsidR="000746B9" w:rsidRPr="000746B9" w:rsidRDefault="000746B9" w:rsidP="00DA217C">
            <w:pPr>
              <w:pStyle w:val="Paragraphnonumbers"/>
              <w:rPr>
                <w:rFonts w:cs="Arial"/>
                <w:sz w:val="20"/>
                <w:szCs w:val="20"/>
              </w:rPr>
            </w:pPr>
            <w:r w:rsidRPr="000746B9">
              <w:rPr>
                <w:rFonts w:cs="Arial"/>
                <w:sz w:val="20"/>
                <w:szCs w:val="20"/>
              </w:rPr>
              <w:t>Mechanisms of pain from urinary tract infection.</w:t>
            </w:r>
          </w:p>
          <w:p w14:paraId="6AF14E9C" w14:textId="77777777" w:rsidR="000746B9" w:rsidRPr="000746B9" w:rsidRDefault="00AC503C" w:rsidP="00DA217C">
            <w:pPr>
              <w:pStyle w:val="Paragraphnonumbers"/>
              <w:rPr>
                <w:rFonts w:cs="Arial"/>
                <w:sz w:val="20"/>
                <w:szCs w:val="20"/>
              </w:rPr>
            </w:pPr>
            <w:hyperlink r:id="rId105" w:history="1">
              <w:r w:rsidR="000746B9" w:rsidRPr="000746B9">
                <w:rPr>
                  <w:rStyle w:val="Hyperlink"/>
                  <w:rFonts w:cs="Arial"/>
                  <w:sz w:val="20"/>
                  <w:szCs w:val="20"/>
                </w:rPr>
                <w:t>https://doi.org/10.1111/iju.12309</w:t>
              </w:r>
            </w:hyperlink>
            <w:r w:rsidR="000746B9" w:rsidRPr="000746B9">
              <w:rPr>
                <w:rFonts w:cs="Arial"/>
                <w:sz w:val="20"/>
                <w:szCs w:val="20"/>
              </w:rPr>
              <w:t xml:space="preserve"> </w:t>
            </w:r>
          </w:p>
        </w:tc>
      </w:tr>
    </w:tbl>
    <w:p w14:paraId="08E27398" w14:textId="72793A33" w:rsidR="00943B7D" w:rsidRDefault="00943B7D"/>
    <w:p w14:paraId="59892913" w14:textId="7DF992CB" w:rsidR="00A6717D" w:rsidRDefault="00A6717D" w:rsidP="00A6717D">
      <w:pPr>
        <w:pStyle w:val="Heading4"/>
      </w:pPr>
      <w:r>
        <w:lastRenderedPageBreak/>
        <w:t>Treatment: Alternative treatments</w:t>
      </w:r>
    </w:p>
    <w:tbl>
      <w:tblPr>
        <w:tblW w:w="1467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708"/>
        <w:gridCol w:w="2264"/>
        <w:gridCol w:w="3588"/>
        <w:gridCol w:w="4350"/>
        <w:gridCol w:w="3769"/>
      </w:tblGrid>
      <w:tr w:rsidR="00943B7D" w:rsidRPr="000746B9" w14:paraId="4647F0F5" w14:textId="77777777" w:rsidTr="00DA217C">
        <w:trPr>
          <w:tblHeader/>
        </w:trPr>
        <w:tc>
          <w:tcPr>
            <w:tcW w:w="708" w:type="dxa"/>
            <w:shd w:val="clear" w:color="auto" w:fill="E6E6E6"/>
          </w:tcPr>
          <w:p w14:paraId="26D62EB8" w14:textId="77777777" w:rsidR="00943B7D" w:rsidRPr="000746B9" w:rsidRDefault="00943B7D" w:rsidP="00DA217C">
            <w:pPr>
              <w:pStyle w:val="Heading4"/>
              <w:rPr>
                <w:rFonts w:cs="Arial"/>
                <w:sz w:val="20"/>
                <w:szCs w:val="20"/>
              </w:rPr>
            </w:pPr>
            <w:r>
              <w:rPr>
                <w:rFonts w:cs="Arial"/>
                <w:sz w:val="20"/>
                <w:szCs w:val="20"/>
              </w:rPr>
              <w:t>ID</w:t>
            </w:r>
          </w:p>
        </w:tc>
        <w:tc>
          <w:tcPr>
            <w:tcW w:w="2264" w:type="dxa"/>
            <w:shd w:val="clear" w:color="auto" w:fill="E6E6E6"/>
          </w:tcPr>
          <w:p w14:paraId="01CAFF8C" w14:textId="77777777" w:rsidR="00943B7D" w:rsidRPr="000746B9" w:rsidRDefault="00943B7D" w:rsidP="00DA217C">
            <w:pPr>
              <w:pStyle w:val="Heading4"/>
              <w:rPr>
                <w:rFonts w:cs="Arial"/>
                <w:sz w:val="20"/>
                <w:szCs w:val="20"/>
              </w:rPr>
            </w:pPr>
            <w:r w:rsidRPr="000746B9">
              <w:rPr>
                <w:rFonts w:cs="Arial"/>
                <w:sz w:val="20"/>
                <w:szCs w:val="20"/>
              </w:rPr>
              <w:t>Stakeholder</w:t>
            </w:r>
          </w:p>
        </w:tc>
        <w:tc>
          <w:tcPr>
            <w:tcW w:w="3588" w:type="dxa"/>
            <w:shd w:val="clear" w:color="auto" w:fill="E6E6E6"/>
          </w:tcPr>
          <w:p w14:paraId="63BA41E6" w14:textId="77777777" w:rsidR="00943B7D" w:rsidRPr="000746B9" w:rsidRDefault="00943B7D" w:rsidP="00DA217C">
            <w:pPr>
              <w:pStyle w:val="Heading4"/>
              <w:rPr>
                <w:rFonts w:cs="Arial"/>
                <w:sz w:val="20"/>
                <w:szCs w:val="20"/>
              </w:rPr>
            </w:pPr>
            <w:r w:rsidRPr="000746B9">
              <w:rPr>
                <w:rFonts w:cs="Arial"/>
                <w:sz w:val="20"/>
                <w:szCs w:val="20"/>
              </w:rPr>
              <w:t>Key area for quality improvement</w:t>
            </w:r>
          </w:p>
        </w:tc>
        <w:tc>
          <w:tcPr>
            <w:tcW w:w="4350" w:type="dxa"/>
            <w:shd w:val="clear" w:color="auto" w:fill="E6E6E6"/>
          </w:tcPr>
          <w:p w14:paraId="7B7EFC8E" w14:textId="77777777" w:rsidR="00943B7D" w:rsidRPr="000746B9" w:rsidRDefault="00943B7D" w:rsidP="00DA217C">
            <w:pPr>
              <w:pStyle w:val="Heading1"/>
              <w:rPr>
                <w:sz w:val="20"/>
                <w:szCs w:val="20"/>
              </w:rPr>
            </w:pPr>
            <w:bookmarkStart w:id="145" w:name="_Toc107929207"/>
            <w:bookmarkStart w:id="146" w:name="_Toc112833014"/>
            <w:r w:rsidRPr="000746B9">
              <w:rPr>
                <w:sz w:val="20"/>
                <w:szCs w:val="20"/>
              </w:rPr>
              <w:t>Why is this a key area for quality improvement?</w:t>
            </w:r>
            <w:bookmarkEnd w:id="145"/>
            <w:bookmarkEnd w:id="146"/>
          </w:p>
        </w:tc>
        <w:tc>
          <w:tcPr>
            <w:tcW w:w="3769" w:type="dxa"/>
            <w:shd w:val="clear" w:color="auto" w:fill="E6E6E6"/>
          </w:tcPr>
          <w:p w14:paraId="51ABC8EC" w14:textId="77777777" w:rsidR="00943B7D" w:rsidRPr="000746B9" w:rsidRDefault="00943B7D" w:rsidP="00DA217C">
            <w:pPr>
              <w:rPr>
                <w:rFonts w:ascii="Arial" w:hAnsi="Arial" w:cs="Arial"/>
                <w:b/>
                <w:sz w:val="20"/>
                <w:szCs w:val="20"/>
              </w:rPr>
            </w:pPr>
            <w:r w:rsidRPr="000746B9">
              <w:rPr>
                <w:rFonts w:ascii="Arial" w:hAnsi="Arial" w:cs="Arial"/>
                <w:b/>
                <w:sz w:val="20"/>
                <w:szCs w:val="20"/>
              </w:rPr>
              <w:t>Supporting information</w:t>
            </w:r>
          </w:p>
        </w:tc>
      </w:tr>
      <w:tr w:rsidR="000746B9" w:rsidRPr="000746B9" w14:paraId="779724F1" w14:textId="77777777" w:rsidTr="007C6ED4">
        <w:trPr>
          <w:trHeight w:val="282"/>
        </w:trPr>
        <w:tc>
          <w:tcPr>
            <w:tcW w:w="708" w:type="dxa"/>
          </w:tcPr>
          <w:p w14:paraId="2B8C79C0" w14:textId="087177B6" w:rsidR="000746B9" w:rsidRPr="000746B9" w:rsidRDefault="000746B9" w:rsidP="002400F4">
            <w:pPr>
              <w:pStyle w:val="TableText1"/>
              <w:numPr>
                <w:ilvl w:val="0"/>
                <w:numId w:val="45"/>
              </w:numPr>
              <w:rPr>
                <w:rFonts w:cs="Arial"/>
                <w:sz w:val="20"/>
                <w:szCs w:val="20"/>
              </w:rPr>
            </w:pPr>
          </w:p>
        </w:tc>
        <w:tc>
          <w:tcPr>
            <w:tcW w:w="2264" w:type="dxa"/>
          </w:tcPr>
          <w:p w14:paraId="472781A2" w14:textId="77777777" w:rsidR="000746B9" w:rsidRPr="000746B9" w:rsidRDefault="000746B9" w:rsidP="00DA217C">
            <w:pPr>
              <w:pStyle w:val="TableText1"/>
              <w:rPr>
                <w:rFonts w:cs="Arial"/>
                <w:sz w:val="20"/>
                <w:szCs w:val="20"/>
              </w:rPr>
            </w:pPr>
            <w:r w:rsidRPr="000746B9">
              <w:rPr>
                <w:rFonts w:cs="Arial"/>
                <w:sz w:val="20"/>
                <w:szCs w:val="20"/>
              </w:rPr>
              <w:t>Aspire Pharma Limited</w:t>
            </w:r>
          </w:p>
        </w:tc>
        <w:tc>
          <w:tcPr>
            <w:tcW w:w="3588" w:type="dxa"/>
          </w:tcPr>
          <w:p w14:paraId="51A4F73F" w14:textId="77777777" w:rsidR="000746B9" w:rsidRPr="000746B9" w:rsidRDefault="000746B9" w:rsidP="00DA217C">
            <w:pPr>
              <w:pStyle w:val="TableText1"/>
              <w:rPr>
                <w:rFonts w:cs="Arial"/>
                <w:sz w:val="20"/>
                <w:szCs w:val="20"/>
              </w:rPr>
            </w:pPr>
            <w:r w:rsidRPr="000746B9">
              <w:rPr>
                <w:rFonts w:cs="Arial"/>
                <w:sz w:val="20"/>
                <w:szCs w:val="20"/>
              </w:rPr>
              <w:t>The guideline does not include non-antibiotic treatments.</w:t>
            </w:r>
          </w:p>
        </w:tc>
        <w:tc>
          <w:tcPr>
            <w:tcW w:w="4350" w:type="dxa"/>
          </w:tcPr>
          <w:p w14:paraId="40AE0C18" w14:textId="77777777" w:rsidR="000746B9" w:rsidRPr="000746B9" w:rsidRDefault="000746B9" w:rsidP="00DA217C">
            <w:pPr>
              <w:pStyle w:val="Paragraphnonumbers"/>
              <w:rPr>
                <w:rFonts w:cs="Arial"/>
                <w:sz w:val="20"/>
                <w:szCs w:val="20"/>
              </w:rPr>
            </w:pPr>
            <w:r w:rsidRPr="000746B9">
              <w:rPr>
                <w:rFonts w:cs="Arial"/>
                <w:sz w:val="20"/>
                <w:szCs w:val="20"/>
              </w:rPr>
              <w:t xml:space="preserve">The NICE quality standard for antimicrobial stewardship (QS121) highlights the catastrophic threat posed by antimicrobial resistance and the direct contribution that over prescribing antimicrobial medicines have on resistance, yet QS90 focusses almost solely on anti-microbial treatment. </w:t>
            </w:r>
          </w:p>
          <w:p w14:paraId="7012D73F" w14:textId="77777777" w:rsidR="000746B9" w:rsidRPr="000746B9" w:rsidRDefault="000746B9" w:rsidP="00DA217C">
            <w:pPr>
              <w:pStyle w:val="Paragraphnonumbers"/>
              <w:rPr>
                <w:rFonts w:cs="Arial"/>
                <w:sz w:val="20"/>
                <w:szCs w:val="20"/>
              </w:rPr>
            </w:pPr>
            <w:r w:rsidRPr="000746B9">
              <w:rPr>
                <w:rFonts w:cs="Arial"/>
                <w:sz w:val="20"/>
                <w:szCs w:val="20"/>
              </w:rPr>
              <w:t xml:space="preserve">NG15 Antimicrobial stewardship systems and processes for effective antimicrobial medicine use states that prescribers should be encouraged and supported to prescribe antimicrobials when this is clinically appropriate (1.1.16), </w:t>
            </w:r>
            <w:proofErr w:type="gramStart"/>
            <w:r w:rsidRPr="000746B9">
              <w:rPr>
                <w:rFonts w:cs="Arial"/>
                <w:sz w:val="20"/>
                <w:szCs w:val="20"/>
              </w:rPr>
              <w:t>and also</w:t>
            </w:r>
            <w:proofErr w:type="gramEnd"/>
            <w:r w:rsidRPr="000746B9">
              <w:rPr>
                <w:rFonts w:cs="Arial"/>
                <w:sz w:val="20"/>
                <w:szCs w:val="20"/>
              </w:rPr>
              <w:t xml:space="preserve"> to discuss non-pharmacological interventions (1.1.34). </w:t>
            </w:r>
          </w:p>
          <w:p w14:paraId="1DD8869F" w14:textId="77777777" w:rsidR="000746B9" w:rsidRPr="000746B9" w:rsidRDefault="000746B9" w:rsidP="00DA217C">
            <w:pPr>
              <w:pStyle w:val="TableText1"/>
              <w:rPr>
                <w:rFonts w:cs="Arial"/>
                <w:sz w:val="20"/>
                <w:szCs w:val="20"/>
              </w:rPr>
            </w:pPr>
            <w:bookmarkStart w:id="147" w:name="_Hlk107241112"/>
            <w:r w:rsidRPr="000746B9">
              <w:rPr>
                <w:rFonts w:cs="Arial"/>
                <w:sz w:val="20"/>
                <w:szCs w:val="20"/>
              </w:rPr>
              <w:t>Effective alternatives to antibiotics are available for management of UTIs, such as glycosamin</w:t>
            </w:r>
            <w:bookmarkEnd w:id="147"/>
            <w:r w:rsidRPr="000746B9">
              <w:rPr>
                <w:rFonts w:cs="Arial"/>
                <w:sz w:val="20"/>
                <w:szCs w:val="20"/>
              </w:rPr>
              <w:t xml:space="preserve">oglycan (GAG) layer replacement therapy, and these should be considered </w:t>
            </w:r>
            <w:proofErr w:type="gramStart"/>
            <w:r w:rsidRPr="000746B9">
              <w:rPr>
                <w:rFonts w:cs="Arial"/>
                <w:sz w:val="20"/>
                <w:szCs w:val="20"/>
              </w:rPr>
              <w:t>in light of</w:t>
            </w:r>
            <w:proofErr w:type="gramEnd"/>
            <w:r w:rsidRPr="000746B9">
              <w:rPr>
                <w:rFonts w:cs="Arial"/>
                <w:sz w:val="20"/>
                <w:szCs w:val="20"/>
              </w:rPr>
              <w:t xml:space="preserve"> the drive towards reduction in antimicrobial prescribing.</w:t>
            </w:r>
          </w:p>
        </w:tc>
        <w:tc>
          <w:tcPr>
            <w:tcW w:w="3769" w:type="dxa"/>
          </w:tcPr>
          <w:p w14:paraId="16B1499F" w14:textId="77777777" w:rsidR="000746B9" w:rsidRPr="000746B9" w:rsidRDefault="000746B9" w:rsidP="00DA217C">
            <w:pPr>
              <w:pStyle w:val="Paragraphnonumbers"/>
              <w:rPr>
                <w:rFonts w:cs="Arial"/>
                <w:sz w:val="20"/>
                <w:szCs w:val="20"/>
              </w:rPr>
            </w:pPr>
            <w:r w:rsidRPr="000746B9">
              <w:rPr>
                <w:rFonts w:cs="Arial"/>
                <w:sz w:val="20"/>
                <w:szCs w:val="20"/>
              </w:rPr>
              <w:t xml:space="preserve">NICE quality standard for antimicrobial stewardship </w:t>
            </w:r>
            <w:hyperlink r:id="rId106" w:history="1">
              <w:r w:rsidRPr="000746B9">
                <w:rPr>
                  <w:rStyle w:val="Hyperlink"/>
                  <w:rFonts w:cs="Arial"/>
                  <w:sz w:val="20"/>
                  <w:szCs w:val="20"/>
                </w:rPr>
                <w:t>https://www.nice.org.uk/guidance/qs121</w:t>
              </w:r>
            </w:hyperlink>
            <w:r w:rsidRPr="000746B9">
              <w:rPr>
                <w:rFonts w:cs="Arial"/>
                <w:sz w:val="20"/>
                <w:szCs w:val="20"/>
              </w:rPr>
              <w:t xml:space="preserve"> </w:t>
            </w:r>
          </w:p>
          <w:p w14:paraId="2A6213A8" w14:textId="77777777" w:rsidR="000746B9" w:rsidRPr="000746B9" w:rsidRDefault="000746B9" w:rsidP="00DA217C">
            <w:pPr>
              <w:pStyle w:val="Paragraphnonumbers"/>
              <w:rPr>
                <w:rFonts w:cs="Arial"/>
                <w:sz w:val="20"/>
                <w:szCs w:val="20"/>
              </w:rPr>
            </w:pPr>
            <w:r w:rsidRPr="000746B9">
              <w:rPr>
                <w:rFonts w:cs="Arial"/>
                <w:sz w:val="20"/>
                <w:szCs w:val="20"/>
              </w:rPr>
              <w:t>NICE guideline (NG15) Antimicrobial stewardship: systems and processes for effective antimicrobial medicine use</w:t>
            </w:r>
          </w:p>
          <w:p w14:paraId="0F98E508" w14:textId="77777777" w:rsidR="000746B9" w:rsidRPr="000746B9" w:rsidRDefault="00AC503C" w:rsidP="00DA217C">
            <w:pPr>
              <w:pStyle w:val="TableText1"/>
              <w:rPr>
                <w:rFonts w:cs="Arial"/>
                <w:sz w:val="20"/>
                <w:szCs w:val="20"/>
              </w:rPr>
            </w:pPr>
            <w:hyperlink r:id="rId107" w:history="1">
              <w:r w:rsidR="000746B9" w:rsidRPr="000746B9">
                <w:rPr>
                  <w:rStyle w:val="Hyperlink"/>
                  <w:rFonts w:cs="Arial"/>
                  <w:sz w:val="20"/>
                  <w:szCs w:val="20"/>
                </w:rPr>
                <w:t>https://www.nice.org.uk/guidance/ng15/resources/antimicrobial-stewardship-systems-and-processes-for-effective-antimicrobial-medicine-use-pdf-1837273110469</w:t>
              </w:r>
            </w:hyperlink>
          </w:p>
        </w:tc>
      </w:tr>
    </w:tbl>
    <w:p w14:paraId="50F3BE12" w14:textId="31CF94ED" w:rsidR="00943B7D" w:rsidRDefault="00943B7D"/>
    <w:p w14:paraId="03912084" w14:textId="71992850" w:rsidR="00943B7D" w:rsidRDefault="00943B7D"/>
    <w:p w14:paraId="1D2EAFF3" w14:textId="77777777" w:rsidR="00A6717D" w:rsidRPr="00E770DC" w:rsidRDefault="00A6717D" w:rsidP="00A6717D">
      <w:pPr>
        <w:pStyle w:val="Heading4"/>
      </w:pPr>
      <w:r>
        <w:lastRenderedPageBreak/>
        <w:t>Catheter associated UTI (prevention and management)</w:t>
      </w:r>
    </w:p>
    <w:tbl>
      <w:tblPr>
        <w:tblW w:w="1467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708"/>
        <w:gridCol w:w="2264"/>
        <w:gridCol w:w="3588"/>
        <w:gridCol w:w="4350"/>
        <w:gridCol w:w="3769"/>
      </w:tblGrid>
      <w:tr w:rsidR="00943B7D" w:rsidRPr="000746B9" w14:paraId="3F4B1404" w14:textId="77777777" w:rsidTr="00DA217C">
        <w:trPr>
          <w:tblHeader/>
        </w:trPr>
        <w:tc>
          <w:tcPr>
            <w:tcW w:w="708" w:type="dxa"/>
            <w:shd w:val="clear" w:color="auto" w:fill="E6E6E6"/>
          </w:tcPr>
          <w:p w14:paraId="44AC7196" w14:textId="77777777" w:rsidR="00943B7D" w:rsidRPr="000746B9" w:rsidRDefault="00943B7D" w:rsidP="00DA217C">
            <w:pPr>
              <w:pStyle w:val="Heading4"/>
              <w:rPr>
                <w:rFonts w:cs="Arial"/>
                <w:sz w:val="20"/>
                <w:szCs w:val="20"/>
              </w:rPr>
            </w:pPr>
            <w:r>
              <w:rPr>
                <w:rFonts w:cs="Arial"/>
                <w:sz w:val="20"/>
                <w:szCs w:val="20"/>
              </w:rPr>
              <w:t>ID</w:t>
            </w:r>
          </w:p>
        </w:tc>
        <w:tc>
          <w:tcPr>
            <w:tcW w:w="2264" w:type="dxa"/>
            <w:shd w:val="clear" w:color="auto" w:fill="E6E6E6"/>
          </w:tcPr>
          <w:p w14:paraId="268E575E" w14:textId="77777777" w:rsidR="00943B7D" w:rsidRPr="000746B9" w:rsidRDefault="00943B7D" w:rsidP="00DA217C">
            <w:pPr>
              <w:pStyle w:val="Heading4"/>
              <w:rPr>
                <w:rFonts w:cs="Arial"/>
                <w:sz w:val="20"/>
                <w:szCs w:val="20"/>
              </w:rPr>
            </w:pPr>
            <w:r w:rsidRPr="000746B9">
              <w:rPr>
                <w:rFonts w:cs="Arial"/>
                <w:sz w:val="20"/>
                <w:szCs w:val="20"/>
              </w:rPr>
              <w:t>Stakeholder</w:t>
            </w:r>
          </w:p>
        </w:tc>
        <w:tc>
          <w:tcPr>
            <w:tcW w:w="3588" w:type="dxa"/>
            <w:shd w:val="clear" w:color="auto" w:fill="E6E6E6"/>
          </w:tcPr>
          <w:p w14:paraId="3DBA7CC0" w14:textId="77777777" w:rsidR="00943B7D" w:rsidRPr="000746B9" w:rsidRDefault="00943B7D" w:rsidP="00DA217C">
            <w:pPr>
              <w:pStyle w:val="Heading4"/>
              <w:rPr>
                <w:rFonts w:cs="Arial"/>
                <w:sz w:val="20"/>
                <w:szCs w:val="20"/>
              </w:rPr>
            </w:pPr>
            <w:r w:rsidRPr="000746B9">
              <w:rPr>
                <w:rFonts w:cs="Arial"/>
                <w:sz w:val="20"/>
                <w:szCs w:val="20"/>
              </w:rPr>
              <w:t>Key area for quality improvement</w:t>
            </w:r>
          </w:p>
        </w:tc>
        <w:tc>
          <w:tcPr>
            <w:tcW w:w="4350" w:type="dxa"/>
            <w:shd w:val="clear" w:color="auto" w:fill="E6E6E6"/>
          </w:tcPr>
          <w:p w14:paraId="3650B628" w14:textId="77777777" w:rsidR="00943B7D" w:rsidRPr="000746B9" w:rsidRDefault="00943B7D" w:rsidP="00DA217C">
            <w:pPr>
              <w:pStyle w:val="Heading1"/>
              <w:rPr>
                <w:sz w:val="20"/>
                <w:szCs w:val="20"/>
              </w:rPr>
            </w:pPr>
            <w:bookmarkStart w:id="148" w:name="_Toc107929208"/>
            <w:bookmarkStart w:id="149" w:name="_Toc112833015"/>
            <w:r w:rsidRPr="000746B9">
              <w:rPr>
                <w:sz w:val="20"/>
                <w:szCs w:val="20"/>
              </w:rPr>
              <w:t>Why is this a key area for quality improvement?</w:t>
            </w:r>
            <w:bookmarkEnd w:id="148"/>
            <w:bookmarkEnd w:id="149"/>
          </w:p>
        </w:tc>
        <w:tc>
          <w:tcPr>
            <w:tcW w:w="3769" w:type="dxa"/>
            <w:shd w:val="clear" w:color="auto" w:fill="E6E6E6"/>
          </w:tcPr>
          <w:p w14:paraId="5168DF4B" w14:textId="77777777" w:rsidR="00943B7D" w:rsidRPr="000746B9" w:rsidRDefault="00943B7D" w:rsidP="00DA217C">
            <w:pPr>
              <w:rPr>
                <w:rFonts w:ascii="Arial" w:hAnsi="Arial" w:cs="Arial"/>
                <w:b/>
                <w:sz w:val="20"/>
                <w:szCs w:val="20"/>
              </w:rPr>
            </w:pPr>
            <w:r w:rsidRPr="000746B9">
              <w:rPr>
                <w:rFonts w:ascii="Arial" w:hAnsi="Arial" w:cs="Arial"/>
                <w:b/>
                <w:sz w:val="20"/>
                <w:szCs w:val="20"/>
              </w:rPr>
              <w:t>Supporting information</w:t>
            </w:r>
          </w:p>
        </w:tc>
      </w:tr>
      <w:tr w:rsidR="000746B9" w:rsidRPr="000746B9" w14:paraId="379BA8C0" w14:textId="77777777" w:rsidTr="007C6ED4">
        <w:trPr>
          <w:trHeight w:val="282"/>
        </w:trPr>
        <w:tc>
          <w:tcPr>
            <w:tcW w:w="708" w:type="dxa"/>
          </w:tcPr>
          <w:p w14:paraId="7C7124DD" w14:textId="77777777" w:rsidR="000746B9" w:rsidRPr="000746B9" w:rsidRDefault="000746B9" w:rsidP="002400F4">
            <w:pPr>
              <w:pStyle w:val="TableText1"/>
              <w:numPr>
                <w:ilvl w:val="0"/>
                <w:numId w:val="45"/>
              </w:numPr>
              <w:rPr>
                <w:rFonts w:cs="Arial"/>
                <w:sz w:val="20"/>
                <w:szCs w:val="20"/>
              </w:rPr>
            </w:pPr>
            <w:r w:rsidRPr="000746B9">
              <w:rPr>
                <w:rFonts w:cs="Arial"/>
                <w:sz w:val="20"/>
                <w:szCs w:val="20"/>
              </w:rPr>
              <w:t>3a</w:t>
            </w:r>
          </w:p>
        </w:tc>
        <w:tc>
          <w:tcPr>
            <w:tcW w:w="2264" w:type="dxa"/>
          </w:tcPr>
          <w:p w14:paraId="1BA0211B" w14:textId="77777777" w:rsidR="000746B9" w:rsidRPr="000746B9" w:rsidRDefault="000746B9" w:rsidP="00DA217C">
            <w:pPr>
              <w:pStyle w:val="TableText1"/>
              <w:rPr>
                <w:rFonts w:cs="Arial"/>
                <w:sz w:val="20"/>
                <w:szCs w:val="20"/>
              </w:rPr>
            </w:pPr>
            <w:r w:rsidRPr="000746B9">
              <w:rPr>
                <w:rFonts w:cs="Arial"/>
                <w:sz w:val="20"/>
                <w:szCs w:val="20"/>
              </w:rPr>
              <w:t>ADVANZ Pharma</w:t>
            </w:r>
          </w:p>
        </w:tc>
        <w:tc>
          <w:tcPr>
            <w:tcW w:w="3588" w:type="dxa"/>
          </w:tcPr>
          <w:p w14:paraId="6922D529" w14:textId="77777777" w:rsidR="000746B9" w:rsidRPr="000746B9" w:rsidRDefault="000746B9" w:rsidP="00DA217C">
            <w:pPr>
              <w:pStyle w:val="TableText1"/>
              <w:rPr>
                <w:rFonts w:cs="Arial"/>
                <w:sz w:val="20"/>
                <w:szCs w:val="20"/>
              </w:rPr>
            </w:pPr>
            <w:r w:rsidRPr="000746B9">
              <w:rPr>
                <w:rFonts w:cs="Arial"/>
                <w:sz w:val="20"/>
                <w:szCs w:val="20"/>
                <w:lang w:bidi="ne-NP"/>
              </w:rPr>
              <w:t>Urinary tract infection (catheter-associated): antimicrobial prescribing</w:t>
            </w:r>
          </w:p>
        </w:tc>
        <w:tc>
          <w:tcPr>
            <w:tcW w:w="4350" w:type="dxa"/>
          </w:tcPr>
          <w:p w14:paraId="78586341" w14:textId="77777777" w:rsidR="000746B9" w:rsidRPr="000746B9" w:rsidRDefault="000746B9" w:rsidP="00DA217C">
            <w:pPr>
              <w:pStyle w:val="Paragraphnonumbers"/>
              <w:jc w:val="both"/>
              <w:rPr>
                <w:rFonts w:cs="Arial"/>
                <w:color w:val="212121"/>
                <w:sz w:val="20"/>
                <w:szCs w:val="20"/>
                <w:shd w:val="clear" w:color="auto" w:fill="FFFFFF"/>
              </w:rPr>
            </w:pPr>
            <w:r w:rsidRPr="000746B9">
              <w:rPr>
                <w:rFonts w:cs="Arial"/>
                <w:color w:val="212121"/>
                <w:sz w:val="20"/>
                <w:szCs w:val="20"/>
                <w:shd w:val="clear" w:color="auto" w:fill="FFFFFF"/>
              </w:rPr>
              <w:t xml:space="preserve">A systematic review of literature has reported that there is that there is no standardisation or even consensus among practitioners and hospitals/institutions regarding the protocols carried out of urinary catheter's insertion and maintenance.  </w:t>
            </w:r>
          </w:p>
          <w:p w14:paraId="71E49AE3" w14:textId="77777777" w:rsidR="000746B9" w:rsidRPr="000746B9" w:rsidRDefault="000746B9" w:rsidP="00DA217C">
            <w:pPr>
              <w:pStyle w:val="Paragraphnonumbers"/>
              <w:jc w:val="both"/>
              <w:rPr>
                <w:rFonts w:cs="Arial"/>
                <w:color w:val="212121"/>
                <w:sz w:val="20"/>
                <w:szCs w:val="20"/>
                <w:shd w:val="clear" w:color="auto" w:fill="FFFFFF"/>
              </w:rPr>
            </w:pPr>
            <w:r w:rsidRPr="000746B9">
              <w:rPr>
                <w:rFonts w:cs="Arial"/>
                <w:color w:val="212121"/>
                <w:sz w:val="20"/>
                <w:szCs w:val="20"/>
                <w:shd w:val="clear" w:color="auto" w:fill="FFFFFF"/>
              </w:rPr>
              <w:t xml:space="preserve">Standardisation of Catheter insertion and tailored individual programmes based on clinical need is required. </w:t>
            </w:r>
          </w:p>
          <w:p w14:paraId="6A16F46B" w14:textId="77777777" w:rsidR="000746B9" w:rsidRPr="000746B9" w:rsidRDefault="000746B9" w:rsidP="00DA217C">
            <w:pPr>
              <w:pStyle w:val="TableText1"/>
              <w:rPr>
                <w:rFonts w:cs="Arial"/>
                <w:sz w:val="20"/>
                <w:szCs w:val="20"/>
              </w:rPr>
            </w:pPr>
            <w:r w:rsidRPr="000746B9">
              <w:rPr>
                <w:rFonts w:cs="Arial"/>
                <w:color w:val="212121"/>
                <w:sz w:val="20"/>
                <w:szCs w:val="20"/>
                <w:shd w:val="clear" w:color="auto" w:fill="FFFFFF"/>
              </w:rPr>
              <w:t>Multiple interventions and measures such as reducing the number of catheters in place, removing catheters at their earliest, clinically appropriate time, reducing the number of unnecessary catheters inserted, decrease antibiotic administration unless clinically needed, raising more awareness and provide training of nursing personnel on the latest guidelines, can effectively lower the incidence of CA-UTIs</w:t>
            </w:r>
          </w:p>
        </w:tc>
        <w:tc>
          <w:tcPr>
            <w:tcW w:w="3769" w:type="dxa"/>
          </w:tcPr>
          <w:p w14:paraId="0DAB93C0" w14:textId="77777777" w:rsidR="000746B9" w:rsidRPr="000746B9" w:rsidRDefault="000746B9" w:rsidP="00DA217C">
            <w:pPr>
              <w:pStyle w:val="Paragraphnonumbers"/>
              <w:jc w:val="both"/>
              <w:rPr>
                <w:rFonts w:cs="Arial"/>
                <w:sz w:val="20"/>
                <w:szCs w:val="20"/>
              </w:rPr>
            </w:pPr>
            <w:r w:rsidRPr="000746B9">
              <w:rPr>
                <w:rFonts w:cs="Arial"/>
                <w:sz w:val="20"/>
                <w:szCs w:val="20"/>
              </w:rPr>
              <w:t xml:space="preserve">Please refer to the systematic review for further information: </w:t>
            </w:r>
          </w:p>
          <w:p w14:paraId="0A4FEF4A" w14:textId="77777777" w:rsidR="000746B9" w:rsidRPr="000746B9" w:rsidRDefault="00AC503C" w:rsidP="00DA217C">
            <w:pPr>
              <w:pStyle w:val="TableText1"/>
              <w:rPr>
                <w:rFonts w:cs="Arial"/>
                <w:sz w:val="20"/>
                <w:szCs w:val="20"/>
              </w:rPr>
            </w:pPr>
            <w:hyperlink r:id="rId108" w:history="1">
              <w:r w:rsidR="000746B9" w:rsidRPr="000746B9">
                <w:rPr>
                  <w:rStyle w:val="Hyperlink"/>
                  <w:rFonts w:cs="Arial"/>
                  <w:sz w:val="20"/>
                  <w:szCs w:val="20"/>
                </w:rPr>
                <w:t>https://www.ncbi.nlm.nih.gov/pmc/articles/PMC8366179/</w:t>
              </w:r>
            </w:hyperlink>
          </w:p>
        </w:tc>
      </w:tr>
      <w:tr w:rsidR="000746B9" w:rsidRPr="000746B9" w14:paraId="2C2BDE03" w14:textId="77777777" w:rsidTr="007C6ED4">
        <w:trPr>
          <w:trHeight w:val="282"/>
        </w:trPr>
        <w:tc>
          <w:tcPr>
            <w:tcW w:w="708" w:type="dxa"/>
          </w:tcPr>
          <w:p w14:paraId="69A5906F" w14:textId="77777777" w:rsidR="000746B9" w:rsidRPr="000746B9" w:rsidRDefault="000746B9" w:rsidP="002400F4">
            <w:pPr>
              <w:pStyle w:val="TableText1"/>
              <w:numPr>
                <w:ilvl w:val="0"/>
                <w:numId w:val="45"/>
              </w:numPr>
              <w:rPr>
                <w:rFonts w:cs="Arial"/>
                <w:sz w:val="20"/>
                <w:szCs w:val="20"/>
              </w:rPr>
            </w:pPr>
            <w:r w:rsidRPr="000746B9">
              <w:rPr>
                <w:rFonts w:cs="Arial"/>
                <w:sz w:val="20"/>
                <w:szCs w:val="20"/>
              </w:rPr>
              <w:t>3a</w:t>
            </w:r>
          </w:p>
        </w:tc>
        <w:tc>
          <w:tcPr>
            <w:tcW w:w="2264" w:type="dxa"/>
          </w:tcPr>
          <w:p w14:paraId="0FA2E57E" w14:textId="77777777" w:rsidR="000746B9" w:rsidRPr="000746B9" w:rsidRDefault="000746B9" w:rsidP="00DA217C">
            <w:pPr>
              <w:pStyle w:val="TableText1"/>
              <w:rPr>
                <w:rFonts w:cs="Arial"/>
                <w:sz w:val="20"/>
                <w:szCs w:val="20"/>
              </w:rPr>
            </w:pPr>
            <w:r w:rsidRPr="000746B9">
              <w:rPr>
                <w:rFonts w:cs="Arial"/>
                <w:sz w:val="20"/>
                <w:szCs w:val="20"/>
              </w:rPr>
              <w:t>ADVANZ Pharma</w:t>
            </w:r>
          </w:p>
        </w:tc>
        <w:tc>
          <w:tcPr>
            <w:tcW w:w="3588" w:type="dxa"/>
          </w:tcPr>
          <w:p w14:paraId="774ACD37" w14:textId="77777777" w:rsidR="000746B9" w:rsidRPr="000746B9" w:rsidRDefault="000746B9" w:rsidP="00DA217C">
            <w:pPr>
              <w:pStyle w:val="TableText1"/>
              <w:rPr>
                <w:rFonts w:cs="Arial"/>
                <w:sz w:val="20"/>
                <w:szCs w:val="20"/>
              </w:rPr>
            </w:pPr>
            <w:r w:rsidRPr="000746B9">
              <w:rPr>
                <w:rFonts w:cs="Arial"/>
                <w:sz w:val="20"/>
                <w:szCs w:val="20"/>
              </w:rPr>
              <w:t>Urinary tract infection (recurrent): antimicrobial prescribing</w:t>
            </w:r>
          </w:p>
        </w:tc>
        <w:tc>
          <w:tcPr>
            <w:tcW w:w="4350" w:type="dxa"/>
          </w:tcPr>
          <w:p w14:paraId="0BAFAAE6" w14:textId="77777777" w:rsidR="000746B9" w:rsidRPr="000746B9" w:rsidRDefault="000746B9" w:rsidP="00DA217C">
            <w:pPr>
              <w:pStyle w:val="Paragraphnonumbers"/>
              <w:jc w:val="both"/>
              <w:rPr>
                <w:rFonts w:cs="Arial"/>
                <w:color w:val="1C1D1E"/>
                <w:sz w:val="20"/>
                <w:szCs w:val="20"/>
                <w:shd w:val="clear" w:color="auto" w:fill="FFFFFF"/>
              </w:rPr>
            </w:pPr>
            <w:r w:rsidRPr="000746B9">
              <w:rPr>
                <w:rFonts w:cs="Arial"/>
                <w:color w:val="1C1D1E"/>
                <w:sz w:val="20"/>
                <w:szCs w:val="20"/>
                <w:shd w:val="clear" w:color="auto" w:fill="FFFFFF"/>
              </w:rPr>
              <w:t xml:space="preserve">A review article of current guidelines found that after a review of international guidelines none were specifically tailored to the management of recurrent </w:t>
            </w:r>
            <w:proofErr w:type="spellStart"/>
            <w:r w:rsidRPr="000746B9">
              <w:rPr>
                <w:rFonts w:cs="Arial"/>
                <w:color w:val="1C1D1E"/>
                <w:sz w:val="20"/>
                <w:szCs w:val="20"/>
                <w:shd w:val="clear" w:color="auto" w:fill="FFFFFF"/>
              </w:rPr>
              <w:t>cUTI</w:t>
            </w:r>
            <w:proofErr w:type="spellEnd"/>
            <w:r w:rsidRPr="000746B9">
              <w:rPr>
                <w:rFonts w:cs="Arial"/>
                <w:color w:val="1C1D1E"/>
                <w:sz w:val="20"/>
                <w:szCs w:val="20"/>
                <w:shd w:val="clear" w:color="auto" w:fill="FFFFFF"/>
              </w:rPr>
              <w:t xml:space="preserve"> in those with an anatomical or functional abnormality of the urinary tract, in-dwelling catheters, or immunocompromising </w:t>
            </w:r>
            <w:r w:rsidRPr="000746B9">
              <w:rPr>
                <w:rFonts w:cs="Arial"/>
                <w:color w:val="1C1D1E"/>
                <w:sz w:val="20"/>
                <w:szCs w:val="20"/>
                <w:shd w:val="clear" w:color="auto" w:fill="FFFFFF"/>
              </w:rPr>
              <w:lastRenderedPageBreak/>
              <w:t>comorbidities and risk factors (age, pregnancy, spinal cord injury, diabetes mellitus)</w:t>
            </w:r>
          </w:p>
          <w:p w14:paraId="6D3BED07" w14:textId="77777777" w:rsidR="000746B9" w:rsidRPr="000746B9" w:rsidRDefault="000746B9" w:rsidP="00DA217C">
            <w:pPr>
              <w:pStyle w:val="TableText1"/>
              <w:rPr>
                <w:rFonts w:cs="Arial"/>
                <w:sz w:val="20"/>
                <w:szCs w:val="20"/>
              </w:rPr>
            </w:pPr>
            <w:r w:rsidRPr="000746B9">
              <w:rPr>
                <w:rFonts w:cs="Arial"/>
                <w:color w:val="1C1D1E"/>
                <w:sz w:val="20"/>
                <w:szCs w:val="20"/>
                <w:shd w:val="clear" w:color="auto" w:fill="FFFFFF"/>
              </w:rPr>
              <w:t xml:space="preserve">Future guidelines could consider </w:t>
            </w:r>
            <w:proofErr w:type="gramStart"/>
            <w:r w:rsidRPr="000746B9">
              <w:rPr>
                <w:rFonts w:cs="Arial"/>
                <w:color w:val="1C1D1E"/>
                <w:sz w:val="20"/>
                <w:szCs w:val="20"/>
                <w:shd w:val="clear" w:color="auto" w:fill="FFFFFF"/>
              </w:rPr>
              <w:t>particular patient</w:t>
            </w:r>
            <w:proofErr w:type="gramEnd"/>
            <w:r w:rsidRPr="000746B9">
              <w:rPr>
                <w:rFonts w:cs="Arial"/>
                <w:color w:val="1C1D1E"/>
                <w:sz w:val="20"/>
                <w:szCs w:val="20"/>
                <w:shd w:val="clear" w:color="auto" w:fill="FFFFFF"/>
              </w:rPr>
              <w:t xml:space="preserve"> groups and recommend an assessment and treatment approach to help a wide clinical audience. To aid assessment and initial treatment for primary care and other non-urological clinicians, key features in the history and examination should be outlined (e.g., infection chronology and complications, LUTS and incontinence, paediatric and obstetric history, red flags for malignancy and relevant comorbidities).</w:t>
            </w:r>
          </w:p>
        </w:tc>
        <w:tc>
          <w:tcPr>
            <w:tcW w:w="3769" w:type="dxa"/>
          </w:tcPr>
          <w:p w14:paraId="2F011D94" w14:textId="77777777" w:rsidR="000746B9" w:rsidRPr="000746B9" w:rsidRDefault="000746B9" w:rsidP="00DA217C">
            <w:pPr>
              <w:pStyle w:val="Paragraphnonumbers"/>
              <w:jc w:val="both"/>
              <w:rPr>
                <w:rFonts w:cs="Arial"/>
                <w:sz w:val="20"/>
                <w:szCs w:val="20"/>
              </w:rPr>
            </w:pPr>
            <w:r w:rsidRPr="000746B9">
              <w:rPr>
                <w:rFonts w:cs="Arial"/>
                <w:sz w:val="20"/>
                <w:szCs w:val="20"/>
              </w:rPr>
              <w:lastRenderedPageBreak/>
              <w:t>Please refer to the following review article for further information:</w:t>
            </w:r>
          </w:p>
          <w:p w14:paraId="58D8904E" w14:textId="77777777" w:rsidR="000746B9" w:rsidRPr="000746B9" w:rsidRDefault="00AC503C" w:rsidP="00DA217C">
            <w:pPr>
              <w:pStyle w:val="Paragraphnonumbers"/>
              <w:jc w:val="both"/>
              <w:rPr>
                <w:rFonts w:cs="Arial"/>
                <w:sz w:val="20"/>
                <w:szCs w:val="20"/>
              </w:rPr>
            </w:pPr>
            <w:hyperlink r:id="rId109" w:history="1">
              <w:r w:rsidR="000746B9" w:rsidRPr="000746B9">
                <w:rPr>
                  <w:rStyle w:val="Hyperlink"/>
                  <w:rFonts w:cs="Arial"/>
                  <w:sz w:val="20"/>
                  <w:szCs w:val="20"/>
                </w:rPr>
                <w:t>https://bjuijournals.onlinelibrary.wiley.com/doi/10.1111/bju.15756</w:t>
              </w:r>
            </w:hyperlink>
            <w:r w:rsidR="000746B9" w:rsidRPr="000746B9">
              <w:rPr>
                <w:rFonts w:cs="Arial"/>
                <w:sz w:val="20"/>
                <w:szCs w:val="20"/>
              </w:rPr>
              <w:t xml:space="preserve"> </w:t>
            </w:r>
          </w:p>
          <w:p w14:paraId="0724DC80" w14:textId="77777777" w:rsidR="000746B9" w:rsidRPr="000746B9" w:rsidRDefault="000746B9" w:rsidP="00DA217C">
            <w:pPr>
              <w:pStyle w:val="TableText1"/>
              <w:rPr>
                <w:rFonts w:cs="Arial"/>
                <w:sz w:val="20"/>
                <w:szCs w:val="20"/>
              </w:rPr>
            </w:pPr>
          </w:p>
        </w:tc>
      </w:tr>
      <w:tr w:rsidR="000746B9" w:rsidRPr="000746B9" w14:paraId="5AD91006" w14:textId="77777777" w:rsidTr="007C6ED4">
        <w:trPr>
          <w:trHeight w:val="282"/>
        </w:trPr>
        <w:tc>
          <w:tcPr>
            <w:tcW w:w="708" w:type="dxa"/>
          </w:tcPr>
          <w:p w14:paraId="29F0E5D1" w14:textId="77777777" w:rsidR="000746B9" w:rsidRPr="000746B9" w:rsidRDefault="000746B9" w:rsidP="002400F4">
            <w:pPr>
              <w:pStyle w:val="TableText1"/>
              <w:numPr>
                <w:ilvl w:val="0"/>
                <w:numId w:val="45"/>
              </w:numPr>
              <w:rPr>
                <w:rFonts w:cs="Arial"/>
                <w:sz w:val="20"/>
                <w:szCs w:val="20"/>
              </w:rPr>
            </w:pPr>
            <w:r w:rsidRPr="000746B9">
              <w:rPr>
                <w:rFonts w:cs="Arial"/>
                <w:sz w:val="20"/>
                <w:szCs w:val="20"/>
              </w:rPr>
              <w:t>3a</w:t>
            </w:r>
          </w:p>
        </w:tc>
        <w:tc>
          <w:tcPr>
            <w:tcW w:w="2264" w:type="dxa"/>
          </w:tcPr>
          <w:p w14:paraId="19AD5CC4" w14:textId="77777777" w:rsidR="000746B9" w:rsidRPr="000746B9" w:rsidRDefault="000746B9" w:rsidP="00DA217C">
            <w:pPr>
              <w:pStyle w:val="TableText1"/>
              <w:rPr>
                <w:rFonts w:cs="Arial"/>
                <w:sz w:val="20"/>
                <w:szCs w:val="20"/>
              </w:rPr>
            </w:pPr>
            <w:r w:rsidRPr="000746B9">
              <w:rPr>
                <w:rFonts w:cs="Arial"/>
                <w:sz w:val="20"/>
                <w:szCs w:val="20"/>
              </w:rPr>
              <w:t>C.R. Bard Inc.</w:t>
            </w:r>
          </w:p>
        </w:tc>
        <w:tc>
          <w:tcPr>
            <w:tcW w:w="3588" w:type="dxa"/>
            <w:tcBorders>
              <w:top w:val="single" w:sz="4" w:space="0" w:color="auto"/>
              <w:left w:val="single" w:sz="4" w:space="0" w:color="auto"/>
              <w:bottom w:val="single" w:sz="4" w:space="0" w:color="auto"/>
              <w:right w:val="single" w:sz="4" w:space="0" w:color="auto"/>
            </w:tcBorders>
          </w:tcPr>
          <w:p w14:paraId="2ACC9CE0" w14:textId="77777777" w:rsidR="000746B9" w:rsidRPr="000746B9" w:rsidRDefault="000746B9" w:rsidP="00DA217C">
            <w:pPr>
              <w:pStyle w:val="Paragraphnonumbers"/>
              <w:spacing w:after="120"/>
              <w:rPr>
                <w:rFonts w:cs="Arial"/>
                <w:sz w:val="20"/>
                <w:szCs w:val="20"/>
              </w:rPr>
            </w:pPr>
            <w:r w:rsidRPr="000746B9">
              <w:rPr>
                <w:rFonts w:cs="Arial"/>
                <w:sz w:val="20"/>
                <w:szCs w:val="20"/>
              </w:rPr>
              <w:t>Key area for quality improvement 1</w:t>
            </w:r>
          </w:p>
          <w:p w14:paraId="06AB16C5" w14:textId="77777777" w:rsidR="000746B9" w:rsidRPr="000746B9" w:rsidRDefault="000746B9" w:rsidP="00DA217C">
            <w:pPr>
              <w:pStyle w:val="Paragraphnonumbers"/>
              <w:spacing w:after="120"/>
              <w:rPr>
                <w:rFonts w:cs="Arial"/>
                <w:sz w:val="20"/>
                <w:szCs w:val="20"/>
              </w:rPr>
            </w:pPr>
            <w:r w:rsidRPr="000746B9">
              <w:rPr>
                <w:rFonts w:cs="Arial"/>
                <w:b/>
                <w:bCs/>
                <w:sz w:val="20"/>
                <w:szCs w:val="20"/>
              </w:rPr>
              <w:t>For inclusion in patient records</w:t>
            </w:r>
          </w:p>
        </w:tc>
        <w:tc>
          <w:tcPr>
            <w:tcW w:w="4350" w:type="dxa"/>
            <w:tcBorders>
              <w:top w:val="single" w:sz="4" w:space="0" w:color="auto"/>
              <w:left w:val="single" w:sz="4" w:space="0" w:color="auto"/>
              <w:bottom w:val="single" w:sz="4" w:space="0" w:color="auto"/>
              <w:right w:val="single" w:sz="4" w:space="0" w:color="auto"/>
            </w:tcBorders>
          </w:tcPr>
          <w:p w14:paraId="6C952B6D" w14:textId="77777777" w:rsidR="000746B9" w:rsidRPr="000746B9" w:rsidRDefault="000746B9" w:rsidP="00DA217C">
            <w:pPr>
              <w:pStyle w:val="Paragraphnonumbers"/>
              <w:rPr>
                <w:rFonts w:cs="Arial"/>
                <w:sz w:val="20"/>
                <w:szCs w:val="20"/>
              </w:rPr>
            </w:pPr>
            <w:r w:rsidRPr="000746B9">
              <w:rPr>
                <w:rFonts w:cs="Arial"/>
                <w:b/>
                <w:bCs/>
                <w:sz w:val="20"/>
                <w:szCs w:val="20"/>
              </w:rPr>
              <w:t>Details of catheter review:</w:t>
            </w:r>
            <w:r w:rsidRPr="000746B9">
              <w:rPr>
                <w:rFonts w:cs="Arial"/>
                <w:sz w:val="20"/>
                <w:szCs w:val="20"/>
              </w:rPr>
              <w:t xml:space="preserve"> a key cause of CAUTI is inaccurate timelines of catheterisation. Recording when a catheter is inserted is key in establishing the duration of patient catheterisation. Recording a proposed timeline for review of </w:t>
            </w:r>
            <w:proofErr w:type="gramStart"/>
            <w:r w:rsidRPr="000746B9">
              <w:rPr>
                <w:rFonts w:cs="Arial"/>
                <w:sz w:val="20"/>
                <w:szCs w:val="20"/>
              </w:rPr>
              <w:t>particular catheter</w:t>
            </w:r>
            <w:proofErr w:type="gramEnd"/>
            <w:r w:rsidRPr="000746B9">
              <w:rPr>
                <w:rFonts w:cs="Arial"/>
                <w:sz w:val="20"/>
                <w:szCs w:val="20"/>
              </w:rPr>
              <w:t xml:space="preserve"> use should also be recorded in order to avoid the inappropriate use of extended catheterisation and the consequent risk of CAUTI.</w:t>
            </w:r>
          </w:p>
        </w:tc>
        <w:tc>
          <w:tcPr>
            <w:tcW w:w="3769" w:type="dxa"/>
            <w:tcBorders>
              <w:top w:val="single" w:sz="4" w:space="0" w:color="auto"/>
              <w:left w:val="single" w:sz="4" w:space="0" w:color="auto"/>
              <w:bottom w:val="single" w:sz="4" w:space="0" w:color="auto"/>
              <w:right w:val="single" w:sz="4" w:space="0" w:color="auto"/>
            </w:tcBorders>
          </w:tcPr>
          <w:p w14:paraId="31AFE6B7" w14:textId="77777777" w:rsidR="000746B9" w:rsidRPr="000746B9" w:rsidRDefault="000746B9" w:rsidP="00DA217C">
            <w:pPr>
              <w:rPr>
                <w:rFonts w:ascii="Arial" w:hAnsi="Arial" w:cs="Arial"/>
                <w:sz w:val="20"/>
                <w:szCs w:val="20"/>
              </w:rPr>
            </w:pPr>
            <w:r w:rsidRPr="000746B9">
              <w:rPr>
                <w:rFonts w:ascii="Arial" w:hAnsi="Arial" w:cs="Arial"/>
                <w:sz w:val="20"/>
                <w:szCs w:val="20"/>
              </w:rPr>
              <w:t xml:space="preserve">These review details should include options such as: a review of the need for a catheter, a date for removal or trial without a catheter (TWOC), a referral for district nursing review or TWOC, a referral for urological review or TWOC, a referral to community continence services, the use of a patient held plan (catheter passport). </w:t>
            </w:r>
          </w:p>
          <w:p w14:paraId="4432C688" w14:textId="77777777" w:rsidR="000746B9" w:rsidRPr="000746B9" w:rsidRDefault="000746B9" w:rsidP="00DA217C">
            <w:pPr>
              <w:rPr>
                <w:rFonts w:ascii="Arial" w:hAnsi="Arial" w:cs="Arial"/>
                <w:sz w:val="20"/>
                <w:szCs w:val="20"/>
              </w:rPr>
            </w:pPr>
          </w:p>
          <w:p w14:paraId="6AF73741" w14:textId="77777777" w:rsidR="000746B9" w:rsidRPr="000746B9" w:rsidRDefault="000746B9" w:rsidP="00DA217C">
            <w:pPr>
              <w:rPr>
                <w:rFonts w:ascii="Arial" w:hAnsi="Arial" w:cs="Arial"/>
                <w:sz w:val="20"/>
                <w:szCs w:val="20"/>
              </w:rPr>
            </w:pPr>
            <w:r w:rsidRPr="000746B9">
              <w:rPr>
                <w:rFonts w:ascii="Arial" w:hAnsi="Arial" w:cs="Arial"/>
                <w:sz w:val="20"/>
                <w:szCs w:val="20"/>
              </w:rPr>
              <w:t xml:space="preserve">See U Decide Audit Tool used by The Infection Prevention Society as an example of best practice </w:t>
            </w:r>
            <w:hyperlink r:id="rId110" w:history="1">
              <w:r w:rsidRPr="000746B9">
                <w:rPr>
                  <w:rStyle w:val="Hyperlink"/>
                  <w:rFonts w:ascii="Arial" w:hAnsi="Arial" w:cs="Arial"/>
                  <w:sz w:val="20"/>
                  <w:szCs w:val="20"/>
                </w:rPr>
                <w:t xml:space="preserve">..\OneDrive - </w:t>
              </w:r>
              <w:proofErr w:type="spellStart"/>
              <w:r w:rsidRPr="000746B9">
                <w:rPr>
                  <w:rStyle w:val="Hyperlink"/>
                  <w:rFonts w:ascii="Arial" w:hAnsi="Arial" w:cs="Arial"/>
                  <w:sz w:val="20"/>
                  <w:szCs w:val="20"/>
                </w:rPr>
                <w:t>Healthcomms</w:t>
              </w:r>
              <w:proofErr w:type="spellEnd"/>
              <w:r w:rsidRPr="000746B9">
                <w:rPr>
                  <w:rStyle w:val="Hyperlink"/>
                  <w:rFonts w:ascii="Arial" w:hAnsi="Arial" w:cs="Arial"/>
                  <w:sz w:val="20"/>
                  <w:szCs w:val="20"/>
                </w:rPr>
                <w:t xml:space="preserve"> Consulting\U-decide audit tool Infection Prevention Society Tool.pdf</w:t>
              </w:r>
            </w:hyperlink>
          </w:p>
          <w:p w14:paraId="290FAF60" w14:textId="77777777" w:rsidR="000746B9" w:rsidRPr="000746B9" w:rsidRDefault="000746B9" w:rsidP="00DA217C">
            <w:pPr>
              <w:rPr>
                <w:rFonts w:ascii="Arial" w:hAnsi="Arial" w:cs="Arial"/>
                <w:sz w:val="20"/>
                <w:szCs w:val="20"/>
              </w:rPr>
            </w:pPr>
          </w:p>
          <w:p w14:paraId="59C7CBF7" w14:textId="77777777" w:rsidR="000746B9" w:rsidRPr="000746B9" w:rsidRDefault="000746B9" w:rsidP="00DA217C">
            <w:pPr>
              <w:rPr>
                <w:rFonts w:ascii="Arial" w:hAnsi="Arial" w:cs="Arial"/>
                <w:sz w:val="20"/>
                <w:szCs w:val="20"/>
              </w:rPr>
            </w:pPr>
          </w:p>
          <w:p w14:paraId="60E8B79E" w14:textId="77777777" w:rsidR="000746B9" w:rsidRPr="000746B9" w:rsidRDefault="000746B9" w:rsidP="00DA217C">
            <w:pPr>
              <w:pStyle w:val="NormalWeb"/>
              <w:rPr>
                <w:rFonts w:ascii="Arial" w:hAnsi="Arial" w:cs="Arial"/>
                <w:i/>
                <w:iCs/>
                <w:color w:val="262626"/>
                <w:sz w:val="20"/>
                <w:szCs w:val="20"/>
              </w:rPr>
            </w:pPr>
          </w:p>
        </w:tc>
      </w:tr>
      <w:tr w:rsidR="000746B9" w:rsidRPr="000746B9" w14:paraId="0B5B3C58" w14:textId="77777777" w:rsidTr="007C6ED4">
        <w:trPr>
          <w:trHeight w:val="282"/>
        </w:trPr>
        <w:tc>
          <w:tcPr>
            <w:tcW w:w="708" w:type="dxa"/>
          </w:tcPr>
          <w:p w14:paraId="54489809" w14:textId="77777777" w:rsidR="000746B9" w:rsidRPr="000746B9" w:rsidRDefault="000746B9" w:rsidP="002400F4">
            <w:pPr>
              <w:pStyle w:val="TableText1"/>
              <w:numPr>
                <w:ilvl w:val="0"/>
                <w:numId w:val="45"/>
              </w:numPr>
              <w:rPr>
                <w:rFonts w:cs="Arial"/>
                <w:sz w:val="20"/>
                <w:szCs w:val="20"/>
              </w:rPr>
            </w:pPr>
            <w:r w:rsidRPr="000746B9">
              <w:rPr>
                <w:rFonts w:cs="Arial"/>
                <w:sz w:val="20"/>
                <w:szCs w:val="20"/>
              </w:rPr>
              <w:lastRenderedPageBreak/>
              <w:t>3a</w:t>
            </w:r>
          </w:p>
        </w:tc>
        <w:tc>
          <w:tcPr>
            <w:tcW w:w="2264" w:type="dxa"/>
          </w:tcPr>
          <w:p w14:paraId="7FFD73A6" w14:textId="77777777" w:rsidR="000746B9" w:rsidRPr="000746B9" w:rsidRDefault="000746B9" w:rsidP="00DA217C">
            <w:pPr>
              <w:pStyle w:val="TableText1"/>
              <w:rPr>
                <w:rFonts w:cs="Arial"/>
                <w:sz w:val="20"/>
                <w:szCs w:val="20"/>
              </w:rPr>
            </w:pPr>
            <w:r w:rsidRPr="000746B9">
              <w:rPr>
                <w:rFonts w:cs="Arial"/>
                <w:sz w:val="20"/>
                <w:szCs w:val="20"/>
              </w:rPr>
              <w:t>C.R. Bard Inc.</w:t>
            </w:r>
          </w:p>
        </w:tc>
        <w:tc>
          <w:tcPr>
            <w:tcW w:w="3588" w:type="dxa"/>
            <w:tcBorders>
              <w:top w:val="single" w:sz="4" w:space="0" w:color="auto"/>
              <w:left w:val="single" w:sz="4" w:space="0" w:color="auto"/>
              <w:bottom w:val="single" w:sz="4" w:space="0" w:color="auto"/>
              <w:right w:val="single" w:sz="4" w:space="0" w:color="auto"/>
            </w:tcBorders>
          </w:tcPr>
          <w:p w14:paraId="394A941A" w14:textId="77777777" w:rsidR="000746B9" w:rsidRPr="000746B9" w:rsidRDefault="000746B9" w:rsidP="00DA217C">
            <w:pPr>
              <w:pStyle w:val="Paragraphnonumbers"/>
              <w:spacing w:after="120"/>
              <w:rPr>
                <w:rFonts w:cs="Arial"/>
                <w:sz w:val="20"/>
                <w:szCs w:val="20"/>
              </w:rPr>
            </w:pPr>
            <w:r w:rsidRPr="000746B9">
              <w:rPr>
                <w:rFonts w:cs="Arial"/>
                <w:sz w:val="20"/>
                <w:szCs w:val="20"/>
              </w:rPr>
              <w:t>Key area for quality improvement 2</w:t>
            </w:r>
          </w:p>
          <w:p w14:paraId="7D207964" w14:textId="77777777" w:rsidR="000746B9" w:rsidRPr="000746B9" w:rsidRDefault="000746B9" w:rsidP="00DA217C">
            <w:pPr>
              <w:pStyle w:val="Paragraphnonumbers"/>
              <w:spacing w:after="120"/>
              <w:rPr>
                <w:rFonts w:cs="Arial"/>
                <w:sz w:val="20"/>
                <w:szCs w:val="20"/>
              </w:rPr>
            </w:pPr>
            <w:r w:rsidRPr="000746B9">
              <w:rPr>
                <w:rFonts w:cs="Arial"/>
                <w:b/>
                <w:bCs/>
                <w:sz w:val="20"/>
                <w:szCs w:val="20"/>
              </w:rPr>
              <w:t xml:space="preserve">For Inclusion in patient records </w:t>
            </w:r>
          </w:p>
        </w:tc>
        <w:tc>
          <w:tcPr>
            <w:tcW w:w="4350" w:type="dxa"/>
            <w:tcBorders>
              <w:top w:val="single" w:sz="4" w:space="0" w:color="auto"/>
              <w:left w:val="single" w:sz="4" w:space="0" w:color="auto"/>
              <w:bottom w:val="single" w:sz="4" w:space="0" w:color="auto"/>
              <w:right w:val="single" w:sz="4" w:space="0" w:color="auto"/>
            </w:tcBorders>
          </w:tcPr>
          <w:p w14:paraId="61DDEA43" w14:textId="77777777" w:rsidR="000746B9" w:rsidRPr="000746B9" w:rsidRDefault="000746B9" w:rsidP="00DA217C">
            <w:pPr>
              <w:rPr>
                <w:rFonts w:ascii="Arial" w:hAnsi="Arial" w:cs="Arial"/>
                <w:sz w:val="20"/>
                <w:szCs w:val="20"/>
              </w:rPr>
            </w:pPr>
            <w:r w:rsidRPr="000746B9">
              <w:rPr>
                <w:rFonts w:ascii="Arial" w:hAnsi="Arial" w:cs="Arial"/>
                <w:b/>
                <w:bCs/>
                <w:sz w:val="20"/>
                <w:szCs w:val="20"/>
              </w:rPr>
              <w:t>Reason for catheter insertion</w:t>
            </w:r>
            <w:r w:rsidRPr="000746B9">
              <w:rPr>
                <w:rFonts w:ascii="Arial" w:hAnsi="Arial" w:cs="Arial"/>
                <w:sz w:val="20"/>
                <w:szCs w:val="20"/>
              </w:rPr>
              <w:t>: Establishing and recording why a catheter has been used is key in curbing excess catheterisation and should include reasons like urinary retention, bladder outlet obstruction, neurological, sacral / perineal wound in an incontinent patient, end of life comfort, instillation of medication and patient choice. Recording whether a urethral or suprapubic catheter is being used is also key in ensuring the best possible patient treatment</w:t>
            </w:r>
          </w:p>
          <w:p w14:paraId="1970ECC6" w14:textId="77777777" w:rsidR="000746B9" w:rsidRPr="000746B9" w:rsidRDefault="000746B9" w:rsidP="00DA217C">
            <w:pPr>
              <w:pStyle w:val="Paragraphnonumbers"/>
              <w:rPr>
                <w:rFonts w:cs="Arial"/>
                <w:b/>
                <w:bCs/>
                <w:sz w:val="20"/>
                <w:szCs w:val="20"/>
              </w:rPr>
            </w:pPr>
          </w:p>
        </w:tc>
        <w:tc>
          <w:tcPr>
            <w:tcW w:w="3769" w:type="dxa"/>
            <w:tcBorders>
              <w:top w:val="single" w:sz="4" w:space="0" w:color="auto"/>
              <w:left w:val="single" w:sz="4" w:space="0" w:color="auto"/>
              <w:bottom w:val="single" w:sz="4" w:space="0" w:color="auto"/>
              <w:right w:val="single" w:sz="4" w:space="0" w:color="auto"/>
            </w:tcBorders>
          </w:tcPr>
          <w:p w14:paraId="1C383901" w14:textId="77777777" w:rsidR="000746B9" w:rsidRPr="000746B9" w:rsidRDefault="000746B9" w:rsidP="00DA217C">
            <w:pPr>
              <w:rPr>
                <w:rFonts w:ascii="Arial" w:hAnsi="Arial" w:cs="Arial"/>
                <w:sz w:val="20"/>
                <w:szCs w:val="20"/>
              </w:rPr>
            </w:pPr>
            <w:r w:rsidRPr="000746B9">
              <w:rPr>
                <w:rFonts w:ascii="Arial" w:hAnsi="Arial" w:cs="Arial"/>
                <w:sz w:val="20"/>
                <w:szCs w:val="20"/>
              </w:rPr>
              <w:t xml:space="preserve">See U Decide Audit Tool used by The Infection Prevention Society as an example of best practice </w:t>
            </w:r>
            <w:hyperlink r:id="rId111" w:history="1">
              <w:r w:rsidRPr="000746B9">
                <w:rPr>
                  <w:rStyle w:val="Hyperlink"/>
                  <w:rFonts w:ascii="Arial" w:hAnsi="Arial" w:cs="Arial"/>
                  <w:sz w:val="20"/>
                  <w:szCs w:val="20"/>
                </w:rPr>
                <w:t xml:space="preserve">..\OneDrive - </w:t>
              </w:r>
              <w:proofErr w:type="spellStart"/>
              <w:r w:rsidRPr="000746B9">
                <w:rPr>
                  <w:rStyle w:val="Hyperlink"/>
                  <w:rFonts w:ascii="Arial" w:hAnsi="Arial" w:cs="Arial"/>
                  <w:sz w:val="20"/>
                  <w:szCs w:val="20"/>
                </w:rPr>
                <w:t>Healthcomms</w:t>
              </w:r>
              <w:proofErr w:type="spellEnd"/>
              <w:r w:rsidRPr="000746B9">
                <w:rPr>
                  <w:rStyle w:val="Hyperlink"/>
                  <w:rFonts w:ascii="Arial" w:hAnsi="Arial" w:cs="Arial"/>
                  <w:sz w:val="20"/>
                  <w:szCs w:val="20"/>
                </w:rPr>
                <w:t xml:space="preserve"> Consulting\U-decide audit tool Infection Prevention Society Tool.pdf</w:t>
              </w:r>
            </w:hyperlink>
          </w:p>
          <w:p w14:paraId="33EFA35F" w14:textId="77777777" w:rsidR="000746B9" w:rsidRPr="000746B9" w:rsidRDefault="000746B9" w:rsidP="00DA217C">
            <w:pPr>
              <w:rPr>
                <w:rFonts w:ascii="Arial" w:hAnsi="Arial" w:cs="Arial"/>
                <w:sz w:val="20"/>
                <w:szCs w:val="20"/>
              </w:rPr>
            </w:pPr>
          </w:p>
        </w:tc>
      </w:tr>
      <w:tr w:rsidR="000746B9" w:rsidRPr="000746B9" w14:paraId="041839B5" w14:textId="77777777" w:rsidTr="007C6ED4">
        <w:trPr>
          <w:trHeight w:val="282"/>
        </w:trPr>
        <w:tc>
          <w:tcPr>
            <w:tcW w:w="708" w:type="dxa"/>
          </w:tcPr>
          <w:p w14:paraId="4626C4B9" w14:textId="77777777" w:rsidR="000746B9" w:rsidRPr="000746B9" w:rsidRDefault="000746B9" w:rsidP="002400F4">
            <w:pPr>
              <w:pStyle w:val="TableText1"/>
              <w:numPr>
                <w:ilvl w:val="0"/>
                <w:numId w:val="45"/>
              </w:numPr>
              <w:rPr>
                <w:rFonts w:cs="Arial"/>
                <w:sz w:val="20"/>
                <w:szCs w:val="20"/>
              </w:rPr>
            </w:pPr>
            <w:r w:rsidRPr="000746B9">
              <w:rPr>
                <w:rFonts w:cs="Arial"/>
                <w:sz w:val="20"/>
                <w:szCs w:val="20"/>
              </w:rPr>
              <w:t>3a</w:t>
            </w:r>
          </w:p>
        </w:tc>
        <w:tc>
          <w:tcPr>
            <w:tcW w:w="2264" w:type="dxa"/>
          </w:tcPr>
          <w:p w14:paraId="5855D55B" w14:textId="77777777" w:rsidR="000746B9" w:rsidRPr="000746B9" w:rsidRDefault="000746B9" w:rsidP="00DA217C">
            <w:pPr>
              <w:pStyle w:val="TableText1"/>
              <w:rPr>
                <w:rFonts w:cs="Arial"/>
                <w:sz w:val="20"/>
                <w:szCs w:val="20"/>
              </w:rPr>
            </w:pPr>
            <w:r w:rsidRPr="000746B9">
              <w:rPr>
                <w:rFonts w:cs="Arial"/>
                <w:sz w:val="20"/>
                <w:szCs w:val="20"/>
              </w:rPr>
              <w:t>C.R. Bard Inc.</w:t>
            </w:r>
          </w:p>
        </w:tc>
        <w:tc>
          <w:tcPr>
            <w:tcW w:w="3588" w:type="dxa"/>
            <w:tcBorders>
              <w:top w:val="single" w:sz="4" w:space="0" w:color="auto"/>
              <w:left w:val="single" w:sz="4" w:space="0" w:color="auto"/>
              <w:bottom w:val="single" w:sz="4" w:space="0" w:color="auto"/>
              <w:right w:val="single" w:sz="4" w:space="0" w:color="auto"/>
            </w:tcBorders>
          </w:tcPr>
          <w:p w14:paraId="6FE6F054" w14:textId="77777777" w:rsidR="000746B9" w:rsidRPr="000746B9" w:rsidRDefault="000746B9" w:rsidP="00DA217C">
            <w:pPr>
              <w:pStyle w:val="Paragraphnonumbers"/>
              <w:spacing w:after="120"/>
              <w:rPr>
                <w:rFonts w:cs="Arial"/>
                <w:sz w:val="20"/>
                <w:szCs w:val="20"/>
              </w:rPr>
            </w:pPr>
            <w:r w:rsidRPr="000746B9">
              <w:rPr>
                <w:rFonts w:cs="Arial"/>
                <w:sz w:val="20"/>
                <w:szCs w:val="20"/>
              </w:rPr>
              <w:t>Key area for quality improvement 3</w:t>
            </w:r>
          </w:p>
          <w:p w14:paraId="099EB26A" w14:textId="77777777" w:rsidR="000746B9" w:rsidRPr="000746B9" w:rsidRDefault="000746B9" w:rsidP="00DA217C">
            <w:pPr>
              <w:pStyle w:val="Paragraphnonumbers"/>
              <w:spacing w:after="120"/>
              <w:rPr>
                <w:rFonts w:cs="Arial"/>
                <w:sz w:val="20"/>
                <w:szCs w:val="20"/>
              </w:rPr>
            </w:pPr>
            <w:r w:rsidRPr="000746B9">
              <w:rPr>
                <w:rFonts w:cs="Arial"/>
                <w:b/>
                <w:bCs/>
                <w:sz w:val="20"/>
                <w:szCs w:val="20"/>
              </w:rPr>
              <w:t>For inclusion in patient records</w:t>
            </w:r>
          </w:p>
        </w:tc>
        <w:tc>
          <w:tcPr>
            <w:tcW w:w="4350" w:type="dxa"/>
            <w:tcBorders>
              <w:top w:val="single" w:sz="4" w:space="0" w:color="auto"/>
              <w:left w:val="single" w:sz="4" w:space="0" w:color="auto"/>
              <w:bottom w:val="single" w:sz="4" w:space="0" w:color="auto"/>
              <w:right w:val="single" w:sz="4" w:space="0" w:color="auto"/>
            </w:tcBorders>
          </w:tcPr>
          <w:p w14:paraId="282F5591" w14:textId="77777777" w:rsidR="000746B9" w:rsidRPr="000746B9" w:rsidRDefault="000746B9" w:rsidP="00DA217C">
            <w:pPr>
              <w:rPr>
                <w:rFonts w:ascii="Arial" w:hAnsi="Arial" w:cs="Arial"/>
                <w:sz w:val="20"/>
                <w:szCs w:val="20"/>
              </w:rPr>
            </w:pPr>
            <w:r w:rsidRPr="000746B9">
              <w:rPr>
                <w:rFonts w:ascii="Arial" w:hAnsi="Arial" w:cs="Arial"/>
                <w:b/>
                <w:bCs/>
                <w:sz w:val="20"/>
                <w:szCs w:val="20"/>
              </w:rPr>
              <w:t>The origin of a referral:</w:t>
            </w:r>
            <w:r w:rsidRPr="000746B9">
              <w:rPr>
                <w:rFonts w:ascii="Arial" w:hAnsi="Arial" w:cs="Arial"/>
                <w:sz w:val="20"/>
                <w:szCs w:val="20"/>
              </w:rPr>
              <w:t xml:space="preserve"> Monitoring the origin of a patient referral is a crucial aspect in establishing common patient pathways and includes which hospital unit a referral was made from, or whether it originated from a GP, a rapid response team or another district or community service. Recording a patient’s current location is also a crucial aspect in providing continuous care between clinical and community settings and includes whether a patient is being treated at home, in hospital, in a nursing home or in other forms of residential care.</w:t>
            </w:r>
          </w:p>
          <w:p w14:paraId="3AF252F9" w14:textId="77777777" w:rsidR="000746B9" w:rsidRPr="000746B9" w:rsidRDefault="000746B9" w:rsidP="00DA217C">
            <w:pPr>
              <w:rPr>
                <w:rFonts w:ascii="Arial" w:hAnsi="Arial" w:cs="Arial"/>
                <w:b/>
                <w:bCs/>
                <w:sz w:val="20"/>
                <w:szCs w:val="20"/>
              </w:rPr>
            </w:pPr>
          </w:p>
        </w:tc>
        <w:tc>
          <w:tcPr>
            <w:tcW w:w="3769" w:type="dxa"/>
            <w:tcBorders>
              <w:top w:val="single" w:sz="4" w:space="0" w:color="auto"/>
              <w:left w:val="single" w:sz="4" w:space="0" w:color="auto"/>
              <w:bottom w:val="single" w:sz="4" w:space="0" w:color="auto"/>
              <w:right w:val="single" w:sz="4" w:space="0" w:color="auto"/>
            </w:tcBorders>
          </w:tcPr>
          <w:p w14:paraId="7D65F63E" w14:textId="77777777" w:rsidR="000746B9" w:rsidRPr="000746B9" w:rsidRDefault="000746B9" w:rsidP="00DA217C">
            <w:pPr>
              <w:rPr>
                <w:rFonts w:ascii="Arial" w:hAnsi="Arial" w:cs="Arial"/>
                <w:sz w:val="20"/>
                <w:szCs w:val="20"/>
              </w:rPr>
            </w:pPr>
            <w:r w:rsidRPr="000746B9">
              <w:rPr>
                <w:rFonts w:ascii="Arial" w:hAnsi="Arial" w:cs="Arial"/>
                <w:sz w:val="20"/>
                <w:szCs w:val="20"/>
              </w:rPr>
              <w:t xml:space="preserve">See U Decide Audit Tool used by The Infection Prevention Society as an example of best practice </w:t>
            </w:r>
            <w:hyperlink r:id="rId112" w:history="1">
              <w:r w:rsidRPr="000746B9">
                <w:rPr>
                  <w:rStyle w:val="Hyperlink"/>
                  <w:rFonts w:ascii="Arial" w:hAnsi="Arial" w:cs="Arial"/>
                  <w:sz w:val="20"/>
                  <w:szCs w:val="20"/>
                </w:rPr>
                <w:t xml:space="preserve">..\OneDrive - </w:t>
              </w:r>
              <w:proofErr w:type="spellStart"/>
              <w:r w:rsidRPr="000746B9">
                <w:rPr>
                  <w:rStyle w:val="Hyperlink"/>
                  <w:rFonts w:ascii="Arial" w:hAnsi="Arial" w:cs="Arial"/>
                  <w:sz w:val="20"/>
                  <w:szCs w:val="20"/>
                </w:rPr>
                <w:t>Healthcomms</w:t>
              </w:r>
              <w:proofErr w:type="spellEnd"/>
              <w:r w:rsidRPr="000746B9">
                <w:rPr>
                  <w:rStyle w:val="Hyperlink"/>
                  <w:rFonts w:ascii="Arial" w:hAnsi="Arial" w:cs="Arial"/>
                  <w:sz w:val="20"/>
                  <w:szCs w:val="20"/>
                </w:rPr>
                <w:t xml:space="preserve"> Consulting\U-decide audit tool Infection Prevention Society Tool.pdf</w:t>
              </w:r>
            </w:hyperlink>
          </w:p>
          <w:p w14:paraId="4BA495EB" w14:textId="77777777" w:rsidR="000746B9" w:rsidRPr="000746B9" w:rsidRDefault="000746B9" w:rsidP="00DA217C">
            <w:pPr>
              <w:rPr>
                <w:rFonts w:ascii="Arial" w:hAnsi="Arial" w:cs="Arial"/>
                <w:sz w:val="20"/>
                <w:szCs w:val="20"/>
              </w:rPr>
            </w:pPr>
          </w:p>
        </w:tc>
      </w:tr>
      <w:tr w:rsidR="000746B9" w:rsidRPr="000746B9" w14:paraId="6B319D64" w14:textId="77777777" w:rsidTr="007C6ED4">
        <w:trPr>
          <w:trHeight w:val="282"/>
        </w:trPr>
        <w:tc>
          <w:tcPr>
            <w:tcW w:w="708" w:type="dxa"/>
          </w:tcPr>
          <w:p w14:paraId="306A865C" w14:textId="77777777" w:rsidR="000746B9" w:rsidRPr="000746B9" w:rsidRDefault="000746B9" w:rsidP="002400F4">
            <w:pPr>
              <w:pStyle w:val="TableText1"/>
              <w:numPr>
                <w:ilvl w:val="0"/>
                <w:numId w:val="45"/>
              </w:numPr>
              <w:rPr>
                <w:rFonts w:cs="Arial"/>
                <w:sz w:val="20"/>
                <w:szCs w:val="20"/>
              </w:rPr>
            </w:pPr>
            <w:r w:rsidRPr="000746B9">
              <w:rPr>
                <w:rFonts w:cs="Arial"/>
                <w:sz w:val="20"/>
                <w:szCs w:val="20"/>
              </w:rPr>
              <w:t>3a</w:t>
            </w:r>
          </w:p>
        </w:tc>
        <w:tc>
          <w:tcPr>
            <w:tcW w:w="2264" w:type="dxa"/>
          </w:tcPr>
          <w:p w14:paraId="01B13458" w14:textId="77777777" w:rsidR="000746B9" w:rsidRPr="000746B9" w:rsidRDefault="000746B9" w:rsidP="00DA217C">
            <w:pPr>
              <w:pStyle w:val="TableText1"/>
              <w:rPr>
                <w:rFonts w:cs="Arial"/>
                <w:sz w:val="20"/>
                <w:szCs w:val="20"/>
              </w:rPr>
            </w:pPr>
            <w:r w:rsidRPr="000746B9">
              <w:rPr>
                <w:rFonts w:cs="Arial"/>
                <w:sz w:val="20"/>
                <w:szCs w:val="20"/>
              </w:rPr>
              <w:t>C.R. Bard Inc.</w:t>
            </w:r>
          </w:p>
        </w:tc>
        <w:tc>
          <w:tcPr>
            <w:tcW w:w="3588" w:type="dxa"/>
            <w:tcBorders>
              <w:top w:val="single" w:sz="4" w:space="0" w:color="auto"/>
              <w:left w:val="single" w:sz="4" w:space="0" w:color="auto"/>
              <w:bottom w:val="single" w:sz="4" w:space="0" w:color="auto"/>
              <w:right w:val="single" w:sz="4" w:space="0" w:color="auto"/>
            </w:tcBorders>
          </w:tcPr>
          <w:p w14:paraId="0631BAEF" w14:textId="77777777" w:rsidR="000746B9" w:rsidRPr="000746B9" w:rsidRDefault="000746B9" w:rsidP="00DA217C">
            <w:pPr>
              <w:pStyle w:val="Paragraphnonumbers"/>
              <w:spacing w:after="120"/>
              <w:rPr>
                <w:rFonts w:cs="Arial"/>
                <w:sz w:val="20"/>
                <w:szCs w:val="20"/>
              </w:rPr>
            </w:pPr>
            <w:r w:rsidRPr="000746B9">
              <w:rPr>
                <w:rFonts w:cs="Arial"/>
                <w:sz w:val="20"/>
                <w:szCs w:val="20"/>
              </w:rPr>
              <w:t>Key area for quality improvement 4</w:t>
            </w:r>
          </w:p>
          <w:p w14:paraId="3CDD27B0" w14:textId="77777777" w:rsidR="000746B9" w:rsidRPr="000746B9" w:rsidRDefault="000746B9" w:rsidP="00DA217C">
            <w:pPr>
              <w:pStyle w:val="Paragraphnonumbers"/>
              <w:spacing w:after="120"/>
              <w:rPr>
                <w:rFonts w:cs="Arial"/>
                <w:sz w:val="20"/>
                <w:szCs w:val="20"/>
              </w:rPr>
            </w:pPr>
            <w:r w:rsidRPr="000746B9">
              <w:rPr>
                <w:rFonts w:cs="Arial"/>
                <w:b/>
                <w:bCs/>
                <w:sz w:val="20"/>
                <w:szCs w:val="20"/>
              </w:rPr>
              <w:t>For inclusion in patient records</w:t>
            </w:r>
          </w:p>
        </w:tc>
        <w:tc>
          <w:tcPr>
            <w:tcW w:w="4350" w:type="dxa"/>
            <w:tcBorders>
              <w:top w:val="single" w:sz="4" w:space="0" w:color="auto"/>
              <w:left w:val="single" w:sz="4" w:space="0" w:color="auto"/>
              <w:bottom w:val="single" w:sz="4" w:space="0" w:color="auto"/>
              <w:right w:val="single" w:sz="4" w:space="0" w:color="auto"/>
            </w:tcBorders>
          </w:tcPr>
          <w:p w14:paraId="0B4852A3" w14:textId="77777777" w:rsidR="000746B9" w:rsidRPr="000746B9" w:rsidRDefault="000746B9" w:rsidP="00DA217C">
            <w:pPr>
              <w:rPr>
                <w:rFonts w:ascii="Arial" w:hAnsi="Arial" w:cs="Arial"/>
                <w:b/>
                <w:bCs/>
                <w:sz w:val="20"/>
                <w:szCs w:val="20"/>
              </w:rPr>
            </w:pPr>
            <w:r w:rsidRPr="000746B9">
              <w:rPr>
                <w:rFonts w:ascii="Arial" w:hAnsi="Arial" w:cs="Arial"/>
                <w:b/>
                <w:bCs/>
                <w:sz w:val="20"/>
                <w:szCs w:val="20"/>
              </w:rPr>
              <w:t>Consideration of alternatives to catheterisation</w:t>
            </w:r>
            <w:r w:rsidRPr="000746B9">
              <w:rPr>
                <w:rFonts w:ascii="Arial" w:hAnsi="Arial" w:cs="Arial"/>
                <w:sz w:val="20"/>
                <w:szCs w:val="20"/>
              </w:rPr>
              <w:t xml:space="preserve">: What considerations of alternative options to catheterisation should be included in patient records to guard against inappropriate or excessive catheterisation. </w:t>
            </w:r>
            <w:r w:rsidRPr="000746B9">
              <w:rPr>
                <w:rFonts w:ascii="Arial" w:hAnsi="Arial" w:cs="Arial"/>
                <w:sz w:val="20"/>
                <w:szCs w:val="20"/>
              </w:rPr>
              <w:lastRenderedPageBreak/>
              <w:t>These strategies should include the use of an intermittent catheter, a catheter valve, penile sheath, incontinence pad and suprapubic catheter</w:t>
            </w:r>
          </w:p>
        </w:tc>
        <w:tc>
          <w:tcPr>
            <w:tcW w:w="3769" w:type="dxa"/>
            <w:tcBorders>
              <w:top w:val="single" w:sz="4" w:space="0" w:color="auto"/>
              <w:left w:val="single" w:sz="4" w:space="0" w:color="auto"/>
              <w:bottom w:val="single" w:sz="4" w:space="0" w:color="auto"/>
              <w:right w:val="single" w:sz="4" w:space="0" w:color="auto"/>
            </w:tcBorders>
          </w:tcPr>
          <w:p w14:paraId="7096FB3F" w14:textId="77777777" w:rsidR="000746B9" w:rsidRPr="000746B9" w:rsidRDefault="000746B9" w:rsidP="00DA217C">
            <w:pPr>
              <w:rPr>
                <w:rFonts w:ascii="Arial" w:hAnsi="Arial" w:cs="Arial"/>
                <w:sz w:val="20"/>
                <w:szCs w:val="20"/>
              </w:rPr>
            </w:pPr>
            <w:r w:rsidRPr="000746B9">
              <w:rPr>
                <w:rFonts w:ascii="Arial" w:hAnsi="Arial" w:cs="Arial"/>
                <w:sz w:val="20"/>
                <w:szCs w:val="20"/>
              </w:rPr>
              <w:lastRenderedPageBreak/>
              <w:t xml:space="preserve">See The Infection Prevention Society’s Community Urinary Catheter Prevalence Study Protocol and Survey Form as an example of best practice </w:t>
            </w:r>
            <w:hyperlink r:id="rId113" w:history="1">
              <w:r w:rsidRPr="000746B9">
                <w:rPr>
                  <w:rStyle w:val="Hyperlink"/>
                  <w:rFonts w:ascii="Arial" w:hAnsi="Arial" w:cs="Arial"/>
                  <w:sz w:val="20"/>
                  <w:szCs w:val="20"/>
                </w:rPr>
                <w:t xml:space="preserve">..\OneDrive - </w:t>
              </w:r>
              <w:proofErr w:type="spellStart"/>
              <w:r w:rsidRPr="000746B9">
                <w:rPr>
                  <w:rStyle w:val="Hyperlink"/>
                  <w:rFonts w:ascii="Arial" w:hAnsi="Arial" w:cs="Arial"/>
                  <w:sz w:val="20"/>
                  <w:szCs w:val="20"/>
                </w:rPr>
                <w:t>Healthcomms</w:t>
              </w:r>
              <w:proofErr w:type="spellEnd"/>
              <w:r w:rsidRPr="000746B9">
                <w:rPr>
                  <w:rStyle w:val="Hyperlink"/>
                  <w:rFonts w:ascii="Arial" w:hAnsi="Arial" w:cs="Arial"/>
                  <w:sz w:val="20"/>
                  <w:szCs w:val="20"/>
                </w:rPr>
                <w:t xml:space="preserve"> </w:t>
              </w:r>
              <w:r w:rsidRPr="000746B9">
                <w:rPr>
                  <w:rStyle w:val="Hyperlink"/>
                  <w:rFonts w:ascii="Arial" w:hAnsi="Arial" w:cs="Arial"/>
                  <w:sz w:val="20"/>
                  <w:szCs w:val="20"/>
                </w:rPr>
                <w:lastRenderedPageBreak/>
                <w:t xml:space="preserve">Consulting\IPS </w:t>
              </w:r>
              <w:proofErr w:type="spellStart"/>
              <w:r w:rsidRPr="000746B9">
                <w:rPr>
                  <w:rStyle w:val="Hyperlink"/>
                  <w:rFonts w:ascii="Arial" w:hAnsi="Arial" w:cs="Arial"/>
                  <w:sz w:val="20"/>
                  <w:szCs w:val="20"/>
                </w:rPr>
                <w:t>CCaMa</w:t>
              </w:r>
              <w:proofErr w:type="spellEnd"/>
              <w:r w:rsidRPr="000746B9">
                <w:rPr>
                  <w:rStyle w:val="Hyperlink"/>
                  <w:rFonts w:ascii="Arial" w:hAnsi="Arial" w:cs="Arial"/>
                  <w:sz w:val="20"/>
                  <w:szCs w:val="20"/>
                </w:rPr>
                <w:t xml:space="preserve"> Study Protocol.pdf</w:t>
              </w:r>
            </w:hyperlink>
          </w:p>
        </w:tc>
      </w:tr>
      <w:tr w:rsidR="000746B9" w:rsidRPr="000746B9" w14:paraId="4C25283B" w14:textId="77777777" w:rsidTr="007C6ED4">
        <w:trPr>
          <w:trHeight w:val="282"/>
        </w:trPr>
        <w:tc>
          <w:tcPr>
            <w:tcW w:w="708" w:type="dxa"/>
          </w:tcPr>
          <w:p w14:paraId="696FE8C1" w14:textId="77777777" w:rsidR="000746B9" w:rsidRPr="000746B9" w:rsidRDefault="000746B9" w:rsidP="002400F4">
            <w:pPr>
              <w:pStyle w:val="TableText1"/>
              <w:numPr>
                <w:ilvl w:val="0"/>
                <w:numId w:val="45"/>
              </w:numPr>
              <w:rPr>
                <w:rFonts w:cs="Arial"/>
                <w:sz w:val="20"/>
                <w:szCs w:val="20"/>
              </w:rPr>
            </w:pPr>
            <w:r w:rsidRPr="000746B9">
              <w:rPr>
                <w:rFonts w:cs="Arial"/>
                <w:sz w:val="20"/>
                <w:szCs w:val="20"/>
              </w:rPr>
              <w:lastRenderedPageBreak/>
              <w:t>3a</w:t>
            </w:r>
          </w:p>
        </w:tc>
        <w:tc>
          <w:tcPr>
            <w:tcW w:w="2264" w:type="dxa"/>
          </w:tcPr>
          <w:p w14:paraId="054135D1" w14:textId="77777777" w:rsidR="000746B9" w:rsidRPr="000746B9" w:rsidRDefault="000746B9" w:rsidP="00DA217C">
            <w:pPr>
              <w:pStyle w:val="TableText1"/>
              <w:rPr>
                <w:rFonts w:cs="Arial"/>
                <w:sz w:val="20"/>
                <w:szCs w:val="20"/>
              </w:rPr>
            </w:pPr>
            <w:r w:rsidRPr="000746B9">
              <w:rPr>
                <w:rFonts w:cs="Arial"/>
                <w:sz w:val="20"/>
                <w:szCs w:val="20"/>
              </w:rPr>
              <w:t>NHS England and NHS Improvement</w:t>
            </w:r>
          </w:p>
        </w:tc>
        <w:tc>
          <w:tcPr>
            <w:tcW w:w="3588" w:type="dxa"/>
          </w:tcPr>
          <w:p w14:paraId="31BA5683" w14:textId="77777777" w:rsidR="000746B9" w:rsidRPr="000746B9" w:rsidRDefault="000746B9" w:rsidP="00DA217C">
            <w:pPr>
              <w:pStyle w:val="Paragraphnonumbers"/>
              <w:spacing w:after="120"/>
              <w:rPr>
                <w:rFonts w:cs="Arial"/>
                <w:sz w:val="20"/>
                <w:szCs w:val="20"/>
              </w:rPr>
            </w:pPr>
            <w:bookmarkStart w:id="150" w:name="_Hlk107299630"/>
            <w:r w:rsidRPr="000746B9">
              <w:rPr>
                <w:rFonts w:cs="Arial"/>
                <w:sz w:val="20"/>
                <w:szCs w:val="20"/>
              </w:rPr>
              <w:t>Every patient will have a transferable urinary catheter record / care plan or passport</w:t>
            </w:r>
            <w:bookmarkEnd w:id="150"/>
            <w:r w:rsidRPr="000746B9">
              <w:rPr>
                <w:rFonts w:cs="Arial"/>
                <w:sz w:val="20"/>
                <w:szCs w:val="20"/>
              </w:rPr>
              <w:t>. A passport or care plan discussed with a patient prior to insertion to support prevention of CAUTI.</w:t>
            </w:r>
          </w:p>
          <w:p w14:paraId="5495B349" w14:textId="77777777" w:rsidR="000746B9" w:rsidRPr="000746B9" w:rsidRDefault="000746B9" w:rsidP="00DA217C">
            <w:pPr>
              <w:pStyle w:val="TableText1"/>
              <w:rPr>
                <w:rFonts w:cs="Arial"/>
                <w:sz w:val="20"/>
                <w:szCs w:val="20"/>
              </w:rPr>
            </w:pPr>
          </w:p>
        </w:tc>
        <w:tc>
          <w:tcPr>
            <w:tcW w:w="4350" w:type="dxa"/>
          </w:tcPr>
          <w:p w14:paraId="0E0BCD3E" w14:textId="77777777" w:rsidR="000746B9" w:rsidRPr="000746B9" w:rsidRDefault="000746B9" w:rsidP="00DA217C">
            <w:pPr>
              <w:pStyle w:val="Paragraphnonumbers"/>
              <w:rPr>
                <w:rFonts w:cs="Arial"/>
                <w:sz w:val="20"/>
                <w:szCs w:val="20"/>
              </w:rPr>
            </w:pPr>
            <w:r w:rsidRPr="000746B9">
              <w:rPr>
                <w:rFonts w:cs="Arial"/>
                <w:sz w:val="20"/>
                <w:szCs w:val="20"/>
              </w:rPr>
              <w:t>Prevention of CAUTI requires:</w:t>
            </w:r>
          </w:p>
          <w:p w14:paraId="75CD6F34" w14:textId="77777777" w:rsidR="000746B9" w:rsidRPr="000746B9" w:rsidRDefault="000746B9" w:rsidP="007C6ED4">
            <w:pPr>
              <w:pStyle w:val="Paragraphnonumbers"/>
              <w:numPr>
                <w:ilvl w:val="0"/>
                <w:numId w:val="33"/>
              </w:numPr>
              <w:spacing w:after="0"/>
              <w:ind w:left="357" w:hanging="357"/>
              <w:rPr>
                <w:rFonts w:cs="Arial"/>
                <w:sz w:val="20"/>
                <w:szCs w:val="20"/>
              </w:rPr>
            </w:pPr>
            <w:r w:rsidRPr="000746B9">
              <w:rPr>
                <w:rFonts w:cs="Arial"/>
                <w:sz w:val="20"/>
                <w:szCs w:val="20"/>
              </w:rPr>
              <w:t>Avoidance of a Urinary Catheter</w:t>
            </w:r>
          </w:p>
          <w:p w14:paraId="65301A1F" w14:textId="77777777" w:rsidR="000746B9" w:rsidRPr="000746B9" w:rsidRDefault="000746B9" w:rsidP="007C6ED4">
            <w:pPr>
              <w:pStyle w:val="Paragraphnonumbers"/>
              <w:numPr>
                <w:ilvl w:val="0"/>
                <w:numId w:val="33"/>
              </w:numPr>
              <w:spacing w:after="0"/>
              <w:ind w:left="357" w:hanging="357"/>
              <w:rPr>
                <w:rFonts w:cs="Arial"/>
                <w:sz w:val="20"/>
                <w:szCs w:val="20"/>
              </w:rPr>
            </w:pPr>
            <w:r w:rsidRPr="000746B9">
              <w:rPr>
                <w:rFonts w:cs="Arial"/>
                <w:sz w:val="20"/>
                <w:szCs w:val="20"/>
              </w:rPr>
              <w:t>Best practice techniques in insertion and care</w:t>
            </w:r>
          </w:p>
          <w:p w14:paraId="0166F766" w14:textId="77777777" w:rsidR="000746B9" w:rsidRPr="000746B9" w:rsidRDefault="000746B9" w:rsidP="007C6ED4">
            <w:pPr>
              <w:pStyle w:val="Paragraphnonumbers"/>
              <w:numPr>
                <w:ilvl w:val="0"/>
                <w:numId w:val="33"/>
              </w:numPr>
              <w:spacing w:after="0"/>
              <w:ind w:left="357" w:hanging="357"/>
              <w:rPr>
                <w:rFonts w:cs="Arial"/>
                <w:sz w:val="20"/>
                <w:szCs w:val="20"/>
              </w:rPr>
            </w:pPr>
            <w:r w:rsidRPr="000746B9">
              <w:rPr>
                <w:rFonts w:cs="Arial"/>
                <w:sz w:val="20"/>
                <w:szCs w:val="20"/>
              </w:rPr>
              <w:t>Prompt removal</w:t>
            </w:r>
          </w:p>
          <w:p w14:paraId="662DB940" w14:textId="77777777" w:rsidR="000746B9" w:rsidRPr="000746B9" w:rsidRDefault="000746B9" w:rsidP="007C6ED4">
            <w:pPr>
              <w:pStyle w:val="Paragraphnonumbers"/>
              <w:numPr>
                <w:ilvl w:val="0"/>
                <w:numId w:val="33"/>
              </w:numPr>
              <w:spacing w:after="0"/>
              <w:ind w:left="357" w:hanging="357"/>
              <w:rPr>
                <w:rFonts w:cs="Arial"/>
                <w:sz w:val="20"/>
                <w:szCs w:val="20"/>
              </w:rPr>
            </w:pPr>
            <w:r w:rsidRPr="000746B9">
              <w:rPr>
                <w:rFonts w:cs="Arial"/>
                <w:sz w:val="20"/>
                <w:szCs w:val="20"/>
              </w:rPr>
              <w:t xml:space="preserve">Patient and carer education </w:t>
            </w:r>
          </w:p>
          <w:p w14:paraId="0328CB1C" w14:textId="77777777" w:rsidR="000746B9" w:rsidRPr="000746B9" w:rsidRDefault="000746B9" w:rsidP="00DA217C">
            <w:pPr>
              <w:pStyle w:val="Paragraphnonumbers"/>
              <w:spacing w:after="0"/>
              <w:rPr>
                <w:rFonts w:cs="Arial"/>
                <w:sz w:val="20"/>
                <w:szCs w:val="20"/>
              </w:rPr>
            </w:pPr>
          </w:p>
          <w:p w14:paraId="4F049D9B" w14:textId="77777777" w:rsidR="000746B9" w:rsidRPr="000746B9" w:rsidRDefault="000746B9" w:rsidP="00DA217C">
            <w:pPr>
              <w:pStyle w:val="Paragraphnonumbers"/>
              <w:rPr>
                <w:rFonts w:cs="Arial"/>
                <w:sz w:val="20"/>
                <w:szCs w:val="20"/>
              </w:rPr>
            </w:pPr>
            <w:r w:rsidRPr="000746B9">
              <w:rPr>
                <w:rFonts w:cs="Arial"/>
                <w:sz w:val="20"/>
                <w:szCs w:val="20"/>
              </w:rPr>
              <w:t xml:space="preserve">Some areas of England have catheter passports or care plans in place, some will link between care providers / settings. Provision is fragmented and inconsistent. Content whilst similar is different. Resulting in some patients being discharged or moved between care settings with no plan or documented review.  </w:t>
            </w:r>
          </w:p>
          <w:p w14:paraId="7F1F1222" w14:textId="77777777" w:rsidR="000746B9" w:rsidRPr="000746B9" w:rsidRDefault="000746B9" w:rsidP="00DA217C">
            <w:pPr>
              <w:pStyle w:val="TableText1"/>
              <w:rPr>
                <w:rFonts w:cs="Arial"/>
                <w:sz w:val="20"/>
                <w:szCs w:val="20"/>
              </w:rPr>
            </w:pPr>
            <w:r w:rsidRPr="000746B9">
              <w:rPr>
                <w:rFonts w:cs="Arial"/>
                <w:sz w:val="20"/>
                <w:szCs w:val="20"/>
              </w:rPr>
              <w:t xml:space="preserve">A standard national set of documentation / passport that moves between care settings would support a multi-disciplinary approach, promote effective </w:t>
            </w:r>
            <w:proofErr w:type="gramStart"/>
            <w:r w:rsidRPr="000746B9">
              <w:rPr>
                <w:rFonts w:cs="Arial"/>
                <w:sz w:val="20"/>
                <w:szCs w:val="20"/>
              </w:rPr>
              <w:t>communication</w:t>
            </w:r>
            <w:proofErr w:type="gramEnd"/>
            <w:r w:rsidRPr="000746B9">
              <w:rPr>
                <w:rFonts w:cs="Arial"/>
                <w:sz w:val="20"/>
                <w:szCs w:val="20"/>
              </w:rPr>
              <w:t xml:space="preserve"> and support implementation of best practice catheter care guidelines.    </w:t>
            </w:r>
            <w:hyperlink r:id="rId114" w:history="1">
              <w:r w:rsidRPr="000746B9">
                <w:rPr>
                  <w:rStyle w:val="Hyperlink"/>
                  <w:rFonts w:cs="Arial"/>
                  <w:sz w:val="20"/>
                  <w:szCs w:val="20"/>
                </w:rPr>
                <w:t>NHS England » Urinary catheter tools</w:t>
              </w:r>
            </w:hyperlink>
            <w:r w:rsidRPr="000746B9">
              <w:rPr>
                <w:rFonts w:cs="Arial"/>
                <w:sz w:val="20"/>
                <w:szCs w:val="20"/>
              </w:rPr>
              <w:t xml:space="preserve">   </w:t>
            </w:r>
          </w:p>
        </w:tc>
        <w:tc>
          <w:tcPr>
            <w:tcW w:w="3769" w:type="dxa"/>
          </w:tcPr>
          <w:p w14:paraId="6607967D" w14:textId="77777777" w:rsidR="000746B9" w:rsidRPr="000746B9" w:rsidRDefault="000746B9" w:rsidP="00DA217C">
            <w:pPr>
              <w:rPr>
                <w:rFonts w:ascii="Arial" w:hAnsi="Arial" w:cs="Arial"/>
                <w:sz w:val="20"/>
                <w:szCs w:val="20"/>
              </w:rPr>
            </w:pPr>
            <w:r w:rsidRPr="000746B9">
              <w:rPr>
                <w:rFonts w:ascii="Arial" w:hAnsi="Arial" w:cs="Arial"/>
                <w:sz w:val="20"/>
                <w:szCs w:val="20"/>
              </w:rPr>
              <w:t xml:space="preserve">The risk of a </w:t>
            </w:r>
            <w:proofErr w:type="gramStart"/>
            <w:r w:rsidRPr="000746B9">
              <w:rPr>
                <w:rFonts w:ascii="Arial" w:hAnsi="Arial" w:cs="Arial"/>
                <w:sz w:val="20"/>
                <w:szCs w:val="20"/>
              </w:rPr>
              <w:t>CAUTI  increases</w:t>
            </w:r>
            <w:proofErr w:type="gramEnd"/>
            <w:r w:rsidRPr="000746B9">
              <w:rPr>
                <w:rFonts w:ascii="Arial" w:hAnsi="Arial" w:cs="Arial"/>
                <w:sz w:val="20"/>
                <w:szCs w:val="20"/>
              </w:rPr>
              <w:t xml:space="preserve"> 3-7% with every day a indwelling catheter remains in place (Lo E et al. Infection Control Hospital Epidemiology 2014;35:464-79) UTI is the more comment HAI – 19% of all HAI is UTI and 43-56% of this is CAUTI  (NICE CAUTI prescribing guidelines 2018).   </w:t>
            </w:r>
          </w:p>
        </w:tc>
      </w:tr>
      <w:tr w:rsidR="000746B9" w:rsidRPr="000746B9" w14:paraId="4E455BB3" w14:textId="77777777" w:rsidTr="007C6ED4">
        <w:trPr>
          <w:trHeight w:val="282"/>
        </w:trPr>
        <w:tc>
          <w:tcPr>
            <w:tcW w:w="708" w:type="dxa"/>
          </w:tcPr>
          <w:p w14:paraId="48852BB6" w14:textId="77777777" w:rsidR="000746B9" w:rsidRPr="000746B9" w:rsidRDefault="000746B9" w:rsidP="002400F4">
            <w:pPr>
              <w:pStyle w:val="TableText1"/>
              <w:numPr>
                <w:ilvl w:val="0"/>
                <w:numId w:val="45"/>
              </w:numPr>
              <w:rPr>
                <w:rFonts w:cs="Arial"/>
                <w:sz w:val="20"/>
                <w:szCs w:val="20"/>
              </w:rPr>
            </w:pPr>
            <w:r w:rsidRPr="000746B9">
              <w:rPr>
                <w:rFonts w:cs="Arial"/>
                <w:sz w:val="20"/>
                <w:szCs w:val="20"/>
              </w:rPr>
              <w:t>3b</w:t>
            </w:r>
          </w:p>
        </w:tc>
        <w:tc>
          <w:tcPr>
            <w:tcW w:w="2264" w:type="dxa"/>
          </w:tcPr>
          <w:p w14:paraId="37EABB83" w14:textId="77777777" w:rsidR="000746B9" w:rsidRPr="000746B9" w:rsidRDefault="000746B9" w:rsidP="00DA217C">
            <w:pPr>
              <w:pStyle w:val="TableText1"/>
              <w:rPr>
                <w:rFonts w:cs="Arial"/>
                <w:sz w:val="20"/>
                <w:szCs w:val="20"/>
              </w:rPr>
            </w:pPr>
            <w:r w:rsidRPr="000746B9">
              <w:rPr>
                <w:rFonts w:cs="Arial"/>
                <w:sz w:val="20"/>
                <w:szCs w:val="20"/>
              </w:rPr>
              <w:t>NHS England and NHS Improvement</w:t>
            </w:r>
          </w:p>
        </w:tc>
        <w:tc>
          <w:tcPr>
            <w:tcW w:w="3588" w:type="dxa"/>
          </w:tcPr>
          <w:p w14:paraId="432854A0" w14:textId="77777777" w:rsidR="000746B9" w:rsidRPr="000746B9" w:rsidRDefault="000746B9" w:rsidP="00DA217C">
            <w:pPr>
              <w:pStyle w:val="Paragraphnonumbers"/>
              <w:spacing w:after="120"/>
              <w:rPr>
                <w:rFonts w:cs="Arial"/>
                <w:sz w:val="20"/>
                <w:szCs w:val="20"/>
              </w:rPr>
            </w:pPr>
            <w:bookmarkStart w:id="151" w:name="_Hlk107299769"/>
            <w:r w:rsidRPr="000746B9">
              <w:rPr>
                <w:rFonts w:cs="Arial"/>
                <w:sz w:val="20"/>
                <w:szCs w:val="20"/>
              </w:rPr>
              <w:t xml:space="preserve">Consider removing or, if this cannot be done, changing the catheter as soon as possible in people with a catheter associated UTI if it has been </w:t>
            </w:r>
            <w:r w:rsidRPr="000746B9">
              <w:rPr>
                <w:rFonts w:cs="Arial"/>
                <w:sz w:val="20"/>
                <w:szCs w:val="20"/>
              </w:rPr>
              <w:lastRenderedPageBreak/>
              <w:t xml:space="preserve">in place for more than 7 days. </w:t>
            </w:r>
            <w:bookmarkEnd w:id="151"/>
            <w:r w:rsidRPr="000746B9">
              <w:rPr>
                <w:rFonts w:cs="Arial"/>
                <w:sz w:val="20"/>
                <w:szCs w:val="20"/>
              </w:rPr>
              <w:t>Do not allow catheter removal or change to delay antibiotic treatment.</w:t>
            </w:r>
          </w:p>
          <w:p w14:paraId="7D435543" w14:textId="77777777" w:rsidR="000746B9" w:rsidRPr="000746B9" w:rsidRDefault="000746B9" w:rsidP="00DA217C">
            <w:pPr>
              <w:pStyle w:val="Paragraphnonumbers"/>
              <w:spacing w:after="120"/>
              <w:rPr>
                <w:rFonts w:cs="Arial"/>
                <w:sz w:val="20"/>
                <w:szCs w:val="20"/>
              </w:rPr>
            </w:pPr>
            <w:r w:rsidRPr="000746B9">
              <w:rPr>
                <w:rFonts w:cs="Arial"/>
                <w:sz w:val="20"/>
                <w:szCs w:val="20"/>
              </w:rPr>
              <w:t>Numerator= Number of adults prescribed antibiotics to treat a catheter associated UTI who have a urinary catheter change documented in the clinical record (if catheter has been in situ for 7 days or more)</w:t>
            </w:r>
          </w:p>
          <w:p w14:paraId="1B2AF510" w14:textId="77777777" w:rsidR="000746B9" w:rsidRPr="000746B9" w:rsidRDefault="000746B9" w:rsidP="00DA217C">
            <w:pPr>
              <w:pStyle w:val="TableText1"/>
              <w:rPr>
                <w:rFonts w:cs="Arial"/>
                <w:sz w:val="20"/>
                <w:szCs w:val="20"/>
              </w:rPr>
            </w:pPr>
            <w:r w:rsidRPr="000746B9">
              <w:rPr>
                <w:rFonts w:cs="Arial"/>
                <w:sz w:val="20"/>
                <w:szCs w:val="20"/>
              </w:rPr>
              <w:t>Denominator= Number of adults prescribed antibiotics to treat a catheter associated UTI where the urinary catheter has been in situ for 7 days or more</w:t>
            </w:r>
          </w:p>
        </w:tc>
        <w:tc>
          <w:tcPr>
            <w:tcW w:w="4350" w:type="dxa"/>
          </w:tcPr>
          <w:p w14:paraId="5A0814E4" w14:textId="77777777" w:rsidR="000746B9" w:rsidRPr="000746B9" w:rsidRDefault="000746B9" w:rsidP="00DA217C">
            <w:pPr>
              <w:pStyle w:val="TableText1"/>
              <w:rPr>
                <w:rFonts w:cs="Arial"/>
                <w:sz w:val="20"/>
                <w:szCs w:val="20"/>
              </w:rPr>
            </w:pPr>
          </w:p>
        </w:tc>
        <w:tc>
          <w:tcPr>
            <w:tcW w:w="3769" w:type="dxa"/>
          </w:tcPr>
          <w:p w14:paraId="031663DF" w14:textId="77777777" w:rsidR="000746B9" w:rsidRPr="000746B9" w:rsidRDefault="00AC503C" w:rsidP="007C6ED4">
            <w:pPr>
              <w:pStyle w:val="Bulletleft1"/>
              <w:numPr>
                <w:ilvl w:val="0"/>
                <w:numId w:val="34"/>
              </w:numPr>
              <w:rPr>
                <w:rFonts w:cs="Arial"/>
                <w:sz w:val="20"/>
                <w:szCs w:val="20"/>
              </w:rPr>
            </w:pPr>
            <w:hyperlink r:id="rId115" w:history="1">
              <w:r w:rsidR="000746B9" w:rsidRPr="000746B9">
                <w:rPr>
                  <w:rStyle w:val="Hyperlink"/>
                  <w:rFonts w:cs="Arial"/>
                  <w:sz w:val="20"/>
                  <w:szCs w:val="20"/>
                  <w:lang w:bidi="ne-NP"/>
                </w:rPr>
                <w:t xml:space="preserve">Urinary tract infection (catheter-associated): antimicrobial </w:t>
              </w:r>
              <w:r w:rsidR="000746B9" w:rsidRPr="000746B9">
                <w:rPr>
                  <w:rStyle w:val="Hyperlink"/>
                  <w:rFonts w:cs="Arial"/>
                  <w:sz w:val="20"/>
                  <w:szCs w:val="20"/>
                  <w:lang w:bidi="ne-NP"/>
                </w:rPr>
                <w:lastRenderedPageBreak/>
                <w:t>prescribing</w:t>
              </w:r>
            </w:hyperlink>
            <w:r w:rsidR="000746B9" w:rsidRPr="000746B9">
              <w:rPr>
                <w:rFonts w:cs="Arial"/>
                <w:sz w:val="20"/>
                <w:szCs w:val="20"/>
                <w:lang w:bidi="ne-NP"/>
              </w:rPr>
              <w:t xml:space="preserve"> (2018) NICE guideline NG113</w:t>
            </w:r>
          </w:p>
          <w:p w14:paraId="0D020ADA" w14:textId="77777777" w:rsidR="000746B9" w:rsidRPr="000746B9" w:rsidRDefault="000746B9" w:rsidP="00DA217C">
            <w:pPr>
              <w:pStyle w:val="Bulletleft1"/>
              <w:tabs>
                <w:tab w:val="left" w:pos="720"/>
              </w:tabs>
              <w:rPr>
                <w:rFonts w:cs="Arial"/>
                <w:sz w:val="20"/>
                <w:szCs w:val="20"/>
              </w:rPr>
            </w:pPr>
          </w:p>
          <w:p w14:paraId="22670073" w14:textId="77777777" w:rsidR="000746B9" w:rsidRPr="000746B9" w:rsidRDefault="000746B9" w:rsidP="007C6ED4">
            <w:pPr>
              <w:pStyle w:val="Bulletleft1"/>
              <w:numPr>
                <w:ilvl w:val="0"/>
                <w:numId w:val="34"/>
              </w:numPr>
              <w:rPr>
                <w:rFonts w:cs="Arial"/>
                <w:sz w:val="20"/>
                <w:szCs w:val="20"/>
              </w:rPr>
            </w:pPr>
            <w:r w:rsidRPr="000746B9">
              <w:rPr>
                <w:rFonts w:cs="Arial"/>
                <w:sz w:val="20"/>
                <w:szCs w:val="20"/>
              </w:rPr>
              <w:t xml:space="preserve">Public Health England (2020) </w:t>
            </w:r>
            <w:hyperlink r:id="rId116" w:history="1">
              <w:r w:rsidRPr="000746B9">
                <w:rPr>
                  <w:rStyle w:val="Hyperlink"/>
                  <w:rFonts w:cs="Arial"/>
                  <w:sz w:val="20"/>
                  <w:szCs w:val="20"/>
                </w:rPr>
                <w:t>Diagnosis of urinary tract infections: Quick reference tool for primary care for consultation and local adaptation</w:t>
              </w:r>
            </w:hyperlink>
            <w:r w:rsidRPr="000746B9">
              <w:rPr>
                <w:rStyle w:val="Hyperlink"/>
                <w:rFonts w:cs="Arial"/>
                <w:sz w:val="20"/>
                <w:szCs w:val="20"/>
              </w:rPr>
              <w:t xml:space="preserve">: </w:t>
            </w:r>
          </w:p>
          <w:p w14:paraId="64890F89" w14:textId="77777777" w:rsidR="000746B9" w:rsidRPr="000746B9" w:rsidRDefault="000746B9" w:rsidP="00DA217C">
            <w:pPr>
              <w:pStyle w:val="ListParagraph"/>
              <w:rPr>
                <w:rFonts w:ascii="Arial" w:hAnsi="Arial" w:cs="Arial"/>
                <w:sz w:val="20"/>
                <w:szCs w:val="20"/>
              </w:rPr>
            </w:pPr>
          </w:p>
          <w:p w14:paraId="7925EE91" w14:textId="77777777" w:rsidR="000746B9" w:rsidRPr="000746B9" w:rsidRDefault="000746B9" w:rsidP="00DA217C">
            <w:pPr>
              <w:pStyle w:val="Bulletleft1"/>
              <w:tabs>
                <w:tab w:val="left" w:pos="720"/>
              </w:tabs>
              <w:rPr>
                <w:rFonts w:cs="Arial"/>
                <w:sz w:val="20"/>
                <w:szCs w:val="20"/>
              </w:rPr>
            </w:pPr>
          </w:p>
          <w:p w14:paraId="3F3E397F" w14:textId="77777777" w:rsidR="000746B9" w:rsidRPr="000746B9" w:rsidRDefault="00AC503C" w:rsidP="007C6ED4">
            <w:pPr>
              <w:pStyle w:val="Bulletleft1"/>
              <w:numPr>
                <w:ilvl w:val="0"/>
                <w:numId w:val="34"/>
              </w:numPr>
              <w:rPr>
                <w:rFonts w:cs="Arial"/>
                <w:sz w:val="20"/>
                <w:szCs w:val="20"/>
              </w:rPr>
            </w:pPr>
            <w:hyperlink r:id="rId117" w:history="1">
              <w:r w:rsidR="000746B9" w:rsidRPr="000746B9">
                <w:rPr>
                  <w:rStyle w:val="Hyperlink"/>
                  <w:rFonts w:cs="Arial"/>
                  <w:sz w:val="20"/>
                  <w:szCs w:val="20"/>
                </w:rPr>
                <w:t>Commissioning for Quality and Innovation (CQUIN): 2022/23 Guidance</w:t>
              </w:r>
            </w:hyperlink>
            <w:r w:rsidR="000746B9" w:rsidRPr="000746B9">
              <w:rPr>
                <w:rStyle w:val="Hyperlink"/>
                <w:rFonts w:cs="Arial"/>
                <w:sz w:val="20"/>
                <w:szCs w:val="20"/>
              </w:rPr>
              <w:t xml:space="preserve">  </w:t>
            </w:r>
            <w:r w:rsidR="000746B9" w:rsidRPr="000746B9">
              <w:rPr>
                <w:rFonts w:cs="Arial"/>
                <w:sz w:val="20"/>
                <w:szCs w:val="20"/>
              </w:rPr>
              <w:t>CCG2: Appropriate antibiotic prescribing for UTI in adults aged 16+</w:t>
            </w:r>
          </w:p>
          <w:p w14:paraId="51308AB0" w14:textId="77777777" w:rsidR="000746B9" w:rsidRPr="000746B9" w:rsidRDefault="000746B9" w:rsidP="00DA217C">
            <w:pPr>
              <w:rPr>
                <w:rFonts w:ascii="Arial" w:hAnsi="Arial" w:cs="Arial"/>
                <w:sz w:val="20"/>
                <w:szCs w:val="20"/>
              </w:rPr>
            </w:pPr>
            <w:r w:rsidRPr="000746B9">
              <w:rPr>
                <w:rFonts w:ascii="Arial" w:hAnsi="Arial" w:cs="Arial"/>
                <w:sz w:val="20"/>
                <w:szCs w:val="20"/>
              </w:rPr>
              <w:t>This NHS England CQUIN scheme involves audit against 5 care processes aligned to NICE guidance and includes a requirement to document review of urinary catheter use in the clinical record in adults prescribed antibiotics to treat a catheter associated UTI.</w:t>
            </w:r>
          </w:p>
        </w:tc>
      </w:tr>
    </w:tbl>
    <w:p w14:paraId="0C7CB4A5" w14:textId="5CB6C828" w:rsidR="00A6717D" w:rsidRDefault="00A6717D"/>
    <w:p w14:paraId="6B299B91" w14:textId="3641FF3D" w:rsidR="00A6717D" w:rsidRDefault="00A6717D"/>
    <w:p w14:paraId="07804DC1" w14:textId="0D8FA352" w:rsidR="00A6717D" w:rsidRDefault="00A6717D" w:rsidP="00B54FAB">
      <w:pPr>
        <w:pStyle w:val="Heading4"/>
      </w:pPr>
      <w:r>
        <w:lastRenderedPageBreak/>
        <w:t>Recurrent UTI: UTI and the menopause</w:t>
      </w:r>
    </w:p>
    <w:tbl>
      <w:tblPr>
        <w:tblW w:w="1467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708"/>
        <w:gridCol w:w="2264"/>
        <w:gridCol w:w="3588"/>
        <w:gridCol w:w="4350"/>
        <w:gridCol w:w="3769"/>
      </w:tblGrid>
      <w:tr w:rsidR="00A6717D" w:rsidRPr="000746B9" w14:paraId="61DCDB43" w14:textId="77777777" w:rsidTr="00DA217C">
        <w:trPr>
          <w:tblHeader/>
        </w:trPr>
        <w:tc>
          <w:tcPr>
            <w:tcW w:w="708" w:type="dxa"/>
            <w:shd w:val="clear" w:color="auto" w:fill="E6E6E6"/>
          </w:tcPr>
          <w:p w14:paraId="67197684" w14:textId="77777777" w:rsidR="00A6717D" w:rsidRPr="000746B9" w:rsidRDefault="00A6717D" w:rsidP="00DA217C">
            <w:pPr>
              <w:pStyle w:val="Heading4"/>
              <w:rPr>
                <w:rFonts w:cs="Arial"/>
                <w:sz w:val="20"/>
                <w:szCs w:val="20"/>
              </w:rPr>
            </w:pPr>
            <w:r>
              <w:rPr>
                <w:rFonts w:cs="Arial"/>
                <w:sz w:val="20"/>
                <w:szCs w:val="20"/>
              </w:rPr>
              <w:t>ID</w:t>
            </w:r>
          </w:p>
        </w:tc>
        <w:tc>
          <w:tcPr>
            <w:tcW w:w="2264" w:type="dxa"/>
            <w:shd w:val="clear" w:color="auto" w:fill="E6E6E6"/>
          </w:tcPr>
          <w:p w14:paraId="56E48CC1" w14:textId="77777777" w:rsidR="00A6717D" w:rsidRPr="000746B9" w:rsidRDefault="00A6717D" w:rsidP="00DA217C">
            <w:pPr>
              <w:pStyle w:val="Heading4"/>
              <w:rPr>
                <w:rFonts w:cs="Arial"/>
                <w:sz w:val="20"/>
                <w:szCs w:val="20"/>
              </w:rPr>
            </w:pPr>
            <w:r w:rsidRPr="000746B9">
              <w:rPr>
                <w:rFonts w:cs="Arial"/>
                <w:sz w:val="20"/>
                <w:szCs w:val="20"/>
              </w:rPr>
              <w:t>Stakeholder</w:t>
            </w:r>
          </w:p>
        </w:tc>
        <w:tc>
          <w:tcPr>
            <w:tcW w:w="3588" w:type="dxa"/>
            <w:shd w:val="clear" w:color="auto" w:fill="E6E6E6"/>
          </w:tcPr>
          <w:p w14:paraId="18F8AA0C" w14:textId="77777777" w:rsidR="00A6717D" w:rsidRPr="000746B9" w:rsidRDefault="00A6717D" w:rsidP="00DA217C">
            <w:pPr>
              <w:pStyle w:val="Heading4"/>
              <w:rPr>
                <w:rFonts w:cs="Arial"/>
                <w:sz w:val="20"/>
                <w:szCs w:val="20"/>
              </w:rPr>
            </w:pPr>
            <w:r w:rsidRPr="000746B9">
              <w:rPr>
                <w:rFonts w:cs="Arial"/>
                <w:sz w:val="20"/>
                <w:szCs w:val="20"/>
              </w:rPr>
              <w:t>Key area for quality improvement</w:t>
            </w:r>
          </w:p>
        </w:tc>
        <w:tc>
          <w:tcPr>
            <w:tcW w:w="4350" w:type="dxa"/>
            <w:shd w:val="clear" w:color="auto" w:fill="E6E6E6"/>
          </w:tcPr>
          <w:p w14:paraId="16A05159" w14:textId="77777777" w:rsidR="00A6717D" w:rsidRPr="000746B9" w:rsidRDefault="00A6717D" w:rsidP="00DA217C">
            <w:pPr>
              <w:pStyle w:val="Heading1"/>
              <w:rPr>
                <w:sz w:val="20"/>
                <w:szCs w:val="20"/>
              </w:rPr>
            </w:pPr>
            <w:bookmarkStart w:id="152" w:name="_Toc107929209"/>
            <w:bookmarkStart w:id="153" w:name="_Toc112833016"/>
            <w:r w:rsidRPr="000746B9">
              <w:rPr>
                <w:sz w:val="20"/>
                <w:szCs w:val="20"/>
              </w:rPr>
              <w:t>Why is this a key area for quality improvement?</w:t>
            </w:r>
            <w:bookmarkEnd w:id="152"/>
            <w:bookmarkEnd w:id="153"/>
          </w:p>
        </w:tc>
        <w:tc>
          <w:tcPr>
            <w:tcW w:w="3769" w:type="dxa"/>
            <w:shd w:val="clear" w:color="auto" w:fill="E6E6E6"/>
          </w:tcPr>
          <w:p w14:paraId="1F5D85A5" w14:textId="77777777" w:rsidR="00A6717D" w:rsidRPr="000746B9" w:rsidRDefault="00A6717D" w:rsidP="00DA217C">
            <w:pPr>
              <w:rPr>
                <w:rFonts w:ascii="Arial" w:hAnsi="Arial" w:cs="Arial"/>
                <w:b/>
                <w:sz w:val="20"/>
                <w:szCs w:val="20"/>
              </w:rPr>
            </w:pPr>
            <w:r w:rsidRPr="000746B9">
              <w:rPr>
                <w:rFonts w:ascii="Arial" w:hAnsi="Arial" w:cs="Arial"/>
                <w:b/>
                <w:sz w:val="20"/>
                <w:szCs w:val="20"/>
              </w:rPr>
              <w:t>Supporting information</w:t>
            </w:r>
          </w:p>
        </w:tc>
      </w:tr>
      <w:tr w:rsidR="000746B9" w:rsidRPr="000746B9" w14:paraId="4943BC79" w14:textId="77777777" w:rsidTr="007C6ED4">
        <w:trPr>
          <w:trHeight w:val="282"/>
        </w:trPr>
        <w:tc>
          <w:tcPr>
            <w:tcW w:w="708" w:type="dxa"/>
          </w:tcPr>
          <w:p w14:paraId="55DBD318" w14:textId="77777777" w:rsidR="000746B9" w:rsidRPr="000746B9" w:rsidRDefault="000746B9" w:rsidP="00DA217C">
            <w:pPr>
              <w:pStyle w:val="TableText1"/>
              <w:rPr>
                <w:rFonts w:cs="Arial"/>
                <w:sz w:val="20"/>
                <w:szCs w:val="20"/>
              </w:rPr>
            </w:pPr>
            <w:r w:rsidRPr="000746B9">
              <w:rPr>
                <w:rFonts w:cs="Arial"/>
                <w:sz w:val="20"/>
                <w:szCs w:val="20"/>
              </w:rPr>
              <w:t>4a</w:t>
            </w:r>
          </w:p>
        </w:tc>
        <w:tc>
          <w:tcPr>
            <w:tcW w:w="2264" w:type="dxa"/>
          </w:tcPr>
          <w:p w14:paraId="6D3E1D3A" w14:textId="77777777" w:rsidR="000746B9" w:rsidRPr="000746B9" w:rsidRDefault="000746B9" w:rsidP="00DA217C">
            <w:pPr>
              <w:pStyle w:val="TableText1"/>
              <w:rPr>
                <w:rFonts w:cs="Arial"/>
                <w:sz w:val="20"/>
                <w:szCs w:val="20"/>
              </w:rPr>
            </w:pPr>
            <w:r w:rsidRPr="000746B9">
              <w:rPr>
                <w:rFonts w:cs="Arial"/>
                <w:sz w:val="20"/>
                <w:szCs w:val="20"/>
              </w:rPr>
              <w:t>British Association of Urological Surgeons</w:t>
            </w:r>
          </w:p>
        </w:tc>
        <w:tc>
          <w:tcPr>
            <w:tcW w:w="3588" w:type="dxa"/>
          </w:tcPr>
          <w:p w14:paraId="02F42E4A" w14:textId="77777777" w:rsidR="000746B9" w:rsidRPr="000746B9" w:rsidRDefault="000746B9" w:rsidP="00DA217C">
            <w:pPr>
              <w:pStyle w:val="Paragraphnonumbers"/>
              <w:spacing w:after="120"/>
              <w:rPr>
                <w:rFonts w:cs="Arial"/>
                <w:sz w:val="20"/>
                <w:szCs w:val="20"/>
              </w:rPr>
            </w:pPr>
            <w:bookmarkStart w:id="154" w:name="_Hlk107302066"/>
            <w:r w:rsidRPr="000746B9">
              <w:rPr>
                <w:rFonts w:cs="Arial"/>
                <w:sz w:val="20"/>
                <w:szCs w:val="20"/>
              </w:rPr>
              <w:t xml:space="preserve">Improved recognition of menopause as being a contributory factor to recurrent UTI which is amenable to </w:t>
            </w:r>
            <w:proofErr w:type="spellStart"/>
            <w:r w:rsidRPr="000746B9">
              <w:rPr>
                <w:rFonts w:cs="Arial"/>
                <w:sz w:val="20"/>
                <w:szCs w:val="20"/>
              </w:rPr>
              <w:t>estrogen</w:t>
            </w:r>
            <w:proofErr w:type="spellEnd"/>
            <w:r w:rsidRPr="000746B9">
              <w:rPr>
                <w:rFonts w:cs="Arial"/>
                <w:sz w:val="20"/>
                <w:szCs w:val="20"/>
              </w:rPr>
              <w:t xml:space="preserve"> treatment</w:t>
            </w:r>
          </w:p>
          <w:bookmarkEnd w:id="154"/>
          <w:p w14:paraId="6CA075DE" w14:textId="77777777" w:rsidR="000746B9" w:rsidRPr="000746B9" w:rsidRDefault="000746B9" w:rsidP="00DA217C">
            <w:pPr>
              <w:pStyle w:val="TableText1"/>
              <w:rPr>
                <w:rFonts w:cs="Arial"/>
                <w:sz w:val="20"/>
                <w:szCs w:val="20"/>
              </w:rPr>
            </w:pPr>
          </w:p>
        </w:tc>
        <w:tc>
          <w:tcPr>
            <w:tcW w:w="4350" w:type="dxa"/>
          </w:tcPr>
          <w:p w14:paraId="62D6AD33" w14:textId="77777777" w:rsidR="000746B9" w:rsidRPr="000746B9" w:rsidRDefault="000746B9" w:rsidP="00DA217C">
            <w:pPr>
              <w:pStyle w:val="TableText1"/>
              <w:rPr>
                <w:rFonts w:cs="Arial"/>
                <w:sz w:val="20"/>
                <w:szCs w:val="20"/>
              </w:rPr>
            </w:pPr>
            <w:r w:rsidRPr="000746B9">
              <w:rPr>
                <w:rFonts w:cs="Arial"/>
                <w:sz w:val="20"/>
                <w:szCs w:val="20"/>
              </w:rPr>
              <w:t xml:space="preserve">Recurrent UTIs are very common in postmenopausal women. The use of vaginal </w:t>
            </w:r>
            <w:proofErr w:type="spellStart"/>
            <w:r w:rsidRPr="000746B9">
              <w:rPr>
                <w:rFonts w:cs="Arial"/>
                <w:sz w:val="20"/>
                <w:szCs w:val="20"/>
              </w:rPr>
              <w:t>estrogen</w:t>
            </w:r>
            <w:proofErr w:type="spellEnd"/>
            <w:r w:rsidRPr="000746B9">
              <w:rPr>
                <w:rFonts w:cs="Arial"/>
                <w:sz w:val="20"/>
                <w:szCs w:val="20"/>
              </w:rPr>
              <w:t xml:space="preserve"> therapy is both safe and efficacious in lowering UTI risk and is based on the results of four meta-analyses which show that topical oestrogen admission (either as a cream or pessary) shows a trend towards recurrent UTI prevention. The 2022 European Association of Urology guidelines for recurrent uncomplicated UTIs in women recommends that clinicians offer vaginal </w:t>
            </w:r>
            <w:proofErr w:type="spellStart"/>
            <w:r w:rsidRPr="000746B9">
              <w:rPr>
                <w:rFonts w:cs="Arial"/>
                <w:sz w:val="20"/>
                <w:szCs w:val="20"/>
              </w:rPr>
              <w:t>estrogen</w:t>
            </w:r>
            <w:proofErr w:type="spellEnd"/>
            <w:r w:rsidRPr="000746B9">
              <w:rPr>
                <w:rFonts w:cs="Arial"/>
                <w:sz w:val="20"/>
                <w:szCs w:val="20"/>
              </w:rPr>
              <w:t xml:space="preserve"> therapy to peri- and post-menopausal women with recurrent UTIs to reduce their risk</w:t>
            </w:r>
          </w:p>
        </w:tc>
        <w:tc>
          <w:tcPr>
            <w:tcW w:w="3769" w:type="dxa"/>
          </w:tcPr>
          <w:p w14:paraId="60BF6F7E" w14:textId="77777777" w:rsidR="000746B9" w:rsidRPr="000746B9" w:rsidRDefault="00AC503C" w:rsidP="00DA217C">
            <w:pPr>
              <w:pStyle w:val="Paragraphnonumbers"/>
              <w:rPr>
                <w:rFonts w:cs="Arial"/>
                <w:sz w:val="20"/>
                <w:szCs w:val="20"/>
              </w:rPr>
            </w:pPr>
            <w:hyperlink r:id="rId118" w:history="1">
              <w:r w:rsidR="000746B9" w:rsidRPr="000746B9">
                <w:rPr>
                  <w:rStyle w:val="Hyperlink"/>
                  <w:rFonts w:cs="Arial"/>
                  <w:sz w:val="20"/>
                  <w:szCs w:val="20"/>
                </w:rPr>
                <w:t>https://uroweb.org/guidelines/urological-infections/chapter/introduction</w:t>
              </w:r>
            </w:hyperlink>
          </w:p>
          <w:p w14:paraId="2B25192E" w14:textId="77777777" w:rsidR="000746B9" w:rsidRPr="000746B9" w:rsidRDefault="000746B9" w:rsidP="00DA217C">
            <w:pPr>
              <w:pStyle w:val="TableText1"/>
              <w:rPr>
                <w:rFonts w:cs="Arial"/>
                <w:sz w:val="20"/>
                <w:szCs w:val="20"/>
              </w:rPr>
            </w:pPr>
          </w:p>
        </w:tc>
      </w:tr>
      <w:tr w:rsidR="000746B9" w:rsidRPr="000746B9" w14:paraId="2C1FB4F6" w14:textId="77777777" w:rsidTr="007C6ED4">
        <w:trPr>
          <w:trHeight w:val="282"/>
        </w:trPr>
        <w:tc>
          <w:tcPr>
            <w:tcW w:w="708" w:type="dxa"/>
          </w:tcPr>
          <w:p w14:paraId="46A241BA" w14:textId="77777777" w:rsidR="000746B9" w:rsidRPr="000746B9" w:rsidRDefault="000746B9" w:rsidP="00DA217C">
            <w:pPr>
              <w:pStyle w:val="TableText1"/>
              <w:rPr>
                <w:rFonts w:cs="Arial"/>
                <w:sz w:val="20"/>
                <w:szCs w:val="20"/>
              </w:rPr>
            </w:pPr>
            <w:r w:rsidRPr="000746B9">
              <w:rPr>
                <w:rFonts w:cs="Arial"/>
                <w:sz w:val="20"/>
                <w:szCs w:val="20"/>
              </w:rPr>
              <w:t>4a</w:t>
            </w:r>
          </w:p>
        </w:tc>
        <w:tc>
          <w:tcPr>
            <w:tcW w:w="2264" w:type="dxa"/>
          </w:tcPr>
          <w:p w14:paraId="59C05941" w14:textId="77777777" w:rsidR="000746B9" w:rsidRPr="000746B9" w:rsidRDefault="000746B9" w:rsidP="00DA217C">
            <w:pPr>
              <w:pStyle w:val="TableText1"/>
              <w:rPr>
                <w:rFonts w:cs="Arial"/>
                <w:sz w:val="20"/>
                <w:szCs w:val="20"/>
              </w:rPr>
            </w:pPr>
            <w:r w:rsidRPr="000746B9">
              <w:rPr>
                <w:rFonts w:cs="Arial"/>
                <w:sz w:val="20"/>
                <w:szCs w:val="20"/>
              </w:rPr>
              <w:t>Pelvic Obstetric &amp; Gynaecological Physiotherapy</w:t>
            </w:r>
          </w:p>
        </w:tc>
        <w:tc>
          <w:tcPr>
            <w:tcW w:w="3588" w:type="dxa"/>
          </w:tcPr>
          <w:p w14:paraId="432D06E7" w14:textId="77777777" w:rsidR="000746B9" w:rsidRPr="000746B9" w:rsidRDefault="000746B9" w:rsidP="00DA217C">
            <w:pPr>
              <w:pStyle w:val="TableText1"/>
              <w:rPr>
                <w:rFonts w:cs="Arial"/>
                <w:sz w:val="20"/>
                <w:szCs w:val="20"/>
              </w:rPr>
            </w:pPr>
            <w:proofErr w:type="spellStart"/>
            <w:r w:rsidRPr="000746B9">
              <w:rPr>
                <w:rFonts w:cs="Arial"/>
                <w:sz w:val="20"/>
                <w:szCs w:val="20"/>
              </w:rPr>
              <w:t>Uro</w:t>
            </w:r>
            <w:proofErr w:type="spellEnd"/>
            <w:r w:rsidRPr="000746B9">
              <w:rPr>
                <w:rFonts w:cs="Arial"/>
                <w:sz w:val="20"/>
                <w:szCs w:val="20"/>
              </w:rPr>
              <w:t>-genital atrophy and associated increase in UTI-Pelvic floor muscle training</w:t>
            </w:r>
          </w:p>
        </w:tc>
        <w:tc>
          <w:tcPr>
            <w:tcW w:w="4350" w:type="dxa"/>
          </w:tcPr>
          <w:p w14:paraId="316EA229" w14:textId="77777777" w:rsidR="000746B9" w:rsidRPr="000746B9" w:rsidRDefault="000746B9" w:rsidP="00DA217C">
            <w:pPr>
              <w:pStyle w:val="TableText1"/>
              <w:rPr>
                <w:rFonts w:cs="Arial"/>
                <w:sz w:val="20"/>
                <w:szCs w:val="20"/>
              </w:rPr>
            </w:pPr>
          </w:p>
        </w:tc>
        <w:tc>
          <w:tcPr>
            <w:tcW w:w="3769" w:type="dxa"/>
          </w:tcPr>
          <w:p w14:paraId="7C4FDB5A" w14:textId="77777777" w:rsidR="000746B9" w:rsidRPr="000746B9" w:rsidRDefault="000746B9" w:rsidP="00DA217C">
            <w:pPr>
              <w:rPr>
                <w:rFonts w:ascii="Arial" w:hAnsi="Arial" w:cs="Arial"/>
                <w:sz w:val="20"/>
                <w:szCs w:val="20"/>
              </w:rPr>
            </w:pPr>
            <w:r w:rsidRPr="000746B9">
              <w:rPr>
                <w:rFonts w:ascii="Arial" w:hAnsi="Arial" w:cs="Arial"/>
                <w:sz w:val="20"/>
                <w:szCs w:val="20"/>
              </w:rPr>
              <w:t xml:space="preserve">Pelvic floor muscle training to be considered a valid option for treating </w:t>
            </w:r>
            <w:proofErr w:type="spellStart"/>
            <w:r w:rsidRPr="000746B9">
              <w:rPr>
                <w:rFonts w:ascii="Arial" w:hAnsi="Arial" w:cs="Arial"/>
                <w:sz w:val="20"/>
                <w:szCs w:val="20"/>
              </w:rPr>
              <w:t>uro</w:t>
            </w:r>
            <w:proofErr w:type="spellEnd"/>
            <w:r w:rsidRPr="000746B9">
              <w:rPr>
                <w:rFonts w:ascii="Arial" w:hAnsi="Arial" w:cs="Arial"/>
                <w:sz w:val="20"/>
                <w:szCs w:val="20"/>
              </w:rPr>
              <w:t>-genital atrophy</w:t>
            </w:r>
          </w:p>
          <w:p w14:paraId="1E9F1172" w14:textId="77777777" w:rsidR="000746B9" w:rsidRPr="000746B9" w:rsidRDefault="000746B9" w:rsidP="00DA217C">
            <w:pPr>
              <w:rPr>
                <w:rFonts w:ascii="Arial" w:hAnsi="Arial" w:cs="Arial"/>
                <w:sz w:val="20"/>
                <w:szCs w:val="20"/>
              </w:rPr>
            </w:pPr>
          </w:p>
          <w:p w14:paraId="576CFEBB" w14:textId="77777777" w:rsidR="000746B9" w:rsidRPr="000746B9" w:rsidRDefault="000746B9" w:rsidP="00DA217C">
            <w:pPr>
              <w:rPr>
                <w:rFonts w:ascii="Arial" w:hAnsi="Arial" w:cs="Arial"/>
                <w:color w:val="2B2B2B"/>
                <w:sz w:val="20"/>
                <w:szCs w:val="20"/>
              </w:rPr>
            </w:pPr>
            <w:r w:rsidRPr="000746B9">
              <w:rPr>
                <w:rFonts w:ascii="Arial" w:hAnsi="Arial" w:cs="Arial"/>
                <w:color w:val="2B2B2B"/>
                <w:sz w:val="20"/>
                <w:szCs w:val="20"/>
              </w:rPr>
              <w:t xml:space="preserve">Mercier J, Morin M, </w:t>
            </w:r>
            <w:proofErr w:type="spellStart"/>
            <w:r w:rsidRPr="000746B9">
              <w:rPr>
                <w:rFonts w:ascii="Arial" w:hAnsi="Arial" w:cs="Arial"/>
                <w:color w:val="2B2B2B"/>
                <w:sz w:val="20"/>
                <w:szCs w:val="20"/>
              </w:rPr>
              <w:t>Zaki</w:t>
            </w:r>
            <w:proofErr w:type="spellEnd"/>
            <w:r w:rsidRPr="000746B9">
              <w:rPr>
                <w:rFonts w:ascii="Arial" w:hAnsi="Arial" w:cs="Arial"/>
                <w:color w:val="2B2B2B"/>
                <w:sz w:val="20"/>
                <w:szCs w:val="20"/>
              </w:rPr>
              <w:t xml:space="preserve"> D, </w:t>
            </w:r>
            <w:proofErr w:type="spellStart"/>
            <w:r w:rsidRPr="000746B9">
              <w:rPr>
                <w:rFonts w:ascii="Arial" w:hAnsi="Arial" w:cs="Arial"/>
                <w:color w:val="2B2B2B"/>
                <w:sz w:val="20"/>
                <w:szCs w:val="20"/>
              </w:rPr>
              <w:t>Reichetzer</w:t>
            </w:r>
            <w:proofErr w:type="spellEnd"/>
            <w:r w:rsidRPr="000746B9">
              <w:rPr>
                <w:rFonts w:ascii="Arial" w:hAnsi="Arial" w:cs="Arial"/>
                <w:color w:val="2B2B2B"/>
                <w:sz w:val="20"/>
                <w:szCs w:val="20"/>
              </w:rPr>
              <w:t xml:space="preserve"> B, Lemieux MC, </w:t>
            </w:r>
            <w:proofErr w:type="spellStart"/>
            <w:r w:rsidRPr="000746B9">
              <w:rPr>
                <w:rFonts w:ascii="Arial" w:hAnsi="Arial" w:cs="Arial"/>
                <w:color w:val="2B2B2B"/>
                <w:sz w:val="20"/>
                <w:szCs w:val="20"/>
              </w:rPr>
              <w:t>Khalifé</w:t>
            </w:r>
            <w:proofErr w:type="spellEnd"/>
            <w:r w:rsidRPr="000746B9">
              <w:rPr>
                <w:rFonts w:ascii="Arial" w:hAnsi="Arial" w:cs="Arial"/>
                <w:color w:val="2B2B2B"/>
                <w:sz w:val="20"/>
                <w:szCs w:val="20"/>
              </w:rPr>
              <w:t xml:space="preserve"> S, Dumoulin C. Pelvic floor muscle training as a treatment for genitourinary syndrome of menopause: A single-arm feasibility study. </w:t>
            </w:r>
            <w:proofErr w:type="spellStart"/>
            <w:r w:rsidRPr="000746B9">
              <w:rPr>
                <w:rStyle w:val="Emphasis"/>
                <w:rFonts w:ascii="Arial" w:hAnsi="Arial" w:cs="Arial"/>
                <w:color w:val="2B2B2B"/>
                <w:sz w:val="20"/>
                <w:szCs w:val="20"/>
              </w:rPr>
              <w:t>Maturitas</w:t>
            </w:r>
            <w:proofErr w:type="spellEnd"/>
            <w:r w:rsidRPr="000746B9">
              <w:rPr>
                <w:rStyle w:val="Emphasis"/>
                <w:rFonts w:ascii="Arial" w:hAnsi="Arial" w:cs="Arial"/>
                <w:color w:val="2B2B2B"/>
                <w:sz w:val="20"/>
                <w:szCs w:val="20"/>
              </w:rPr>
              <w:t>.</w:t>
            </w:r>
            <w:r w:rsidRPr="000746B9">
              <w:rPr>
                <w:rFonts w:ascii="Arial" w:hAnsi="Arial" w:cs="Arial"/>
                <w:color w:val="2B2B2B"/>
                <w:sz w:val="20"/>
                <w:szCs w:val="20"/>
              </w:rPr>
              <w:t> </w:t>
            </w:r>
            <w:proofErr w:type="gramStart"/>
            <w:r w:rsidRPr="000746B9">
              <w:rPr>
                <w:rFonts w:ascii="Arial" w:hAnsi="Arial" w:cs="Arial"/>
                <w:color w:val="2B2B2B"/>
                <w:sz w:val="20"/>
                <w:szCs w:val="20"/>
              </w:rPr>
              <w:t>2019;125:57</w:t>
            </w:r>
            <w:proofErr w:type="gramEnd"/>
            <w:r w:rsidRPr="000746B9">
              <w:rPr>
                <w:rFonts w:ascii="Arial" w:hAnsi="Arial" w:cs="Arial"/>
                <w:color w:val="2B2B2B"/>
                <w:sz w:val="20"/>
                <w:szCs w:val="20"/>
              </w:rPr>
              <w:t>-62.</w:t>
            </w:r>
            <w:r w:rsidRPr="000746B9">
              <w:rPr>
                <w:rFonts w:ascii="Arial" w:hAnsi="Arial" w:cs="Arial"/>
                <w:color w:val="2B2B2B"/>
                <w:sz w:val="20"/>
                <w:szCs w:val="20"/>
              </w:rPr>
              <w:br/>
            </w:r>
            <w:hyperlink r:id="rId119" w:history="1">
              <w:r w:rsidRPr="000746B9">
                <w:rPr>
                  <w:rStyle w:val="Hyperlink"/>
                  <w:rFonts w:ascii="Arial" w:hAnsi="Arial" w:cs="Arial"/>
                  <w:color w:val="000D5B"/>
                  <w:sz w:val="20"/>
                  <w:szCs w:val="20"/>
                </w:rPr>
                <w:t>https://pubmed.ncbi.nlm.nih.gov/31133219/</w:t>
              </w:r>
            </w:hyperlink>
          </w:p>
          <w:p w14:paraId="0B752E3E" w14:textId="77777777" w:rsidR="000746B9" w:rsidRPr="000746B9" w:rsidRDefault="00AC503C" w:rsidP="00DA217C">
            <w:pPr>
              <w:pStyle w:val="textlist-item"/>
              <w:spacing w:after="60" w:afterAutospacing="0" w:line="374" w:lineRule="atLeast"/>
              <w:rPr>
                <w:rFonts w:ascii="Arial" w:hAnsi="Arial" w:cs="Arial"/>
                <w:color w:val="2B2B2B"/>
                <w:sz w:val="20"/>
                <w:szCs w:val="20"/>
              </w:rPr>
            </w:pPr>
            <w:hyperlink r:id="rId120" w:history="1">
              <w:r w:rsidR="000746B9" w:rsidRPr="000746B9">
                <w:rPr>
                  <w:rStyle w:val="Hyperlink"/>
                  <w:rFonts w:ascii="Arial" w:hAnsi="Arial" w:cs="Arial"/>
                  <w:sz w:val="20"/>
                  <w:szCs w:val="20"/>
                </w:rPr>
                <w:t>https://www.imsociety.org/2021/03/15/pelvic-floor-muscle-training-as-a-</w:t>
              </w:r>
              <w:r w:rsidR="000746B9" w:rsidRPr="000746B9">
                <w:rPr>
                  <w:rStyle w:val="Hyperlink"/>
                  <w:rFonts w:ascii="Arial" w:hAnsi="Arial" w:cs="Arial"/>
                  <w:sz w:val="20"/>
                  <w:szCs w:val="20"/>
                </w:rPr>
                <w:lastRenderedPageBreak/>
                <w:t>treatment-for-genitourinary-syndrome-of-menopause/</w:t>
              </w:r>
            </w:hyperlink>
          </w:p>
          <w:p w14:paraId="297BBFFD" w14:textId="77777777" w:rsidR="000746B9" w:rsidRPr="000746B9" w:rsidRDefault="000746B9" w:rsidP="00DA217C">
            <w:pPr>
              <w:pStyle w:val="textlist-item"/>
              <w:spacing w:after="60" w:afterAutospacing="0" w:line="374" w:lineRule="atLeast"/>
              <w:rPr>
                <w:rFonts w:ascii="Arial" w:hAnsi="Arial" w:cs="Arial"/>
                <w:color w:val="2B2B2B"/>
                <w:sz w:val="20"/>
                <w:szCs w:val="20"/>
              </w:rPr>
            </w:pPr>
            <w:r w:rsidRPr="000746B9">
              <w:rPr>
                <w:rFonts w:ascii="Arial" w:hAnsi="Arial" w:cs="Arial"/>
                <w:color w:val="2B2B2B"/>
                <w:sz w:val="20"/>
                <w:szCs w:val="20"/>
              </w:rPr>
              <w:t>As the signs and symptoms are much more broad than vaginal dryness can this be broadened?</w:t>
            </w:r>
          </w:p>
          <w:p w14:paraId="0B8120FC" w14:textId="77777777" w:rsidR="000746B9" w:rsidRPr="000746B9" w:rsidRDefault="000746B9" w:rsidP="00DA217C">
            <w:pPr>
              <w:rPr>
                <w:rFonts w:ascii="Arial" w:hAnsi="Arial" w:cs="Arial"/>
                <w:color w:val="44546A"/>
                <w:sz w:val="20"/>
                <w:szCs w:val="20"/>
                <w:shd w:val="clear" w:color="auto" w:fill="FFFFFF"/>
              </w:rPr>
            </w:pPr>
            <w:proofErr w:type="spellStart"/>
            <w:r w:rsidRPr="000746B9">
              <w:rPr>
                <w:rFonts w:ascii="Arial" w:hAnsi="Arial" w:cs="Arial"/>
                <w:color w:val="44546A"/>
                <w:sz w:val="20"/>
                <w:szCs w:val="20"/>
                <w:shd w:val="clear" w:color="auto" w:fill="FFFFFF"/>
              </w:rPr>
              <w:t>Basu</w:t>
            </w:r>
            <w:proofErr w:type="spellEnd"/>
            <w:r w:rsidRPr="000746B9">
              <w:rPr>
                <w:rFonts w:ascii="Arial" w:hAnsi="Arial" w:cs="Arial"/>
                <w:color w:val="44546A"/>
                <w:sz w:val="20"/>
                <w:szCs w:val="20"/>
                <w:shd w:val="clear" w:color="auto" w:fill="FFFFFF"/>
              </w:rPr>
              <w:t>, M., 2020. Assessment of the urogynaecology patient in primary care and when to refer. </w:t>
            </w:r>
            <w:r w:rsidRPr="000746B9">
              <w:rPr>
                <w:rFonts w:ascii="Arial" w:hAnsi="Arial" w:cs="Arial"/>
                <w:i/>
                <w:iCs/>
                <w:color w:val="44546A"/>
                <w:sz w:val="20"/>
                <w:szCs w:val="20"/>
              </w:rPr>
              <w:t>Post Reproductive Health</w:t>
            </w:r>
            <w:r w:rsidRPr="000746B9">
              <w:rPr>
                <w:rFonts w:ascii="Arial" w:hAnsi="Arial" w:cs="Arial"/>
                <w:color w:val="44546A"/>
                <w:sz w:val="20"/>
                <w:szCs w:val="20"/>
                <w:shd w:val="clear" w:color="auto" w:fill="FFFFFF"/>
              </w:rPr>
              <w:t>, 26(2), pp.57-62.</w:t>
            </w:r>
          </w:p>
          <w:p w14:paraId="73DB0F61" w14:textId="77777777" w:rsidR="000746B9" w:rsidRPr="000746B9" w:rsidRDefault="000746B9" w:rsidP="00DA217C">
            <w:pPr>
              <w:rPr>
                <w:rFonts w:ascii="Arial" w:hAnsi="Arial" w:cs="Arial"/>
                <w:color w:val="44546A"/>
                <w:sz w:val="20"/>
                <w:szCs w:val="20"/>
                <w:shd w:val="clear" w:color="auto" w:fill="FFFFFF"/>
              </w:rPr>
            </w:pPr>
          </w:p>
          <w:p w14:paraId="35E9E00B" w14:textId="77777777" w:rsidR="000746B9" w:rsidRPr="000746B9" w:rsidRDefault="000746B9" w:rsidP="00DA217C">
            <w:pPr>
              <w:rPr>
                <w:rFonts w:ascii="Arial" w:hAnsi="Arial" w:cs="Arial"/>
                <w:color w:val="44546A"/>
                <w:sz w:val="20"/>
                <w:szCs w:val="20"/>
              </w:rPr>
            </w:pPr>
            <w:r w:rsidRPr="000746B9">
              <w:rPr>
                <w:rFonts w:ascii="Arial" w:hAnsi="Arial" w:cs="Arial"/>
                <w:color w:val="44546A"/>
                <w:sz w:val="20"/>
                <w:szCs w:val="20"/>
                <w:shd w:val="clear" w:color="auto" w:fill="FFFFFF"/>
              </w:rPr>
              <w:t xml:space="preserve">Briggs, P. and </w:t>
            </w:r>
            <w:proofErr w:type="spellStart"/>
            <w:r w:rsidRPr="000746B9">
              <w:rPr>
                <w:rFonts w:ascii="Arial" w:hAnsi="Arial" w:cs="Arial"/>
                <w:color w:val="44546A"/>
                <w:sz w:val="20"/>
                <w:szCs w:val="20"/>
                <w:shd w:val="clear" w:color="auto" w:fill="FFFFFF"/>
              </w:rPr>
              <w:t>Hapangama</w:t>
            </w:r>
            <w:proofErr w:type="spellEnd"/>
            <w:r w:rsidRPr="000746B9">
              <w:rPr>
                <w:rFonts w:ascii="Arial" w:hAnsi="Arial" w:cs="Arial"/>
                <w:color w:val="44546A"/>
                <w:sz w:val="20"/>
                <w:szCs w:val="20"/>
                <w:shd w:val="clear" w:color="auto" w:fill="FFFFFF"/>
              </w:rPr>
              <w:t>, D., 2021. Urogenital atrophy: The ‘unknown factors’ challenging current practice.</w:t>
            </w:r>
            <w:r w:rsidRPr="000746B9">
              <w:rPr>
                <w:rStyle w:val="apple-converted-space"/>
                <w:rFonts w:ascii="Arial" w:hAnsi="Arial" w:cs="Arial"/>
                <w:color w:val="44546A"/>
                <w:sz w:val="20"/>
                <w:szCs w:val="20"/>
                <w:shd w:val="clear" w:color="auto" w:fill="FFFFFF"/>
              </w:rPr>
              <w:t> </w:t>
            </w:r>
            <w:r w:rsidRPr="000746B9">
              <w:rPr>
                <w:rFonts w:ascii="Arial" w:hAnsi="Arial" w:cs="Arial"/>
                <w:i/>
                <w:iCs/>
                <w:color w:val="44546A"/>
                <w:sz w:val="20"/>
                <w:szCs w:val="20"/>
              </w:rPr>
              <w:t>Post Reproductive Health</w:t>
            </w:r>
            <w:r w:rsidRPr="000746B9">
              <w:rPr>
                <w:rFonts w:ascii="Arial" w:hAnsi="Arial" w:cs="Arial"/>
                <w:color w:val="44546A"/>
                <w:sz w:val="20"/>
                <w:szCs w:val="20"/>
                <w:shd w:val="clear" w:color="auto" w:fill="FFFFFF"/>
              </w:rPr>
              <w:t>, 27(2), pp.109-120.</w:t>
            </w:r>
          </w:p>
          <w:p w14:paraId="6844DDBC" w14:textId="77777777" w:rsidR="000746B9" w:rsidRPr="000746B9" w:rsidRDefault="000746B9" w:rsidP="00DA217C">
            <w:pPr>
              <w:rPr>
                <w:rFonts w:ascii="Arial" w:hAnsi="Arial" w:cs="Arial"/>
                <w:color w:val="44546A"/>
                <w:sz w:val="20"/>
                <w:szCs w:val="20"/>
                <w:shd w:val="clear" w:color="auto" w:fill="FFFFFF"/>
              </w:rPr>
            </w:pPr>
            <w:proofErr w:type="spellStart"/>
            <w:r w:rsidRPr="000746B9">
              <w:rPr>
                <w:rFonts w:ascii="Arial" w:hAnsi="Arial" w:cs="Arial"/>
                <w:color w:val="44546A"/>
                <w:sz w:val="20"/>
                <w:szCs w:val="20"/>
                <w:shd w:val="clear" w:color="auto" w:fill="FFFFFF"/>
              </w:rPr>
              <w:t>df</w:t>
            </w:r>
            <w:proofErr w:type="spellEnd"/>
          </w:p>
          <w:p w14:paraId="34FB6A09" w14:textId="77777777" w:rsidR="000746B9" w:rsidRPr="000746B9" w:rsidRDefault="000746B9" w:rsidP="00DA217C">
            <w:pPr>
              <w:rPr>
                <w:rFonts w:ascii="Arial" w:hAnsi="Arial" w:cs="Arial"/>
                <w:sz w:val="20"/>
                <w:szCs w:val="20"/>
              </w:rPr>
            </w:pPr>
          </w:p>
        </w:tc>
      </w:tr>
      <w:tr w:rsidR="000746B9" w:rsidRPr="000746B9" w14:paraId="2013A575" w14:textId="77777777" w:rsidTr="007C6ED4">
        <w:trPr>
          <w:trHeight w:val="282"/>
        </w:trPr>
        <w:tc>
          <w:tcPr>
            <w:tcW w:w="708" w:type="dxa"/>
          </w:tcPr>
          <w:p w14:paraId="576E051A" w14:textId="77777777" w:rsidR="000746B9" w:rsidRPr="000746B9" w:rsidRDefault="000746B9" w:rsidP="00DA217C">
            <w:pPr>
              <w:pStyle w:val="TableText1"/>
              <w:rPr>
                <w:rFonts w:cs="Arial"/>
                <w:sz w:val="20"/>
                <w:szCs w:val="20"/>
              </w:rPr>
            </w:pPr>
            <w:r w:rsidRPr="000746B9">
              <w:rPr>
                <w:rFonts w:cs="Arial"/>
                <w:sz w:val="20"/>
                <w:szCs w:val="20"/>
              </w:rPr>
              <w:lastRenderedPageBreak/>
              <w:t>4a</w:t>
            </w:r>
          </w:p>
        </w:tc>
        <w:tc>
          <w:tcPr>
            <w:tcW w:w="2264" w:type="dxa"/>
          </w:tcPr>
          <w:p w14:paraId="32C69814" w14:textId="77777777" w:rsidR="000746B9" w:rsidRPr="000746B9" w:rsidRDefault="000746B9" w:rsidP="00DA217C">
            <w:pPr>
              <w:pStyle w:val="TableText1"/>
              <w:rPr>
                <w:rFonts w:cs="Arial"/>
                <w:sz w:val="20"/>
                <w:szCs w:val="20"/>
              </w:rPr>
            </w:pPr>
            <w:r w:rsidRPr="000746B9">
              <w:rPr>
                <w:rFonts w:cs="Arial"/>
                <w:sz w:val="20"/>
                <w:szCs w:val="20"/>
              </w:rPr>
              <w:t>Pelvic Obstetric &amp; Gynaecological Physiotherapy</w:t>
            </w:r>
          </w:p>
        </w:tc>
        <w:tc>
          <w:tcPr>
            <w:tcW w:w="3588" w:type="dxa"/>
          </w:tcPr>
          <w:p w14:paraId="07C504BF" w14:textId="77777777" w:rsidR="000746B9" w:rsidRPr="000746B9" w:rsidRDefault="000746B9" w:rsidP="00DA217C">
            <w:pPr>
              <w:pStyle w:val="Paragraphnonumbers"/>
              <w:rPr>
                <w:rFonts w:cs="Arial"/>
                <w:sz w:val="20"/>
                <w:szCs w:val="20"/>
              </w:rPr>
            </w:pPr>
            <w:proofErr w:type="spellStart"/>
            <w:r w:rsidRPr="000746B9">
              <w:rPr>
                <w:rFonts w:cs="Arial"/>
                <w:sz w:val="20"/>
                <w:szCs w:val="20"/>
              </w:rPr>
              <w:t>Uro</w:t>
            </w:r>
            <w:proofErr w:type="spellEnd"/>
            <w:r w:rsidRPr="000746B9">
              <w:rPr>
                <w:rFonts w:cs="Arial"/>
                <w:sz w:val="20"/>
                <w:szCs w:val="20"/>
              </w:rPr>
              <w:t>-genital atrophy-British Menopause society consensus statement</w:t>
            </w:r>
          </w:p>
          <w:p w14:paraId="2C53BFD2" w14:textId="77777777" w:rsidR="000746B9" w:rsidRPr="000746B9" w:rsidRDefault="000746B9" w:rsidP="00DA217C">
            <w:pPr>
              <w:pStyle w:val="TableText1"/>
              <w:rPr>
                <w:rFonts w:cs="Arial"/>
                <w:sz w:val="20"/>
                <w:szCs w:val="20"/>
              </w:rPr>
            </w:pPr>
          </w:p>
        </w:tc>
        <w:tc>
          <w:tcPr>
            <w:tcW w:w="4350" w:type="dxa"/>
          </w:tcPr>
          <w:p w14:paraId="23F2AA1E" w14:textId="77777777" w:rsidR="000746B9" w:rsidRPr="000746B9" w:rsidRDefault="00AC503C" w:rsidP="00DA217C">
            <w:pPr>
              <w:pStyle w:val="TableText1"/>
              <w:rPr>
                <w:rFonts w:cs="Arial"/>
                <w:sz w:val="20"/>
                <w:szCs w:val="20"/>
              </w:rPr>
            </w:pPr>
            <w:hyperlink r:id="rId121" w:history="1">
              <w:r w:rsidR="000746B9" w:rsidRPr="000746B9">
                <w:rPr>
                  <w:rStyle w:val="Hyperlink"/>
                  <w:rFonts w:cs="Arial"/>
                  <w:sz w:val="20"/>
                  <w:szCs w:val="20"/>
                </w:rPr>
                <w:t>https://thebms.org.uk/wp-content/uploads/_pda/2021/07/09-BMS-ConsensusStatement-Urogenital-atrophy-JUNE2021-01B.pdf?t=60dd9d660724f</w:t>
              </w:r>
            </w:hyperlink>
          </w:p>
          <w:p w14:paraId="2F74F7AC" w14:textId="77777777" w:rsidR="000746B9" w:rsidRPr="000746B9" w:rsidRDefault="000746B9" w:rsidP="00DA217C">
            <w:pPr>
              <w:pStyle w:val="TableText1"/>
              <w:rPr>
                <w:rFonts w:cs="Arial"/>
                <w:sz w:val="20"/>
                <w:szCs w:val="20"/>
              </w:rPr>
            </w:pPr>
          </w:p>
        </w:tc>
        <w:tc>
          <w:tcPr>
            <w:tcW w:w="3769" w:type="dxa"/>
          </w:tcPr>
          <w:p w14:paraId="354E52DC" w14:textId="77777777" w:rsidR="000746B9" w:rsidRPr="000746B9" w:rsidRDefault="000746B9" w:rsidP="00DA217C">
            <w:pPr>
              <w:rPr>
                <w:rFonts w:ascii="Arial" w:hAnsi="Arial" w:cs="Arial"/>
                <w:sz w:val="20"/>
                <w:szCs w:val="20"/>
                <w:lang w:eastAsia="en-GB"/>
              </w:rPr>
            </w:pPr>
            <w:r w:rsidRPr="000746B9">
              <w:rPr>
                <w:rFonts w:ascii="Arial" w:hAnsi="Arial" w:cs="Arial"/>
                <w:sz w:val="20"/>
                <w:szCs w:val="20"/>
              </w:rPr>
              <w:t xml:space="preserve">1 Nappi RE, Palacios S, Panay N, </w:t>
            </w:r>
            <w:proofErr w:type="spellStart"/>
            <w:r w:rsidRPr="000746B9">
              <w:rPr>
                <w:rFonts w:ascii="Arial" w:hAnsi="Arial" w:cs="Arial"/>
                <w:sz w:val="20"/>
                <w:szCs w:val="20"/>
              </w:rPr>
              <w:t>Particco</w:t>
            </w:r>
            <w:proofErr w:type="spellEnd"/>
            <w:r w:rsidRPr="000746B9">
              <w:rPr>
                <w:rFonts w:ascii="Arial" w:hAnsi="Arial" w:cs="Arial"/>
                <w:sz w:val="20"/>
                <w:szCs w:val="20"/>
              </w:rPr>
              <w:t xml:space="preserve"> M, </w:t>
            </w:r>
            <w:proofErr w:type="spellStart"/>
            <w:r w:rsidRPr="000746B9">
              <w:rPr>
                <w:rFonts w:ascii="Arial" w:hAnsi="Arial" w:cs="Arial"/>
                <w:sz w:val="20"/>
                <w:szCs w:val="20"/>
              </w:rPr>
              <w:t>Krychman</w:t>
            </w:r>
            <w:proofErr w:type="spellEnd"/>
            <w:r w:rsidRPr="000746B9">
              <w:rPr>
                <w:rFonts w:ascii="Arial" w:hAnsi="Arial" w:cs="Arial"/>
                <w:sz w:val="20"/>
                <w:szCs w:val="20"/>
              </w:rPr>
              <w:t xml:space="preserve"> ML. Vulvar and vaginal atrophy in four European countries: evidence from the European REVIVE Survey. Climacteric: The Journal </w:t>
            </w:r>
            <w:proofErr w:type="gramStart"/>
            <w:r w:rsidRPr="000746B9">
              <w:rPr>
                <w:rFonts w:ascii="Arial" w:hAnsi="Arial" w:cs="Arial"/>
                <w:sz w:val="20"/>
                <w:szCs w:val="20"/>
              </w:rPr>
              <w:t>Of</w:t>
            </w:r>
            <w:proofErr w:type="gramEnd"/>
            <w:r w:rsidRPr="000746B9">
              <w:rPr>
                <w:rFonts w:ascii="Arial" w:hAnsi="Arial" w:cs="Arial"/>
                <w:sz w:val="20"/>
                <w:szCs w:val="20"/>
              </w:rPr>
              <w:t xml:space="preserve"> The International Menopause Society. 2016;19(2):188-97 </w:t>
            </w:r>
          </w:p>
          <w:p w14:paraId="18CD7F71" w14:textId="77777777" w:rsidR="000746B9" w:rsidRPr="000746B9" w:rsidRDefault="000746B9" w:rsidP="00DA217C">
            <w:pPr>
              <w:rPr>
                <w:rFonts w:ascii="Arial" w:hAnsi="Arial" w:cs="Arial"/>
                <w:sz w:val="20"/>
                <w:szCs w:val="20"/>
              </w:rPr>
            </w:pPr>
            <w:r w:rsidRPr="000746B9">
              <w:rPr>
                <w:rFonts w:ascii="Arial" w:hAnsi="Arial" w:cs="Arial"/>
                <w:sz w:val="20"/>
                <w:szCs w:val="20"/>
                <w:lang w:val="es-ES"/>
              </w:rPr>
              <w:t xml:space="preserve">2 </w:t>
            </w:r>
            <w:proofErr w:type="gramStart"/>
            <w:r w:rsidRPr="000746B9">
              <w:rPr>
                <w:rFonts w:ascii="Arial" w:hAnsi="Arial" w:cs="Arial"/>
                <w:sz w:val="20"/>
                <w:szCs w:val="20"/>
                <w:lang w:val="es-ES"/>
              </w:rPr>
              <w:t>Tan</w:t>
            </w:r>
            <w:proofErr w:type="gramEnd"/>
            <w:r w:rsidRPr="000746B9">
              <w:rPr>
                <w:rFonts w:ascii="Arial" w:hAnsi="Arial" w:cs="Arial"/>
                <w:sz w:val="20"/>
                <w:szCs w:val="20"/>
                <w:lang w:val="es-ES"/>
              </w:rPr>
              <w:t xml:space="preserve"> O, Bradshaw K, Carr BR. </w:t>
            </w:r>
            <w:r w:rsidRPr="000746B9">
              <w:rPr>
                <w:rFonts w:ascii="Arial" w:hAnsi="Arial" w:cs="Arial"/>
                <w:sz w:val="20"/>
                <w:szCs w:val="20"/>
              </w:rPr>
              <w:t xml:space="preserve">Management of vulvovaginal atrophy-related sexual dysfunction in postmenopausal women: an up-to-date review. 2012:109. </w:t>
            </w:r>
          </w:p>
          <w:p w14:paraId="1E9ECA66" w14:textId="77777777" w:rsidR="000746B9" w:rsidRPr="000746B9" w:rsidRDefault="000746B9" w:rsidP="00DA217C">
            <w:pPr>
              <w:rPr>
                <w:rFonts w:ascii="Arial" w:hAnsi="Arial" w:cs="Arial"/>
                <w:sz w:val="20"/>
                <w:szCs w:val="20"/>
              </w:rPr>
            </w:pPr>
            <w:r w:rsidRPr="000746B9">
              <w:rPr>
                <w:rFonts w:ascii="Arial" w:hAnsi="Arial" w:cs="Arial"/>
                <w:sz w:val="20"/>
                <w:szCs w:val="20"/>
              </w:rPr>
              <w:lastRenderedPageBreak/>
              <w:t xml:space="preserve">3 </w:t>
            </w:r>
            <w:proofErr w:type="spellStart"/>
            <w:r w:rsidRPr="000746B9">
              <w:rPr>
                <w:rFonts w:ascii="Arial" w:hAnsi="Arial" w:cs="Arial"/>
                <w:sz w:val="20"/>
                <w:szCs w:val="20"/>
              </w:rPr>
              <w:t>Shifren</w:t>
            </w:r>
            <w:proofErr w:type="spellEnd"/>
            <w:r w:rsidRPr="000746B9">
              <w:rPr>
                <w:rFonts w:ascii="Arial" w:hAnsi="Arial" w:cs="Arial"/>
                <w:sz w:val="20"/>
                <w:szCs w:val="20"/>
              </w:rPr>
              <w:t xml:space="preserve"> JL. Genitourinary Syndrome of Menopause. 2018. p. 508-16.</w:t>
            </w:r>
          </w:p>
          <w:p w14:paraId="4CC7754F" w14:textId="77777777" w:rsidR="000746B9" w:rsidRPr="000746B9" w:rsidRDefault="000746B9" w:rsidP="00DA217C">
            <w:pPr>
              <w:rPr>
                <w:rFonts w:ascii="Arial" w:hAnsi="Arial" w:cs="Arial"/>
                <w:sz w:val="20"/>
                <w:szCs w:val="20"/>
              </w:rPr>
            </w:pPr>
            <w:r w:rsidRPr="000746B9">
              <w:rPr>
                <w:rFonts w:ascii="Arial" w:hAnsi="Arial" w:cs="Arial"/>
                <w:sz w:val="20"/>
                <w:szCs w:val="20"/>
              </w:rPr>
              <w:t xml:space="preserve"> 4 Briggs P, </w:t>
            </w:r>
            <w:proofErr w:type="spellStart"/>
            <w:r w:rsidRPr="000746B9">
              <w:rPr>
                <w:rFonts w:ascii="Arial" w:hAnsi="Arial" w:cs="Arial"/>
                <w:sz w:val="20"/>
                <w:szCs w:val="20"/>
              </w:rPr>
              <w:t>Hapangama</w:t>
            </w:r>
            <w:proofErr w:type="spellEnd"/>
            <w:r w:rsidRPr="000746B9">
              <w:rPr>
                <w:rFonts w:ascii="Arial" w:hAnsi="Arial" w:cs="Arial"/>
                <w:sz w:val="20"/>
                <w:szCs w:val="20"/>
              </w:rPr>
              <w:t xml:space="preserve"> DK. Urogenital atrophy: The ‘unknown factors’ challenging current practice. Post </w:t>
            </w:r>
            <w:proofErr w:type="spellStart"/>
            <w:r w:rsidRPr="000746B9">
              <w:rPr>
                <w:rFonts w:ascii="Arial" w:hAnsi="Arial" w:cs="Arial"/>
                <w:sz w:val="20"/>
                <w:szCs w:val="20"/>
              </w:rPr>
              <w:t>Reprod</w:t>
            </w:r>
            <w:proofErr w:type="spellEnd"/>
            <w:r w:rsidRPr="000746B9">
              <w:rPr>
                <w:rFonts w:ascii="Arial" w:hAnsi="Arial" w:cs="Arial"/>
                <w:sz w:val="20"/>
                <w:szCs w:val="20"/>
              </w:rPr>
              <w:t xml:space="preserve"> Health. 2021 Mar 5:2053369121997673. </w:t>
            </w:r>
            <w:proofErr w:type="spellStart"/>
            <w:r w:rsidRPr="000746B9">
              <w:rPr>
                <w:rFonts w:ascii="Arial" w:hAnsi="Arial" w:cs="Arial"/>
                <w:sz w:val="20"/>
                <w:szCs w:val="20"/>
              </w:rPr>
              <w:t>doi</w:t>
            </w:r>
            <w:proofErr w:type="spellEnd"/>
            <w:r w:rsidRPr="000746B9">
              <w:rPr>
                <w:rFonts w:ascii="Arial" w:hAnsi="Arial" w:cs="Arial"/>
                <w:sz w:val="20"/>
                <w:szCs w:val="20"/>
              </w:rPr>
              <w:t xml:space="preserve">: 10.1177/2053369121997673. </w:t>
            </w:r>
            <w:proofErr w:type="spellStart"/>
            <w:r w:rsidRPr="000746B9">
              <w:rPr>
                <w:rFonts w:ascii="Arial" w:hAnsi="Arial" w:cs="Arial"/>
                <w:sz w:val="20"/>
                <w:szCs w:val="20"/>
              </w:rPr>
              <w:t>Epub</w:t>
            </w:r>
            <w:proofErr w:type="spellEnd"/>
            <w:r w:rsidRPr="000746B9">
              <w:rPr>
                <w:rFonts w:ascii="Arial" w:hAnsi="Arial" w:cs="Arial"/>
                <w:sz w:val="20"/>
                <w:szCs w:val="20"/>
              </w:rPr>
              <w:t xml:space="preserve"> ahead of print. PMID: 33673759. </w:t>
            </w:r>
          </w:p>
          <w:p w14:paraId="1AEC31C4" w14:textId="77777777" w:rsidR="000746B9" w:rsidRPr="000746B9" w:rsidRDefault="000746B9" w:rsidP="00DA217C">
            <w:pPr>
              <w:rPr>
                <w:rFonts w:ascii="Arial" w:hAnsi="Arial" w:cs="Arial"/>
                <w:sz w:val="20"/>
                <w:szCs w:val="20"/>
              </w:rPr>
            </w:pPr>
            <w:r w:rsidRPr="000746B9">
              <w:rPr>
                <w:rFonts w:ascii="Arial" w:hAnsi="Arial" w:cs="Arial"/>
                <w:sz w:val="20"/>
                <w:szCs w:val="20"/>
                <w:lang w:val="nl-NL"/>
              </w:rPr>
              <w:t xml:space="preserve">5 Nappi RE, Kingsberg SA, Maamari RV, Simon JA. </w:t>
            </w:r>
            <w:r w:rsidRPr="000746B9">
              <w:rPr>
                <w:rFonts w:ascii="Arial" w:hAnsi="Arial" w:cs="Arial"/>
                <w:sz w:val="20"/>
                <w:szCs w:val="20"/>
              </w:rPr>
              <w:t>The CLOSER (</w:t>
            </w:r>
            <w:proofErr w:type="spellStart"/>
            <w:r w:rsidRPr="000746B9">
              <w:rPr>
                <w:rFonts w:ascii="Arial" w:hAnsi="Arial" w:cs="Arial"/>
                <w:sz w:val="20"/>
                <w:szCs w:val="20"/>
              </w:rPr>
              <w:t>CLarifying</w:t>
            </w:r>
            <w:proofErr w:type="spellEnd"/>
            <w:r w:rsidRPr="000746B9">
              <w:rPr>
                <w:rFonts w:ascii="Arial" w:hAnsi="Arial" w:cs="Arial"/>
                <w:sz w:val="20"/>
                <w:szCs w:val="20"/>
              </w:rPr>
              <w:t xml:space="preserve"> Vaginal Atrophy’s Impact </w:t>
            </w:r>
            <w:proofErr w:type="gramStart"/>
            <w:r w:rsidRPr="000746B9">
              <w:rPr>
                <w:rFonts w:ascii="Arial" w:hAnsi="Arial" w:cs="Arial"/>
                <w:sz w:val="20"/>
                <w:szCs w:val="20"/>
              </w:rPr>
              <w:t>On</w:t>
            </w:r>
            <w:proofErr w:type="gramEnd"/>
            <w:r w:rsidRPr="000746B9">
              <w:rPr>
                <w:rFonts w:ascii="Arial" w:hAnsi="Arial" w:cs="Arial"/>
                <w:sz w:val="20"/>
                <w:szCs w:val="20"/>
              </w:rPr>
              <w:t xml:space="preserve"> </w:t>
            </w:r>
            <w:proofErr w:type="spellStart"/>
            <w:r w:rsidRPr="000746B9">
              <w:rPr>
                <w:rFonts w:ascii="Arial" w:hAnsi="Arial" w:cs="Arial"/>
                <w:sz w:val="20"/>
                <w:szCs w:val="20"/>
              </w:rPr>
              <w:t>SEx</w:t>
            </w:r>
            <w:proofErr w:type="spellEnd"/>
            <w:r w:rsidRPr="000746B9">
              <w:rPr>
                <w:rFonts w:ascii="Arial" w:hAnsi="Arial" w:cs="Arial"/>
                <w:sz w:val="20"/>
                <w:szCs w:val="20"/>
              </w:rPr>
              <w:t xml:space="preserve"> and Relationships) survey: implications of vaginal discomfort in postmenopausal women and in male partners. J Sex Med. 2013;10(9):2232-41 </w:t>
            </w:r>
          </w:p>
          <w:p w14:paraId="723DEC6A" w14:textId="77777777" w:rsidR="000746B9" w:rsidRPr="000746B9" w:rsidRDefault="000746B9" w:rsidP="00DA217C">
            <w:pPr>
              <w:rPr>
                <w:rFonts w:ascii="Arial" w:hAnsi="Arial" w:cs="Arial"/>
                <w:sz w:val="20"/>
                <w:szCs w:val="20"/>
              </w:rPr>
            </w:pPr>
            <w:r w:rsidRPr="000746B9">
              <w:rPr>
                <w:rFonts w:ascii="Arial" w:hAnsi="Arial" w:cs="Arial"/>
                <w:sz w:val="20"/>
                <w:szCs w:val="20"/>
              </w:rPr>
              <w:t xml:space="preserve">6 Palacios S, Nappi RE, </w:t>
            </w:r>
            <w:proofErr w:type="spellStart"/>
            <w:r w:rsidRPr="000746B9">
              <w:rPr>
                <w:rFonts w:ascii="Arial" w:hAnsi="Arial" w:cs="Arial"/>
                <w:sz w:val="20"/>
                <w:szCs w:val="20"/>
              </w:rPr>
              <w:t>Bruyniks</w:t>
            </w:r>
            <w:proofErr w:type="spellEnd"/>
            <w:r w:rsidRPr="000746B9">
              <w:rPr>
                <w:rFonts w:ascii="Arial" w:hAnsi="Arial" w:cs="Arial"/>
                <w:sz w:val="20"/>
                <w:szCs w:val="20"/>
              </w:rPr>
              <w:t xml:space="preserve"> N, </w:t>
            </w:r>
            <w:proofErr w:type="spellStart"/>
            <w:r w:rsidRPr="000746B9">
              <w:rPr>
                <w:rFonts w:ascii="Arial" w:hAnsi="Arial" w:cs="Arial"/>
                <w:sz w:val="20"/>
                <w:szCs w:val="20"/>
              </w:rPr>
              <w:t>Particco</w:t>
            </w:r>
            <w:proofErr w:type="spellEnd"/>
            <w:r w:rsidRPr="000746B9">
              <w:rPr>
                <w:rFonts w:ascii="Arial" w:hAnsi="Arial" w:cs="Arial"/>
                <w:sz w:val="20"/>
                <w:szCs w:val="20"/>
              </w:rPr>
              <w:t xml:space="preserve"> M, Panay N, editors. The European Vulvovaginal Epidemiological Survey (EVES): prevalence, </w:t>
            </w:r>
            <w:proofErr w:type="gramStart"/>
            <w:r w:rsidRPr="000746B9">
              <w:rPr>
                <w:rFonts w:ascii="Arial" w:hAnsi="Arial" w:cs="Arial"/>
                <w:sz w:val="20"/>
                <w:szCs w:val="20"/>
              </w:rPr>
              <w:t>symptoms</w:t>
            </w:r>
            <w:proofErr w:type="gramEnd"/>
            <w:r w:rsidRPr="000746B9">
              <w:rPr>
                <w:rFonts w:ascii="Arial" w:hAnsi="Arial" w:cs="Arial"/>
                <w:sz w:val="20"/>
                <w:szCs w:val="20"/>
              </w:rPr>
              <w:t xml:space="preserve"> and impact of vulvovaginal atrophy of menopause 2018; Great Britain: Informa Healthcare. </w:t>
            </w:r>
          </w:p>
          <w:p w14:paraId="4CA391E6" w14:textId="77777777" w:rsidR="000746B9" w:rsidRPr="000746B9" w:rsidRDefault="000746B9" w:rsidP="00DA217C">
            <w:pPr>
              <w:rPr>
                <w:rFonts w:ascii="Arial" w:hAnsi="Arial" w:cs="Arial"/>
                <w:sz w:val="20"/>
                <w:szCs w:val="20"/>
              </w:rPr>
            </w:pPr>
            <w:r w:rsidRPr="000746B9">
              <w:rPr>
                <w:rFonts w:ascii="Arial" w:hAnsi="Arial" w:cs="Arial"/>
                <w:sz w:val="20"/>
                <w:szCs w:val="20"/>
              </w:rPr>
              <w:t xml:space="preserve">7 Hodges AL, Holland AC, </w:t>
            </w:r>
            <w:proofErr w:type="spellStart"/>
            <w:r w:rsidRPr="000746B9">
              <w:rPr>
                <w:rFonts w:ascii="Arial" w:hAnsi="Arial" w:cs="Arial"/>
                <w:sz w:val="20"/>
                <w:szCs w:val="20"/>
              </w:rPr>
              <w:t>Dehn</w:t>
            </w:r>
            <w:proofErr w:type="spellEnd"/>
            <w:r w:rsidRPr="000746B9">
              <w:rPr>
                <w:rFonts w:ascii="Arial" w:hAnsi="Arial" w:cs="Arial"/>
                <w:sz w:val="20"/>
                <w:szCs w:val="20"/>
              </w:rPr>
              <w:t xml:space="preserve"> B, Pace DT. Diagnosis and Treatment of Genitourinary Syndrome of Menopause. </w:t>
            </w:r>
            <w:proofErr w:type="spellStart"/>
            <w:r w:rsidRPr="000746B9">
              <w:rPr>
                <w:rFonts w:ascii="Arial" w:hAnsi="Arial" w:cs="Arial"/>
                <w:sz w:val="20"/>
                <w:szCs w:val="20"/>
              </w:rPr>
              <w:t>Nurs</w:t>
            </w:r>
            <w:proofErr w:type="spellEnd"/>
            <w:r w:rsidRPr="000746B9">
              <w:rPr>
                <w:rFonts w:ascii="Arial" w:hAnsi="Arial" w:cs="Arial"/>
                <w:sz w:val="20"/>
                <w:szCs w:val="20"/>
              </w:rPr>
              <w:t xml:space="preserve"> </w:t>
            </w:r>
            <w:proofErr w:type="spellStart"/>
            <w:r w:rsidRPr="000746B9">
              <w:rPr>
                <w:rFonts w:ascii="Arial" w:hAnsi="Arial" w:cs="Arial"/>
                <w:sz w:val="20"/>
                <w:szCs w:val="20"/>
              </w:rPr>
              <w:t>Womens</w:t>
            </w:r>
            <w:proofErr w:type="spellEnd"/>
            <w:r w:rsidRPr="000746B9">
              <w:rPr>
                <w:rFonts w:ascii="Arial" w:hAnsi="Arial" w:cs="Arial"/>
                <w:sz w:val="20"/>
                <w:szCs w:val="20"/>
              </w:rPr>
              <w:t xml:space="preserve"> Health. 2018 Oct;22(5):423-30. </w:t>
            </w:r>
          </w:p>
          <w:p w14:paraId="3A20F3E8" w14:textId="77777777" w:rsidR="000746B9" w:rsidRPr="000746B9" w:rsidRDefault="000746B9" w:rsidP="00DA217C">
            <w:pPr>
              <w:rPr>
                <w:rFonts w:ascii="Arial" w:hAnsi="Arial" w:cs="Arial"/>
                <w:sz w:val="20"/>
                <w:szCs w:val="20"/>
              </w:rPr>
            </w:pPr>
            <w:r w:rsidRPr="000746B9">
              <w:rPr>
                <w:rFonts w:ascii="Arial" w:hAnsi="Arial" w:cs="Arial"/>
                <w:sz w:val="20"/>
                <w:szCs w:val="20"/>
              </w:rPr>
              <w:t xml:space="preserve">8 Edwards D, Panay N. Treating vulvovaginal atrophy/genitourinary syndrome of menopause: how important is vaginal lubricant and </w:t>
            </w:r>
            <w:r w:rsidRPr="000746B9">
              <w:rPr>
                <w:rFonts w:ascii="Arial" w:hAnsi="Arial" w:cs="Arial"/>
                <w:sz w:val="20"/>
                <w:szCs w:val="20"/>
              </w:rPr>
              <w:lastRenderedPageBreak/>
              <w:t xml:space="preserve">moisturizer composition? Climacteric. 2016 Apr;19(2):151-61 </w:t>
            </w:r>
          </w:p>
          <w:p w14:paraId="1D39CC79" w14:textId="77777777" w:rsidR="000746B9" w:rsidRPr="000746B9" w:rsidRDefault="000746B9" w:rsidP="00DA217C">
            <w:pPr>
              <w:rPr>
                <w:rFonts w:ascii="Arial" w:hAnsi="Arial" w:cs="Arial"/>
                <w:sz w:val="20"/>
                <w:szCs w:val="20"/>
              </w:rPr>
            </w:pPr>
            <w:r w:rsidRPr="000746B9">
              <w:rPr>
                <w:rFonts w:ascii="Arial" w:hAnsi="Arial" w:cs="Arial"/>
                <w:sz w:val="20"/>
                <w:szCs w:val="20"/>
              </w:rPr>
              <w:t xml:space="preserve">9 Menopause: diagnosis and management NICE guideline [NG23], November 2015 </w:t>
            </w:r>
          </w:p>
          <w:p w14:paraId="4D65F27B" w14:textId="77777777" w:rsidR="000746B9" w:rsidRPr="000746B9" w:rsidRDefault="000746B9" w:rsidP="00DA217C">
            <w:pPr>
              <w:rPr>
                <w:rFonts w:ascii="Arial" w:hAnsi="Arial" w:cs="Arial"/>
                <w:sz w:val="20"/>
                <w:szCs w:val="20"/>
              </w:rPr>
            </w:pPr>
            <w:r w:rsidRPr="000746B9">
              <w:rPr>
                <w:rFonts w:ascii="Arial" w:hAnsi="Arial" w:cs="Arial"/>
                <w:sz w:val="20"/>
                <w:szCs w:val="20"/>
              </w:rPr>
              <w:t xml:space="preserve">10 Suckling J, </w:t>
            </w:r>
            <w:proofErr w:type="spellStart"/>
            <w:r w:rsidRPr="000746B9">
              <w:rPr>
                <w:rFonts w:ascii="Arial" w:hAnsi="Arial" w:cs="Arial"/>
                <w:sz w:val="20"/>
                <w:szCs w:val="20"/>
              </w:rPr>
              <w:t>Lethaby</w:t>
            </w:r>
            <w:proofErr w:type="spellEnd"/>
            <w:r w:rsidRPr="000746B9">
              <w:rPr>
                <w:rFonts w:ascii="Arial" w:hAnsi="Arial" w:cs="Arial"/>
                <w:sz w:val="20"/>
                <w:szCs w:val="20"/>
              </w:rPr>
              <w:t xml:space="preserve"> A, Kennedy R. Local oestrogen for vaginal atrophy in postmenopausal women. Cochrane Database </w:t>
            </w:r>
            <w:proofErr w:type="spellStart"/>
            <w:r w:rsidRPr="000746B9">
              <w:rPr>
                <w:rFonts w:ascii="Arial" w:hAnsi="Arial" w:cs="Arial"/>
                <w:sz w:val="20"/>
                <w:szCs w:val="20"/>
              </w:rPr>
              <w:t>Syst</w:t>
            </w:r>
            <w:proofErr w:type="spellEnd"/>
            <w:r w:rsidRPr="000746B9">
              <w:rPr>
                <w:rFonts w:ascii="Arial" w:hAnsi="Arial" w:cs="Arial"/>
                <w:sz w:val="20"/>
                <w:szCs w:val="20"/>
              </w:rPr>
              <w:t xml:space="preserve"> Rev. 2006 Oct 18;(4):CD001500. Review. Update in: Cochrane Database </w:t>
            </w:r>
            <w:proofErr w:type="spellStart"/>
            <w:r w:rsidRPr="000746B9">
              <w:rPr>
                <w:rFonts w:ascii="Arial" w:hAnsi="Arial" w:cs="Arial"/>
                <w:sz w:val="20"/>
                <w:szCs w:val="20"/>
              </w:rPr>
              <w:t>Syst</w:t>
            </w:r>
            <w:proofErr w:type="spellEnd"/>
            <w:r w:rsidRPr="000746B9">
              <w:rPr>
                <w:rFonts w:ascii="Arial" w:hAnsi="Arial" w:cs="Arial"/>
                <w:sz w:val="20"/>
                <w:szCs w:val="20"/>
              </w:rPr>
              <w:t xml:space="preserve"> Rev. 2016;8 </w:t>
            </w:r>
          </w:p>
          <w:p w14:paraId="5B143F2F" w14:textId="77777777" w:rsidR="000746B9" w:rsidRPr="000746B9" w:rsidRDefault="000746B9" w:rsidP="00DA217C">
            <w:pPr>
              <w:rPr>
                <w:rFonts w:ascii="Arial" w:hAnsi="Arial" w:cs="Arial"/>
                <w:sz w:val="20"/>
                <w:szCs w:val="20"/>
              </w:rPr>
            </w:pPr>
            <w:r w:rsidRPr="000746B9">
              <w:rPr>
                <w:rFonts w:ascii="Arial" w:hAnsi="Arial" w:cs="Arial"/>
                <w:sz w:val="20"/>
                <w:szCs w:val="20"/>
              </w:rPr>
              <w:t xml:space="preserve">11 Simon JA, </w:t>
            </w:r>
            <w:proofErr w:type="spellStart"/>
            <w:r w:rsidRPr="000746B9">
              <w:rPr>
                <w:rFonts w:ascii="Arial" w:hAnsi="Arial" w:cs="Arial"/>
                <w:sz w:val="20"/>
                <w:szCs w:val="20"/>
              </w:rPr>
              <w:t>Maamari</w:t>
            </w:r>
            <w:proofErr w:type="spellEnd"/>
            <w:r w:rsidRPr="000746B9">
              <w:rPr>
                <w:rFonts w:ascii="Arial" w:hAnsi="Arial" w:cs="Arial"/>
                <w:sz w:val="20"/>
                <w:szCs w:val="20"/>
              </w:rPr>
              <w:t xml:space="preserve"> RV. Ultra-low-dose vaginal </w:t>
            </w:r>
            <w:proofErr w:type="spellStart"/>
            <w:r w:rsidRPr="000746B9">
              <w:rPr>
                <w:rFonts w:ascii="Arial" w:hAnsi="Arial" w:cs="Arial"/>
                <w:sz w:val="20"/>
                <w:szCs w:val="20"/>
              </w:rPr>
              <w:t>estrogen</w:t>
            </w:r>
            <w:proofErr w:type="spellEnd"/>
            <w:r w:rsidRPr="000746B9">
              <w:rPr>
                <w:rFonts w:ascii="Arial" w:hAnsi="Arial" w:cs="Arial"/>
                <w:sz w:val="20"/>
                <w:szCs w:val="20"/>
              </w:rPr>
              <w:t xml:space="preserve"> tablets for the treatment of postmenopausal vaginal atrophy. Climacteric: The Journal </w:t>
            </w:r>
            <w:proofErr w:type="gramStart"/>
            <w:r w:rsidRPr="000746B9">
              <w:rPr>
                <w:rFonts w:ascii="Arial" w:hAnsi="Arial" w:cs="Arial"/>
                <w:sz w:val="20"/>
                <w:szCs w:val="20"/>
              </w:rPr>
              <w:t>Of</w:t>
            </w:r>
            <w:proofErr w:type="gramEnd"/>
            <w:r w:rsidRPr="000746B9">
              <w:rPr>
                <w:rFonts w:ascii="Arial" w:hAnsi="Arial" w:cs="Arial"/>
                <w:sz w:val="20"/>
                <w:szCs w:val="20"/>
              </w:rPr>
              <w:t xml:space="preserve"> The International Menopause Society. 2013;16 </w:t>
            </w:r>
            <w:proofErr w:type="spellStart"/>
            <w:r w:rsidRPr="000746B9">
              <w:rPr>
                <w:rFonts w:ascii="Arial" w:hAnsi="Arial" w:cs="Arial"/>
                <w:sz w:val="20"/>
                <w:szCs w:val="20"/>
              </w:rPr>
              <w:t>Suppl</w:t>
            </w:r>
            <w:proofErr w:type="spellEnd"/>
            <w:r w:rsidRPr="000746B9">
              <w:rPr>
                <w:rFonts w:ascii="Arial" w:hAnsi="Arial" w:cs="Arial"/>
                <w:sz w:val="20"/>
                <w:szCs w:val="20"/>
              </w:rPr>
              <w:t xml:space="preserve"> 1:37-43. </w:t>
            </w:r>
          </w:p>
          <w:p w14:paraId="32C8DA7F" w14:textId="77777777" w:rsidR="000746B9" w:rsidRPr="000746B9" w:rsidRDefault="000746B9" w:rsidP="00DA217C">
            <w:pPr>
              <w:rPr>
                <w:rFonts w:ascii="Arial" w:hAnsi="Arial" w:cs="Arial"/>
                <w:sz w:val="20"/>
                <w:szCs w:val="20"/>
              </w:rPr>
            </w:pPr>
            <w:r w:rsidRPr="000746B9">
              <w:rPr>
                <w:rFonts w:ascii="Arial" w:hAnsi="Arial" w:cs="Arial"/>
                <w:sz w:val="20"/>
                <w:szCs w:val="20"/>
              </w:rPr>
              <w:t xml:space="preserve">12 </w:t>
            </w:r>
            <w:proofErr w:type="spellStart"/>
            <w:r w:rsidRPr="000746B9">
              <w:rPr>
                <w:rFonts w:ascii="Arial" w:hAnsi="Arial" w:cs="Arial"/>
                <w:sz w:val="20"/>
                <w:szCs w:val="20"/>
              </w:rPr>
              <w:t>Stuenkel</w:t>
            </w:r>
            <w:proofErr w:type="spellEnd"/>
            <w:r w:rsidRPr="000746B9">
              <w:rPr>
                <w:rFonts w:ascii="Arial" w:hAnsi="Arial" w:cs="Arial"/>
                <w:sz w:val="20"/>
                <w:szCs w:val="20"/>
              </w:rPr>
              <w:t xml:space="preserve"> CA, Davis SR, </w:t>
            </w:r>
            <w:proofErr w:type="spellStart"/>
            <w:r w:rsidRPr="000746B9">
              <w:rPr>
                <w:rFonts w:ascii="Arial" w:hAnsi="Arial" w:cs="Arial"/>
                <w:sz w:val="20"/>
                <w:szCs w:val="20"/>
              </w:rPr>
              <w:t>Gompel</w:t>
            </w:r>
            <w:proofErr w:type="spellEnd"/>
            <w:r w:rsidRPr="000746B9">
              <w:rPr>
                <w:rFonts w:ascii="Arial" w:hAnsi="Arial" w:cs="Arial"/>
                <w:sz w:val="20"/>
                <w:szCs w:val="20"/>
              </w:rPr>
              <w:t xml:space="preserve"> A, Lumsden MA, Murad MH, Pinkerton JV, et al. Treatment of Symptoms of the Menopause: An Endocrine Society Clinical Practice Guideline. J Clin Endocrinol </w:t>
            </w:r>
            <w:proofErr w:type="spellStart"/>
            <w:r w:rsidRPr="000746B9">
              <w:rPr>
                <w:rFonts w:ascii="Arial" w:hAnsi="Arial" w:cs="Arial"/>
                <w:sz w:val="20"/>
                <w:szCs w:val="20"/>
              </w:rPr>
              <w:t>Metab</w:t>
            </w:r>
            <w:proofErr w:type="spellEnd"/>
            <w:r w:rsidRPr="000746B9">
              <w:rPr>
                <w:rFonts w:ascii="Arial" w:hAnsi="Arial" w:cs="Arial"/>
                <w:sz w:val="20"/>
                <w:szCs w:val="20"/>
              </w:rPr>
              <w:t xml:space="preserve">. 2015 Nov;100(11):3975-4011. </w:t>
            </w:r>
          </w:p>
          <w:p w14:paraId="5E730D9B" w14:textId="77777777" w:rsidR="000746B9" w:rsidRPr="000746B9" w:rsidRDefault="000746B9" w:rsidP="00DA217C">
            <w:pPr>
              <w:rPr>
                <w:rFonts w:ascii="Arial" w:hAnsi="Arial" w:cs="Arial"/>
                <w:sz w:val="20"/>
                <w:szCs w:val="20"/>
              </w:rPr>
            </w:pPr>
            <w:r w:rsidRPr="000746B9">
              <w:rPr>
                <w:rFonts w:ascii="Arial" w:hAnsi="Arial" w:cs="Arial"/>
                <w:sz w:val="20"/>
                <w:szCs w:val="20"/>
              </w:rPr>
              <w:t xml:space="preserve">13 Nappi RE, </w:t>
            </w:r>
            <w:proofErr w:type="spellStart"/>
            <w:r w:rsidRPr="000746B9">
              <w:rPr>
                <w:rFonts w:ascii="Arial" w:hAnsi="Arial" w:cs="Arial"/>
                <w:sz w:val="20"/>
                <w:szCs w:val="20"/>
              </w:rPr>
              <w:t>Kokot-Kierepa</w:t>
            </w:r>
            <w:proofErr w:type="spellEnd"/>
            <w:r w:rsidRPr="000746B9">
              <w:rPr>
                <w:rFonts w:ascii="Arial" w:hAnsi="Arial" w:cs="Arial"/>
                <w:sz w:val="20"/>
                <w:szCs w:val="20"/>
              </w:rPr>
              <w:t xml:space="preserve"> M. Vaginal Health: Insights, Views &amp; Attitudes (VIVA) - results from an international survey. Climacteric. 2012 Feb;15(1):36-44.</w:t>
            </w:r>
          </w:p>
          <w:p w14:paraId="7EDDDA7B" w14:textId="77777777" w:rsidR="000746B9" w:rsidRPr="000746B9" w:rsidRDefault="000746B9" w:rsidP="00DA217C">
            <w:pPr>
              <w:rPr>
                <w:rFonts w:ascii="Arial" w:hAnsi="Arial" w:cs="Arial"/>
                <w:sz w:val="20"/>
                <w:szCs w:val="20"/>
              </w:rPr>
            </w:pPr>
          </w:p>
        </w:tc>
      </w:tr>
      <w:tr w:rsidR="000746B9" w:rsidRPr="000746B9" w14:paraId="0E56F7D7" w14:textId="77777777" w:rsidTr="007C6ED4">
        <w:trPr>
          <w:trHeight w:val="282"/>
        </w:trPr>
        <w:tc>
          <w:tcPr>
            <w:tcW w:w="708" w:type="dxa"/>
          </w:tcPr>
          <w:p w14:paraId="2CBF4E40" w14:textId="77777777" w:rsidR="000746B9" w:rsidRPr="000746B9" w:rsidRDefault="000746B9" w:rsidP="00DA217C">
            <w:pPr>
              <w:pStyle w:val="TableText1"/>
              <w:rPr>
                <w:rFonts w:cs="Arial"/>
                <w:sz w:val="20"/>
                <w:szCs w:val="20"/>
              </w:rPr>
            </w:pPr>
            <w:r w:rsidRPr="000746B9">
              <w:rPr>
                <w:rFonts w:cs="Arial"/>
                <w:sz w:val="20"/>
                <w:szCs w:val="20"/>
              </w:rPr>
              <w:lastRenderedPageBreak/>
              <w:t>4a</w:t>
            </w:r>
          </w:p>
        </w:tc>
        <w:tc>
          <w:tcPr>
            <w:tcW w:w="2264" w:type="dxa"/>
          </w:tcPr>
          <w:p w14:paraId="4229B16F" w14:textId="77777777" w:rsidR="000746B9" w:rsidRPr="000746B9" w:rsidRDefault="000746B9" w:rsidP="00DA217C">
            <w:pPr>
              <w:pStyle w:val="TableText1"/>
              <w:rPr>
                <w:rFonts w:cs="Arial"/>
                <w:sz w:val="20"/>
                <w:szCs w:val="20"/>
              </w:rPr>
            </w:pPr>
            <w:r w:rsidRPr="000746B9">
              <w:rPr>
                <w:rFonts w:cs="Arial"/>
                <w:sz w:val="20"/>
                <w:szCs w:val="20"/>
              </w:rPr>
              <w:t>Whittington Health</w:t>
            </w:r>
          </w:p>
        </w:tc>
        <w:tc>
          <w:tcPr>
            <w:tcW w:w="3588" w:type="dxa"/>
          </w:tcPr>
          <w:p w14:paraId="5488D467" w14:textId="77777777" w:rsidR="000746B9" w:rsidRPr="000746B9" w:rsidRDefault="000746B9" w:rsidP="00DA217C">
            <w:pPr>
              <w:pStyle w:val="TableText1"/>
              <w:rPr>
                <w:rFonts w:cs="Arial"/>
                <w:sz w:val="20"/>
                <w:szCs w:val="20"/>
              </w:rPr>
            </w:pPr>
            <w:r w:rsidRPr="000746B9">
              <w:rPr>
                <w:rFonts w:cs="Arial"/>
                <w:sz w:val="20"/>
                <w:szCs w:val="20"/>
              </w:rPr>
              <w:t xml:space="preserve">The </w:t>
            </w:r>
            <w:bookmarkStart w:id="155" w:name="_Hlk107309122"/>
            <w:r w:rsidRPr="000746B9">
              <w:rPr>
                <w:rFonts w:cs="Arial"/>
                <w:sz w:val="20"/>
                <w:szCs w:val="20"/>
              </w:rPr>
              <w:t xml:space="preserve">use of HRT and vaginal oestrogens for peri and </w:t>
            </w:r>
            <w:proofErr w:type="spellStart"/>
            <w:r w:rsidRPr="000746B9">
              <w:rPr>
                <w:rFonts w:cs="Arial"/>
                <w:sz w:val="20"/>
                <w:szCs w:val="20"/>
              </w:rPr>
              <w:t>post menopausal</w:t>
            </w:r>
            <w:proofErr w:type="spellEnd"/>
            <w:r w:rsidRPr="000746B9">
              <w:rPr>
                <w:rFonts w:cs="Arial"/>
                <w:sz w:val="20"/>
                <w:szCs w:val="20"/>
              </w:rPr>
              <w:t xml:space="preserve"> women with recurrent UTI</w:t>
            </w:r>
            <w:bookmarkEnd w:id="155"/>
          </w:p>
        </w:tc>
        <w:tc>
          <w:tcPr>
            <w:tcW w:w="4350" w:type="dxa"/>
          </w:tcPr>
          <w:p w14:paraId="20494E88" w14:textId="77777777" w:rsidR="000746B9" w:rsidRPr="000746B9" w:rsidRDefault="000746B9" w:rsidP="00DA217C">
            <w:pPr>
              <w:pStyle w:val="TableText1"/>
              <w:rPr>
                <w:rFonts w:cs="Arial"/>
                <w:sz w:val="20"/>
                <w:szCs w:val="20"/>
              </w:rPr>
            </w:pPr>
            <w:r w:rsidRPr="000746B9">
              <w:rPr>
                <w:rFonts w:cs="Arial"/>
                <w:sz w:val="20"/>
                <w:szCs w:val="20"/>
              </w:rPr>
              <w:t>There should be a wider discussion in the guidelines about the use of HRT for recurrent UTI. This would be helpful as a preventative strategy and will reduce the use of antibiotics.</w:t>
            </w:r>
          </w:p>
        </w:tc>
        <w:tc>
          <w:tcPr>
            <w:tcW w:w="3769" w:type="dxa"/>
          </w:tcPr>
          <w:p w14:paraId="37568C73" w14:textId="77777777" w:rsidR="000746B9" w:rsidRPr="000746B9" w:rsidRDefault="00AC503C" w:rsidP="00DA217C">
            <w:pPr>
              <w:rPr>
                <w:rFonts w:ascii="Arial" w:hAnsi="Arial" w:cs="Arial"/>
                <w:sz w:val="20"/>
                <w:szCs w:val="20"/>
              </w:rPr>
            </w:pPr>
            <w:hyperlink r:id="rId122" w:history="1">
              <w:r w:rsidR="000746B9" w:rsidRPr="000746B9">
                <w:rPr>
                  <w:rStyle w:val="Hyperlink"/>
                  <w:rFonts w:ascii="Arial" w:hAnsi="Arial" w:cs="Arial"/>
                  <w:sz w:val="20"/>
                  <w:szCs w:val="20"/>
                </w:rPr>
                <w:t xml:space="preserve">The </w:t>
              </w:r>
              <w:proofErr w:type="spellStart"/>
              <w:r w:rsidR="000746B9" w:rsidRPr="000746B9">
                <w:rPr>
                  <w:rStyle w:val="Hyperlink"/>
                  <w:rFonts w:ascii="Arial" w:hAnsi="Arial" w:cs="Arial"/>
                  <w:sz w:val="20"/>
                  <w:szCs w:val="20"/>
                </w:rPr>
                <w:t>Etiology</w:t>
              </w:r>
              <w:proofErr w:type="spellEnd"/>
              <w:r w:rsidR="000746B9" w:rsidRPr="000746B9">
                <w:rPr>
                  <w:rStyle w:val="Hyperlink"/>
                  <w:rFonts w:ascii="Arial" w:hAnsi="Arial" w:cs="Arial"/>
                  <w:sz w:val="20"/>
                  <w:szCs w:val="20"/>
                </w:rPr>
                <w:t xml:space="preserve"> and Management of Recurrent Urinary Tract Infections in Postmenopausal Women - PMC (nih.gov)</w:t>
              </w:r>
            </w:hyperlink>
          </w:p>
        </w:tc>
      </w:tr>
    </w:tbl>
    <w:p w14:paraId="70D48EC0" w14:textId="33E3F009" w:rsidR="00A6717D" w:rsidRDefault="00A6717D"/>
    <w:p w14:paraId="4A7C4716" w14:textId="1CBFEB37" w:rsidR="00B54FAB" w:rsidRDefault="00B54FAB"/>
    <w:p w14:paraId="5EEE86EB" w14:textId="77777777" w:rsidR="00B54FAB" w:rsidRDefault="00B54FAB" w:rsidP="00B54FAB">
      <w:pPr>
        <w:pStyle w:val="Heading4"/>
      </w:pPr>
      <w:r>
        <w:t>Recurrent UTI: Management and treatment</w:t>
      </w:r>
    </w:p>
    <w:tbl>
      <w:tblPr>
        <w:tblW w:w="1467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708"/>
        <w:gridCol w:w="2264"/>
        <w:gridCol w:w="3588"/>
        <w:gridCol w:w="4350"/>
        <w:gridCol w:w="3769"/>
      </w:tblGrid>
      <w:tr w:rsidR="00A6717D" w:rsidRPr="000746B9" w14:paraId="48238F51" w14:textId="77777777" w:rsidTr="00DA217C">
        <w:trPr>
          <w:tblHeader/>
        </w:trPr>
        <w:tc>
          <w:tcPr>
            <w:tcW w:w="708" w:type="dxa"/>
            <w:shd w:val="clear" w:color="auto" w:fill="E6E6E6"/>
          </w:tcPr>
          <w:p w14:paraId="25754DCB" w14:textId="77777777" w:rsidR="00A6717D" w:rsidRPr="000746B9" w:rsidRDefault="00A6717D" w:rsidP="00DA217C">
            <w:pPr>
              <w:pStyle w:val="Heading4"/>
              <w:rPr>
                <w:rFonts w:cs="Arial"/>
                <w:sz w:val="20"/>
                <w:szCs w:val="20"/>
              </w:rPr>
            </w:pPr>
            <w:r>
              <w:rPr>
                <w:rFonts w:cs="Arial"/>
                <w:sz w:val="20"/>
                <w:szCs w:val="20"/>
              </w:rPr>
              <w:t>ID</w:t>
            </w:r>
          </w:p>
        </w:tc>
        <w:tc>
          <w:tcPr>
            <w:tcW w:w="2264" w:type="dxa"/>
            <w:shd w:val="clear" w:color="auto" w:fill="E6E6E6"/>
          </w:tcPr>
          <w:p w14:paraId="203629E8" w14:textId="77777777" w:rsidR="00A6717D" w:rsidRPr="000746B9" w:rsidRDefault="00A6717D" w:rsidP="00DA217C">
            <w:pPr>
              <w:pStyle w:val="Heading4"/>
              <w:rPr>
                <w:rFonts w:cs="Arial"/>
                <w:sz w:val="20"/>
                <w:szCs w:val="20"/>
              </w:rPr>
            </w:pPr>
            <w:r w:rsidRPr="000746B9">
              <w:rPr>
                <w:rFonts w:cs="Arial"/>
                <w:sz w:val="20"/>
                <w:szCs w:val="20"/>
              </w:rPr>
              <w:t>Stakeholder</w:t>
            </w:r>
          </w:p>
        </w:tc>
        <w:tc>
          <w:tcPr>
            <w:tcW w:w="3588" w:type="dxa"/>
            <w:shd w:val="clear" w:color="auto" w:fill="E6E6E6"/>
          </w:tcPr>
          <w:p w14:paraId="58F275DB" w14:textId="77777777" w:rsidR="00A6717D" w:rsidRPr="000746B9" w:rsidRDefault="00A6717D" w:rsidP="00DA217C">
            <w:pPr>
              <w:pStyle w:val="Heading4"/>
              <w:rPr>
                <w:rFonts w:cs="Arial"/>
                <w:sz w:val="20"/>
                <w:szCs w:val="20"/>
              </w:rPr>
            </w:pPr>
            <w:r w:rsidRPr="000746B9">
              <w:rPr>
                <w:rFonts w:cs="Arial"/>
                <w:sz w:val="20"/>
                <w:szCs w:val="20"/>
              </w:rPr>
              <w:t>Key area for quality improvement</w:t>
            </w:r>
          </w:p>
        </w:tc>
        <w:tc>
          <w:tcPr>
            <w:tcW w:w="4350" w:type="dxa"/>
            <w:shd w:val="clear" w:color="auto" w:fill="E6E6E6"/>
          </w:tcPr>
          <w:p w14:paraId="68A044D2" w14:textId="77777777" w:rsidR="00A6717D" w:rsidRPr="000746B9" w:rsidRDefault="00A6717D" w:rsidP="00DA217C">
            <w:pPr>
              <w:pStyle w:val="Heading1"/>
              <w:rPr>
                <w:sz w:val="20"/>
                <w:szCs w:val="20"/>
              </w:rPr>
            </w:pPr>
            <w:bookmarkStart w:id="156" w:name="_Toc107929210"/>
            <w:bookmarkStart w:id="157" w:name="_Toc112833017"/>
            <w:r w:rsidRPr="000746B9">
              <w:rPr>
                <w:sz w:val="20"/>
                <w:szCs w:val="20"/>
              </w:rPr>
              <w:t>Why is this a key area for quality improvement?</w:t>
            </w:r>
            <w:bookmarkEnd w:id="156"/>
            <w:bookmarkEnd w:id="157"/>
          </w:p>
        </w:tc>
        <w:tc>
          <w:tcPr>
            <w:tcW w:w="3769" w:type="dxa"/>
            <w:shd w:val="clear" w:color="auto" w:fill="E6E6E6"/>
          </w:tcPr>
          <w:p w14:paraId="677D2C90" w14:textId="77777777" w:rsidR="00A6717D" w:rsidRPr="000746B9" w:rsidRDefault="00A6717D" w:rsidP="00DA217C">
            <w:pPr>
              <w:rPr>
                <w:rFonts w:ascii="Arial" w:hAnsi="Arial" w:cs="Arial"/>
                <w:b/>
                <w:sz w:val="20"/>
                <w:szCs w:val="20"/>
              </w:rPr>
            </w:pPr>
            <w:r w:rsidRPr="000746B9">
              <w:rPr>
                <w:rFonts w:ascii="Arial" w:hAnsi="Arial" w:cs="Arial"/>
                <w:b/>
                <w:sz w:val="20"/>
                <w:szCs w:val="20"/>
              </w:rPr>
              <w:t>Supporting information</w:t>
            </w:r>
          </w:p>
        </w:tc>
      </w:tr>
      <w:tr w:rsidR="000746B9" w:rsidRPr="000746B9" w14:paraId="5A714969" w14:textId="77777777" w:rsidTr="007C6ED4">
        <w:trPr>
          <w:trHeight w:val="282"/>
        </w:trPr>
        <w:tc>
          <w:tcPr>
            <w:tcW w:w="708" w:type="dxa"/>
          </w:tcPr>
          <w:p w14:paraId="396EA156" w14:textId="77777777" w:rsidR="000746B9" w:rsidRPr="000746B9" w:rsidRDefault="000746B9" w:rsidP="00026998">
            <w:pPr>
              <w:pStyle w:val="TableText1"/>
              <w:numPr>
                <w:ilvl w:val="0"/>
                <w:numId w:val="45"/>
              </w:numPr>
              <w:rPr>
                <w:rFonts w:cs="Arial"/>
                <w:sz w:val="20"/>
                <w:szCs w:val="20"/>
              </w:rPr>
            </w:pPr>
            <w:r w:rsidRPr="000746B9">
              <w:rPr>
                <w:rFonts w:cs="Arial"/>
                <w:sz w:val="20"/>
                <w:szCs w:val="20"/>
              </w:rPr>
              <w:t>4b</w:t>
            </w:r>
          </w:p>
        </w:tc>
        <w:tc>
          <w:tcPr>
            <w:tcW w:w="2264" w:type="dxa"/>
          </w:tcPr>
          <w:p w14:paraId="64303CDA" w14:textId="77777777" w:rsidR="000746B9" w:rsidRPr="000746B9" w:rsidRDefault="000746B9" w:rsidP="00DA217C">
            <w:pPr>
              <w:pStyle w:val="TableText1"/>
              <w:rPr>
                <w:rFonts w:cs="Arial"/>
                <w:sz w:val="20"/>
                <w:szCs w:val="20"/>
              </w:rPr>
            </w:pPr>
            <w:r w:rsidRPr="000746B9">
              <w:rPr>
                <w:rFonts w:cs="Arial"/>
                <w:sz w:val="20"/>
                <w:szCs w:val="20"/>
              </w:rPr>
              <w:t>Aspire Pharma Limited</w:t>
            </w:r>
          </w:p>
        </w:tc>
        <w:tc>
          <w:tcPr>
            <w:tcW w:w="3588" w:type="dxa"/>
          </w:tcPr>
          <w:p w14:paraId="299B6484" w14:textId="77777777" w:rsidR="000746B9" w:rsidRPr="000746B9" w:rsidRDefault="000746B9" w:rsidP="00DA217C">
            <w:pPr>
              <w:pStyle w:val="TableText1"/>
              <w:rPr>
                <w:rFonts w:cs="Arial"/>
                <w:sz w:val="20"/>
                <w:szCs w:val="20"/>
              </w:rPr>
            </w:pPr>
            <w:r w:rsidRPr="000746B9">
              <w:rPr>
                <w:rFonts w:cs="Arial"/>
                <w:sz w:val="20"/>
                <w:szCs w:val="20"/>
              </w:rPr>
              <w:t>Prevention of (recurrent) UTIs should form part of the quality standard.</w:t>
            </w:r>
          </w:p>
        </w:tc>
        <w:tc>
          <w:tcPr>
            <w:tcW w:w="4350" w:type="dxa"/>
          </w:tcPr>
          <w:p w14:paraId="496BF651" w14:textId="77777777" w:rsidR="000746B9" w:rsidRPr="000746B9" w:rsidRDefault="000746B9" w:rsidP="00DA217C">
            <w:pPr>
              <w:pStyle w:val="Paragraphnonumbers"/>
              <w:rPr>
                <w:rFonts w:cs="Arial"/>
                <w:sz w:val="20"/>
                <w:szCs w:val="20"/>
              </w:rPr>
            </w:pPr>
            <w:r w:rsidRPr="000746B9">
              <w:rPr>
                <w:rFonts w:cs="Arial"/>
                <w:sz w:val="20"/>
                <w:szCs w:val="20"/>
              </w:rPr>
              <w:t xml:space="preserve">A placeholder quality statement has been included for treatment of recurrent urinary tract infections, however, identifying strategies for prevention is as important as treatment in this group. </w:t>
            </w:r>
          </w:p>
          <w:p w14:paraId="4DD55D83" w14:textId="77777777" w:rsidR="000746B9" w:rsidRPr="000746B9" w:rsidRDefault="000746B9" w:rsidP="00DA217C">
            <w:pPr>
              <w:pStyle w:val="Paragraphnonumbers"/>
              <w:rPr>
                <w:rFonts w:cs="Arial"/>
                <w:sz w:val="20"/>
                <w:szCs w:val="20"/>
              </w:rPr>
            </w:pPr>
            <w:r w:rsidRPr="000746B9">
              <w:rPr>
                <w:rFonts w:cs="Arial"/>
                <w:sz w:val="20"/>
                <w:szCs w:val="20"/>
              </w:rPr>
              <w:t xml:space="preserve">Guidelines from the Scottish Intercollegiate Guidelines Network (SIGN) and the European Association of Urology (EAU) recommend the use </w:t>
            </w:r>
            <w:bookmarkStart w:id="158" w:name="_Hlk107301830"/>
            <w:r w:rsidRPr="000746B9">
              <w:rPr>
                <w:rFonts w:cs="Arial"/>
                <w:sz w:val="20"/>
                <w:szCs w:val="20"/>
              </w:rPr>
              <w:t xml:space="preserve">of low dose prophylactic antibiotics for preventive treatment of recurrent </w:t>
            </w:r>
            <w:proofErr w:type="gramStart"/>
            <w:r w:rsidRPr="000746B9">
              <w:rPr>
                <w:rFonts w:cs="Arial"/>
                <w:sz w:val="20"/>
                <w:szCs w:val="20"/>
              </w:rPr>
              <w:t>UTI,</w:t>
            </w:r>
            <w:proofErr w:type="gramEnd"/>
            <w:r w:rsidRPr="000746B9">
              <w:rPr>
                <w:rFonts w:cs="Arial"/>
                <w:sz w:val="20"/>
                <w:szCs w:val="20"/>
              </w:rPr>
              <w:t xml:space="preserve"> however, prolonged use of antibiotics has been showed to lead to emergence of resistance bacteria in the urine</w:t>
            </w:r>
            <w:r w:rsidRPr="000746B9">
              <w:rPr>
                <w:rFonts w:cs="Arial"/>
                <w:noProof/>
                <w:sz w:val="20"/>
                <w:szCs w:val="20"/>
                <w:lang w:val="en-US"/>
              </w:rPr>
              <w:t xml:space="preserve"> [1]</w:t>
            </w:r>
            <w:r w:rsidRPr="000746B9">
              <w:rPr>
                <w:rFonts w:cs="Arial"/>
                <w:sz w:val="20"/>
                <w:szCs w:val="20"/>
              </w:rPr>
              <w:t xml:space="preserve">. Considering the antimicrobial stewardship guidelines stated above, treatment options other than antibiotics should be considered as part of this quality standard. </w:t>
            </w:r>
          </w:p>
          <w:p w14:paraId="0D714D80" w14:textId="77777777" w:rsidR="000746B9" w:rsidRPr="000746B9" w:rsidRDefault="000746B9" w:rsidP="00DA217C">
            <w:pPr>
              <w:pStyle w:val="Paragraphnonumbers"/>
              <w:rPr>
                <w:rFonts w:cs="Arial"/>
                <w:sz w:val="20"/>
                <w:szCs w:val="20"/>
              </w:rPr>
            </w:pPr>
            <w:r w:rsidRPr="000746B9">
              <w:rPr>
                <w:rFonts w:cs="Arial"/>
                <w:sz w:val="20"/>
                <w:szCs w:val="20"/>
              </w:rPr>
              <w:t>The SIGN guideline does discuss some non-pharmaceutical interventions</w:t>
            </w:r>
            <w:bookmarkEnd w:id="158"/>
            <w:r w:rsidRPr="000746B9">
              <w:rPr>
                <w:rFonts w:cs="Arial"/>
                <w:sz w:val="20"/>
                <w:szCs w:val="20"/>
              </w:rPr>
              <w:t xml:space="preserve">, although GAG layer replacement therapy is not included. </w:t>
            </w:r>
          </w:p>
          <w:p w14:paraId="4EB6D1FC" w14:textId="77777777" w:rsidR="000746B9" w:rsidRPr="000746B9" w:rsidRDefault="000746B9" w:rsidP="00DA217C">
            <w:pPr>
              <w:pStyle w:val="Paragraphnonumbers"/>
              <w:rPr>
                <w:rFonts w:cs="Arial"/>
                <w:sz w:val="20"/>
                <w:szCs w:val="20"/>
              </w:rPr>
            </w:pPr>
            <w:r w:rsidRPr="000746B9">
              <w:rPr>
                <w:rFonts w:cs="Arial"/>
                <w:sz w:val="20"/>
                <w:szCs w:val="20"/>
              </w:rPr>
              <w:t xml:space="preserve">EAU included a review of literature for </w:t>
            </w:r>
            <w:proofErr w:type="spellStart"/>
            <w:r w:rsidRPr="000746B9">
              <w:rPr>
                <w:rFonts w:cs="Arial"/>
                <w:sz w:val="20"/>
                <w:szCs w:val="20"/>
              </w:rPr>
              <w:t>endovesical</w:t>
            </w:r>
            <w:proofErr w:type="spellEnd"/>
            <w:r w:rsidRPr="000746B9">
              <w:rPr>
                <w:rFonts w:cs="Arial"/>
                <w:sz w:val="20"/>
                <w:szCs w:val="20"/>
              </w:rPr>
              <w:t xml:space="preserve"> instillations of hyaluronic acid </w:t>
            </w:r>
            <w:r w:rsidRPr="000746B9">
              <w:rPr>
                <w:rFonts w:cs="Arial"/>
                <w:sz w:val="20"/>
                <w:szCs w:val="20"/>
              </w:rPr>
              <w:lastRenderedPageBreak/>
              <w:t xml:space="preserve">(HA) and chondroitin sulphate (CS) for GAG layer replenishment and recommends their use where less invasive treatment has been unsuccessful. </w:t>
            </w:r>
          </w:p>
          <w:tbl>
            <w:tblPr>
              <w:tblW w:w="5000" w:type="pct"/>
              <w:tblCellSpacing w:w="15" w:type="dxa"/>
              <w:tblLayout w:type="fixed"/>
              <w:tblLook w:val="04A0" w:firstRow="1" w:lastRow="0" w:firstColumn="1" w:lastColumn="0" w:noHBand="0" w:noVBand="1"/>
            </w:tblPr>
            <w:tblGrid>
              <w:gridCol w:w="741"/>
              <w:gridCol w:w="3393"/>
            </w:tblGrid>
            <w:tr w:rsidR="000746B9" w:rsidRPr="000746B9" w14:paraId="631B3A26" w14:textId="77777777" w:rsidTr="00DA217C">
              <w:trPr>
                <w:tblCellSpacing w:w="15" w:type="dxa"/>
              </w:trPr>
              <w:tc>
                <w:tcPr>
                  <w:tcW w:w="843" w:type="pct"/>
                  <w:tcMar>
                    <w:top w:w="15" w:type="dxa"/>
                    <w:left w:w="15" w:type="dxa"/>
                    <w:bottom w:w="15" w:type="dxa"/>
                    <w:right w:w="15" w:type="dxa"/>
                  </w:tcMar>
                  <w:hideMark/>
                </w:tcPr>
                <w:p w14:paraId="56A28A03" w14:textId="77777777" w:rsidR="000746B9" w:rsidRPr="000746B9" w:rsidRDefault="000746B9" w:rsidP="00DA217C">
                  <w:pPr>
                    <w:pStyle w:val="Bibliography"/>
                    <w:rPr>
                      <w:rFonts w:ascii="Arial" w:hAnsi="Arial" w:cs="Arial"/>
                      <w:noProof/>
                      <w:sz w:val="20"/>
                      <w:szCs w:val="20"/>
                      <w:lang w:val="en-US"/>
                    </w:rPr>
                  </w:pPr>
                  <w:r w:rsidRPr="000746B9">
                    <w:rPr>
                      <w:rFonts w:ascii="Arial" w:hAnsi="Arial" w:cs="Arial"/>
                      <w:noProof/>
                      <w:sz w:val="20"/>
                      <w:szCs w:val="20"/>
                      <w:lang w:val="en-US"/>
                    </w:rPr>
                    <w:t xml:space="preserve">[1] </w:t>
                  </w:r>
                </w:p>
              </w:tc>
              <w:tc>
                <w:tcPr>
                  <w:tcW w:w="4055" w:type="pct"/>
                  <w:tcMar>
                    <w:top w:w="15" w:type="dxa"/>
                    <w:left w:w="15" w:type="dxa"/>
                    <w:bottom w:w="15" w:type="dxa"/>
                    <w:right w:w="15" w:type="dxa"/>
                  </w:tcMar>
                  <w:hideMark/>
                </w:tcPr>
                <w:p w14:paraId="34956A49" w14:textId="77777777" w:rsidR="000746B9" w:rsidRPr="000746B9" w:rsidRDefault="000746B9" w:rsidP="00DA217C">
                  <w:pPr>
                    <w:pStyle w:val="Bibliography"/>
                    <w:rPr>
                      <w:rFonts w:ascii="Arial" w:hAnsi="Arial" w:cs="Arial"/>
                      <w:noProof/>
                      <w:sz w:val="20"/>
                      <w:szCs w:val="20"/>
                      <w:lang w:val="en-US"/>
                    </w:rPr>
                  </w:pPr>
                  <w:r w:rsidRPr="000746B9">
                    <w:rPr>
                      <w:rFonts w:ascii="Arial" w:hAnsi="Arial" w:cs="Arial"/>
                      <w:noProof/>
                      <w:sz w:val="20"/>
                      <w:szCs w:val="20"/>
                      <w:lang w:val="en-US"/>
                    </w:rPr>
                    <w:t xml:space="preserve">J. Barclay, R. Veeratterapillay and C. Harding, "Non-antibiotic options for recurrent urinary tract infections in women" </w:t>
                  </w:r>
                  <w:r w:rsidRPr="000746B9">
                    <w:rPr>
                      <w:rFonts w:ascii="Arial" w:hAnsi="Arial" w:cs="Arial"/>
                      <w:i/>
                      <w:iCs/>
                      <w:noProof/>
                      <w:sz w:val="20"/>
                      <w:szCs w:val="20"/>
                      <w:lang w:val="en-US"/>
                    </w:rPr>
                    <w:t xml:space="preserve">BMJ Practice, </w:t>
                  </w:r>
                  <w:r w:rsidRPr="000746B9">
                    <w:rPr>
                      <w:rFonts w:ascii="Arial" w:hAnsi="Arial" w:cs="Arial"/>
                      <w:noProof/>
                      <w:sz w:val="20"/>
                      <w:szCs w:val="20"/>
                      <w:lang w:val="en-US"/>
                    </w:rPr>
                    <w:t xml:space="preserve">vol. 359, 2017. </w:t>
                  </w:r>
                </w:p>
              </w:tc>
            </w:tr>
          </w:tbl>
          <w:p w14:paraId="2692B686" w14:textId="77777777" w:rsidR="000746B9" w:rsidRPr="000746B9" w:rsidRDefault="000746B9" w:rsidP="00DA217C">
            <w:pPr>
              <w:pStyle w:val="TableText1"/>
              <w:rPr>
                <w:rFonts w:cs="Arial"/>
                <w:sz w:val="20"/>
                <w:szCs w:val="20"/>
              </w:rPr>
            </w:pPr>
          </w:p>
        </w:tc>
        <w:tc>
          <w:tcPr>
            <w:tcW w:w="3769" w:type="dxa"/>
          </w:tcPr>
          <w:p w14:paraId="6570E9AD" w14:textId="77777777" w:rsidR="000746B9" w:rsidRPr="000746B9" w:rsidRDefault="000746B9" w:rsidP="00DA217C">
            <w:pPr>
              <w:pStyle w:val="Paragraphnonumbers"/>
              <w:rPr>
                <w:rFonts w:cs="Arial"/>
                <w:sz w:val="20"/>
                <w:szCs w:val="20"/>
              </w:rPr>
            </w:pPr>
            <w:r w:rsidRPr="000746B9">
              <w:rPr>
                <w:rFonts w:cs="Arial"/>
                <w:sz w:val="20"/>
                <w:szCs w:val="20"/>
              </w:rPr>
              <w:lastRenderedPageBreak/>
              <w:t xml:space="preserve">SIGN 160:  Management of suspected bacterial lower urinary tract infection in adult women </w:t>
            </w:r>
          </w:p>
          <w:p w14:paraId="37C17820" w14:textId="77777777" w:rsidR="000746B9" w:rsidRPr="000746B9" w:rsidRDefault="00AC503C" w:rsidP="00DA217C">
            <w:pPr>
              <w:pStyle w:val="Paragraphnonumbers"/>
              <w:rPr>
                <w:rFonts w:cs="Arial"/>
                <w:sz w:val="20"/>
                <w:szCs w:val="20"/>
              </w:rPr>
            </w:pPr>
            <w:hyperlink r:id="rId123" w:history="1">
              <w:r w:rsidR="000746B9" w:rsidRPr="000746B9">
                <w:rPr>
                  <w:rStyle w:val="Hyperlink"/>
                  <w:rFonts w:cs="Arial"/>
                  <w:sz w:val="20"/>
                  <w:szCs w:val="20"/>
                </w:rPr>
                <w:t>https://www.sign.ac.uk/media/1766/sign-160-uti-0-1_web-version.pdf</w:t>
              </w:r>
            </w:hyperlink>
            <w:r w:rsidR="000746B9" w:rsidRPr="000746B9">
              <w:rPr>
                <w:rFonts w:cs="Arial"/>
                <w:sz w:val="20"/>
                <w:szCs w:val="20"/>
              </w:rPr>
              <w:t xml:space="preserve"> </w:t>
            </w:r>
          </w:p>
          <w:p w14:paraId="142A3B25" w14:textId="77777777" w:rsidR="000746B9" w:rsidRPr="000746B9" w:rsidRDefault="000746B9" w:rsidP="00DA217C">
            <w:pPr>
              <w:pStyle w:val="Paragraphnonumbers"/>
              <w:rPr>
                <w:rFonts w:cs="Arial"/>
                <w:sz w:val="20"/>
                <w:szCs w:val="20"/>
              </w:rPr>
            </w:pPr>
          </w:p>
          <w:p w14:paraId="332BB3EA" w14:textId="77777777" w:rsidR="000746B9" w:rsidRPr="000746B9" w:rsidRDefault="000746B9" w:rsidP="00DA217C">
            <w:pPr>
              <w:pStyle w:val="Paragraphnonumbers"/>
              <w:rPr>
                <w:rFonts w:cs="Arial"/>
                <w:sz w:val="20"/>
                <w:szCs w:val="20"/>
              </w:rPr>
            </w:pPr>
            <w:r w:rsidRPr="000746B9">
              <w:rPr>
                <w:rFonts w:cs="Arial"/>
                <w:sz w:val="20"/>
                <w:szCs w:val="20"/>
              </w:rPr>
              <w:t>EAU guideline: Urological infections</w:t>
            </w:r>
          </w:p>
          <w:p w14:paraId="2EA1D7B3" w14:textId="77777777" w:rsidR="000746B9" w:rsidRPr="000746B9" w:rsidRDefault="00AC503C" w:rsidP="00DA217C">
            <w:pPr>
              <w:pStyle w:val="Paragraphnonumbers"/>
              <w:rPr>
                <w:rFonts w:cs="Arial"/>
                <w:sz w:val="20"/>
                <w:szCs w:val="20"/>
              </w:rPr>
            </w:pPr>
            <w:hyperlink r:id="rId124" w:history="1">
              <w:r w:rsidR="000746B9" w:rsidRPr="000746B9">
                <w:rPr>
                  <w:rStyle w:val="Hyperlink"/>
                  <w:rFonts w:cs="Arial"/>
                  <w:sz w:val="20"/>
                  <w:szCs w:val="20"/>
                </w:rPr>
                <w:t>https://uroweb.org/guidelines/urological-infections/chapter/the-guideline</w:t>
              </w:r>
            </w:hyperlink>
          </w:p>
          <w:p w14:paraId="11DCB0A4" w14:textId="77777777" w:rsidR="000746B9" w:rsidRPr="000746B9" w:rsidRDefault="000746B9" w:rsidP="00DA217C">
            <w:pPr>
              <w:pStyle w:val="TableText1"/>
              <w:rPr>
                <w:rFonts w:cs="Arial"/>
                <w:sz w:val="20"/>
                <w:szCs w:val="20"/>
              </w:rPr>
            </w:pPr>
          </w:p>
        </w:tc>
      </w:tr>
      <w:tr w:rsidR="000746B9" w:rsidRPr="000746B9" w14:paraId="2961F891" w14:textId="77777777" w:rsidTr="007C6ED4">
        <w:trPr>
          <w:trHeight w:val="282"/>
        </w:trPr>
        <w:tc>
          <w:tcPr>
            <w:tcW w:w="708" w:type="dxa"/>
          </w:tcPr>
          <w:p w14:paraId="471A2613" w14:textId="77777777" w:rsidR="000746B9" w:rsidRPr="000746B9" w:rsidRDefault="000746B9" w:rsidP="00026998">
            <w:pPr>
              <w:pStyle w:val="TableText1"/>
              <w:numPr>
                <w:ilvl w:val="0"/>
                <w:numId w:val="45"/>
              </w:numPr>
              <w:rPr>
                <w:rFonts w:cs="Arial"/>
                <w:sz w:val="20"/>
                <w:szCs w:val="20"/>
              </w:rPr>
            </w:pPr>
            <w:r w:rsidRPr="000746B9">
              <w:rPr>
                <w:rFonts w:cs="Arial"/>
                <w:sz w:val="20"/>
                <w:szCs w:val="20"/>
              </w:rPr>
              <w:t>4b</w:t>
            </w:r>
          </w:p>
        </w:tc>
        <w:tc>
          <w:tcPr>
            <w:tcW w:w="2264" w:type="dxa"/>
          </w:tcPr>
          <w:p w14:paraId="51337414" w14:textId="77777777" w:rsidR="000746B9" w:rsidRPr="000746B9" w:rsidRDefault="000746B9" w:rsidP="00DA217C">
            <w:pPr>
              <w:pStyle w:val="TableText1"/>
              <w:rPr>
                <w:rFonts w:cs="Arial"/>
                <w:sz w:val="20"/>
                <w:szCs w:val="20"/>
              </w:rPr>
            </w:pPr>
            <w:r w:rsidRPr="000746B9">
              <w:rPr>
                <w:rFonts w:cs="Arial"/>
                <w:sz w:val="20"/>
                <w:szCs w:val="20"/>
              </w:rPr>
              <w:t>British Association of Urological Surgeons</w:t>
            </w:r>
          </w:p>
        </w:tc>
        <w:tc>
          <w:tcPr>
            <w:tcW w:w="3588" w:type="dxa"/>
          </w:tcPr>
          <w:p w14:paraId="3DF9008D" w14:textId="77777777" w:rsidR="000746B9" w:rsidRPr="000746B9" w:rsidRDefault="000746B9" w:rsidP="00DA217C">
            <w:pPr>
              <w:pStyle w:val="TableText1"/>
              <w:rPr>
                <w:rFonts w:cs="Arial"/>
                <w:sz w:val="20"/>
                <w:szCs w:val="20"/>
              </w:rPr>
            </w:pPr>
            <w:r w:rsidRPr="000746B9">
              <w:rPr>
                <w:rFonts w:cs="Arial"/>
                <w:sz w:val="20"/>
                <w:szCs w:val="20"/>
              </w:rPr>
              <w:t xml:space="preserve">Increased use </w:t>
            </w:r>
            <w:bookmarkStart w:id="159" w:name="_Hlk107311468"/>
            <w:r w:rsidRPr="000746B9">
              <w:rPr>
                <w:rFonts w:cs="Arial"/>
                <w:sz w:val="20"/>
                <w:szCs w:val="20"/>
              </w:rPr>
              <w:t>of non-antibiotic alternatives for treatment of recurrent UTI</w:t>
            </w:r>
            <w:bookmarkEnd w:id="159"/>
          </w:p>
        </w:tc>
        <w:tc>
          <w:tcPr>
            <w:tcW w:w="4350" w:type="dxa"/>
          </w:tcPr>
          <w:p w14:paraId="14970089" w14:textId="77777777" w:rsidR="000746B9" w:rsidRPr="000746B9" w:rsidRDefault="000746B9" w:rsidP="00DA217C">
            <w:pPr>
              <w:pStyle w:val="Paragraphnonumbers"/>
              <w:rPr>
                <w:rFonts w:cs="Arial"/>
                <w:sz w:val="20"/>
                <w:szCs w:val="20"/>
              </w:rPr>
            </w:pPr>
            <w:r w:rsidRPr="000746B9">
              <w:rPr>
                <w:rFonts w:cs="Arial"/>
                <w:sz w:val="20"/>
                <w:szCs w:val="20"/>
              </w:rPr>
              <w:t>The ALTAR UK multi-centre randomised control study showed non-inferiority for the use of Methenamine Hippurate vs low dose antibiotics in recurrent UTI. However, Methenamine Hippurate is not available in all regions and is often designated as a ‘red drug’ only to be prescribed by a specialist.</w:t>
            </w:r>
          </w:p>
          <w:p w14:paraId="7FFC3D0A" w14:textId="77777777" w:rsidR="000746B9" w:rsidRPr="000746B9" w:rsidRDefault="000746B9" w:rsidP="00DA217C">
            <w:pPr>
              <w:pStyle w:val="TableText1"/>
              <w:rPr>
                <w:rFonts w:cs="Arial"/>
                <w:sz w:val="20"/>
                <w:szCs w:val="20"/>
              </w:rPr>
            </w:pPr>
            <w:r w:rsidRPr="000746B9">
              <w:rPr>
                <w:rFonts w:cs="Arial"/>
                <w:sz w:val="20"/>
                <w:szCs w:val="20"/>
              </w:rPr>
              <w:t xml:space="preserve">A randomised control study and a meta-analysis have demonstrated </w:t>
            </w:r>
            <w:proofErr w:type="gramStart"/>
            <w:r w:rsidRPr="000746B9">
              <w:rPr>
                <w:rFonts w:cs="Arial"/>
                <w:sz w:val="20"/>
                <w:szCs w:val="20"/>
              </w:rPr>
              <w:t>that  D</w:t>
            </w:r>
            <w:proofErr w:type="gramEnd"/>
            <w:r w:rsidRPr="000746B9">
              <w:rPr>
                <w:rFonts w:cs="Arial"/>
                <w:sz w:val="20"/>
                <w:szCs w:val="20"/>
              </w:rPr>
              <w:t>-mannose appears protective for recurrent UTI (versus placebo) with possibly similar effectiveness as antibiotics. Overall, D-mannose appears well tolerated with minimal side effects.</w:t>
            </w:r>
          </w:p>
        </w:tc>
        <w:tc>
          <w:tcPr>
            <w:tcW w:w="3769" w:type="dxa"/>
          </w:tcPr>
          <w:p w14:paraId="0ABEAE75" w14:textId="77777777" w:rsidR="000746B9" w:rsidRPr="000746B9" w:rsidRDefault="00AC503C" w:rsidP="00DA217C">
            <w:pPr>
              <w:pStyle w:val="Paragraphnonumbers"/>
              <w:rPr>
                <w:rStyle w:val="Hyperlink"/>
                <w:rFonts w:cs="Arial"/>
                <w:sz w:val="20"/>
                <w:szCs w:val="20"/>
              </w:rPr>
            </w:pPr>
            <w:hyperlink r:id="rId125" w:history="1">
              <w:r w:rsidR="000746B9" w:rsidRPr="000746B9">
                <w:rPr>
                  <w:rStyle w:val="Hyperlink"/>
                  <w:rFonts w:cs="Arial"/>
                  <w:sz w:val="20"/>
                  <w:szCs w:val="20"/>
                </w:rPr>
                <w:t>https://www.bmj.com/content/376/bmj-2021-0068229</w:t>
              </w:r>
            </w:hyperlink>
          </w:p>
          <w:p w14:paraId="503781DD" w14:textId="77777777" w:rsidR="000746B9" w:rsidRPr="000746B9" w:rsidRDefault="00AC503C" w:rsidP="00DA217C">
            <w:pPr>
              <w:pStyle w:val="Paragraphnonumbers"/>
              <w:rPr>
                <w:rStyle w:val="Hyperlink"/>
                <w:rFonts w:cs="Arial"/>
                <w:sz w:val="20"/>
                <w:szCs w:val="20"/>
              </w:rPr>
            </w:pPr>
            <w:hyperlink r:id="rId126" w:history="1">
              <w:r w:rsidR="000746B9" w:rsidRPr="000746B9">
                <w:rPr>
                  <w:rStyle w:val="Hyperlink"/>
                  <w:rFonts w:cs="Arial"/>
                  <w:sz w:val="20"/>
                  <w:szCs w:val="20"/>
                </w:rPr>
                <w:t>https://pubmed.ncbi.nlm.nih.gov/23633128/</w:t>
              </w:r>
            </w:hyperlink>
            <w:r w:rsidR="000746B9" w:rsidRPr="000746B9">
              <w:rPr>
                <w:rStyle w:val="Hyperlink"/>
                <w:rFonts w:cs="Arial"/>
                <w:sz w:val="20"/>
                <w:szCs w:val="20"/>
              </w:rPr>
              <w:t xml:space="preserve"> </w:t>
            </w:r>
          </w:p>
          <w:p w14:paraId="7C7DE06F" w14:textId="77777777" w:rsidR="000746B9" w:rsidRPr="000746B9" w:rsidRDefault="00AC503C" w:rsidP="00DA217C">
            <w:pPr>
              <w:pStyle w:val="Paragraphnonumbers"/>
              <w:rPr>
                <w:rFonts w:cs="Arial"/>
                <w:sz w:val="20"/>
                <w:szCs w:val="20"/>
              </w:rPr>
            </w:pPr>
            <w:hyperlink r:id="rId127" w:history="1">
              <w:r w:rsidR="000746B9" w:rsidRPr="000746B9">
                <w:rPr>
                  <w:rStyle w:val="Hyperlink"/>
                  <w:rFonts w:cs="Arial"/>
                  <w:sz w:val="20"/>
                  <w:szCs w:val="20"/>
                </w:rPr>
                <w:t>https://www.ncbi.nlm.nih.gov/pmc/articles/PMC7395894/</w:t>
              </w:r>
            </w:hyperlink>
          </w:p>
          <w:p w14:paraId="04180AC6" w14:textId="77777777" w:rsidR="000746B9" w:rsidRPr="000746B9" w:rsidRDefault="000746B9" w:rsidP="00DA217C">
            <w:pPr>
              <w:pStyle w:val="TableText1"/>
              <w:rPr>
                <w:rFonts w:cs="Arial"/>
                <w:sz w:val="20"/>
                <w:szCs w:val="20"/>
              </w:rPr>
            </w:pPr>
          </w:p>
        </w:tc>
      </w:tr>
      <w:tr w:rsidR="000746B9" w:rsidRPr="000746B9" w14:paraId="46CE0E28" w14:textId="77777777" w:rsidTr="007C6ED4">
        <w:trPr>
          <w:trHeight w:val="282"/>
        </w:trPr>
        <w:tc>
          <w:tcPr>
            <w:tcW w:w="708" w:type="dxa"/>
          </w:tcPr>
          <w:p w14:paraId="2E8993B7" w14:textId="77777777" w:rsidR="000746B9" w:rsidRPr="000746B9" w:rsidRDefault="000746B9" w:rsidP="00026998">
            <w:pPr>
              <w:pStyle w:val="TableText1"/>
              <w:numPr>
                <w:ilvl w:val="0"/>
                <w:numId w:val="45"/>
              </w:numPr>
              <w:rPr>
                <w:rFonts w:cs="Arial"/>
                <w:sz w:val="20"/>
                <w:szCs w:val="20"/>
              </w:rPr>
            </w:pPr>
            <w:r w:rsidRPr="000746B9">
              <w:rPr>
                <w:rFonts w:cs="Arial"/>
                <w:sz w:val="20"/>
                <w:szCs w:val="20"/>
              </w:rPr>
              <w:t>4b</w:t>
            </w:r>
          </w:p>
        </w:tc>
        <w:tc>
          <w:tcPr>
            <w:tcW w:w="2264" w:type="dxa"/>
          </w:tcPr>
          <w:p w14:paraId="6EF4A06E" w14:textId="77777777" w:rsidR="000746B9" w:rsidRPr="000746B9" w:rsidRDefault="000746B9" w:rsidP="00DA217C">
            <w:pPr>
              <w:pStyle w:val="TableText1"/>
              <w:rPr>
                <w:rFonts w:cs="Arial"/>
                <w:sz w:val="20"/>
                <w:szCs w:val="20"/>
              </w:rPr>
            </w:pPr>
            <w:r w:rsidRPr="000746B9">
              <w:rPr>
                <w:rFonts w:cs="Arial"/>
                <w:sz w:val="20"/>
                <w:szCs w:val="20"/>
              </w:rPr>
              <w:t>British Geriatrics Society</w:t>
            </w:r>
          </w:p>
        </w:tc>
        <w:tc>
          <w:tcPr>
            <w:tcW w:w="3588" w:type="dxa"/>
          </w:tcPr>
          <w:p w14:paraId="39BB8AB5" w14:textId="77777777" w:rsidR="000746B9" w:rsidRPr="000746B9" w:rsidRDefault="000746B9" w:rsidP="00DA217C">
            <w:pPr>
              <w:pStyle w:val="TableText1"/>
              <w:rPr>
                <w:rFonts w:cs="Arial"/>
                <w:sz w:val="20"/>
                <w:szCs w:val="20"/>
              </w:rPr>
            </w:pPr>
            <w:bookmarkStart w:id="160" w:name="_Hlk107302121"/>
            <w:r w:rsidRPr="000746B9">
              <w:rPr>
                <w:rFonts w:cs="Arial"/>
                <w:sz w:val="20"/>
                <w:szCs w:val="20"/>
              </w:rPr>
              <w:t>Long term antibiotics prescribed for UTI prophylaxis should be stopped.</w:t>
            </w:r>
            <w:bookmarkEnd w:id="160"/>
          </w:p>
        </w:tc>
        <w:tc>
          <w:tcPr>
            <w:tcW w:w="4350" w:type="dxa"/>
          </w:tcPr>
          <w:p w14:paraId="6AC50736" w14:textId="77777777" w:rsidR="000746B9" w:rsidRPr="000746B9" w:rsidRDefault="000746B9" w:rsidP="00DA217C">
            <w:pPr>
              <w:pStyle w:val="Paragraphnonumbers"/>
              <w:rPr>
                <w:rFonts w:cs="Arial"/>
                <w:sz w:val="20"/>
                <w:szCs w:val="20"/>
              </w:rPr>
            </w:pPr>
            <w:r w:rsidRPr="000746B9">
              <w:rPr>
                <w:rFonts w:cs="Arial"/>
                <w:sz w:val="20"/>
                <w:szCs w:val="20"/>
              </w:rPr>
              <w:t xml:space="preserve">Dangers of </w:t>
            </w:r>
            <w:proofErr w:type="gramStart"/>
            <w:r w:rsidRPr="000746B9">
              <w:rPr>
                <w:rFonts w:cs="Arial"/>
                <w:sz w:val="20"/>
                <w:szCs w:val="20"/>
              </w:rPr>
              <w:t>long term</w:t>
            </w:r>
            <w:proofErr w:type="gramEnd"/>
            <w:r w:rsidRPr="000746B9">
              <w:rPr>
                <w:rFonts w:cs="Arial"/>
                <w:sz w:val="20"/>
                <w:szCs w:val="20"/>
              </w:rPr>
              <w:t xml:space="preserve"> antibiotics for frail older people with no benefit.</w:t>
            </w:r>
          </w:p>
          <w:p w14:paraId="23B28B12" w14:textId="77777777" w:rsidR="000746B9" w:rsidRPr="000746B9" w:rsidRDefault="000746B9" w:rsidP="00DA217C">
            <w:pPr>
              <w:pStyle w:val="TableText1"/>
              <w:rPr>
                <w:rFonts w:cs="Arial"/>
                <w:sz w:val="20"/>
                <w:szCs w:val="20"/>
              </w:rPr>
            </w:pPr>
            <w:r w:rsidRPr="000746B9">
              <w:rPr>
                <w:rFonts w:cs="Arial"/>
                <w:sz w:val="20"/>
                <w:szCs w:val="20"/>
              </w:rPr>
              <w:t xml:space="preserve">Promote resistance and there is no evidence to support their use beyond 3-6 months. The evidence base supporting antibiotic use for prophylaxis of UTI is not strong; all studies </w:t>
            </w:r>
            <w:r w:rsidRPr="000746B9">
              <w:rPr>
                <w:rFonts w:cs="Arial"/>
                <w:sz w:val="20"/>
                <w:szCs w:val="20"/>
              </w:rPr>
              <w:lastRenderedPageBreak/>
              <w:t>were conducted pre-</w:t>
            </w:r>
            <w:proofErr w:type="gramStart"/>
            <w:r w:rsidRPr="000746B9">
              <w:rPr>
                <w:rFonts w:cs="Arial"/>
                <w:sz w:val="20"/>
                <w:szCs w:val="20"/>
              </w:rPr>
              <w:t>2000</w:t>
            </w:r>
            <w:proofErr w:type="gramEnd"/>
            <w:r w:rsidRPr="000746B9">
              <w:rPr>
                <w:rFonts w:cs="Arial"/>
                <w:sz w:val="20"/>
                <w:szCs w:val="20"/>
              </w:rPr>
              <w:t xml:space="preserve"> and none evaluated patients beyond one year</w:t>
            </w:r>
          </w:p>
        </w:tc>
        <w:tc>
          <w:tcPr>
            <w:tcW w:w="3769" w:type="dxa"/>
          </w:tcPr>
          <w:p w14:paraId="138DED1C" w14:textId="77777777" w:rsidR="000746B9" w:rsidRPr="000746B9" w:rsidRDefault="000746B9" w:rsidP="00DA217C">
            <w:pPr>
              <w:pStyle w:val="TableText1"/>
              <w:rPr>
                <w:rFonts w:cs="Arial"/>
                <w:sz w:val="20"/>
                <w:szCs w:val="20"/>
              </w:rPr>
            </w:pPr>
          </w:p>
        </w:tc>
      </w:tr>
      <w:tr w:rsidR="000746B9" w:rsidRPr="000746B9" w14:paraId="31A4F20A" w14:textId="77777777" w:rsidTr="007C6ED4">
        <w:trPr>
          <w:trHeight w:val="282"/>
        </w:trPr>
        <w:tc>
          <w:tcPr>
            <w:tcW w:w="708" w:type="dxa"/>
          </w:tcPr>
          <w:p w14:paraId="6A01FD34" w14:textId="77777777" w:rsidR="000746B9" w:rsidRPr="000746B9" w:rsidRDefault="000746B9" w:rsidP="00026998">
            <w:pPr>
              <w:pStyle w:val="TableText1"/>
              <w:numPr>
                <w:ilvl w:val="0"/>
                <w:numId w:val="45"/>
              </w:numPr>
              <w:rPr>
                <w:rFonts w:cs="Arial"/>
                <w:sz w:val="20"/>
                <w:szCs w:val="20"/>
              </w:rPr>
            </w:pPr>
            <w:r w:rsidRPr="000746B9">
              <w:rPr>
                <w:rFonts w:cs="Arial"/>
                <w:sz w:val="20"/>
                <w:szCs w:val="20"/>
              </w:rPr>
              <w:t>4b</w:t>
            </w:r>
          </w:p>
        </w:tc>
        <w:tc>
          <w:tcPr>
            <w:tcW w:w="2264" w:type="dxa"/>
          </w:tcPr>
          <w:p w14:paraId="695BAA93" w14:textId="77777777" w:rsidR="000746B9" w:rsidRPr="000746B9" w:rsidRDefault="000746B9" w:rsidP="00DA217C">
            <w:pPr>
              <w:pStyle w:val="TableText1"/>
              <w:rPr>
                <w:rFonts w:cs="Arial"/>
                <w:sz w:val="20"/>
                <w:szCs w:val="20"/>
              </w:rPr>
            </w:pPr>
            <w:r w:rsidRPr="000746B9">
              <w:rPr>
                <w:rFonts w:cs="Arial"/>
                <w:sz w:val="20"/>
                <w:szCs w:val="20"/>
              </w:rPr>
              <w:t>British Infection Association</w:t>
            </w:r>
          </w:p>
        </w:tc>
        <w:tc>
          <w:tcPr>
            <w:tcW w:w="3588" w:type="dxa"/>
          </w:tcPr>
          <w:p w14:paraId="7CABBED0" w14:textId="77777777" w:rsidR="000746B9" w:rsidRPr="000746B9" w:rsidRDefault="000746B9" w:rsidP="00DA217C">
            <w:pPr>
              <w:pStyle w:val="Paragraphnonumbers"/>
              <w:spacing w:after="120"/>
              <w:rPr>
                <w:rFonts w:cs="Arial"/>
                <w:b/>
                <w:bCs/>
                <w:sz w:val="20"/>
                <w:szCs w:val="20"/>
              </w:rPr>
            </w:pPr>
            <w:r w:rsidRPr="000746B9">
              <w:rPr>
                <w:rFonts w:cs="Arial"/>
                <w:sz w:val="20"/>
                <w:szCs w:val="20"/>
              </w:rPr>
              <w:t>Use of methenamine for adult patients without catheters with recurrent UTI</w:t>
            </w:r>
          </w:p>
        </w:tc>
        <w:tc>
          <w:tcPr>
            <w:tcW w:w="4350" w:type="dxa"/>
          </w:tcPr>
          <w:p w14:paraId="63C4239A" w14:textId="77777777" w:rsidR="000746B9" w:rsidRPr="000746B9" w:rsidRDefault="000746B9" w:rsidP="00DA217C">
            <w:pPr>
              <w:pStyle w:val="Paragraphnonumbers"/>
              <w:rPr>
                <w:rFonts w:cs="Arial"/>
                <w:bCs/>
                <w:sz w:val="20"/>
                <w:szCs w:val="20"/>
              </w:rPr>
            </w:pPr>
            <w:r w:rsidRPr="000746B9">
              <w:rPr>
                <w:rFonts w:cs="Arial"/>
                <w:sz w:val="20"/>
                <w:szCs w:val="20"/>
              </w:rPr>
              <w:t>Recurrent UTI is a common problem and a driver of antibiotic use. Until recently there has been little guidance on how to manage these patients. Antibiotic prophylaxis is recommended in NICE guidance as a last resort option, but there is no evidence about long term outcomes.</w:t>
            </w:r>
          </w:p>
        </w:tc>
        <w:tc>
          <w:tcPr>
            <w:tcW w:w="3769" w:type="dxa"/>
          </w:tcPr>
          <w:p w14:paraId="7696B677" w14:textId="77777777" w:rsidR="000746B9" w:rsidRPr="000746B9" w:rsidRDefault="000746B9" w:rsidP="00DA217C">
            <w:pPr>
              <w:pStyle w:val="Paragraphnonumbers"/>
              <w:rPr>
                <w:rFonts w:cs="Arial"/>
                <w:sz w:val="20"/>
                <w:szCs w:val="20"/>
              </w:rPr>
            </w:pPr>
            <w:r w:rsidRPr="000746B9">
              <w:rPr>
                <w:rFonts w:cs="Arial"/>
                <w:sz w:val="20"/>
                <w:szCs w:val="20"/>
              </w:rPr>
              <w:t>The ALTAR RCT has recently reported and shown that use of methenamine is non-inferior to antibiotic prophylaxis in these patients.</w:t>
            </w:r>
          </w:p>
          <w:p w14:paraId="0EE2E62C" w14:textId="77777777" w:rsidR="000746B9" w:rsidRPr="000746B9" w:rsidRDefault="00AC503C" w:rsidP="00DA217C">
            <w:pPr>
              <w:pStyle w:val="Paragraphnonumbers"/>
              <w:rPr>
                <w:rFonts w:cs="Arial"/>
                <w:sz w:val="20"/>
                <w:szCs w:val="20"/>
              </w:rPr>
            </w:pPr>
            <w:hyperlink r:id="rId128" w:history="1">
              <w:r w:rsidR="000746B9" w:rsidRPr="000746B9">
                <w:rPr>
                  <w:rStyle w:val="Hyperlink"/>
                  <w:rFonts w:cs="Arial"/>
                  <w:sz w:val="20"/>
                  <w:szCs w:val="20"/>
                </w:rPr>
                <w:t>https://doi.org/10.1136/bmj-2021-0068229</w:t>
              </w:r>
            </w:hyperlink>
            <w:r w:rsidR="000746B9" w:rsidRPr="000746B9">
              <w:rPr>
                <w:rFonts w:cs="Arial"/>
                <w:sz w:val="20"/>
                <w:szCs w:val="20"/>
              </w:rPr>
              <w:t xml:space="preserve"> </w:t>
            </w:r>
          </w:p>
        </w:tc>
      </w:tr>
      <w:tr w:rsidR="000746B9" w:rsidRPr="000746B9" w14:paraId="769977AE" w14:textId="77777777" w:rsidTr="007C6ED4">
        <w:trPr>
          <w:trHeight w:val="282"/>
        </w:trPr>
        <w:tc>
          <w:tcPr>
            <w:tcW w:w="708" w:type="dxa"/>
          </w:tcPr>
          <w:p w14:paraId="1FE62B1F" w14:textId="77777777" w:rsidR="000746B9" w:rsidRPr="000746B9" w:rsidRDefault="000746B9" w:rsidP="00026998">
            <w:pPr>
              <w:pStyle w:val="TableText1"/>
              <w:numPr>
                <w:ilvl w:val="0"/>
                <w:numId w:val="45"/>
              </w:numPr>
              <w:rPr>
                <w:rFonts w:cs="Arial"/>
                <w:sz w:val="20"/>
                <w:szCs w:val="20"/>
              </w:rPr>
            </w:pPr>
            <w:r w:rsidRPr="000746B9">
              <w:rPr>
                <w:rFonts w:cs="Arial"/>
                <w:sz w:val="20"/>
                <w:szCs w:val="20"/>
              </w:rPr>
              <w:t>4b</w:t>
            </w:r>
          </w:p>
        </w:tc>
        <w:tc>
          <w:tcPr>
            <w:tcW w:w="2264" w:type="dxa"/>
          </w:tcPr>
          <w:p w14:paraId="5C1114A9" w14:textId="77777777" w:rsidR="000746B9" w:rsidRPr="000746B9" w:rsidRDefault="000746B9" w:rsidP="00DA217C">
            <w:pPr>
              <w:pStyle w:val="TableText1"/>
              <w:rPr>
                <w:rFonts w:cs="Arial"/>
                <w:sz w:val="20"/>
                <w:szCs w:val="20"/>
              </w:rPr>
            </w:pPr>
            <w:r w:rsidRPr="000746B9">
              <w:rPr>
                <w:rFonts w:cs="Arial"/>
                <w:sz w:val="20"/>
                <w:szCs w:val="20"/>
              </w:rPr>
              <w:t>NHS England and NHS Improvement</w:t>
            </w:r>
          </w:p>
        </w:tc>
        <w:tc>
          <w:tcPr>
            <w:tcW w:w="3588" w:type="dxa"/>
          </w:tcPr>
          <w:p w14:paraId="16526D6A" w14:textId="77777777" w:rsidR="000746B9" w:rsidRPr="000746B9" w:rsidRDefault="000746B9" w:rsidP="00DA217C">
            <w:pPr>
              <w:pStyle w:val="Paragraphnonumbers"/>
              <w:spacing w:after="120"/>
              <w:rPr>
                <w:rFonts w:cs="Arial"/>
                <w:sz w:val="20"/>
                <w:szCs w:val="20"/>
              </w:rPr>
            </w:pPr>
            <w:r w:rsidRPr="000746B9">
              <w:rPr>
                <w:rFonts w:cs="Arial"/>
                <w:sz w:val="20"/>
                <w:szCs w:val="20"/>
              </w:rPr>
              <w:t xml:space="preserve">Review patients on </w:t>
            </w:r>
            <w:bookmarkStart w:id="161" w:name="_Hlk107302206"/>
            <w:r w:rsidRPr="000746B9">
              <w:rPr>
                <w:rFonts w:cs="Arial"/>
                <w:sz w:val="20"/>
                <w:szCs w:val="20"/>
              </w:rPr>
              <w:t>long term antibiotics for recurrent UTI at least every 6 months.</w:t>
            </w:r>
          </w:p>
          <w:bookmarkEnd w:id="161"/>
          <w:p w14:paraId="733C4310" w14:textId="77777777" w:rsidR="000746B9" w:rsidRPr="000746B9" w:rsidRDefault="000746B9" w:rsidP="00DA217C">
            <w:pPr>
              <w:pStyle w:val="Paragraphnonumbers"/>
              <w:spacing w:after="120"/>
              <w:rPr>
                <w:rFonts w:cs="Arial"/>
                <w:sz w:val="20"/>
                <w:szCs w:val="20"/>
              </w:rPr>
            </w:pPr>
          </w:p>
          <w:p w14:paraId="69E5A88F" w14:textId="77777777" w:rsidR="000746B9" w:rsidRPr="000746B9" w:rsidRDefault="000746B9" w:rsidP="00DA217C">
            <w:pPr>
              <w:pStyle w:val="Paragraphnonumbers"/>
              <w:spacing w:after="120"/>
              <w:rPr>
                <w:rFonts w:cs="Arial"/>
                <w:sz w:val="20"/>
                <w:szCs w:val="20"/>
              </w:rPr>
            </w:pPr>
            <w:r w:rsidRPr="000746B9">
              <w:rPr>
                <w:rFonts w:cs="Arial"/>
                <w:sz w:val="20"/>
                <w:szCs w:val="20"/>
              </w:rPr>
              <w:t>Numerator= Number of patients on prophylactic antibiotics for recurrent UTI with a documented review in last 6 months</w:t>
            </w:r>
          </w:p>
          <w:p w14:paraId="2A805795" w14:textId="77777777" w:rsidR="000746B9" w:rsidRPr="000746B9" w:rsidRDefault="000746B9" w:rsidP="00DA217C">
            <w:pPr>
              <w:pStyle w:val="TableText1"/>
              <w:rPr>
                <w:rFonts w:cs="Arial"/>
                <w:sz w:val="20"/>
                <w:szCs w:val="20"/>
              </w:rPr>
            </w:pPr>
            <w:r w:rsidRPr="000746B9">
              <w:rPr>
                <w:rFonts w:cs="Arial"/>
                <w:sz w:val="20"/>
                <w:szCs w:val="20"/>
              </w:rPr>
              <w:t>Denominator= Number of patients on prophylactic antibiotics for recurrent UTI</w:t>
            </w:r>
          </w:p>
        </w:tc>
        <w:tc>
          <w:tcPr>
            <w:tcW w:w="4350" w:type="dxa"/>
          </w:tcPr>
          <w:p w14:paraId="18ACBC9C" w14:textId="77777777" w:rsidR="000746B9" w:rsidRPr="000746B9" w:rsidRDefault="000746B9" w:rsidP="00DA217C">
            <w:pPr>
              <w:pStyle w:val="TableText1"/>
              <w:rPr>
                <w:rFonts w:cs="Arial"/>
                <w:sz w:val="20"/>
                <w:szCs w:val="20"/>
              </w:rPr>
            </w:pPr>
          </w:p>
        </w:tc>
        <w:tc>
          <w:tcPr>
            <w:tcW w:w="3769" w:type="dxa"/>
          </w:tcPr>
          <w:p w14:paraId="35CC591B" w14:textId="77777777" w:rsidR="000746B9" w:rsidRPr="000746B9" w:rsidRDefault="00AC503C" w:rsidP="007C6ED4">
            <w:pPr>
              <w:pStyle w:val="Bulletleft1"/>
              <w:numPr>
                <w:ilvl w:val="0"/>
                <w:numId w:val="34"/>
              </w:numPr>
              <w:rPr>
                <w:rFonts w:cs="Arial"/>
                <w:sz w:val="20"/>
                <w:szCs w:val="20"/>
                <w:lang w:bidi="ne-NP"/>
              </w:rPr>
            </w:pPr>
            <w:hyperlink r:id="rId129" w:history="1">
              <w:r w:rsidR="000746B9" w:rsidRPr="000746B9">
                <w:rPr>
                  <w:rStyle w:val="Hyperlink"/>
                  <w:rFonts w:cs="Arial"/>
                  <w:sz w:val="20"/>
                  <w:szCs w:val="20"/>
                  <w:lang w:bidi="ne-NP"/>
                </w:rPr>
                <w:t>Urinary tract infection (recurrent): antimicrobial prescribing</w:t>
              </w:r>
            </w:hyperlink>
            <w:r w:rsidR="000746B9" w:rsidRPr="000746B9">
              <w:rPr>
                <w:rFonts w:cs="Arial"/>
                <w:sz w:val="20"/>
                <w:szCs w:val="20"/>
                <w:lang w:bidi="ne-NP"/>
              </w:rPr>
              <w:t xml:space="preserve"> (2018) NICE guideline NG112</w:t>
            </w:r>
          </w:p>
          <w:p w14:paraId="7B832FA1" w14:textId="77777777" w:rsidR="000746B9" w:rsidRPr="000746B9" w:rsidRDefault="000746B9" w:rsidP="00DA217C">
            <w:pPr>
              <w:pStyle w:val="Bulletleft1"/>
              <w:tabs>
                <w:tab w:val="left" w:pos="720"/>
              </w:tabs>
              <w:rPr>
                <w:rFonts w:cs="Arial"/>
                <w:sz w:val="20"/>
                <w:szCs w:val="20"/>
                <w:lang w:bidi="ne-NP"/>
              </w:rPr>
            </w:pPr>
          </w:p>
          <w:p w14:paraId="72C736FC" w14:textId="77777777" w:rsidR="000746B9" w:rsidRPr="000746B9" w:rsidRDefault="00AC503C" w:rsidP="007C6ED4">
            <w:pPr>
              <w:pStyle w:val="Bulletleft1"/>
              <w:numPr>
                <w:ilvl w:val="0"/>
                <w:numId w:val="34"/>
              </w:numPr>
              <w:rPr>
                <w:rFonts w:cs="Arial"/>
                <w:sz w:val="20"/>
                <w:szCs w:val="20"/>
              </w:rPr>
            </w:pPr>
            <w:hyperlink r:id="rId130" w:history="1">
              <w:r w:rsidR="000746B9" w:rsidRPr="000746B9">
                <w:rPr>
                  <w:rStyle w:val="Hyperlink"/>
                  <w:rFonts w:cs="Arial"/>
                  <w:sz w:val="20"/>
                  <w:szCs w:val="20"/>
                </w:rPr>
                <w:t>Management of suspected bacterial lower urinary tract infection in adult women</w:t>
              </w:r>
            </w:hyperlink>
            <w:r w:rsidR="000746B9" w:rsidRPr="000746B9">
              <w:rPr>
                <w:rFonts w:cs="Arial"/>
                <w:sz w:val="20"/>
                <w:szCs w:val="20"/>
              </w:rPr>
              <w:t xml:space="preserve"> (2020) Scottish Intercollegiate Guidelines Network SIGN 160: To minimise the development of resistance antimicrobial prophylaxis should be used as a fixed course of three to six months in women with recurrent UTI.</w:t>
            </w:r>
          </w:p>
          <w:p w14:paraId="5F95595B" w14:textId="77777777" w:rsidR="000746B9" w:rsidRPr="000746B9" w:rsidRDefault="000746B9" w:rsidP="00DA217C">
            <w:pPr>
              <w:pStyle w:val="ListParagraph"/>
              <w:rPr>
                <w:rFonts w:ascii="Arial" w:hAnsi="Arial" w:cs="Arial"/>
                <w:sz w:val="20"/>
                <w:szCs w:val="20"/>
              </w:rPr>
            </w:pPr>
          </w:p>
          <w:p w14:paraId="7F91E2FA" w14:textId="77777777" w:rsidR="000746B9" w:rsidRPr="000746B9" w:rsidRDefault="000746B9" w:rsidP="007C6ED4">
            <w:pPr>
              <w:pStyle w:val="Bulletleft1"/>
              <w:numPr>
                <w:ilvl w:val="0"/>
                <w:numId w:val="34"/>
              </w:numPr>
              <w:rPr>
                <w:rFonts w:cs="Arial"/>
                <w:sz w:val="20"/>
                <w:szCs w:val="20"/>
              </w:rPr>
            </w:pPr>
            <w:r w:rsidRPr="000746B9">
              <w:rPr>
                <w:rFonts w:cs="Arial"/>
                <w:sz w:val="20"/>
                <w:szCs w:val="20"/>
              </w:rPr>
              <w:lastRenderedPageBreak/>
              <w:t xml:space="preserve">Public Health Wales </w:t>
            </w:r>
            <w:hyperlink r:id="rId131" w:history="1">
              <w:r w:rsidRPr="000746B9">
                <w:rPr>
                  <w:rStyle w:val="Hyperlink"/>
                  <w:rFonts w:cs="Arial"/>
                  <w:sz w:val="20"/>
                  <w:szCs w:val="20"/>
                </w:rPr>
                <w:t>Urinary Tract Infection (UTI) resources and tools</w:t>
              </w:r>
            </w:hyperlink>
          </w:p>
          <w:p w14:paraId="1ABD98BE" w14:textId="77777777" w:rsidR="000746B9" w:rsidRPr="000746B9" w:rsidRDefault="000746B9" w:rsidP="00DA217C">
            <w:pPr>
              <w:rPr>
                <w:rFonts w:ascii="Arial" w:hAnsi="Arial" w:cs="Arial"/>
                <w:sz w:val="20"/>
                <w:szCs w:val="20"/>
              </w:rPr>
            </w:pPr>
          </w:p>
        </w:tc>
      </w:tr>
      <w:tr w:rsidR="000746B9" w:rsidRPr="000746B9" w14:paraId="2C8A6945" w14:textId="77777777" w:rsidTr="007C6ED4">
        <w:trPr>
          <w:trHeight w:val="282"/>
        </w:trPr>
        <w:tc>
          <w:tcPr>
            <w:tcW w:w="708" w:type="dxa"/>
          </w:tcPr>
          <w:p w14:paraId="78913310" w14:textId="77777777" w:rsidR="000746B9" w:rsidRPr="000746B9" w:rsidRDefault="000746B9" w:rsidP="00026998">
            <w:pPr>
              <w:pStyle w:val="TableText1"/>
              <w:numPr>
                <w:ilvl w:val="0"/>
                <w:numId w:val="45"/>
              </w:numPr>
              <w:rPr>
                <w:rFonts w:cs="Arial"/>
                <w:sz w:val="20"/>
                <w:szCs w:val="20"/>
              </w:rPr>
            </w:pPr>
            <w:r w:rsidRPr="000746B9">
              <w:rPr>
                <w:rFonts w:cs="Arial"/>
                <w:sz w:val="20"/>
                <w:szCs w:val="20"/>
              </w:rPr>
              <w:lastRenderedPageBreak/>
              <w:t>4b</w:t>
            </w:r>
          </w:p>
        </w:tc>
        <w:tc>
          <w:tcPr>
            <w:tcW w:w="2264" w:type="dxa"/>
          </w:tcPr>
          <w:p w14:paraId="7560D988" w14:textId="77777777" w:rsidR="000746B9" w:rsidRPr="000746B9" w:rsidRDefault="000746B9" w:rsidP="00DA217C">
            <w:pPr>
              <w:pStyle w:val="TableText1"/>
              <w:rPr>
                <w:rFonts w:cs="Arial"/>
                <w:sz w:val="20"/>
                <w:szCs w:val="20"/>
              </w:rPr>
            </w:pPr>
            <w:r w:rsidRPr="000746B9">
              <w:rPr>
                <w:rFonts w:cs="Arial"/>
                <w:sz w:val="20"/>
                <w:szCs w:val="20"/>
              </w:rPr>
              <w:t>Royal College of General Practitioners</w:t>
            </w:r>
          </w:p>
        </w:tc>
        <w:tc>
          <w:tcPr>
            <w:tcW w:w="3588" w:type="dxa"/>
          </w:tcPr>
          <w:p w14:paraId="1F8625D4" w14:textId="77777777" w:rsidR="000746B9" w:rsidRPr="000746B9" w:rsidRDefault="000746B9" w:rsidP="00DA217C">
            <w:pPr>
              <w:pStyle w:val="TableText1"/>
              <w:rPr>
                <w:rFonts w:cs="Arial"/>
                <w:sz w:val="20"/>
                <w:szCs w:val="20"/>
              </w:rPr>
            </w:pPr>
            <w:r w:rsidRPr="000746B9">
              <w:rPr>
                <w:rFonts w:cs="Arial"/>
                <w:sz w:val="20"/>
                <w:szCs w:val="20"/>
              </w:rPr>
              <w:t>General comment</w:t>
            </w:r>
          </w:p>
        </w:tc>
        <w:tc>
          <w:tcPr>
            <w:tcW w:w="4350" w:type="dxa"/>
          </w:tcPr>
          <w:p w14:paraId="7865ED62" w14:textId="77777777" w:rsidR="000746B9" w:rsidRPr="000746B9" w:rsidRDefault="000746B9" w:rsidP="00DA217C">
            <w:pPr>
              <w:pStyle w:val="TableText1"/>
              <w:rPr>
                <w:rFonts w:cs="Arial"/>
                <w:sz w:val="20"/>
                <w:szCs w:val="20"/>
              </w:rPr>
            </w:pPr>
            <w:r w:rsidRPr="000746B9">
              <w:rPr>
                <w:rFonts w:cs="Arial"/>
                <w:sz w:val="20"/>
                <w:szCs w:val="20"/>
              </w:rPr>
              <w:t>We are happy to see the quality standards for UTI in adults being progressed. The documentation and references appear to cover relevant areas on which to base practice and standards. It would be very sensible to address some of the issues around recurrent prescribing of antibiotics (for suspected recurrent UTI / increased confusion in the elderly) and the increasing risk of antimicrobial resistance (AMR) and its impact on care. Indeed, we think the recent Lancet document indicating mortality globally from AMR (The Lancet. Antimicrobial resistance: time to repurpose the Global Fund. The Lancet. 2022;399(10322):335) would highlight the need for standards to cover the relevance of stewardship in UTI. </w:t>
            </w:r>
          </w:p>
        </w:tc>
        <w:tc>
          <w:tcPr>
            <w:tcW w:w="3769" w:type="dxa"/>
          </w:tcPr>
          <w:p w14:paraId="7950D1B8" w14:textId="77777777" w:rsidR="000746B9" w:rsidRPr="000746B9" w:rsidRDefault="000746B9" w:rsidP="00DA217C">
            <w:pPr>
              <w:rPr>
                <w:rFonts w:ascii="Arial" w:hAnsi="Arial" w:cs="Arial"/>
                <w:sz w:val="20"/>
                <w:szCs w:val="20"/>
              </w:rPr>
            </w:pPr>
          </w:p>
        </w:tc>
      </w:tr>
      <w:tr w:rsidR="000746B9" w:rsidRPr="000746B9" w14:paraId="42CFCCD2" w14:textId="77777777" w:rsidTr="007C6ED4">
        <w:trPr>
          <w:trHeight w:val="282"/>
        </w:trPr>
        <w:tc>
          <w:tcPr>
            <w:tcW w:w="708" w:type="dxa"/>
          </w:tcPr>
          <w:p w14:paraId="54F5456C" w14:textId="77777777" w:rsidR="000746B9" w:rsidRPr="000746B9" w:rsidRDefault="000746B9" w:rsidP="00026998">
            <w:pPr>
              <w:pStyle w:val="TableText1"/>
              <w:numPr>
                <w:ilvl w:val="0"/>
                <w:numId w:val="45"/>
              </w:numPr>
              <w:rPr>
                <w:rFonts w:cs="Arial"/>
                <w:sz w:val="20"/>
                <w:szCs w:val="20"/>
              </w:rPr>
            </w:pPr>
            <w:r w:rsidRPr="000746B9">
              <w:rPr>
                <w:rFonts w:cs="Arial"/>
                <w:sz w:val="20"/>
                <w:szCs w:val="20"/>
              </w:rPr>
              <w:t>4b</w:t>
            </w:r>
          </w:p>
        </w:tc>
        <w:tc>
          <w:tcPr>
            <w:tcW w:w="2264" w:type="dxa"/>
          </w:tcPr>
          <w:p w14:paraId="60751367" w14:textId="076BA03C" w:rsidR="000746B9" w:rsidRPr="000746B9" w:rsidRDefault="000746B9" w:rsidP="00DA217C">
            <w:pPr>
              <w:pStyle w:val="TableText1"/>
              <w:rPr>
                <w:rFonts w:cs="Arial"/>
                <w:sz w:val="20"/>
                <w:szCs w:val="20"/>
              </w:rPr>
            </w:pPr>
            <w:r w:rsidRPr="000746B9">
              <w:rPr>
                <w:rFonts w:cs="Arial"/>
                <w:sz w:val="20"/>
                <w:szCs w:val="20"/>
              </w:rPr>
              <w:t>SCM4</w:t>
            </w:r>
          </w:p>
        </w:tc>
        <w:tc>
          <w:tcPr>
            <w:tcW w:w="3588" w:type="dxa"/>
          </w:tcPr>
          <w:p w14:paraId="06764817" w14:textId="77777777" w:rsidR="000746B9" w:rsidRPr="000746B9" w:rsidRDefault="000746B9" w:rsidP="00DA217C">
            <w:pPr>
              <w:pStyle w:val="TableText1"/>
              <w:rPr>
                <w:rFonts w:cs="Arial"/>
                <w:sz w:val="20"/>
                <w:szCs w:val="20"/>
              </w:rPr>
            </w:pPr>
            <w:proofErr w:type="spellStart"/>
            <w:r w:rsidRPr="000746B9">
              <w:rPr>
                <w:rFonts w:cs="Arial"/>
                <w:sz w:val="20"/>
                <w:szCs w:val="20"/>
              </w:rPr>
              <w:t>Hiprex</w:t>
            </w:r>
            <w:proofErr w:type="spellEnd"/>
          </w:p>
          <w:p w14:paraId="02B83C87" w14:textId="77777777" w:rsidR="000746B9" w:rsidRPr="000746B9" w:rsidRDefault="000746B9" w:rsidP="00DA217C">
            <w:pPr>
              <w:pStyle w:val="TableText1"/>
              <w:rPr>
                <w:rFonts w:cs="Arial"/>
                <w:sz w:val="20"/>
                <w:szCs w:val="20"/>
              </w:rPr>
            </w:pPr>
          </w:p>
        </w:tc>
        <w:tc>
          <w:tcPr>
            <w:tcW w:w="4350" w:type="dxa"/>
          </w:tcPr>
          <w:p w14:paraId="70F6B3EC" w14:textId="77777777" w:rsidR="000746B9" w:rsidRPr="000746B9" w:rsidRDefault="000746B9" w:rsidP="00DA217C">
            <w:pPr>
              <w:pStyle w:val="TableText1"/>
              <w:rPr>
                <w:rFonts w:cs="Arial"/>
                <w:sz w:val="20"/>
                <w:szCs w:val="20"/>
              </w:rPr>
            </w:pPr>
            <w:r w:rsidRPr="000746B9">
              <w:rPr>
                <w:rFonts w:cs="Arial"/>
                <w:sz w:val="20"/>
                <w:szCs w:val="20"/>
              </w:rPr>
              <w:t xml:space="preserve">Presently, patients are usually offered an antibiotic prophylaxis if infections become very frequent or recurrent. </w:t>
            </w:r>
            <w:proofErr w:type="spellStart"/>
            <w:r w:rsidRPr="000746B9">
              <w:rPr>
                <w:rFonts w:cs="Arial"/>
                <w:sz w:val="20"/>
                <w:szCs w:val="20"/>
              </w:rPr>
              <w:t>Hiprex</w:t>
            </w:r>
            <w:proofErr w:type="spellEnd"/>
            <w:r w:rsidRPr="000746B9">
              <w:rPr>
                <w:rFonts w:cs="Arial"/>
                <w:sz w:val="20"/>
                <w:szCs w:val="20"/>
              </w:rPr>
              <w:t xml:space="preserve"> would be an alternative. It is not an antibiotic and therefore does not impact on antibiotic resistance. </w:t>
            </w:r>
          </w:p>
          <w:p w14:paraId="43615D5F" w14:textId="77777777" w:rsidR="000746B9" w:rsidRPr="000746B9" w:rsidRDefault="000746B9" w:rsidP="00DA217C">
            <w:pPr>
              <w:pStyle w:val="TableText1"/>
              <w:rPr>
                <w:rFonts w:cs="Arial"/>
                <w:sz w:val="20"/>
                <w:szCs w:val="20"/>
              </w:rPr>
            </w:pPr>
          </w:p>
          <w:p w14:paraId="0947E101" w14:textId="77777777" w:rsidR="000746B9" w:rsidRPr="000746B9" w:rsidRDefault="000746B9" w:rsidP="00DA217C">
            <w:pPr>
              <w:pStyle w:val="TableText1"/>
              <w:rPr>
                <w:rFonts w:cs="Arial"/>
                <w:sz w:val="20"/>
                <w:szCs w:val="20"/>
              </w:rPr>
            </w:pPr>
            <w:r w:rsidRPr="000746B9">
              <w:rPr>
                <w:rFonts w:cs="Arial"/>
                <w:sz w:val="20"/>
                <w:szCs w:val="20"/>
              </w:rPr>
              <w:t xml:space="preserve">There is good evidence that </w:t>
            </w:r>
            <w:proofErr w:type="spellStart"/>
            <w:r w:rsidRPr="000746B9">
              <w:rPr>
                <w:rFonts w:cs="Arial"/>
                <w:sz w:val="20"/>
                <w:szCs w:val="20"/>
              </w:rPr>
              <w:t>Hiprex</w:t>
            </w:r>
            <w:proofErr w:type="spellEnd"/>
            <w:r w:rsidRPr="000746B9">
              <w:rPr>
                <w:rFonts w:cs="Arial"/>
                <w:sz w:val="20"/>
                <w:szCs w:val="20"/>
              </w:rPr>
              <w:t xml:space="preserve"> following the publication of the ALTAR study in March that </w:t>
            </w:r>
            <w:proofErr w:type="spellStart"/>
            <w:r w:rsidRPr="000746B9">
              <w:rPr>
                <w:rFonts w:cs="Arial"/>
                <w:sz w:val="20"/>
                <w:szCs w:val="20"/>
              </w:rPr>
              <w:t>Hiprex</w:t>
            </w:r>
            <w:proofErr w:type="spellEnd"/>
            <w:r w:rsidRPr="000746B9">
              <w:rPr>
                <w:rFonts w:cs="Arial"/>
                <w:sz w:val="20"/>
                <w:szCs w:val="20"/>
              </w:rPr>
              <w:t xml:space="preserve"> is a good alternative to prophylactic antibiotics in the management of patients who suffer frequent UTIs.</w:t>
            </w:r>
          </w:p>
          <w:p w14:paraId="258F8E86" w14:textId="77777777" w:rsidR="000746B9" w:rsidRPr="000746B9" w:rsidRDefault="000746B9" w:rsidP="00DA217C">
            <w:pPr>
              <w:pStyle w:val="TableText1"/>
              <w:rPr>
                <w:rFonts w:cs="Arial"/>
                <w:sz w:val="20"/>
                <w:szCs w:val="20"/>
              </w:rPr>
            </w:pPr>
          </w:p>
        </w:tc>
        <w:tc>
          <w:tcPr>
            <w:tcW w:w="3769" w:type="dxa"/>
          </w:tcPr>
          <w:p w14:paraId="0F5B7623" w14:textId="77777777" w:rsidR="000746B9" w:rsidRPr="000746B9" w:rsidRDefault="000746B9" w:rsidP="00DA217C">
            <w:pPr>
              <w:rPr>
                <w:rFonts w:ascii="Arial" w:hAnsi="Arial" w:cs="Arial"/>
                <w:sz w:val="20"/>
                <w:szCs w:val="20"/>
              </w:rPr>
            </w:pPr>
            <w:r w:rsidRPr="000746B9">
              <w:rPr>
                <w:rFonts w:ascii="Arial" w:hAnsi="Arial" w:cs="Arial"/>
                <w:sz w:val="20"/>
                <w:szCs w:val="20"/>
              </w:rPr>
              <w:t xml:space="preserve">Please see the ALTAR Study </w:t>
            </w:r>
            <w:hyperlink r:id="rId132" w:history="1">
              <w:r w:rsidRPr="000746B9">
                <w:rPr>
                  <w:rStyle w:val="Hyperlink"/>
                  <w:rFonts w:ascii="Arial" w:hAnsi="Arial" w:cs="Arial"/>
                  <w:sz w:val="20"/>
                  <w:szCs w:val="20"/>
                </w:rPr>
                <w:t>https://www.bmj.com/content/376/bmj-2021-0068229/rr</w:t>
              </w:r>
            </w:hyperlink>
          </w:p>
        </w:tc>
      </w:tr>
      <w:tr w:rsidR="000746B9" w:rsidRPr="000746B9" w14:paraId="521AA656" w14:textId="77777777" w:rsidTr="007C6ED4">
        <w:trPr>
          <w:trHeight w:val="282"/>
        </w:trPr>
        <w:tc>
          <w:tcPr>
            <w:tcW w:w="708" w:type="dxa"/>
          </w:tcPr>
          <w:p w14:paraId="38F15F4B" w14:textId="77777777" w:rsidR="000746B9" w:rsidRPr="000746B9" w:rsidRDefault="000746B9" w:rsidP="00026998">
            <w:pPr>
              <w:pStyle w:val="TableText1"/>
              <w:numPr>
                <w:ilvl w:val="0"/>
                <w:numId w:val="45"/>
              </w:numPr>
              <w:rPr>
                <w:rFonts w:cs="Arial"/>
                <w:sz w:val="20"/>
                <w:szCs w:val="20"/>
              </w:rPr>
            </w:pPr>
            <w:r w:rsidRPr="000746B9">
              <w:rPr>
                <w:rFonts w:cs="Arial"/>
                <w:sz w:val="20"/>
                <w:szCs w:val="20"/>
              </w:rPr>
              <w:lastRenderedPageBreak/>
              <w:t>4b</w:t>
            </w:r>
          </w:p>
        </w:tc>
        <w:tc>
          <w:tcPr>
            <w:tcW w:w="2264" w:type="dxa"/>
          </w:tcPr>
          <w:p w14:paraId="1EE19345" w14:textId="46EEC0F0" w:rsidR="000746B9" w:rsidRPr="000746B9" w:rsidRDefault="000746B9" w:rsidP="00DA217C">
            <w:pPr>
              <w:pStyle w:val="TableText1"/>
              <w:rPr>
                <w:rFonts w:cs="Arial"/>
                <w:sz w:val="20"/>
                <w:szCs w:val="20"/>
              </w:rPr>
            </w:pPr>
            <w:r w:rsidRPr="000746B9">
              <w:rPr>
                <w:rFonts w:cs="Arial"/>
                <w:sz w:val="20"/>
                <w:szCs w:val="20"/>
              </w:rPr>
              <w:t>SCM5</w:t>
            </w:r>
          </w:p>
        </w:tc>
        <w:tc>
          <w:tcPr>
            <w:tcW w:w="3588" w:type="dxa"/>
          </w:tcPr>
          <w:p w14:paraId="4EDB7B6F" w14:textId="77777777" w:rsidR="000746B9" w:rsidRPr="000746B9" w:rsidRDefault="000746B9" w:rsidP="00DA217C">
            <w:pPr>
              <w:pStyle w:val="TableText1"/>
              <w:rPr>
                <w:rFonts w:cs="Arial"/>
                <w:sz w:val="20"/>
                <w:szCs w:val="20"/>
              </w:rPr>
            </w:pPr>
            <w:r w:rsidRPr="000746B9">
              <w:rPr>
                <w:rFonts w:cs="Arial"/>
                <w:sz w:val="20"/>
                <w:szCs w:val="20"/>
              </w:rPr>
              <w:t xml:space="preserve">Further area for QI: </w:t>
            </w:r>
            <w:bookmarkStart w:id="162" w:name="_Hlk107302361"/>
            <w:r w:rsidRPr="000746B9">
              <w:rPr>
                <w:rFonts w:cs="Arial"/>
                <w:sz w:val="20"/>
                <w:szCs w:val="20"/>
              </w:rPr>
              <w:t xml:space="preserve">People taking urinary prophylaxis  </w:t>
            </w:r>
          </w:p>
          <w:p w14:paraId="551B2219" w14:textId="77777777" w:rsidR="000746B9" w:rsidRPr="000746B9" w:rsidRDefault="000746B9" w:rsidP="00DA217C">
            <w:pPr>
              <w:pStyle w:val="TableText1"/>
              <w:rPr>
                <w:rFonts w:cs="Arial"/>
                <w:sz w:val="20"/>
                <w:szCs w:val="20"/>
              </w:rPr>
            </w:pPr>
            <w:r w:rsidRPr="000746B9">
              <w:rPr>
                <w:rFonts w:cs="Arial"/>
                <w:sz w:val="20"/>
                <w:szCs w:val="20"/>
              </w:rPr>
              <w:t xml:space="preserve">should be reviewed   </w:t>
            </w:r>
          </w:p>
          <w:bookmarkEnd w:id="162"/>
          <w:p w14:paraId="0CF7EB95" w14:textId="77777777" w:rsidR="000746B9" w:rsidRPr="000746B9" w:rsidRDefault="000746B9" w:rsidP="00DA217C">
            <w:pPr>
              <w:pStyle w:val="TableText1"/>
              <w:rPr>
                <w:rFonts w:cs="Arial"/>
                <w:sz w:val="20"/>
                <w:szCs w:val="20"/>
              </w:rPr>
            </w:pPr>
          </w:p>
        </w:tc>
        <w:tc>
          <w:tcPr>
            <w:tcW w:w="4350" w:type="dxa"/>
          </w:tcPr>
          <w:p w14:paraId="1E156615" w14:textId="77777777" w:rsidR="000746B9" w:rsidRPr="000746B9" w:rsidRDefault="000746B9" w:rsidP="00DA217C">
            <w:pPr>
              <w:pStyle w:val="TableText1"/>
              <w:rPr>
                <w:rFonts w:cs="Arial"/>
                <w:sz w:val="20"/>
                <w:szCs w:val="20"/>
              </w:rPr>
            </w:pPr>
            <w:r w:rsidRPr="000746B9">
              <w:rPr>
                <w:rFonts w:cs="Arial"/>
                <w:sz w:val="20"/>
                <w:szCs w:val="20"/>
              </w:rPr>
              <w:t xml:space="preserve">There is evidence that people can remain on prophylaxis for many years, sometimes the same agent. This risks development of antimicrobial resistance, which may make future infections more difficult to treat. Local audit suggests that up to 50% of people may be able to stop prophylaxis during the first round of a QI project addressing </w:t>
            </w:r>
            <w:proofErr w:type="gramStart"/>
            <w:r w:rsidRPr="000746B9">
              <w:rPr>
                <w:rFonts w:cs="Arial"/>
                <w:sz w:val="20"/>
                <w:szCs w:val="20"/>
              </w:rPr>
              <w:t>this ,</w:t>
            </w:r>
            <w:proofErr w:type="gramEnd"/>
            <w:r w:rsidRPr="000746B9">
              <w:rPr>
                <w:rFonts w:cs="Arial"/>
                <w:sz w:val="20"/>
                <w:szCs w:val="20"/>
              </w:rPr>
              <w:t xml:space="preserve"> however repeated reviews will have much less benefit.   </w:t>
            </w:r>
          </w:p>
        </w:tc>
        <w:tc>
          <w:tcPr>
            <w:tcW w:w="3769" w:type="dxa"/>
          </w:tcPr>
          <w:p w14:paraId="35F9FAE3" w14:textId="77777777" w:rsidR="000746B9" w:rsidRPr="000746B9" w:rsidRDefault="000746B9" w:rsidP="00DA217C">
            <w:pPr>
              <w:rPr>
                <w:rFonts w:ascii="Arial" w:hAnsi="Arial" w:cs="Arial"/>
                <w:sz w:val="20"/>
                <w:szCs w:val="20"/>
              </w:rPr>
            </w:pPr>
          </w:p>
        </w:tc>
      </w:tr>
      <w:tr w:rsidR="000746B9" w:rsidRPr="000746B9" w14:paraId="59FB62C1" w14:textId="77777777" w:rsidTr="007C6ED4">
        <w:trPr>
          <w:trHeight w:val="282"/>
        </w:trPr>
        <w:tc>
          <w:tcPr>
            <w:tcW w:w="708" w:type="dxa"/>
          </w:tcPr>
          <w:p w14:paraId="636C2335" w14:textId="77777777" w:rsidR="000746B9" w:rsidRPr="000746B9" w:rsidRDefault="000746B9" w:rsidP="00026998">
            <w:pPr>
              <w:pStyle w:val="TableText1"/>
              <w:numPr>
                <w:ilvl w:val="0"/>
                <w:numId w:val="45"/>
              </w:numPr>
              <w:rPr>
                <w:rFonts w:cs="Arial"/>
                <w:sz w:val="20"/>
                <w:szCs w:val="20"/>
              </w:rPr>
            </w:pPr>
            <w:r w:rsidRPr="000746B9">
              <w:rPr>
                <w:rFonts w:cs="Arial"/>
                <w:sz w:val="20"/>
                <w:szCs w:val="20"/>
              </w:rPr>
              <w:t>4b</w:t>
            </w:r>
          </w:p>
        </w:tc>
        <w:tc>
          <w:tcPr>
            <w:tcW w:w="2264" w:type="dxa"/>
          </w:tcPr>
          <w:p w14:paraId="468F8CA8" w14:textId="506C984B" w:rsidR="000746B9" w:rsidRPr="000746B9" w:rsidRDefault="000746B9" w:rsidP="00DA217C">
            <w:pPr>
              <w:pStyle w:val="TableText1"/>
              <w:rPr>
                <w:rFonts w:cs="Arial"/>
                <w:sz w:val="20"/>
                <w:szCs w:val="20"/>
              </w:rPr>
            </w:pPr>
            <w:r w:rsidRPr="000746B9">
              <w:rPr>
                <w:rFonts w:cs="Arial"/>
                <w:sz w:val="20"/>
                <w:szCs w:val="20"/>
              </w:rPr>
              <w:t>SCM6</w:t>
            </w:r>
          </w:p>
        </w:tc>
        <w:tc>
          <w:tcPr>
            <w:tcW w:w="3588" w:type="dxa"/>
          </w:tcPr>
          <w:p w14:paraId="0C13F229" w14:textId="77777777" w:rsidR="000746B9" w:rsidRPr="000746B9" w:rsidRDefault="000746B9" w:rsidP="00DA217C">
            <w:pPr>
              <w:pStyle w:val="TableText1"/>
              <w:rPr>
                <w:rFonts w:cs="Arial"/>
                <w:sz w:val="20"/>
                <w:szCs w:val="20"/>
              </w:rPr>
            </w:pPr>
            <w:r w:rsidRPr="000746B9">
              <w:rPr>
                <w:rFonts w:cs="Arial"/>
                <w:sz w:val="20"/>
                <w:szCs w:val="20"/>
              </w:rPr>
              <w:t>Key area for quality improvement 1</w:t>
            </w:r>
          </w:p>
          <w:p w14:paraId="743DBC4C" w14:textId="77777777" w:rsidR="000746B9" w:rsidRPr="000746B9" w:rsidRDefault="000746B9" w:rsidP="00DA217C">
            <w:pPr>
              <w:pStyle w:val="TableText1"/>
              <w:rPr>
                <w:rFonts w:cs="Arial"/>
                <w:sz w:val="20"/>
                <w:szCs w:val="20"/>
              </w:rPr>
            </w:pPr>
          </w:p>
          <w:p w14:paraId="7F6DB2A8" w14:textId="77777777" w:rsidR="000746B9" w:rsidRPr="000746B9" w:rsidRDefault="000746B9" w:rsidP="00DA217C">
            <w:pPr>
              <w:pStyle w:val="TableText1"/>
              <w:rPr>
                <w:rFonts w:cs="Arial"/>
                <w:sz w:val="20"/>
                <w:szCs w:val="20"/>
              </w:rPr>
            </w:pPr>
            <w:proofErr w:type="spellStart"/>
            <w:r w:rsidRPr="000746B9">
              <w:rPr>
                <w:rFonts w:cs="Arial"/>
                <w:sz w:val="20"/>
                <w:szCs w:val="20"/>
              </w:rPr>
              <w:t>Methenammine</w:t>
            </w:r>
            <w:proofErr w:type="spellEnd"/>
            <w:r w:rsidRPr="000746B9">
              <w:rPr>
                <w:rFonts w:cs="Arial"/>
                <w:sz w:val="20"/>
                <w:szCs w:val="20"/>
              </w:rPr>
              <w:t xml:space="preserve"> </w:t>
            </w:r>
            <w:proofErr w:type="spellStart"/>
            <w:r w:rsidRPr="000746B9">
              <w:rPr>
                <w:rFonts w:cs="Arial"/>
                <w:sz w:val="20"/>
                <w:szCs w:val="20"/>
              </w:rPr>
              <w:t>hippurate</w:t>
            </w:r>
            <w:proofErr w:type="spellEnd"/>
            <w:r w:rsidRPr="000746B9">
              <w:rPr>
                <w:rFonts w:cs="Arial"/>
                <w:sz w:val="20"/>
                <w:szCs w:val="20"/>
              </w:rPr>
              <w:t xml:space="preserve"> as an alternative to Prophylaxis antibiotics for recurrent UTIs</w:t>
            </w:r>
          </w:p>
        </w:tc>
        <w:tc>
          <w:tcPr>
            <w:tcW w:w="4350" w:type="dxa"/>
          </w:tcPr>
          <w:p w14:paraId="2E6BCB65" w14:textId="77777777" w:rsidR="000746B9" w:rsidRPr="000746B9" w:rsidRDefault="000746B9" w:rsidP="007C6ED4">
            <w:pPr>
              <w:pStyle w:val="TableText1"/>
              <w:numPr>
                <w:ilvl w:val="0"/>
                <w:numId w:val="40"/>
              </w:numPr>
              <w:ind w:left="360"/>
              <w:rPr>
                <w:rFonts w:cs="Arial"/>
                <w:sz w:val="20"/>
                <w:szCs w:val="20"/>
              </w:rPr>
            </w:pPr>
            <w:r w:rsidRPr="000746B9">
              <w:rPr>
                <w:rFonts w:cs="Arial"/>
                <w:sz w:val="20"/>
                <w:szCs w:val="20"/>
              </w:rPr>
              <w:t>Antimicrobial resistance rates suggest that the use of continuous, low dose, antibiotic prophylaxis for UTI is a contributory factor to the development of antimicrobial resistance.</w:t>
            </w:r>
          </w:p>
          <w:p w14:paraId="7866BEF9" w14:textId="77777777" w:rsidR="000746B9" w:rsidRPr="000746B9" w:rsidRDefault="000746B9" w:rsidP="007C6ED4">
            <w:pPr>
              <w:pStyle w:val="TableText1"/>
              <w:numPr>
                <w:ilvl w:val="0"/>
                <w:numId w:val="40"/>
              </w:numPr>
              <w:ind w:left="360"/>
              <w:rPr>
                <w:rFonts w:cs="Arial"/>
                <w:sz w:val="20"/>
                <w:szCs w:val="20"/>
              </w:rPr>
            </w:pPr>
            <w:r w:rsidRPr="000746B9">
              <w:rPr>
                <w:rFonts w:cs="Arial"/>
                <w:sz w:val="20"/>
                <w:szCs w:val="20"/>
              </w:rPr>
              <w:t xml:space="preserve">The use of methenamine </w:t>
            </w:r>
            <w:proofErr w:type="spellStart"/>
            <w:r w:rsidRPr="000746B9">
              <w:rPr>
                <w:rFonts w:cs="Arial"/>
                <w:sz w:val="20"/>
                <w:szCs w:val="20"/>
              </w:rPr>
              <w:t>hippurate</w:t>
            </w:r>
            <w:proofErr w:type="spellEnd"/>
            <w:r w:rsidRPr="000746B9">
              <w:rPr>
                <w:rFonts w:cs="Arial"/>
                <w:sz w:val="20"/>
                <w:szCs w:val="20"/>
              </w:rPr>
              <w:t xml:space="preserve"> as a preventive treatment against recurrent UTI is associated with a reduction in overall antibiotic use and equivalent levels of treatment satisfaction compared to daily antibiotics.</w:t>
            </w:r>
          </w:p>
          <w:p w14:paraId="18B95C22" w14:textId="77777777" w:rsidR="000746B9" w:rsidRPr="000746B9" w:rsidRDefault="000746B9" w:rsidP="007C6ED4">
            <w:pPr>
              <w:pStyle w:val="TableText1"/>
              <w:numPr>
                <w:ilvl w:val="0"/>
                <w:numId w:val="40"/>
              </w:numPr>
              <w:ind w:left="360"/>
              <w:rPr>
                <w:rFonts w:cs="Arial"/>
                <w:sz w:val="20"/>
                <w:szCs w:val="20"/>
              </w:rPr>
            </w:pPr>
            <w:r w:rsidRPr="000746B9">
              <w:rPr>
                <w:rFonts w:cs="Arial"/>
                <w:sz w:val="20"/>
                <w:szCs w:val="20"/>
              </w:rPr>
              <w:t>The urgent need for demonstration of effective non-antibiotic treatments is underlined by the UK antimicrobial resistance strategy.</w:t>
            </w:r>
          </w:p>
          <w:p w14:paraId="1A1039A1" w14:textId="77777777" w:rsidR="000746B9" w:rsidRPr="000746B9" w:rsidRDefault="000746B9" w:rsidP="007C6ED4">
            <w:pPr>
              <w:pStyle w:val="TableText1"/>
              <w:numPr>
                <w:ilvl w:val="0"/>
                <w:numId w:val="40"/>
              </w:numPr>
              <w:ind w:left="360"/>
              <w:rPr>
                <w:rFonts w:cs="Arial"/>
                <w:sz w:val="20"/>
                <w:szCs w:val="20"/>
              </w:rPr>
            </w:pPr>
            <w:r w:rsidRPr="000746B9">
              <w:rPr>
                <w:rFonts w:cs="Arial"/>
                <w:sz w:val="20"/>
                <w:szCs w:val="20"/>
              </w:rPr>
              <w:t>Reduction in clinically diagnosed UTI during the use of Methenamine Hippurate.</w:t>
            </w:r>
          </w:p>
          <w:p w14:paraId="7B7F8E95" w14:textId="77777777" w:rsidR="000746B9" w:rsidRPr="000746B9" w:rsidRDefault="000746B9" w:rsidP="007C6ED4">
            <w:pPr>
              <w:pStyle w:val="TableText1"/>
              <w:numPr>
                <w:ilvl w:val="0"/>
                <w:numId w:val="40"/>
              </w:numPr>
              <w:ind w:left="360"/>
              <w:rPr>
                <w:rFonts w:cs="Arial"/>
                <w:sz w:val="20"/>
                <w:szCs w:val="20"/>
              </w:rPr>
            </w:pPr>
            <w:r w:rsidRPr="000746B9">
              <w:rPr>
                <w:rFonts w:cs="Arial"/>
                <w:sz w:val="20"/>
                <w:szCs w:val="20"/>
              </w:rPr>
              <w:t>Reduction in overall antibiotics use and equivalent level of treatment satisfaction compared to daily antibiotics.</w:t>
            </w:r>
          </w:p>
          <w:p w14:paraId="678DD3B3" w14:textId="77777777" w:rsidR="000746B9" w:rsidRPr="000746B9" w:rsidRDefault="000746B9" w:rsidP="007C6ED4">
            <w:pPr>
              <w:pStyle w:val="TableText1"/>
              <w:numPr>
                <w:ilvl w:val="0"/>
                <w:numId w:val="40"/>
              </w:numPr>
              <w:ind w:left="360"/>
              <w:rPr>
                <w:rFonts w:cs="Arial"/>
                <w:sz w:val="20"/>
                <w:szCs w:val="20"/>
              </w:rPr>
            </w:pPr>
            <w:r w:rsidRPr="000746B9">
              <w:rPr>
                <w:rFonts w:cs="Arial"/>
                <w:sz w:val="20"/>
                <w:szCs w:val="20"/>
              </w:rPr>
              <w:t xml:space="preserve">Beneficial in </w:t>
            </w:r>
            <w:proofErr w:type="gramStart"/>
            <w:r w:rsidRPr="000746B9">
              <w:rPr>
                <w:rFonts w:cs="Arial"/>
                <w:sz w:val="20"/>
                <w:szCs w:val="20"/>
              </w:rPr>
              <w:t>patients’</w:t>
            </w:r>
            <w:proofErr w:type="gramEnd"/>
            <w:r w:rsidRPr="000746B9">
              <w:rPr>
                <w:rFonts w:cs="Arial"/>
                <w:sz w:val="20"/>
                <w:szCs w:val="20"/>
              </w:rPr>
              <w:t xml:space="preserve"> with long-term catheter as it suppress pathogens and allow healthy bacteria to colonise.</w:t>
            </w:r>
          </w:p>
        </w:tc>
        <w:tc>
          <w:tcPr>
            <w:tcW w:w="3769" w:type="dxa"/>
          </w:tcPr>
          <w:p w14:paraId="46FF77AF" w14:textId="77777777" w:rsidR="000746B9" w:rsidRPr="000746B9" w:rsidRDefault="000746B9" w:rsidP="00DA217C">
            <w:pPr>
              <w:pStyle w:val="Paragraphnonumbers"/>
              <w:rPr>
                <w:rFonts w:cs="Arial"/>
                <w:sz w:val="20"/>
                <w:szCs w:val="20"/>
              </w:rPr>
            </w:pPr>
            <w:r w:rsidRPr="000746B9">
              <w:rPr>
                <w:rFonts w:cs="Arial"/>
                <w:sz w:val="20"/>
                <w:szCs w:val="20"/>
              </w:rPr>
              <w:t>Alternative to prophylactic antibiotics for the treatment of recurrent urinary tract infections in women: multicentre, open label, randomised, non-inferiority trial</w:t>
            </w:r>
          </w:p>
          <w:p w14:paraId="519F3F80" w14:textId="77777777" w:rsidR="000746B9" w:rsidRPr="000746B9" w:rsidRDefault="000746B9" w:rsidP="00DA217C">
            <w:pPr>
              <w:pStyle w:val="Paragraphnonumbers"/>
              <w:rPr>
                <w:rFonts w:cs="Arial"/>
                <w:sz w:val="20"/>
                <w:szCs w:val="20"/>
              </w:rPr>
            </w:pPr>
            <w:r w:rsidRPr="000746B9">
              <w:rPr>
                <w:rFonts w:cs="Arial"/>
                <w:sz w:val="20"/>
                <w:szCs w:val="20"/>
              </w:rPr>
              <w:t xml:space="preserve">BMJ 2022; 376 </w:t>
            </w:r>
            <w:proofErr w:type="spellStart"/>
            <w:r w:rsidRPr="000746B9">
              <w:rPr>
                <w:rFonts w:cs="Arial"/>
                <w:sz w:val="20"/>
                <w:szCs w:val="20"/>
              </w:rPr>
              <w:t>doi</w:t>
            </w:r>
            <w:proofErr w:type="spellEnd"/>
            <w:r w:rsidRPr="000746B9">
              <w:rPr>
                <w:rFonts w:cs="Arial"/>
                <w:sz w:val="20"/>
                <w:szCs w:val="20"/>
              </w:rPr>
              <w:t xml:space="preserve">: </w:t>
            </w:r>
            <w:hyperlink r:id="rId133" w:history="1">
              <w:r w:rsidRPr="000746B9">
                <w:rPr>
                  <w:rStyle w:val="Hyperlink"/>
                  <w:rFonts w:cs="Arial"/>
                  <w:sz w:val="20"/>
                  <w:szCs w:val="20"/>
                </w:rPr>
                <w:t>https://doi.org/10.1136/bmj-2021-0068229</w:t>
              </w:r>
            </w:hyperlink>
          </w:p>
          <w:p w14:paraId="655403EA" w14:textId="77777777" w:rsidR="000746B9" w:rsidRPr="000746B9" w:rsidRDefault="000746B9" w:rsidP="00DA217C">
            <w:pPr>
              <w:pStyle w:val="Paragraphnonumbers"/>
              <w:rPr>
                <w:rFonts w:cs="Arial"/>
                <w:sz w:val="20"/>
                <w:szCs w:val="20"/>
              </w:rPr>
            </w:pPr>
            <w:r w:rsidRPr="000746B9">
              <w:rPr>
                <w:rFonts w:cs="Arial"/>
                <w:sz w:val="20"/>
                <w:szCs w:val="20"/>
              </w:rPr>
              <w:t xml:space="preserve">Methenamine </w:t>
            </w:r>
            <w:proofErr w:type="spellStart"/>
            <w:r w:rsidRPr="000746B9">
              <w:rPr>
                <w:rFonts w:cs="Arial"/>
                <w:sz w:val="20"/>
                <w:szCs w:val="20"/>
              </w:rPr>
              <w:t>hippurate</w:t>
            </w:r>
            <w:proofErr w:type="spellEnd"/>
            <w:r w:rsidRPr="000746B9">
              <w:rPr>
                <w:rFonts w:cs="Arial"/>
                <w:sz w:val="20"/>
                <w:szCs w:val="20"/>
              </w:rPr>
              <w:t xml:space="preserve"> for preventing urinary tract infections</w:t>
            </w:r>
          </w:p>
          <w:p w14:paraId="63270FDB" w14:textId="77777777" w:rsidR="000746B9" w:rsidRPr="000746B9" w:rsidRDefault="00AC503C" w:rsidP="00DA217C">
            <w:pPr>
              <w:pStyle w:val="Paragraphnonumbers"/>
              <w:rPr>
                <w:rFonts w:cs="Arial"/>
                <w:sz w:val="20"/>
                <w:szCs w:val="20"/>
              </w:rPr>
            </w:pPr>
            <w:hyperlink r:id="rId134" w:history="1">
              <w:r w:rsidR="000746B9" w:rsidRPr="000746B9">
                <w:rPr>
                  <w:rStyle w:val="Hyperlink"/>
                  <w:rFonts w:cs="Arial"/>
                  <w:sz w:val="20"/>
                  <w:szCs w:val="20"/>
                </w:rPr>
                <w:t>https://doi.org/10.1002/14651858.CD003265.pub3</w:t>
              </w:r>
            </w:hyperlink>
          </w:p>
          <w:p w14:paraId="6C983B51" w14:textId="77777777" w:rsidR="000746B9" w:rsidRPr="000746B9" w:rsidRDefault="000746B9" w:rsidP="00DA217C">
            <w:pPr>
              <w:pStyle w:val="Paragraphnonumbers"/>
              <w:rPr>
                <w:rFonts w:cs="Arial"/>
                <w:sz w:val="20"/>
                <w:szCs w:val="20"/>
              </w:rPr>
            </w:pPr>
            <w:r w:rsidRPr="000746B9">
              <w:rPr>
                <w:rFonts w:cs="Arial"/>
                <w:sz w:val="20"/>
                <w:szCs w:val="20"/>
              </w:rPr>
              <w:t xml:space="preserve">Continuous low-dose antibiotic prophylaxis to prevent urinary tract infection in adults who perform clean intermittent self-catheterisation: the </w:t>
            </w:r>
            <w:proofErr w:type="spellStart"/>
            <w:r w:rsidRPr="000746B9">
              <w:rPr>
                <w:rFonts w:cs="Arial"/>
                <w:sz w:val="20"/>
                <w:szCs w:val="20"/>
              </w:rPr>
              <w:t>AnTIC</w:t>
            </w:r>
            <w:proofErr w:type="spellEnd"/>
            <w:r w:rsidRPr="000746B9">
              <w:rPr>
                <w:rFonts w:cs="Arial"/>
                <w:sz w:val="20"/>
                <w:szCs w:val="20"/>
              </w:rPr>
              <w:t xml:space="preserve"> RCT</w:t>
            </w:r>
          </w:p>
          <w:p w14:paraId="27288ECF" w14:textId="77777777" w:rsidR="000746B9" w:rsidRPr="000746B9" w:rsidRDefault="00AC503C" w:rsidP="00DA217C">
            <w:pPr>
              <w:pStyle w:val="Paragraphnonumbers"/>
              <w:rPr>
                <w:rFonts w:cs="Arial"/>
                <w:sz w:val="20"/>
                <w:szCs w:val="20"/>
              </w:rPr>
            </w:pPr>
            <w:hyperlink r:id="rId135" w:history="1">
              <w:r w:rsidR="000746B9" w:rsidRPr="000746B9">
                <w:rPr>
                  <w:rStyle w:val="Hyperlink"/>
                  <w:rFonts w:cs="Arial"/>
                  <w:sz w:val="20"/>
                  <w:szCs w:val="20"/>
                </w:rPr>
                <w:t>https://doi.org/10.3310/hta22440</w:t>
              </w:r>
            </w:hyperlink>
          </w:p>
        </w:tc>
      </w:tr>
      <w:tr w:rsidR="000746B9" w:rsidRPr="000746B9" w14:paraId="5DDEC90B" w14:textId="77777777" w:rsidTr="007C6ED4">
        <w:trPr>
          <w:trHeight w:val="282"/>
        </w:trPr>
        <w:tc>
          <w:tcPr>
            <w:tcW w:w="708" w:type="dxa"/>
          </w:tcPr>
          <w:p w14:paraId="1C0871DD" w14:textId="77777777" w:rsidR="000746B9" w:rsidRPr="000746B9" w:rsidRDefault="000746B9" w:rsidP="00026998">
            <w:pPr>
              <w:pStyle w:val="TableText1"/>
              <w:numPr>
                <w:ilvl w:val="0"/>
                <w:numId w:val="45"/>
              </w:numPr>
              <w:rPr>
                <w:rFonts w:cs="Arial"/>
                <w:sz w:val="20"/>
                <w:szCs w:val="20"/>
              </w:rPr>
            </w:pPr>
            <w:r w:rsidRPr="000746B9">
              <w:rPr>
                <w:rFonts w:cs="Arial"/>
                <w:sz w:val="20"/>
                <w:szCs w:val="20"/>
              </w:rPr>
              <w:lastRenderedPageBreak/>
              <w:t>4b</w:t>
            </w:r>
          </w:p>
        </w:tc>
        <w:tc>
          <w:tcPr>
            <w:tcW w:w="2264" w:type="dxa"/>
          </w:tcPr>
          <w:p w14:paraId="0B04E668" w14:textId="77777777" w:rsidR="000746B9" w:rsidRPr="000746B9" w:rsidRDefault="000746B9" w:rsidP="00DA217C">
            <w:pPr>
              <w:pStyle w:val="TableText1"/>
              <w:rPr>
                <w:rFonts w:cs="Arial"/>
                <w:sz w:val="20"/>
                <w:szCs w:val="20"/>
              </w:rPr>
            </w:pPr>
            <w:r w:rsidRPr="000746B9">
              <w:rPr>
                <w:rFonts w:cs="Arial"/>
                <w:sz w:val="20"/>
                <w:szCs w:val="20"/>
              </w:rPr>
              <w:t>The Royal College of Pathologists</w:t>
            </w:r>
          </w:p>
        </w:tc>
        <w:tc>
          <w:tcPr>
            <w:tcW w:w="3588" w:type="dxa"/>
          </w:tcPr>
          <w:p w14:paraId="5607E352" w14:textId="77777777" w:rsidR="000746B9" w:rsidRPr="000746B9" w:rsidRDefault="000746B9" w:rsidP="00DA217C">
            <w:pPr>
              <w:pStyle w:val="Paragraphnonumbers"/>
              <w:spacing w:after="120"/>
              <w:rPr>
                <w:rFonts w:cs="Arial"/>
                <w:sz w:val="20"/>
                <w:szCs w:val="20"/>
              </w:rPr>
            </w:pPr>
            <w:r w:rsidRPr="000746B9">
              <w:rPr>
                <w:rFonts w:cs="Arial"/>
                <w:sz w:val="20"/>
                <w:szCs w:val="20"/>
              </w:rPr>
              <w:t>Key area for quality improvement 5</w:t>
            </w:r>
          </w:p>
          <w:p w14:paraId="07A89BD5" w14:textId="77777777" w:rsidR="000746B9" w:rsidRPr="000746B9" w:rsidRDefault="000746B9" w:rsidP="00DA217C">
            <w:pPr>
              <w:pStyle w:val="TableText1"/>
              <w:rPr>
                <w:rFonts w:cs="Arial"/>
                <w:b/>
                <w:sz w:val="20"/>
                <w:szCs w:val="20"/>
              </w:rPr>
            </w:pPr>
            <w:bookmarkStart w:id="163" w:name="_Hlk107309023"/>
            <w:r w:rsidRPr="000746B9">
              <w:rPr>
                <w:rFonts w:cs="Arial"/>
                <w:sz w:val="20"/>
                <w:szCs w:val="20"/>
              </w:rPr>
              <w:t>Antibiotic prophylaxis for patients with indwelling urinary catheters</w:t>
            </w:r>
            <w:bookmarkEnd w:id="163"/>
          </w:p>
        </w:tc>
        <w:tc>
          <w:tcPr>
            <w:tcW w:w="4350" w:type="dxa"/>
          </w:tcPr>
          <w:p w14:paraId="6A6EE217" w14:textId="77777777" w:rsidR="000746B9" w:rsidRPr="000746B9" w:rsidRDefault="000746B9" w:rsidP="00DA217C">
            <w:pPr>
              <w:pStyle w:val="Paragraphnonumbers"/>
              <w:rPr>
                <w:rFonts w:cs="Arial"/>
                <w:sz w:val="20"/>
                <w:szCs w:val="20"/>
              </w:rPr>
            </w:pPr>
            <w:r w:rsidRPr="000746B9">
              <w:rPr>
                <w:rFonts w:cs="Arial"/>
                <w:sz w:val="20"/>
                <w:szCs w:val="20"/>
              </w:rPr>
              <w:t xml:space="preserve">Long-term urinary catheters inevitably become colonised with bacteria regardless of antimicrobial prophylaxis at the time of </w:t>
            </w:r>
            <w:proofErr w:type="gramStart"/>
            <w:r w:rsidRPr="000746B9">
              <w:rPr>
                <w:rFonts w:cs="Arial"/>
                <w:sz w:val="20"/>
                <w:szCs w:val="20"/>
              </w:rPr>
              <w:t>insertion</w:t>
            </w:r>
            <w:proofErr w:type="gramEnd"/>
            <w:r w:rsidRPr="000746B9">
              <w:rPr>
                <w:rFonts w:cs="Arial"/>
                <w:sz w:val="20"/>
                <w:szCs w:val="20"/>
              </w:rPr>
              <w:t xml:space="preserve"> so prophylaxis offers no benefit. Prophylaxis can also lead to development of antimicrobial resistance.</w:t>
            </w:r>
          </w:p>
          <w:p w14:paraId="3AE47089" w14:textId="77777777" w:rsidR="000746B9" w:rsidRPr="000746B9" w:rsidRDefault="000746B9" w:rsidP="00DA217C">
            <w:pPr>
              <w:pStyle w:val="TableText1"/>
              <w:rPr>
                <w:rFonts w:cs="Arial"/>
                <w:sz w:val="20"/>
                <w:szCs w:val="20"/>
              </w:rPr>
            </w:pPr>
            <w:r w:rsidRPr="000746B9">
              <w:rPr>
                <w:rFonts w:cs="Arial"/>
                <w:sz w:val="20"/>
                <w:szCs w:val="20"/>
              </w:rPr>
              <w:t xml:space="preserve">Treatment may need to be restricted of those with a </w:t>
            </w:r>
            <w:bookmarkStart w:id="164" w:name="_Hlk107309068"/>
            <w:r w:rsidRPr="000746B9">
              <w:rPr>
                <w:rFonts w:cs="Arial"/>
                <w:sz w:val="20"/>
                <w:szCs w:val="20"/>
              </w:rPr>
              <w:t>history of catheter associated UTI or who had a traumatic catheterisation</w:t>
            </w:r>
            <w:bookmarkEnd w:id="164"/>
            <w:r w:rsidRPr="000746B9">
              <w:rPr>
                <w:rFonts w:cs="Arial"/>
                <w:sz w:val="20"/>
                <w:szCs w:val="20"/>
              </w:rPr>
              <w:t>.</w:t>
            </w:r>
          </w:p>
        </w:tc>
        <w:tc>
          <w:tcPr>
            <w:tcW w:w="3769" w:type="dxa"/>
          </w:tcPr>
          <w:p w14:paraId="68BE0BFD" w14:textId="77777777" w:rsidR="000746B9" w:rsidRPr="000746B9" w:rsidRDefault="000746B9" w:rsidP="00DA217C">
            <w:pPr>
              <w:rPr>
                <w:rFonts w:ascii="Arial" w:hAnsi="Arial" w:cs="Arial"/>
                <w:sz w:val="20"/>
                <w:szCs w:val="20"/>
              </w:rPr>
            </w:pPr>
            <w:r w:rsidRPr="000746B9">
              <w:rPr>
                <w:rFonts w:ascii="Arial" w:hAnsi="Arial" w:cs="Arial"/>
                <w:sz w:val="20"/>
                <w:szCs w:val="20"/>
              </w:rPr>
              <w:t xml:space="preserve">Please see NICE CG139 paragraph </w:t>
            </w:r>
            <w:proofErr w:type="gramStart"/>
            <w:r w:rsidRPr="000746B9">
              <w:rPr>
                <w:rStyle w:val="Strong"/>
                <w:rFonts w:ascii="Arial" w:hAnsi="Arial" w:cs="Arial"/>
                <w:color w:val="0E0E0E"/>
                <w:sz w:val="20"/>
                <w:szCs w:val="20"/>
                <w:shd w:val="clear" w:color="auto" w:fill="FFFFFF"/>
              </w:rPr>
              <w:t>1.2.5.13 page</w:t>
            </w:r>
            <w:proofErr w:type="gramEnd"/>
            <w:r w:rsidRPr="000746B9">
              <w:rPr>
                <w:rStyle w:val="Strong"/>
                <w:rFonts w:ascii="Arial" w:hAnsi="Arial" w:cs="Arial"/>
                <w:color w:val="0E0E0E"/>
                <w:sz w:val="20"/>
                <w:szCs w:val="20"/>
                <w:shd w:val="clear" w:color="auto" w:fill="FFFFFF"/>
              </w:rPr>
              <w:t xml:space="preserve"> 21</w:t>
            </w:r>
          </w:p>
        </w:tc>
      </w:tr>
      <w:tr w:rsidR="000746B9" w:rsidRPr="000746B9" w14:paraId="5EB0A631" w14:textId="77777777" w:rsidTr="007C6ED4">
        <w:trPr>
          <w:trHeight w:val="282"/>
        </w:trPr>
        <w:tc>
          <w:tcPr>
            <w:tcW w:w="708" w:type="dxa"/>
          </w:tcPr>
          <w:p w14:paraId="46D3868F" w14:textId="77777777" w:rsidR="000746B9" w:rsidRPr="000746B9" w:rsidRDefault="000746B9" w:rsidP="00026998">
            <w:pPr>
              <w:pStyle w:val="TableText1"/>
              <w:numPr>
                <w:ilvl w:val="0"/>
                <w:numId w:val="45"/>
              </w:numPr>
              <w:rPr>
                <w:rFonts w:cs="Arial"/>
                <w:sz w:val="20"/>
                <w:szCs w:val="20"/>
              </w:rPr>
            </w:pPr>
            <w:r w:rsidRPr="000746B9">
              <w:rPr>
                <w:rFonts w:cs="Arial"/>
                <w:sz w:val="20"/>
                <w:szCs w:val="20"/>
              </w:rPr>
              <w:t>4b</w:t>
            </w:r>
          </w:p>
        </w:tc>
        <w:tc>
          <w:tcPr>
            <w:tcW w:w="2264" w:type="dxa"/>
          </w:tcPr>
          <w:p w14:paraId="3BDDF471" w14:textId="77777777" w:rsidR="000746B9" w:rsidRPr="000746B9" w:rsidRDefault="000746B9" w:rsidP="00DA217C">
            <w:pPr>
              <w:pStyle w:val="TableText1"/>
              <w:rPr>
                <w:rFonts w:cs="Arial"/>
                <w:sz w:val="20"/>
                <w:szCs w:val="20"/>
              </w:rPr>
            </w:pPr>
            <w:r w:rsidRPr="000746B9">
              <w:rPr>
                <w:rFonts w:cs="Arial"/>
                <w:sz w:val="20"/>
                <w:szCs w:val="20"/>
              </w:rPr>
              <w:t>The Royal College of Pathologists</w:t>
            </w:r>
          </w:p>
        </w:tc>
        <w:tc>
          <w:tcPr>
            <w:tcW w:w="3588" w:type="dxa"/>
          </w:tcPr>
          <w:p w14:paraId="4CF75A62" w14:textId="77777777" w:rsidR="000746B9" w:rsidRPr="000746B9" w:rsidRDefault="000746B9" w:rsidP="00DA217C">
            <w:pPr>
              <w:pStyle w:val="Paragraphnonumbers"/>
              <w:rPr>
                <w:rFonts w:cs="Arial"/>
                <w:sz w:val="20"/>
                <w:szCs w:val="20"/>
              </w:rPr>
            </w:pPr>
            <w:r w:rsidRPr="000746B9">
              <w:rPr>
                <w:rFonts w:cs="Arial"/>
                <w:sz w:val="20"/>
                <w:szCs w:val="20"/>
              </w:rPr>
              <w:t xml:space="preserve">Key area for quality improvement </w:t>
            </w:r>
          </w:p>
          <w:p w14:paraId="48533871" w14:textId="77777777" w:rsidR="000746B9" w:rsidRPr="000746B9" w:rsidRDefault="000746B9" w:rsidP="00DA217C">
            <w:pPr>
              <w:pStyle w:val="TableText1"/>
              <w:rPr>
                <w:rFonts w:cs="Arial"/>
                <w:b/>
                <w:sz w:val="20"/>
                <w:szCs w:val="20"/>
              </w:rPr>
            </w:pPr>
            <w:r w:rsidRPr="000746B9">
              <w:rPr>
                <w:rFonts w:cs="Arial"/>
                <w:sz w:val="20"/>
                <w:szCs w:val="20"/>
              </w:rPr>
              <w:t>Management/Treatment of recurrent UTI</w:t>
            </w:r>
          </w:p>
        </w:tc>
        <w:tc>
          <w:tcPr>
            <w:tcW w:w="4350" w:type="dxa"/>
          </w:tcPr>
          <w:p w14:paraId="3BA934E5" w14:textId="77777777" w:rsidR="000746B9" w:rsidRPr="000746B9" w:rsidRDefault="000746B9" w:rsidP="00DA217C">
            <w:pPr>
              <w:pStyle w:val="TableText1"/>
              <w:rPr>
                <w:rFonts w:cs="Arial"/>
                <w:sz w:val="20"/>
                <w:szCs w:val="20"/>
              </w:rPr>
            </w:pPr>
            <w:r w:rsidRPr="000746B9">
              <w:rPr>
                <w:rFonts w:cs="Arial"/>
                <w:sz w:val="20"/>
                <w:szCs w:val="20"/>
              </w:rPr>
              <w:t xml:space="preserve">NICEQS90 - Recurrent UTI is a common problem and there is a need to ensure a systematic and consistent management and treatment approach. It is a placeholder currently with acknowledgement from NICE that this area of care needs to be prioritised with better source guidance – 2018 guidance has subsequently been published. </w:t>
            </w:r>
          </w:p>
        </w:tc>
        <w:tc>
          <w:tcPr>
            <w:tcW w:w="3769" w:type="dxa"/>
          </w:tcPr>
          <w:p w14:paraId="655F19F8" w14:textId="77777777" w:rsidR="000746B9" w:rsidRPr="000746B9" w:rsidRDefault="000746B9" w:rsidP="00DA217C">
            <w:pPr>
              <w:pStyle w:val="Paragraphnonumbers"/>
              <w:rPr>
                <w:rFonts w:cs="Arial"/>
                <w:sz w:val="20"/>
                <w:szCs w:val="20"/>
              </w:rPr>
            </w:pPr>
            <w:r w:rsidRPr="000746B9">
              <w:rPr>
                <w:rFonts w:cs="Arial"/>
                <w:sz w:val="20"/>
                <w:szCs w:val="20"/>
              </w:rPr>
              <w:t>NICEQS90 – placeholder statement</w:t>
            </w:r>
          </w:p>
          <w:p w14:paraId="0C7424B3" w14:textId="77777777" w:rsidR="000746B9" w:rsidRPr="000746B9" w:rsidRDefault="000746B9" w:rsidP="00DA217C">
            <w:pPr>
              <w:rPr>
                <w:rFonts w:ascii="Arial" w:hAnsi="Arial" w:cs="Arial"/>
                <w:sz w:val="20"/>
                <w:szCs w:val="20"/>
              </w:rPr>
            </w:pPr>
            <w:r w:rsidRPr="000746B9">
              <w:rPr>
                <w:rFonts w:ascii="Arial" w:hAnsi="Arial" w:cs="Arial"/>
                <w:sz w:val="20"/>
                <w:szCs w:val="20"/>
              </w:rPr>
              <w:t>NICE guideline NG112 recurrent UTI prescribing</w:t>
            </w:r>
          </w:p>
        </w:tc>
      </w:tr>
      <w:tr w:rsidR="000746B9" w:rsidRPr="000746B9" w14:paraId="452808FE" w14:textId="77777777" w:rsidTr="007C6ED4">
        <w:trPr>
          <w:trHeight w:val="282"/>
        </w:trPr>
        <w:tc>
          <w:tcPr>
            <w:tcW w:w="708" w:type="dxa"/>
          </w:tcPr>
          <w:p w14:paraId="39E4845C" w14:textId="77777777" w:rsidR="000746B9" w:rsidRPr="000746B9" w:rsidRDefault="000746B9" w:rsidP="00026998">
            <w:pPr>
              <w:pStyle w:val="TableText1"/>
              <w:numPr>
                <w:ilvl w:val="0"/>
                <w:numId w:val="45"/>
              </w:numPr>
              <w:rPr>
                <w:rFonts w:cs="Arial"/>
                <w:sz w:val="20"/>
                <w:szCs w:val="20"/>
              </w:rPr>
            </w:pPr>
            <w:r w:rsidRPr="000746B9">
              <w:rPr>
                <w:rFonts w:cs="Arial"/>
                <w:sz w:val="20"/>
                <w:szCs w:val="20"/>
              </w:rPr>
              <w:t>4b</w:t>
            </w:r>
          </w:p>
        </w:tc>
        <w:tc>
          <w:tcPr>
            <w:tcW w:w="2264" w:type="dxa"/>
          </w:tcPr>
          <w:p w14:paraId="0EB6A01B" w14:textId="77777777" w:rsidR="000746B9" w:rsidRPr="000746B9" w:rsidRDefault="000746B9" w:rsidP="00DA217C">
            <w:pPr>
              <w:pStyle w:val="TableText1"/>
              <w:rPr>
                <w:rFonts w:cs="Arial"/>
                <w:sz w:val="20"/>
                <w:szCs w:val="20"/>
              </w:rPr>
            </w:pPr>
            <w:r w:rsidRPr="000746B9">
              <w:rPr>
                <w:rFonts w:cs="Arial"/>
                <w:sz w:val="20"/>
                <w:szCs w:val="20"/>
              </w:rPr>
              <w:t>Whittington Health</w:t>
            </w:r>
          </w:p>
        </w:tc>
        <w:tc>
          <w:tcPr>
            <w:tcW w:w="3588" w:type="dxa"/>
          </w:tcPr>
          <w:p w14:paraId="0F28E7C1" w14:textId="77777777" w:rsidR="000746B9" w:rsidRPr="000746B9" w:rsidRDefault="000746B9" w:rsidP="00DA217C">
            <w:pPr>
              <w:pStyle w:val="TableText1"/>
              <w:rPr>
                <w:rFonts w:cs="Arial"/>
                <w:sz w:val="20"/>
                <w:szCs w:val="20"/>
              </w:rPr>
            </w:pPr>
            <w:r w:rsidRPr="000746B9">
              <w:rPr>
                <w:rFonts w:cs="Arial"/>
                <w:sz w:val="20"/>
                <w:szCs w:val="20"/>
              </w:rPr>
              <w:t>The use of methenamine Hippurate for treatment and prevention of UTI</w:t>
            </w:r>
          </w:p>
        </w:tc>
        <w:tc>
          <w:tcPr>
            <w:tcW w:w="4350" w:type="dxa"/>
          </w:tcPr>
          <w:p w14:paraId="2F4F9694" w14:textId="77777777" w:rsidR="000746B9" w:rsidRPr="000746B9" w:rsidRDefault="000746B9" w:rsidP="00DA217C">
            <w:pPr>
              <w:pStyle w:val="TableText1"/>
              <w:rPr>
                <w:rFonts w:cs="Arial"/>
                <w:sz w:val="20"/>
                <w:szCs w:val="20"/>
              </w:rPr>
            </w:pPr>
            <w:r w:rsidRPr="000746B9">
              <w:rPr>
                <w:rFonts w:cs="Arial"/>
                <w:sz w:val="20"/>
                <w:szCs w:val="20"/>
              </w:rPr>
              <w:t>In the light of the newly published results of the ALTAR trial), consideration should be given to the use of this drug for prophylaxis and a discussion about its wider scope of use, especially in the elderly who are more vulnerable to side effects from antibiotics and prophylaxis</w:t>
            </w:r>
          </w:p>
        </w:tc>
        <w:tc>
          <w:tcPr>
            <w:tcW w:w="3769" w:type="dxa"/>
          </w:tcPr>
          <w:p w14:paraId="1B507FD6" w14:textId="77777777" w:rsidR="000746B9" w:rsidRPr="000746B9" w:rsidRDefault="00AC503C" w:rsidP="00DA217C">
            <w:pPr>
              <w:pStyle w:val="Paragraphnonumbers"/>
              <w:rPr>
                <w:rFonts w:cs="Arial"/>
                <w:sz w:val="20"/>
                <w:szCs w:val="20"/>
              </w:rPr>
            </w:pPr>
            <w:hyperlink r:id="rId136" w:history="1">
              <w:r w:rsidR="000746B9" w:rsidRPr="000746B9">
                <w:rPr>
                  <w:rStyle w:val="Hyperlink"/>
                  <w:rFonts w:cs="Arial"/>
                  <w:sz w:val="20"/>
                  <w:szCs w:val="20"/>
                </w:rPr>
                <w:t>Alternative to prophylactic antibiotics for the treatment of recurrent urinary tract infections in women: multicentre, open label, randomised, non-inferiority trial | The BMJ</w:t>
              </w:r>
            </w:hyperlink>
          </w:p>
          <w:p w14:paraId="7A4506EF" w14:textId="77777777" w:rsidR="000746B9" w:rsidRPr="000746B9" w:rsidRDefault="000746B9" w:rsidP="00DA217C">
            <w:pPr>
              <w:rPr>
                <w:rFonts w:ascii="Arial" w:hAnsi="Arial" w:cs="Arial"/>
                <w:sz w:val="20"/>
                <w:szCs w:val="20"/>
              </w:rPr>
            </w:pPr>
            <w:r w:rsidRPr="000746B9">
              <w:rPr>
                <w:rFonts w:ascii="Arial" w:hAnsi="Arial" w:cs="Arial"/>
                <w:sz w:val="20"/>
                <w:szCs w:val="20"/>
              </w:rPr>
              <w:t>In our experience, methenamine can also be used for acute UTI in some patients. This would reduce antibiotic use.</w:t>
            </w:r>
          </w:p>
        </w:tc>
      </w:tr>
    </w:tbl>
    <w:p w14:paraId="173DEBB2" w14:textId="02708A8D" w:rsidR="00A6717D" w:rsidRDefault="00A6717D"/>
    <w:p w14:paraId="327FE76A" w14:textId="7C24D4D1" w:rsidR="00A6717D" w:rsidRDefault="00B54FAB" w:rsidP="00B54FAB">
      <w:pPr>
        <w:pStyle w:val="Heading4"/>
      </w:pPr>
      <w:r>
        <w:lastRenderedPageBreak/>
        <w:t>Recurrent UTI: Referral</w:t>
      </w:r>
    </w:p>
    <w:tbl>
      <w:tblPr>
        <w:tblW w:w="1467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708"/>
        <w:gridCol w:w="2264"/>
        <w:gridCol w:w="3588"/>
        <w:gridCol w:w="4350"/>
        <w:gridCol w:w="3769"/>
      </w:tblGrid>
      <w:tr w:rsidR="00A6717D" w:rsidRPr="000746B9" w14:paraId="7378F589" w14:textId="77777777" w:rsidTr="00DA217C">
        <w:trPr>
          <w:tblHeader/>
        </w:trPr>
        <w:tc>
          <w:tcPr>
            <w:tcW w:w="708" w:type="dxa"/>
            <w:shd w:val="clear" w:color="auto" w:fill="E6E6E6"/>
          </w:tcPr>
          <w:p w14:paraId="3D87DA44" w14:textId="77777777" w:rsidR="00A6717D" w:rsidRPr="000746B9" w:rsidRDefault="00A6717D" w:rsidP="00DA217C">
            <w:pPr>
              <w:pStyle w:val="Heading4"/>
              <w:rPr>
                <w:rFonts w:cs="Arial"/>
                <w:sz w:val="20"/>
                <w:szCs w:val="20"/>
              </w:rPr>
            </w:pPr>
            <w:r>
              <w:rPr>
                <w:rFonts w:cs="Arial"/>
                <w:sz w:val="20"/>
                <w:szCs w:val="20"/>
              </w:rPr>
              <w:t>ID</w:t>
            </w:r>
          </w:p>
        </w:tc>
        <w:tc>
          <w:tcPr>
            <w:tcW w:w="2264" w:type="dxa"/>
            <w:shd w:val="clear" w:color="auto" w:fill="E6E6E6"/>
          </w:tcPr>
          <w:p w14:paraId="1FCD2AF0" w14:textId="77777777" w:rsidR="00A6717D" w:rsidRPr="000746B9" w:rsidRDefault="00A6717D" w:rsidP="00DA217C">
            <w:pPr>
              <w:pStyle w:val="Heading4"/>
              <w:rPr>
                <w:rFonts w:cs="Arial"/>
                <w:sz w:val="20"/>
                <w:szCs w:val="20"/>
              </w:rPr>
            </w:pPr>
            <w:r w:rsidRPr="000746B9">
              <w:rPr>
                <w:rFonts w:cs="Arial"/>
                <w:sz w:val="20"/>
                <w:szCs w:val="20"/>
              </w:rPr>
              <w:t>Stakeholder</w:t>
            </w:r>
          </w:p>
        </w:tc>
        <w:tc>
          <w:tcPr>
            <w:tcW w:w="3588" w:type="dxa"/>
            <w:shd w:val="clear" w:color="auto" w:fill="E6E6E6"/>
          </w:tcPr>
          <w:p w14:paraId="1CF4F090" w14:textId="77777777" w:rsidR="00A6717D" w:rsidRPr="000746B9" w:rsidRDefault="00A6717D" w:rsidP="00DA217C">
            <w:pPr>
              <w:pStyle w:val="Heading4"/>
              <w:rPr>
                <w:rFonts w:cs="Arial"/>
                <w:sz w:val="20"/>
                <w:szCs w:val="20"/>
              </w:rPr>
            </w:pPr>
            <w:r w:rsidRPr="000746B9">
              <w:rPr>
                <w:rFonts w:cs="Arial"/>
                <w:sz w:val="20"/>
                <w:szCs w:val="20"/>
              </w:rPr>
              <w:t>Key area for quality improvement</w:t>
            </w:r>
          </w:p>
        </w:tc>
        <w:tc>
          <w:tcPr>
            <w:tcW w:w="4350" w:type="dxa"/>
            <w:shd w:val="clear" w:color="auto" w:fill="E6E6E6"/>
          </w:tcPr>
          <w:p w14:paraId="7BBD80B4" w14:textId="77777777" w:rsidR="00A6717D" w:rsidRPr="000746B9" w:rsidRDefault="00A6717D" w:rsidP="00DA217C">
            <w:pPr>
              <w:pStyle w:val="Heading1"/>
              <w:rPr>
                <w:sz w:val="20"/>
                <w:szCs w:val="20"/>
              </w:rPr>
            </w:pPr>
            <w:bookmarkStart w:id="165" w:name="_Toc107929211"/>
            <w:bookmarkStart w:id="166" w:name="_Toc112833018"/>
            <w:r w:rsidRPr="000746B9">
              <w:rPr>
                <w:sz w:val="20"/>
                <w:szCs w:val="20"/>
              </w:rPr>
              <w:t>Why is this a key area for quality improvement?</w:t>
            </w:r>
            <w:bookmarkEnd w:id="165"/>
            <w:bookmarkEnd w:id="166"/>
          </w:p>
        </w:tc>
        <w:tc>
          <w:tcPr>
            <w:tcW w:w="3769" w:type="dxa"/>
            <w:shd w:val="clear" w:color="auto" w:fill="E6E6E6"/>
          </w:tcPr>
          <w:p w14:paraId="2FFF62AB" w14:textId="77777777" w:rsidR="00A6717D" w:rsidRPr="000746B9" w:rsidRDefault="00A6717D" w:rsidP="00DA217C">
            <w:pPr>
              <w:rPr>
                <w:rFonts w:ascii="Arial" w:hAnsi="Arial" w:cs="Arial"/>
                <w:b/>
                <w:sz w:val="20"/>
                <w:szCs w:val="20"/>
              </w:rPr>
            </w:pPr>
            <w:r w:rsidRPr="000746B9">
              <w:rPr>
                <w:rFonts w:ascii="Arial" w:hAnsi="Arial" w:cs="Arial"/>
                <w:b/>
                <w:sz w:val="20"/>
                <w:szCs w:val="20"/>
              </w:rPr>
              <w:t>Supporting information</w:t>
            </w:r>
          </w:p>
        </w:tc>
      </w:tr>
      <w:tr w:rsidR="000746B9" w:rsidRPr="000746B9" w14:paraId="7F9018E6" w14:textId="77777777" w:rsidTr="007C6ED4">
        <w:trPr>
          <w:trHeight w:val="282"/>
        </w:trPr>
        <w:tc>
          <w:tcPr>
            <w:tcW w:w="708" w:type="dxa"/>
          </w:tcPr>
          <w:p w14:paraId="2BEDD004" w14:textId="420BB5C4" w:rsidR="000746B9" w:rsidRPr="000746B9" w:rsidRDefault="000746B9" w:rsidP="00026998">
            <w:pPr>
              <w:pStyle w:val="TableText1"/>
              <w:numPr>
                <w:ilvl w:val="0"/>
                <w:numId w:val="45"/>
              </w:numPr>
              <w:rPr>
                <w:rFonts w:cs="Arial"/>
                <w:sz w:val="20"/>
                <w:szCs w:val="20"/>
              </w:rPr>
            </w:pPr>
          </w:p>
        </w:tc>
        <w:tc>
          <w:tcPr>
            <w:tcW w:w="2264" w:type="dxa"/>
          </w:tcPr>
          <w:p w14:paraId="5D51F7D4" w14:textId="77777777" w:rsidR="000746B9" w:rsidRPr="000746B9" w:rsidRDefault="000746B9" w:rsidP="00DA217C">
            <w:pPr>
              <w:pStyle w:val="TableText1"/>
              <w:rPr>
                <w:rFonts w:cs="Arial"/>
                <w:sz w:val="20"/>
                <w:szCs w:val="20"/>
              </w:rPr>
            </w:pPr>
            <w:r w:rsidRPr="000746B9">
              <w:rPr>
                <w:rFonts w:cs="Arial"/>
                <w:sz w:val="20"/>
                <w:szCs w:val="20"/>
              </w:rPr>
              <w:t>The Royal College of Pathologists</w:t>
            </w:r>
          </w:p>
        </w:tc>
        <w:tc>
          <w:tcPr>
            <w:tcW w:w="3588" w:type="dxa"/>
          </w:tcPr>
          <w:p w14:paraId="2C9D59B5" w14:textId="77777777" w:rsidR="000746B9" w:rsidRPr="000746B9" w:rsidRDefault="000746B9" w:rsidP="00DA217C">
            <w:pPr>
              <w:pStyle w:val="Paragraphnonumbers"/>
              <w:spacing w:after="120"/>
              <w:rPr>
                <w:rFonts w:cs="Arial"/>
                <w:sz w:val="20"/>
                <w:szCs w:val="20"/>
              </w:rPr>
            </w:pPr>
            <w:r w:rsidRPr="000746B9">
              <w:rPr>
                <w:rFonts w:cs="Arial"/>
                <w:sz w:val="20"/>
                <w:szCs w:val="20"/>
              </w:rPr>
              <w:t>Key area for quality improvement 3</w:t>
            </w:r>
          </w:p>
          <w:p w14:paraId="2B87387E" w14:textId="77777777" w:rsidR="000746B9" w:rsidRPr="000746B9" w:rsidRDefault="000746B9" w:rsidP="00DA217C">
            <w:pPr>
              <w:pStyle w:val="TableText1"/>
              <w:rPr>
                <w:rFonts w:cs="Arial"/>
                <w:b/>
                <w:sz w:val="20"/>
                <w:szCs w:val="20"/>
              </w:rPr>
            </w:pPr>
            <w:r w:rsidRPr="000746B9">
              <w:rPr>
                <w:rFonts w:cs="Arial"/>
                <w:sz w:val="20"/>
                <w:szCs w:val="20"/>
              </w:rPr>
              <w:t>Referring men with upper urinary tract infections</w:t>
            </w:r>
          </w:p>
        </w:tc>
        <w:tc>
          <w:tcPr>
            <w:tcW w:w="4350" w:type="dxa"/>
          </w:tcPr>
          <w:p w14:paraId="7D8EF50A" w14:textId="77777777" w:rsidR="000746B9" w:rsidRPr="000746B9" w:rsidRDefault="000746B9" w:rsidP="00DA217C">
            <w:pPr>
              <w:pStyle w:val="TableText1"/>
              <w:rPr>
                <w:rFonts w:cs="Arial"/>
                <w:sz w:val="20"/>
                <w:szCs w:val="20"/>
              </w:rPr>
            </w:pPr>
            <w:r w:rsidRPr="000746B9">
              <w:rPr>
                <w:rFonts w:cs="Arial"/>
                <w:sz w:val="20"/>
                <w:szCs w:val="20"/>
              </w:rPr>
              <w:t>Upper UTI can indicate the presence lower urinary tract abnormalities. Men can be underdiagnosed with urinary tract abnormalities.</w:t>
            </w:r>
          </w:p>
        </w:tc>
        <w:tc>
          <w:tcPr>
            <w:tcW w:w="3769" w:type="dxa"/>
          </w:tcPr>
          <w:p w14:paraId="705B7478" w14:textId="77777777" w:rsidR="000746B9" w:rsidRPr="000746B9" w:rsidRDefault="000746B9" w:rsidP="00DA217C">
            <w:pPr>
              <w:rPr>
                <w:rFonts w:ascii="Arial" w:hAnsi="Arial" w:cs="Arial"/>
                <w:sz w:val="20"/>
                <w:szCs w:val="20"/>
              </w:rPr>
            </w:pPr>
            <w:r w:rsidRPr="000746B9">
              <w:rPr>
                <w:rFonts w:ascii="Arial" w:hAnsi="Arial" w:cs="Arial"/>
                <w:sz w:val="20"/>
                <w:szCs w:val="20"/>
              </w:rPr>
              <w:t>Currently an existing NICE Quality standard for urinary tract infection</w:t>
            </w:r>
          </w:p>
        </w:tc>
      </w:tr>
      <w:tr w:rsidR="00F15B4A" w:rsidRPr="000746B9" w14:paraId="72B6A4AD" w14:textId="77777777" w:rsidTr="007C6ED4">
        <w:trPr>
          <w:trHeight w:val="282"/>
        </w:trPr>
        <w:tc>
          <w:tcPr>
            <w:tcW w:w="708" w:type="dxa"/>
          </w:tcPr>
          <w:p w14:paraId="20E8DF98" w14:textId="77777777" w:rsidR="00F15B4A" w:rsidRPr="000746B9" w:rsidRDefault="00F15B4A" w:rsidP="00026998">
            <w:pPr>
              <w:pStyle w:val="TableText1"/>
              <w:numPr>
                <w:ilvl w:val="0"/>
                <w:numId w:val="45"/>
              </w:numPr>
              <w:rPr>
                <w:rFonts w:cs="Arial"/>
                <w:sz w:val="20"/>
                <w:szCs w:val="20"/>
              </w:rPr>
            </w:pPr>
          </w:p>
        </w:tc>
        <w:tc>
          <w:tcPr>
            <w:tcW w:w="2264" w:type="dxa"/>
          </w:tcPr>
          <w:p w14:paraId="20D69633" w14:textId="5E3ED1AD" w:rsidR="00F15B4A" w:rsidRPr="000746B9" w:rsidRDefault="00F15B4A" w:rsidP="00DA217C">
            <w:pPr>
              <w:pStyle w:val="TableText1"/>
              <w:rPr>
                <w:rFonts w:cs="Arial"/>
                <w:sz w:val="20"/>
                <w:szCs w:val="20"/>
              </w:rPr>
            </w:pPr>
            <w:r>
              <w:rPr>
                <w:rFonts w:cs="Arial"/>
                <w:sz w:val="20"/>
                <w:szCs w:val="20"/>
              </w:rPr>
              <w:t>SCM6</w:t>
            </w:r>
          </w:p>
        </w:tc>
        <w:tc>
          <w:tcPr>
            <w:tcW w:w="3588" w:type="dxa"/>
          </w:tcPr>
          <w:p w14:paraId="5CCFF326" w14:textId="77777777" w:rsidR="00F15B4A" w:rsidRPr="000746B9" w:rsidRDefault="00F15B4A" w:rsidP="00F15B4A">
            <w:pPr>
              <w:pStyle w:val="Paragraphnonumbers"/>
              <w:spacing w:after="120"/>
              <w:rPr>
                <w:rFonts w:cs="Arial"/>
                <w:sz w:val="20"/>
                <w:szCs w:val="20"/>
              </w:rPr>
            </w:pPr>
            <w:r w:rsidRPr="000746B9">
              <w:rPr>
                <w:rFonts w:cs="Arial"/>
                <w:sz w:val="20"/>
                <w:szCs w:val="20"/>
              </w:rPr>
              <w:t>Additional developmental areas of emergent practice</w:t>
            </w:r>
          </w:p>
          <w:p w14:paraId="30AFE454" w14:textId="77777777" w:rsidR="00F15B4A" w:rsidRPr="000746B9" w:rsidRDefault="00F15B4A" w:rsidP="00F15B4A">
            <w:pPr>
              <w:pStyle w:val="Paragraphnonumbers"/>
              <w:spacing w:after="120"/>
              <w:rPr>
                <w:rFonts w:cs="Arial"/>
                <w:sz w:val="20"/>
                <w:szCs w:val="20"/>
              </w:rPr>
            </w:pPr>
            <w:r w:rsidRPr="000746B9">
              <w:rPr>
                <w:rFonts w:cs="Arial"/>
                <w:sz w:val="20"/>
                <w:szCs w:val="20"/>
              </w:rPr>
              <w:t xml:space="preserve">The need to identify who are the specialists? </w:t>
            </w:r>
          </w:p>
          <w:p w14:paraId="634CDD0B" w14:textId="66D73717" w:rsidR="00F15B4A" w:rsidRPr="000746B9" w:rsidRDefault="00F15B4A" w:rsidP="00F15B4A">
            <w:pPr>
              <w:pStyle w:val="Paragraphnonumbers"/>
              <w:spacing w:after="120"/>
              <w:rPr>
                <w:rFonts w:cs="Arial"/>
                <w:sz w:val="20"/>
                <w:szCs w:val="20"/>
              </w:rPr>
            </w:pPr>
            <w:r w:rsidRPr="000746B9">
              <w:rPr>
                <w:rFonts w:cs="Arial"/>
                <w:sz w:val="20"/>
                <w:szCs w:val="20"/>
              </w:rPr>
              <w:t xml:space="preserve">Urology with special interest, urogynaecology, </w:t>
            </w:r>
            <w:proofErr w:type="gramStart"/>
            <w:r w:rsidRPr="000746B9">
              <w:rPr>
                <w:rFonts w:cs="Arial"/>
                <w:sz w:val="20"/>
                <w:szCs w:val="20"/>
              </w:rPr>
              <w:t>Regional</w:t>
            </w:r>
            <w:proofErr w:type="gramEnd"/>
            <w:r w:rsidRPr="000746B9">
              <w:rPr>
                <w:rFonts w:cs="Arial"/>
                <w:sz w:val="20"/>
                <w:szCs w:val="20"/>
              </w:rPr>
              <w:t xml:space="preserve"> centre for LUTs</w:t>
            </w:r>
          </w:p>
        </w:tc>
        <w:tc>
          <w:tcPr>
            <w:tcW w:w="4350" w:type="dxa"/>
          </w:tcPr>
          <w:p w14:paraId="16C8E9E2" w14:textId="77777777" w:rsidR="00F15B4A" w:rsidRPr="000746B9" w:rsidRDefault="00F15B4A" w:rsidP="00DA217C">
            <w:pPr>
              <w:pStyle w:val="TableText1"/>
              <w:rPr>
                <w:rFonts w:cs="Arial"/>
                <w:sz w:val="20"/>
                <w:szCs w:val="20"/>
              </w:rPr>
            </w:pPr>
          </w:p>
        </w:tc>
        <w:tc>
          <w:tcPr>
            <w:tcW w:w="3769" w:type="dxa"/>
          </w:tcPr>
          <w:p w14:paraId="34C13262" w14:textId="77777777" w:rsidR="00F15B4A" w:rsidRPr="000746B9" w:rsidRDefault="00F15B4A" w:rsidP="00DA217C">
            <w:pPr>
              <w:rPr>
                <w:rFonts w:ascii="Arial" w:hAnsi="Arial" w:cs="Arial"/>
                <w:sz w:val="20"/>
                <w:szCs w:val="20"/>
              </w:rPr>
            </w:pPr>
          </w:p>
        </w:tc>
      </w:tr>
    </w:tbl>
    <w:p w14:paraId="6FDD9D15" w14:textId="23E01BBA" w:rsidR="00A6717D" w:rsidRDefault="00A6717D"/>
    <w:p w14:paraId="25624B18" w14:textId="11064940" w:rsidR="00B54FAB" w:rsidRDefault="00B54FAB" w:rsidP="00B54FAB">
      <w:pPr>
        <w:pStyle w:val="Heading4"/>
      </w:pPr>
      <w:r>
        <w:t>Additional areas</w:t>
      </w:r>
      <w:r w:rsidR="005A2D81">
        <w:t>,</w:t>
      </w:r>
      <w:r>
        <w:t xml:space="preserve"> general </w:t>
      </w:r>
      <w:proofErr w:type="gramStart"/>
      <w:r>
        <w:t>comments</w:t>
      </w:r>
      <w:proofErr w:type="gramEnd"/>
      <w:r w:rsidR="005A2D81">
        <w:t xml:space="preserve"> and no comment responses</w:t>
      </w:r>
    </w:p>
    <w:tbl>
      <w:tblPr>
        <w:tblW w:w="1467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708"/>
        <w:gridCol w:w="2264"/>
        <w:gridCol w:w="3588"/>
        <w:gridCol w:w="4350"/>
        <w:gridCol w:w="3769"/>
      </w:tblGrid>
      <w:tr w:rsidR="00A6717D" w:rsidRPr="000746B9" w14:paraId="3CAA807D" w14:textId="77777777" w:rsidTr="00DA217C">
        <w:trPr>
          <w:tblHeader/>
        </w:trPr>
        <w:tc>
          <w:tcPr>
            <w:tcW w:w="708" w:type="dxa"/>
            <w:shd w:val="clear" w:color="auto" w:fill="E6E6E6"/>
          </w:tcPr>
          <w:p w14:paraId="453418FE" w14:textId="77777777" w:rsidR="00A6717D" w:rsidRPr="000746B9" w:rsidRDefault="00A6717D" w:rsidP="00DA217C">
            <w:pPr>
              <w:pStyle w:val="Heading4"/>
              <w:rPr>
                <w:rFonts w:cs="Arial"/>
                <w:sz w:val="20"/>
                <w:szCs w:val="20"/>
              </w:rPr>
            </w:pPr>
            <w:r>
              <w:rPr>
                <w:rFonts w:cs="Arial"/>
                <w:sz w:val="20"/>
                <w:szCs w:val="20"/>
              </w:rPr>
              <w:t>ID</w:t>
            </w:r>
          </w:p>
        </w:tc>
        <w:tc>
          <w:tcPr>
            <w:tcW w:w="2264" w:type="dxa"/>
            <w:shd w:val="clear" w:color="auto" w:fill="E6E6E6"/>
          </w:tcPr>
          <w:p w14:paraId="7AAFAA0D" w14:textId="77777777" w:rsidR="00A6717D" w:rsidRPr="000746B9" w:rsidRDefault="00A6717D" w:rsidP="00DA217C">
            <w:pPr>
              <w:pStyle w:val="Heading4"/>
              <w:rPr>
                <w:rFonts w:cs="Arial"/>
                <w:sz w:val="20"/>
                <w:szCs w:val="20"/>
              </w:rPr>
            </w:pPr>
            <w:r w:rsidRPr="000746B9">
              <w:rPr>
                <w:rFonts w:cs="Arial"/>
                <w:sz w:val="20"/>
                <w:szCs w:val="20"/>
              </w:rPr>
              <w:t>Stakeholder</w:t>
            </w:r>
          </w:p>
        </w:tc>
        <w:tc>
          <w:tcPr>
            <w:tcW w:w="3588" w:type="dxa"/>
            <w:shd w:val="clear" w:color="auto" w:fill="E6E6E6"/>
          </w:tcPr>
          <w:p w14:paraId="401BB680" w14:textId="77777777" w:rsidR="00A6717D" w:rsidRPr="000746B9" w:rsidRDefault="00A6717D" w:rsidP="00DA217C">
            <w:pPr>
              <w:pStyle w:val="Heading4"/>
              <w:rPr>
                <w:rFonts w:cs="Arial"/>
                <w:sz w:val="20"/>
                <w:szCs w:val="20"/>
              </w:rPr>
            </w:pPr>
            <w:r w:rsidRPr="000746B9">
              <w:rPr>
                <w:rFonts w:cs="Arial"/>
                <w:sz w:val="20"/>
                <w:szCs w:val="20"/>
              </w:rPr>
              <w:t>Key area for quality improvement</w:t>
            </w:r>
          </w:p>
        </w:tc>
        <w:tc>
          <w:tcPr>
            <w:tcW w:w="4350" w:type="dxa"/>
            <w:shd w:val="clear" w:color="auto" w:fill="E6E6E6"/>
          </w:tcPr>
          <w:p w14:paraId="0235170F" w14:textId="77777777" w:rsidR="00A6717D" w:rsidRPr="000746B9" w:rsidRDefault="00A6717D" w:rsidP="00DA217C">
            <w:pPr>
              <w:pStyle w:val="Heading1"/>
              <w:rPr>
                <w:sz w:val="20"/>
                <w:szCs w:val="20"/>
              </w:rPr>
            </w:pPr>
            <w:bookmarkStart w:id="167" w:name="_Toc107929212"/>
            <w:bookmarkStart w:id="168" w:name="_Toc112833019"/>
            <w:r w:rsidRPr="000746B9">
              <w:rPr>
                <w:sz w:val="20"/>
                <w:szCs w:val="20"/>
              </w:rPr>
              <w:t>Why is this a key area for quality improvement?</w:t>
            </w:r>
            <w:bookmarkEnd w:id="167"/>
            <w:bookmarkEnd w:id="168"/>
          </w:p>
        </w:tc>
        <w:tc>
          <w:tcPr>
            <w:tcW w:w="3769" w:type="dxa"/>
            <w:shd w:val="clear" w:color="auto" w:fill="E6E6E6"/>
          </w:tcPr>
          <w:p w14:paraId="49C243A9" w14:textId="77777777" w:rsidR="00A6717D" w:rsidRPr="000746B9" w:rsidRDefault="00A6717D" w:rsidP="00DA217C">
            <w:pPr>
              <w:rPr>
                <w:rFonts w:ascii="Arial" w:hAnsi="Arial" w:cs="Arial"/>
                <w:b/>
                <w:sz w:val="20"/>
                <w:szCs w:val="20"/>
              </w:rPr>
            </w:pPr>
            <w:r w:rsidRPr="000746B9">
              <w:rPr>
                <w:rFonts w:ascii="Arial" w:hAnsi="Arial" w:cs="Arial"/>
                <w:b/>
                <w:sz w:val="20"/>
                <w:szCs w:val="20"/>
              </w:rPr>
              <w:t>Supporting information</w:t>
            </w:r>
          </w:p>
        </w:tc>
      </w:tr>
      <w:tr w:rsidR="000746B9" w:rsidRPr="000746B9" w14:paraId="5CA50818" w14:textId="77777777" w:rsidTr="007C6ED4">
        <w:trPr>
          <w:trHeight w:val="282"/>
        </w:trPr>
        <w:tc>
          <w:tcPr>
            <w:tcW w:w="708" w:type="dxa"/>
          </w:tcPr>
          <w:p w14:paraId="561832C1" w14:textId="77777777" w:rsidR="000746B9" w:rsidRPr="000746B9" w:rsidRDefault="000746B9" w:rsidP="00026998">
            <w:pPr>
              <w:pStyle w:val="TableText1"/>
              <w:numPr>
                <w:ilvl w:val="0"/>
                <w:numId w:val="45"/>
              </w:numPr>
              <w:rPr>
                <w:rFonts w:cs="Arial"/>
                <w:sz w:val="20"/>
                <w:szCs w:val="20"/>
              </w:rPr>
            </w:pPr>
            <w:r w:rsidRPr="000746B9">
              <w:rPr>
                <w:rFonts w:cs="Arial"/>
                <w:sz w:val="20"/>
                <w:szCs w:val="20"/>
              </w:rPr>
              <w:t>5a</w:t>
            </w:r>
          </w:p>
        </w:tc>
        <w:tc>
          <w:tcPr>
            <w:tcW w:w="2264" w:type="dxa"/>
          </w:tcPr>
          <w:p w14:paraId="795FF20C" w14:textId="64180689" w:rsidR="000746B9" w:rsidRPr="000746B9" w:rsidRDefault="000746B9" w:rsidP="00DA217C">
            <w:pPr>
              <w:pStyle w:val="TableText1"/>
              <w:rPr>
                <w:rFonts w:cs="Arial"/>
                <w:sz w:val="20"/>
                <w:szCs w:val="20"/>
              </w:rPr>
            </w:pPr>
            <w:r w:rsidRPr="000746B9">
              <w:rPr>
                <w:rFonts w:cs="Arial"/>
                <w:sz w:val="20"/>
                <w:szCs w:val="20"/>
              </w:rPr>
              <w:t>SCM5</w:t>
            </w:r>
          </w:p>
        </w:tc>
        <w:tc>
          <w:tcPr>
            <w:tcW w:w="3588" w:type="dxa"/>
          </w:tcPr>
          <w:p w14:paraId="70D5B1B0" w14:textId="77777777" w:rsidR="000746B9" w:rsidRPr="000746B9" w:rsidRDefault="000746B9" w:rsidP="00DA217C">
            <w:pPr>
              <w:pStyle w:val="TableText1"/>
              <w:rPr>
                <w:rFonts w:cs="Arial"/>
                <w:sz w:val="20"/>
                <w:szCs w:val="20"/>
              </w:rPr>
            </w:pPr>
            <w:r w:rsidRPr="000746B9">
              <w:rPr>
                <w:rFonts w:cs="Arial"/>
                <w:sz w:val="20"/>
                <w:szCs w:val="20"/>
              </w:rPr>
              <w:t>Key area for quality improvement 4</w:t>
            </w:r>
          </w:p>
          <w:p w14:paraId="510EAC8A" w14:textId="77777777" w:rsidR="000746B9" w:rsidRPr="000746B9" w:rsidRDefault="000746B9" w:rsidP="00DA217C">
            <w:pPr>
              <w:pStyle w:val="TableText1"/>
              <w:rPr>
                <w:rFonts w:cs="Arial"/>
                <w:sz w:val="20"/>
                <w:szCs w:val="20"/>
              </w:rPr>
            </w:pPr>
            <w:r w:rsidRPr="000746B9">
              <w:rPr>
                <w:rFonts w:cs="Arial"/>
                <w:sz w:val="20"/>
                <w:szCs w:val="20"/>
              </w:rPr>
              <w:t>People prescribed an antimicrobial have the clinical indication … documented in their clinical record [NICE QS121, UK plan</w:t>
            </w:r>
            <w:proofErr w:type="gramStart"/>
            <w:r w:rsidRPr="000746B9">
              <w:rPr>
                <w:rFonts w:cs="Arial"/>
                <w:sz w:val="20"/>
                <w:szCs w:val="20"/>
              </w:rPr>
              <w:t>1 ]</w:t>
            </w:r>
            <w:proofErr w:type="gramEnd"/>
            <w:r w:rsidRPr="000746B9">
              <w:rPr>
                <w:rFonts w:cs="Arial"/>
                <w:sz w:val="20"/>
                <w:szCs w:val="20"/>
              </w:rPr>
              <w:t xml:space="preserve"> </w:t>
            </w:r>
          </w:p>
          <w:p w14:paraId="3AFE10DC" w14:textId="77777777" w:rsidR="000746B9" w:rsidRPr="000746B9" w:rsidRDefault="000746B9" w:rsidP="00DA217C">
            <w:pPr>
              <w:pStyle w:val="TableText1"/>
              <w:rPr>
                <w:rFonts w:cs="Arial"/>
                <w:sz w:val="20"/>
                <w:szCs w:val="20"/>
              </w:rPr>
            </w:pPr>
          </w:p>
        </w:tc>
        <w:tc>
          <w:tcPr>
            <w:tcW w:w="4350" w:type="dxa"/>
          </w:tcPr>
          <w:p w14:paraId="3FD9A2E3" w14:textId="77777777" w:rsidR="000746B9" w:rsidRPr="000746B9" w:rsidRDefault="000746B9" w:rsidP="00DA217C">
            <w:pPr>
              <w:pStyle w:val="TableText1"/>
              <w:rPr>
                <w:rFonts w:cs="Arial"/>
                <w:sz w:val="20"/>
                <w:szCs w:val="20"/>
              </w:rPr>
            </w:pPr>
            <w:r w:rsidRPr="000746B9">
              <w:rPr>
                <w:rFonts w:cs="Arial"/>
                <w:sz w:val="20"/>
                <w:szCs w:val="20"/>
              </w:rPr>
              <w:t xml:space="preserve">Wales QAIF UTI pilot suggests that coding of UTI is low. </w:t>
            </w:r>
          </w:p>
          <w:p w14:paraId="1B4AA593" w14:textId="77777777" w:rsidR="000746B9" w:rsidRPr="000746B9" w:rsidRDefault="000746B9" w:rsidP="00DA217C">
            <w:pPr>
              <w:pStyle w:val="TableText1"/>
              <w:rPr>
                <w:rFonts w:cs="Arial"/>
                <w:sz w:val="20"/>
                <w:szCs w:val="20"/>
              </w:rPr>
            </w:pPr>
          </w:p>
          <w:p w14:paraId="19BEBA58" w14:textId="77777777" w:rsidR="000746B9" w:rsidRPr="000746B9" w:rsidRDefault="000746B9" w:rsidP="00DA217C">
            <w:pPr>
              <w:pStyle w:val="TableText1"/>
              <w:rPr>
                <w:rFonts w:cs="Arial"/>
                <w:sz w:val="20"/>
                <w:szCs w:val="20"/>
              </w:rPr>
            </w:pPr>
            <w:r w:rsidRPr="000746B9">
              <w:rPr>
                <w:rFonts w:cs="Arial"/>
                <w:sz w:val="20"/>
                <w:szCs w:val="20"/>
              </w:rPr>
              <w:t xml:space="preserve">Adequate coding of UTIs in primary care supports the identification of people with recurrent UTIs. This may alter duration of antibiotic prescribed, enable discussion of self-care &amp; preventative measures, the need </w:t>
            </w:r>
            <w:r w:rsidRPr="000746B9">
              <w:rPr>
                <w:rFonts w:cs="Arial"/>
                <w:sz w:val="20"/>
                <w:szCs w:val="20"/>
              </w:rPr>
              <w:lastRenderedPageBreak/>
              <w:t xml:space="preserve">for </w:t>
            </w:r>
            <w:proofErr w:type="gramStart"/>
            <w:r w:rsidRPr="000746B9">
              <w:rPr>
                <w:rFonts w:cs="Arial"/>
                <w:sz w:val="20"/>
                <w:szCs w:val="20"/>
              </w:rPr>
              <w:t>referral,&amp;</w:t>
            </w:r>
            <w:proofErr w:type="gramEnd"/>
            <w:r w:rsidRPr="000746B9">
              <w:rPr>
                <w:rFonts w:cs="Arial"/>
                <w:sz w:val="20"/>
                <w:szCs w:val="20"/>
              </w:rPr>
              <w:t xml:space="preserve"> opportunity for treatments (such as prophylaxis or topical oestrogen) . </w:t>
            </w:r>
          </w:p>
          <w:p w14:paraId="44FF6F73" w14:textId="77777777" w:rsidR="000746B9" w:rsidRPr="000746B9" w:rsidRDefault="000746B9" w:rsidP="00DA217C">
            <w:pPr>
              <w:pStyle w:val="TableText1"/>
              <w:jc w:val="center"/>
              <w:rPr>
                <w:rFonts w:cs="Arial"/>
                <w:sz w:val="20"/>
                <w:szCs w:val="20"/>
              </w:rPr>
            </w:pPr>
          </w:p>
          <w:p w14:paraId="1663726F" w14:textId="77777777" w:rsidR="000746B9" w:rsidRPr="000746B9" w:rsidRDefault="000746B9" w:rsidP="00DA217C">
            <w:pPr>
              <w:pStyle w:val="TableText1"/>
              <w:jc w:val="center"/>
              <w:rPr>
                <w:rFonts w:cs="Arial"/>
                <w:sz w:val="20"/>
                <w:szCs w:val="20"/>
              </w:rPr>
            </w:pPr>
            <w:r w:rsidRPr="000746B9">
              <w:rPr>
                <w:rFonts w:cs="Arial"/>
                <w:sz w:val="20"/>
                <w:szCs w:val="20"/>
              </w:rPr>
              <w:t>This also supports audit and identification of appropriate antibiotic for the clinical indication</w:t>
            </w:r>
          </w:p>
          <w:p w14:paraId="0029D622" w14:textId="77777777" w:rsidR="000746B9" w:rsidRPr="000746B9" w:rsidRDefault="000746B9" w:rsidP="00DA217C">
            <w:pPr>
              <w:pStyle w:val="TableText1"/>
              <w:rPr>
                <w:rFonts w:cs="Arial"/>
                <w:sz w:val="20"/>
                <w:szCs w:val="20"/>
              </w:rPr>
            </w:pPr>
          </w:p>
        </w:tc>
        <w:tc>
          <w:tcPr>
            <w:tcW w:w="3769" w:type="dxa"/>
          </w:tcPr>
          <w:p w14:paraId="6008869B" w14:textId="77777777" w:rsidR="000746B9" w:rsidRPr="000746B9" w:rsidRDefault="000746B9" w:rsidP="00DA217C">
            <w:pPr>
              <w:pStyle w:val="TableText1"/>
              <w:rPr>
                <w:rFonts w:cs="Arial"/>
                <w:sz w:val="20"/>
                <w:szCs w:val="20"/>
              </w:rPr>
            </w:pPr>
            <w:r w:rsidRPr="000746B9">
              <w:rPr>
                <w:rFonts w:cs="Arial"/>
                <w:sz w:val="20"/>
                <w:szCs w:val="20"/>
              </w:rPr>
              <w:lastRenderedPageBreak/>
              <w:t>CQUIN</w:t>
            </w:r>
          </w:p>
          <w:p w14:paraId="4220C140" w14:textId="77777777" w:rsidR="000746B9" w:rsidRPr="000746B9" w:rsidRDefault="000746B9" w:rsidP="00DA217C">
            <w:pPr>
              <w:pStyle w:val="TableText1"/>
              <w:rPr>
                <w:rFonts w:cs="Arial"/>
                <w:sz w:val="20"/>
                <w:szCs w:val="20"/>
              </w:rPr>
            </w:pPr>
          </w:p>
          <w:p w14:paraId="7DA28D69" w14:textId="77777777" w:rsidR="000746B9" w:rsidRPr="000746B9" w:rsidRDefault="000746B9" w:rsidP="00DA217C">
            <w:pPr>
              <w:pStyle w:val="TableText1"/>
              <w:rPr>
                <w:rFonts w:cs="Arial"/>
                <w:sz w:val="20"/>
                <w:szCs w:val="20"/>
              </w:rPr>
            </w:pPr>
            <w:r w:rsidRPr="000746B9">
              <w:rPr>
                <w:rFonts w:cs="Arial"/>
                <w:sz w:val="20"/>
                <w:szCs w:val="20"/>
              </w:rPr>
              <w:t xml:space="preserve">Wales UTI QAIF/GP contract  </w:t>
            </w:r>
          </w:p>
          <w:p w14:paraId="6017FB31" w14:textId="77777777" w:rsidR="000746B9" w:rsidRPr="000746B9" w:rsidRDefault="00AC503C" w:rsidP="00DA217C">
            <w:pPr>
              <w:pStyle w:val="TableText1"/>
              <w:rPr>
                <w:rFonts w:cs="Arial"/>
                <w:sz w:val="20"/>
                <w:szCs w:val="20"/>
              </w:rPr>
            </w:pPr>
            <w:hyperlink r:id="rId137" w:history="1">
              <w:r w:rsidR="000746B9" w:rsidRPr="000746B9">
                <w:rPr>
                  <w:rStyle w:val="Hyperlink"/>
                  <w:rFonts w:cs="Arial"/>
                  <w:sz w:val="20"/>
                  <w:szCs w:val="20"/>
                </w:rPr>
                <w:t>https://phw.nhs.wales/services-and-teams/harp/urinary-tract-infection-uti-resources-and-tools/uti-downloads/wales-qi-uti-indication-2/</w:t>
              </w:r>
            </w:hyperlink>
          </w:p>
          <w:p w14:paraId="130C5EFF" w14:textId="77777777" w:rsidR="000746B9" w:rsidRPr="000746B9" w:rsidRDefault="000746B9" w:rsidP="00DA217C">
            <w:pPr>
              <w:rPr>
                <w:rFonts w:ascii="Arial" w:hAnsi="Arial" w:cs="Arial"/>
                <w:sz w:val="20"/>
                <w:szCs w:val="20"/>
              </w:rPr>
            </w:pPr>
          </w:p>
        </w:tc>
      </w:tr>
      <w:tr w:rsidR="000746B9" w:rsidRPr="000746B9" w14:paraId="2A859A01" w14:textId="77777777" w:rsidTr="007C6ED4">
        <w:trPr>
          <w:trHeight w:val="282"/>
        </w:trPr>
        <w:tc>
          <w:tcPr>
            <w:tcW w:w="708" w:type="dxa"/>
          </w:tcPr>
          <w:p w14:paraId="73CF36DF" w14:textId="77777777" w:rsidR="000746B9" w:rsidRPr="000746B9" w:rsidRDefault="000746B9" w:rsidP="00026998">
            <w:pPr>
              <w:pStyle w:val="TableText1"/>
              <w:numPr>
                <w:ilvl w:val="0"/>
                <w:numId w:val="45"/>
              </w:numPr>
              <w:rPr>
                <w:rFonts w:cs="Arial"/>
                <w:sz w:val="20"/>
                <w:szCs w:val="20"/>
              </w:rPr>
            </w:pPr>
            <w:r w:rsidRPr="000746B9">
              <w:rPr>
                <w:rFonts w:cs="Arial"/>
                <w:sz w:val="20"/>
                <w:szCs w:val="20"/>
              </w:rPr>
              <w:t>5b</w:t>
            </w:r>
          </w:p>
        </w:tc>
        <w:tc>
          <w:tcPr>
            <w:tcW w:w="2264" w:type="dxa"/>
          </w:tcPr>
          <w:p w14:paraId="6F78FA3A" w14:textId="77777777" w:rsidR="000746B9" w:rsidRPr="000746B9" w:rsidRDefault="000746B9" w:rsidP="00DA217C">
            <w:pPr>
              <w:pStyle w:val="TableText1"/>
              <w:rPr>
                <w:rFonts w:cs="Arial"/>
                <w:sz w:val="20"/>
                <w:szCs w:val="20"/>
              </w:rPr>
            </w:pPr>
            <w:r w:rsidRPr="000746B9">
              <w:rPr>
                <w:rFonts w:cs="Arial"/>
                <w:sz w:val="20"/>
                <w:szCs w:val="20"/>
              </w:rPr>
              <w:t>UKHSA</w:t>
            </w:r>
          </w:p>
        </w:tc>
        <w:tc>
          <w:tcPr>
            <w:tcW w:w="3588" w:type="dxa"/>
          </w:tcPr>
          <w:p w14:paraId="0F246E99" w14:textId="77777777" w:rsidR="000746B9" w:rsidRPr="000746B9" w:rsidRDefault="000746B9" w:rsidP="00DA217C">
            <w:pPr>
              <w:pStyle w:val="Paragraphnonumbers"/>
              <w:spacing w:after="120"/>
              <w:rPr>
                <w:rFonts w:cs="Arial"/>
                <w:sz w:val="20"/>
                <w:szCs w:val="20"/>
              </w:rPr>
            </w:pPr>
            <w:r w:rsidRPr="000746B9">
              <w:rPr>
                <w:rFonts w:cs="Arial"/>
                <w:sz w:val="20"/>
                <w:szCs w:val="20"/>
              </w:rPr>
              <w:t>General feedback:</w:t>
            </w:r>
          </w:p>
          <w:p w14:paraId="03B389E0" w14:textId="77777777" w:rsidR="000746B9" w:rsidRPr="000746B9" w:rsidRDefault="000746B9" w:rsidP="00DA217C">
            <w:pPr>
              <w:pStyle w:val="Paragraphnonumbers"/>
              <w:spacing w:after="120"/>
              <w:rPr>
                <w:rFonts w:cs="Arial"/>
                <w:sz w:val="20"/>
                <w:szCs w:val="20"/>
              </w:rPr>
            </w:pPr>
            <w:r w:rsidRPr="000746B9">
              <w:rPr>
                <w:rFonts w:cs="Arial"/>
                <w:sz w:val="20"/>
                <w:szCs w:val="20"/>
              </w:rPr>
              <w:t>The very last line of the quality statement specific to the definition of ASB does not make senses</w:t>
            </w:r>
          </w:p>
          <w:p w14:paraId="19BD02E3" w14:textId="1AA937F4" w:rsidR="000746B9" w:rsidRPr="000746B9" w:rsidRDefault="000746B9" w:rsidP="00DA217C">
            <w:pPr>
              <w:pStyle w:val="Paragraphnonumbers"/>
              <w:spacing w:after="120"/>
              <w:rPr>
                <w:rFonts w:cs="Arial"/>
                <w:sz w:val="20"/>
                <w:szCs w:val="20"/>
              </w:rPr>
            </w:pPr>
            <w:r w:rsidRPr="00A71A70">
              <w:rPr>
                <w:rFonts w:cs="Arial"/>
                <w:sz w:val="20"/>
                <w:szCs w:val="20"/>
              </w:rPr>
              <w:t>[</w:t>
            </w:r>
            <w:r w:rsidR="00A71A70">
              <w:rPr>
                <w:rFonts w:cs="Arial"/>
                <w:sz w:val="20"/>
                <w:szCs w:val="20"/>
              </w:rPr>
              <w:t>NICE comment: This r</w:t>
            </w:r>
            <w:r w:rsidRPr="00A71A70">
              <w:rPr>
                <w:rFonts w:cs="Arial"/>
                <w:sz w:val="20"/>
                <w:szCs w:val="20"/>
              </w:rPr>
              <w:t>efers to statement 5 definition of asymptomatic bacteriuria]</w:t>
            </w:r>
          </w:p>
        </w:tc>
        <w:tc>
          <w:tcPr>
            <w:tcW w:w="4350" w:type="dxa"/>
          </w:tcPr>
          <w:p w14:paraId="03246DE6" w14:textId="77777777" w:rsidR="000746B9" w:rsidRPr="000746B9" w:rsidRDefault="000746B9" w:rsidP="00DA217C">
            <w:pPr>
              <w:pStyle w:val="Paragraphnonumbers"/>
              <w:rPr>
                <w:rFonts w:cs="Arial"/>
                <w:sz w:val="20"/>
                <w:szCs w:val="20"/>
              </w:rPr>
            </w:pPr>
          </w:p>
        </w:tc>
        <w:tc>
          <w:tcPr>
            <w:tcW w:w="3769" w:type="dxa"/>
          </w:tcPr>
          <w:p w14:paraId="2798C335" w14:textId="77777777" w:rsidR="000746B9" w:rsidRPr="000746B9" w:rsidRDefault="000746B9" w:rsidP="00DA217C">
            <w:pPr>
              <w:pStyle w:val="Paragraphnonumbers"/>
              <w:rPr>
                <w:rFonts w:cs="Arial"/>
                <w:sz w:val="20"/>
                <w:szCs w:val="20"/>
              </w:rPr>
            </w:pPr>
          </w:p>
        </w:tc>
      </w:tr>
      <w:tr w:rsidR="005A2D81" w:rsidRPr="000746B9" w14:paraId="3DE0C9DF" w14:textId="77777777" w:rsidTr="007C6ED4">
        <w:trPr>
          <w:trHeight w:val="282"/>
        </w:trPr>
        <w:tc>
          <w:tcPr>
            <w:tcW w:w="708" w:type="dxa"/>
          </w:tcPr>
          <w:p w14:paraId="57AB15A1" w14:textId="77777777" w:rsidR="005A2D81" w:rsidRPr="000746B9" w:rsidRDefault="005A2D81" w:rsidP="00026998">
            <w:pPr>
              <w:pStyle w:val="TableText1"/>
              <w:numPr>
                <w:ilvl w:val="0"/>
                <w:numId w:val="45"/>
              </w:numPr>
              <w:rPr>
                <w:rFonts w:cs="Arial"/>
                <w:sz w:val="20"/>
                <w:szCs w:val="20"/>
              </w:rPr>
            </w:pPr>
          </w:p>
        </w:tc>
        <w:tc>
          <w:tcPr>
            <w:tcW w:w="2264" w:type="dxa"/>
          </w:tcPr>
          <w:p w14:paraId="59699D46" w14:textId="5E1DD75F" w:rsidR="005A2D81" w:rsidRPr="000746B9" w:rsidRDefault="005A2D81" w:rsidP="00DA217C">
            <w:pPr>
              <w:pStyle w:val="TableText1"/>
              <w:rPr>
                <w:rFonts w:cs="Arial"/>
                <w:sz w:val="20"/>
                <w:szCs w:val="20"/>
              </w:rPr>
            </w:pPr>
            <w:r>
              <w:rPr>
                <w:rFonts w:cs="Arial"/>
                <w:sz w:val="20"/>
                <w:szCs w:val="20"/>
              </w:rPr>
              <w:t>Royal College of Nursing</w:t>
            </w:r>
          </w:p>
        </w:tc>
        <w:tc>
          <w:tcPr>
            <w:tcW w:w="3588" w:type="dxa"/>
          </w:tcPr>
          <w:p w14:paraId="1609CCFC" w14:textId="77777777" w:rsidR="00B90220" w:rsidRDefault="00B90220" w:rsidP="00DA217C">
            <w:pPr>
              <w:pStyle w:val="Paragraphnonumbers"/>
              <w:spacing w:after="120"/>
              <w:rPr>
                <w:rFonts w:cs="Arial"/>
                <w:sz w:val="20"/>
                <w:szCs w:val="20"/>
              </w:rPr>
            </w:pPr>
            <w:r>
              <w:rPr>
                <w:rFonts w:cs="Arial"/>
                <w:sz w:val="20"/>
                <w:szCs w:val="20"/>
              </w:rPr>
              <w:t>No comment</w:t>
            </w:r>
          </w:p>
          <w:p w14:paraId="43C373D3" w14:textId="42281065" w:rsidR="005A2D81" w:rsidRPr="000746B9" w:rsidRDefault="005A2D81" w:rsidP="00DA217C">
            <w:pPr>
              <w:pStyle w:val="Paragraphnonumbers"/>
              <w:spacing w:after="120"/>
              <w:rPr>
                <w:rFonts w:cs="Arial"/>
                <w:sz w:val="20"/>
                <w:szCs w:val="20"/>
              </w:rPr>
            </w:pPr>
            <w:r>
              <w:rPr>
                <w:rFonts w:cs="Arial"/>
                <w:sz w:val="20"/>
                <w:szCs w:val="20"/>
              </w:rPr>
              <w:t xml:space="preserve">We </w:t>
            </w:r>
            <w:r w:rsidRPr="005A2D81">
              <w:rPr>
                <w:rFonts w:cs="Arial"/>
                <w:sz w:val="20"/>
                <w:szCs w:val="20"/>
              </w:rPr>
              <w:t>do not have any comments on this consultation. Thank you for the opportunity to contribute.</w:t>
            </w:r>
          </w:p>
        </w:tc>
        <w:tc>
          <w:tcPr>
            <w:tcW w:w="4350" w:type="dxa"/>
          </w:tcPr>
          <w:p w14:paraId="3C3F46FC" w14:textId="77777777" w:rsidR="005A2D81" w:rsidRPr="000746B9" w:rsidRDefault="005A2D81" w:rsidP="00DA217C">
            <w:pPr>
              <w:pStyle w:val="Paragraphnonumbers"/>
              <w:rPr>
                <w:rFonts w:cs="Arial"/>
                <w:sz w:val="20"/>
                <w:szCs w:val="20"/>
              </w:rPr>
            </w:pPr>
          </w:p>
        </w:tc>
        <w:tc>
          <w:tcPr>
            <w:tcW w:w="3769" w:type="dxa"/>
          </w:tcPr>
          <w:p w14:paraId="62930983" w14:textId="77777777" w:rsidR="005A2D81" w:rsidRPr="000746B9" w:rsidRDefault="005A2D81" w:rsidP="00DA217C">
            <w:pPr>
              <w:pStyle w:val="Paragraphnonumbers"/>
              <w:rPr>
                <w:rFonts w:cs="Arial"/>
                <w:sz w:val="20"/>
                <w:szCs w:val="20"/>
              </w:rPr>
            </w:pPr>
          </w:p>
        </w:tc>
      </w:tr>
      <w:tr w:rsidR="005A2D81" w:rsidRPr="000746B9" w14:paraId="012138E6" w14:textId="77777777" w:rsidTr="007C6ED4">
        <w:trPr>
          <w:trHeight w:val="282"/>
        </w:trPr>
        <w:tc>
          <w:tcPr>
            <w:tcW w:w="708" w:type="dxa"/>
          </w:tcPr>
          <w:p w14:paraId="0BC816A8" w14:textId="77777777" w:rsidR="005A2D81" w:rsidRPr="000746B9" w:rsidRDefault="005A2D81" w:rsidP="00026998">
            <w:pPr>
              <w:pStyle w:val="TableText1"/>
              <w:numPr>
                <w:ilvl w:val="0"/>
                <w:numId w:val="45"/>
              </w:numPr>
              <w:rPr>
                <w:rFonts w:cs="Arial"/>
                <w:sz w:val="20"/>
                <w:szCs w:val="20"/>
              </w:rPr>
            </w:pPr>
          </w:p>
        </w:tc>
        <w:tc>
          <w:tcPr>
            <w:tcW w:w="2264" w:type="dxa"/>
          </w:tcPr>
          <w:p w14:paraId="1619DC1D" w14:textId="575E9799" w:rsidR="005A2D81" w:rsidRPr="000746B9" w:rsidRDefault="005A2D81" w:rsidP="00DA217C">
            <w:pPr>
              <w:pStyle w:val="TableText1"/>
              <w:rPr>
                <w:rFonts w:cs="Arial"/>
                <w:sz w:val="20"/>
                <w:szCs w:val="20"/>
              </w:rPr>
            </w:pPr>
            <w:r w:rsidRPr="005A2D81">
              <w:rPr>
                <w:rFonts w:cs="Arial"/>
                <w:sz w:val="20"/>
                <w:szCs w:val="20"/>
              </w:rPr>
              <w:t>Royal Pharmaceutical Society</w:t>
            </w:r>
          </w:p>
        </w:tc>
        <w:tc>
          <w:tcPr>
            <w:tcW w:w="3588" w:type="dxa"/>
          </w:tcPr>
          <w:p w14:paraId="27E3AF8F" w14:textId="77777777" w:rsidR="00B90220" w:rsidRDefault="00B90220" w:rsidP="00DA217C">
            <w:pPr>
              <w:pStyle w:val="Paragraphnonumbers"/>
              <w:spacing w:after="120"/>
              <w:rPr>
                <w:rFonts w:cs="Arial"/>
                <w:sz w:val="20"/>
                <w:szCs w:val="20"/>
              </w:rPr>
            </w:pPr>
            <w:r>
              <w:rPr>
                <w:rFonts w:cs="Arial"/>
                <w:sz w:val="20"/>
                <w:szCs w:val="20"/>
              </w:rPr>
              <w:t>No comment</w:t>
            </w:r>
          </w:p>
          <w:p w14:paraId="791DF709" w14:textId="37ADF6D9" w:rsidR="005A2D81" w:rsidRPr="000746B9" w:rsidRDefault="00B90220" w:rsidP="00DA217C">
            <w:pPr>
              <w:pStyle w:val="Paragraphnonumbers"/>
              <w:spacing w:after="120"/>
              <w:rPr>
                <w:rFonts w:cs="Arial"/>
                <w:sz w:val="20"/>
                <w:szCs w:val="20"/>
              </w:rPr>
            </w:pPr>
            <w:r>
              <w:rPr>
                <w:rFonts w:cs="Arial"/>
                <w:sz w:val="20"/>
                <w:szCs w:val="20"/>
              </w:rPr>
              <w:t>T</w:t>
            </w:r>
            <w:r w:rsidRPr="00B90220">
              <w:rPr>
                <w:rFonts w:cs="Arial"/>
                <w:sz w:val="20"/>
                <w:szCs w:val="20"/>
              </w:rPr>
              <w:t xml:space="preserve">his piece of work is at a topic of engagement </w:t>
            </w:r>
            <w:proofErr w:type="gramStart"/>
            <w:r w:rsidRPr="00B90220">
              <w:rPr>
                <w:rFonts w:cs="Arial"/>
                <w:sz w:val="20"/>
                <w:szCs w:val="20"/>
              </w:rPr>
              <w:t>stage</w:t>
            </w:r>
            <w:proofErr w:type="gramEnd"/>
            <w:r w:rsidRPr="00B90220">
              <w:rPr>
                <w:rFonts w:cs="Arial"/>
                <w:sz w:val="20"/>
                <w:szCs w:val="20"/>
              </w:rPr>
              <w:t xml:space="preserve"> and we understand that there will be a later consultation stage too and this would be our intention to respond to</w:t>
            </w:r>
            <w:r>
              <w:rPr>
                <w:rFonts w:cs="Arial"/>
                <w:sz w:val="20"/>
                <w:szCs w:val="20"/>
              </w:rPr>
              <w:t>.</w:t>
            </w:r>
          </w:p>
        </w:tc>
        <w:tc>
          <w:tcPr>
            <w:tcW w:w="4350" w:type="dxa"/>
          </w:tcPr>
          <w:p w14:paraId="0D9AFE72" w14:textId="77777777" w:rsidR="005A2D81" w:rsidRPr="000746B9" w:rsidRDefault="005A2D81" w:rsidP="00DA217C">
            <w:pPr>
              <w:pStyle w:val="Paragraphnonumbers"/>
              <w:rPr>
                <w:rFonts w:cs="Arial"/>
                <w:sz w:val="20"/>
                <w:szCs w:val="20"/>
              </w:rPr>
            </w:pPr>
          </w:p>
        </w:tc>
        <w:tc>
          <w:tcPr>
            <w:tcW w:w="3769" w:type="dxa"/>
          </w:tcPr>
          <w:p w14:paraId="0E201DBB" w14:textId="77777777" w:rsidR="005A2D81" w:rsidRPr="000746B9" w:rsidRDefault="005A2D81" w:rsidP="00DA217C">
            <w:pPr>
              <w:pStyle w:val="Paragraphnonumbers"/>
              <w:rPr>
                <w:rFonts w:cs="Arial"/>
                <w:sz w:val="20"/>
                <w:szCs w:val="20"/>
              </w:rPr>
            </w:pPr>
          </w:p>
        </w:tc>
      </w:tr>
    </w:tbl>
    <w:p w14:paraId="322F9AE4" w14:textId="104BD0C3" w:rsidR="000746B9" w:rsidRDefault="000746B9" w:rsidP="00DC2522">
      <w:pPr>
        <w:pStyle w:val="Paragraph"/>
      </w:pPr>
    </w:p>
    <w:p w14:paraId="46913EAF" w14:textId="41E6F4A4" w:rsidR="00F27622" w:rsidRDefault="00F27622" w:rsidP="00A813F7">
      <w:pPr>
        <w:pStyle w:val="Paragraph"/>
      </w:pPr>
    </w:p>
    <w:sectPr w:rsidR="00F27622" w:rsidSect="005C6F10">
      <w:pgSz w:w="16838" w:h="11906" w:orient="landscape"/>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579FA" w14:textId="77777777" w:rsidR="00D62542" w:rsidRDefault="00D62542" w:rsidP="00446BEE">
      <w:r>
        <w:separator/>
      </w:r>
    </w:p>
    <w:p w14:paraId="1ED5613C" w14:textId="77777777" w:rsidR="00D62542" w:rsidRDefault="00D62542"/>
  </w:endnote>
  <w:endnote w:type="continuationSeparator" w:id="0">
    <w:p w14:paraId="4B081B33" w14:textId="77777777" w:rsidR="00D62542" w:rsidRDefault="00D62542" w:rsidP="00446BEE">
      <w:r>
        <w:continuationSeparator/>
      </w:r>
    </w:p>
    <w:p w14:paraId="11085490" w14:textId="77777777" w:rsidR="00D62542" w:rsidRDefault="00D625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1672F" w14:textId="77777777" w:rsidR="00884DA5" w:rsidRDefault="00884DA5" w:rsidP="0029335E">
    <w:pPr>
      <w:pStyle w:val="Footer"/>
      <w:jc w:val="right"/>
    </w:pPr>
    <w:r>
      <w:fldChar w:fldCharType="begin"/>
    </w:r>
    <w:r>
      <w:instrText xml:space="preserve"> PAGE   \* MERGEFORMAT </w:instrText>
    </w:r>
    <w:r>
      <w:fldChar w:fldCharType="separate"/>
    </w:r>
    <w:r>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D0DDE" w14:textId="77777777" w:rsidR="00884DA5" w:rsidRDefault="00884DA5">
    <w:pPr>
      <w:pStyle w:val="Footer"/>
      <w:jc w:val="right"/>
    </w:pPr>
    <w:r>
      <w:fldChar w:fldCharType="begin"/>
    </w:r>
    <w:r>
      <w:instrText xml:space="preserve"> PAGE   \* MERGEFORMAT </w:instrText>
    </w:r>
    <w:r>
      <w:fldChar w:fldCharType="separate"/>
    </w:r>
    <w:r>
      <w:rPr>
        <w:noProof/>
      </w:rPr>
      <w:t>1</w:t>
    </w:r>
    <w:r>
      <w:rPr>
        <w:noProof/>
      </w:rPr>
      <w:fldChar w:fldCharType="end"/>
    </w:r>
  </w:p>
  <w:p w14:paraId="5519B40C" w14:textId="77777777" w:rsidR="00884DA5" w:rsidRDefault="00884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CAF78" w14:textId="77777777" w:rsidR="00D62542" w:rsidRDefault="00D62542" w:rsidP="00446BEE">
      <w:r>
        <w:separator/>
      </w:r>
    </w:p>
    <w:p w14:paraId="17744F56" w14:textId="77777777" w:rsidR="00D62542" w:rsidRDefault="00D62542"/>
  </w:footnote>
  <w:footnote w:type="continuationSeparator" w:id="0">
    <w:p w14:paraId="7900EDA7" w14:textId="77777777" w:rsidR="00D62542" w:rsidRDefault="00D62542" w:rsidP="00446BEE">
      <w:r>
        <w:continuationSeparator/>
      </w:r>
    </w:p>
    <w:p w14:paraId="33AA09D8" w14:textId="77777777" w:rsidR="00D62542" w:rsidRDefault="00D62542"/>
  </w:footnote>
  <w:footnote w:id="1">
    <w:p w14:paraId="151FBC55" w14:textId="4625AF5D" w:rsidR="00CB44D6" w:rsidRDefault="00CB44D6" w:rsidP="00CB44D6">
      <w:pPr>
        <w:pStyle w:val="FootnoteText"/>
      </w:pPr>
      <w:r>
        <w:rPr>
          <w:rStyle w:val="FootnoteReference"/>
        </w:rPr>
        <w:footnoteRef/>
      </w:r>
      <w:r>
        <w:t xml:space="preserve"> </w:t>
      </w:r>
      <w:hyperlink r:id="rId1" w:history="1">
        <w:r w:rsidRPr="0006181F">
          <w:rPr>
            <w:rStyle w:val="Hyperlink"/>
          </w:rPr>
          <w:t>UK Standards for Microbiology Investigations: Investigation of Urine</w:t>
        </w:r>
      </w:hyperlink>
      <w:r w:rsidRPr="00DC0F11">
        <w:t xml:space="preserve">. </w:t>
      </w:r>
      <w:r w:rsidR="00F54B19">
        <w:t>Public Health England</w:t>
      </w:r>
      <w:r w:rsidRPr="00DC0F11">
        <w:t xml:space="preserve"> (201</w:t>
      </w:r>
      <w:r w:rsidR="00F54B19">
        <w:t>9</w:t>
      </w:r>
      <w:r w:rsidRPr="00DC0F11">
        <w:t>).</w:t>
      </w:r>
    </w:p>
  </w:footnote>
  <w:footnote w:id="2">
    <w:p w14:paraId="5566FD9D" w14:textId="23D773D1" w:rsidR="00222609" w:rsidRDefault="00222609">
      <w:pPr>
        <w:pStyle w:val="FootnoteText"/>
      </w:pPr>
      <w:r>
        <w:rPr>
          <w:rStyle w:val="FootnoteReference"/>
        </w:rPr>
        <w:footnoteRef/>
      </w:r>
      <w:r>
        <w:t xml:space="preserve"> </w:t>
      </w:r>
      <w:hyperlink r:id="rId2" w:history="1">
        <w:r w:rsidRPr="00222609">
          <w:rPr>
            <w:rStyle w:val="Hyperlink"/>
          </w:rPr>
          <w:t>EAU Guidelines on urological infections</w:t>
        </w:r>
      </w:hyperlink>
      <w:r>
        <w:t>. European Association of Urology (2022).</w:t>
      </w:r>
    </w:p>
  </w:footnote>
  <w:footnote w:id="3">
    <w:p w14:paraId="4CD00248" w14:textId="77777777" w:rsidR="00C8607E" w:rsidRDefault="00C8607E" w:rsidP="00C8607E">
      <w:pPr>
        <w:pStyle w:val="FootnoteText"/>
      </w:pPr>
      <w:r>
        <w:rPr>
          <w:rStyle w:val="FootnoteReference"/>
        </w:rPr>
        <w:footnoteRef/>
      </w:r>
      <w:r>
        <w:t xml:space="preserve"> </w:t>
      </w:r>
      <w:hyperlink r:id="rId3" w:history="1">
        <w:r w:rsidRPr="0006181F">
          <w:rPr>
            <w:rStyle w:val="Hyperlink"/>
          </w:rPr>
          <w:t>UK Standards for Microbiology Investigations: Investigation of Urine</w:t>
        </w:r>
      </w:hyperlink>
      <w:r w:rsidRPr="00DC0F11">
        <w:t xml:space="preserve">. </w:t>
      </w:r>
      <w:r>
        <w:t>Public Health England</w:t>
      </w:r>
      <w:r w:rsidRPr="00DC0F11">
        <w:t xml:space="preserve"> (201</w:t>
      </w:r>
      <w:r>
        <w:t>9</w:t>
      </w:r>
      <w:r w:rsidRPr="00DC0F11">
        <w:t>).</w:t>
      </w:r>
    </w:p>
  </w:footnote>
  <w:footnote w:id="4">
    <w:p w14:paraId="73662BD9" w14:textId="498E83E0" w:rsidR="006B3FED" w:rsidRDefault="006B3FED">
      <w:pPr>
        <w:pStyle w:val="FootnoteText"/>
      </w:pPr>
      <w:r>
        <w:rPr>
          <w:rStyle w:val="FootnoteReference"/>
        </w:rPr>
        <w:footnoteRef/>
      </w:r>
      <w:r>
        <w:t xml:space="preserve"> </w:t>
      </w:r>
      <w:hyperlink r:id="rId4" w:history="1">
        <w:r w:rsidRPr="00FC6A36">
          <w:rPr>
            <w:rStyle w:val="Hyperlink"/>
          </w:rPr>
          <w:t>Management of suspected bacterial lower urinary tract infection in adult women</w:t>
        </w:r>
      </w:hyperlink>
      <w:r>
        <w:t>. SIGN (2020)</w:t>
      </w:r>
    </w:p>
  </w:footnote>
  <w:footnote w:id="5">
    <w:p w14:paraId="1D1E3E02" w14:textId="01F578C8" w:rsidR="00246A0A" w:rsidRDefault="00246A0A">
      <w:pPr>
        <w:pStyle w:val="FootnoteText"/>
      </w:pPr>
      <w:r>
        <w:rPr>
          <w:rStyle w:val="FootnoteReference"/>
        </w:rPr>
        <w:footnoteRef/>
      </w:r>
      <w:r>
        <w:t xml:space="preserve"> </w:t>
      </w:r>
      <w:hyperlink r:id="rId5" w:history="1">
        <w:r w:rsidRPr="00222609">
          <w:rPr>
            <w:rStyle w:val="Hyperlink"/>
          </w:rPr>
          <w:t>EAU Guidelines on urological infections</w:t>
        </w:r>
      </w:hyperlink>
      <w:r>
        <w:t>. European Association of Urology (2022).</w:t>
      </w:r>
    </w:p>
  </w:footnote>
  <w:footnote w:id="6">
    <w:p w14:paraId="76EB8ECF" w14:textId="51DF42F3" w:rsidR="00187A81" w:rsidRDefault="00187A81">
      <w:pPr>
        <w:pStyle w:val="FootnoteText"/>
      </w:pPr>
      <w:r>
        <w:rPr>
          <w:rStyle w:val="FootnoteReference"/>
        </w:rPr>
        <w:footnoteRef/>
      </w:r>
      <w:r>
        <w:t xml:space="preserve"> </w:t>
      </w:r>
      <w:hyperlink r:id="rId6" w:history="1">
        <w:r w:rsidR="00C8607E" w:rsidRPr="00FC6A36">
          <w:rPr>
            <w:rStyle w:val="Hyperlink"/>
          </w:rPr>
          <w:t xml:space="preserve">NICE CKS: </w:t>
        </w:r>
        <w:r w:rsidRPr="00FC6A36">
          <w:rPr>
            <w:rStyle w:val="Hyperlink"/>
          </w:rPr>
          <w:t>Urinary tract infection (lower) – women</w:t>
        </w:r>
      </w:hyperlink>
      <w:r w:rsidR="00C8607E">
        <w:t xml:space="preserve">. </w:t>
      </w:r>
      <w:r>
        <w:t xml:space="preserve">NICE </w:t>
      </w:r>
      <w:r w:rsidR="00C8607E">
        <w:t>(2021)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6C39"/>
    <w:multiLevelType w:val="hybridMultilevel"/>
    <w:tmpl w:val="46E8C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BD3228"/>
    <w:multiLevelType w:val="hybridMultilevel"/>
    <w:tmpl w:val="E0F4776C"/>
    <w:lvl w:ilvl="0" w:tplc="3D8CB8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C7189B"/>
    <w:multiLevelType w:val="hybridMultilevel"/>
    <w:tmpl w:val="87EE4FB0"/>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F2123DB"/>
    <w:multiLevelType w:val="hybridMultilevel"/>
    <w:tmpl w:val="13D2CBF6"/>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2FF7CBB"/>
    <w:multiLevelType w:val="hybridMultilevel"/>
    <w:tmpl w:val="8376C5E0"/>
    <w:lvl w:ilvl="0" w:tplc="9EF00E36">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44F6024"/>
    <w:multiLevelType w:val="hybridMultilevel"/>
    <w:tmpl w:val="2DD6D27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7" w15:restartNumberingAfterBreak="0">
    <w:nsid w:val="177D4710"/>
    <w:multiLevelType w:val="hybridMultilevel"/>
    <w:tmpl w:val="2ADA35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9C34B0"/>
    <w:multiLevelType w:val="hybridMultilevel"/>
    <w:tmpl w:val="EDFC5BDC"/>
    <w:lvl w:ilvl="0" w:tplc="3D8CB8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5B4783"/>
    <w:multiLevelType w:val="hybridMultilevel"/>
    <w:tmpl w:val="410E0F54"/>
    <w:lvl w:ilvl="0" w:tplc="640453AC">
      <w:start w:val="1"/>
      <w:numFmt w:val="bullet"/>
      <w:lvlText w:val="R"/>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DF05CB"/>
    <w:multiLevelType w:val="hybridMultilevel"/>
    <w:tmpl w:val="D29E7552"/>
    <w:lvl w:ilvl="0" w:tplc="3D8CB8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2F5A89"/>
    <w:multiLevelType w:val="hybridMultilevel"/>
    <w:tmpl w:val="072EE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CC3584"/>
    <w:multiLevelType w:val="multilevel"/>
    <w:tmpl w:val="98404216"/>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4" w15:restartNumberingAfterBreak="0">
    <w:nsid w:val="2ABE6500"/>
    <w:multiLevelType w:val="hybridMultilevel"/>
    <w:tmpl w:val="D6B462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2CA43C9C"/>
    <w:multiLevelType w:val="hybridMultilevel"/>
    <w:tmpl w:val="F7E2220E"/>
    <w:lvl w:ilvl="0" w:tplc="640453AC">
      <w:start w:val="1"/>
      <w:numFmt w:val="bullet"/>
      <w:lvlText w:val="R"/>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D141B8B"/>
    <w:multiLevelType w:val="hybridMultilevel"/>
    <w:tmpl w:val="7AB4CCCC"/>
    <w:lvl w:ilvl="0" w:tplc="FF483960">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2EE07E01"/>
    <w:multiLevelType w:val="hybridMultilevel"/>
    <w:tmpl w:val="9EDC0E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233198B"/>
    <w:multiLevelType w:val="hybridMultilevel"/>
    <w:tmpl w:val="E6FCD618"/>
    <w:lvl w:ilvl="0" w:tplc="3D8CB8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A811A4"/>
    <w:multiLevelType w:val="hybridMultilevel"/>
    <w:tmpl w:val="C71858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2F10A14"/>
    <w:multiLevelType w:val="hybridMultilevel"/>
    <w:tmpl w:val="1A82526C"/>
    <w:lvl w:ilvl="0" w:tplc="640453AC">
      <w:start w:val="1"/>
      <w:numFmt w:val="bullet"/>
      <w:lvlText w:val="R"/>
      <w:lvlJc w:val="left"/>
      <w:pPr>
        <w:ind w:left="360" w:hanging="360"/>
      </w:pPr>
      <w:rPr>
        <w:rFonts w:ascii="Arial"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36516DFC"/>
    <w:multiLevelType w:val="hybridMultilevel"/>
    <w:tmpl w:val="AFE8FD7E"/>
    <w:lvl w:ilvl="0" w:tplc="2536081E">
      <w:numFmt w:val="bullet"/>
      <w:lvlText w:val="-"/>
      <w:lvlJc w:val="left"/>
      <w:pPr>
        <w:ind w:left="360" w:hanging="360"/>
      </w:pPr>
      <w:rPr>
        <w:rFonts w:ascii="Arial" w:eastAsia="Times New Roman"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378A757B"/>
    <w:multiLevelType w:val="hybridMultilevel"/>
    <w:tmpl w:val="76588F86"/>
    <w:lvl w:ilvl="0" w:tplc="640453AC">
      <w:start w:val="1"/>
      <w:numFmt w:val="bullet"/>
      <w:lvlText w:val="R"/>
      <w:lvlJc w:val="left"/>
      <w:pPr>
        <w:ind w:left="360" w:hanging="360"/>
      </w:pPr>
      <w:rPr>
        <w:rFonts w:ascii="Arial"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3CB80E89"/>
    <w:multiLevelType w:val="hybridMultilevel"/>
    <w:tmpl w:val="E812A76C"/>
    <w:lvl w:ilvl="0" w:tplc="47981BBA">
      <w:start w:val="1"/>
      <w:numFmt w:val="bullet"/>
      <w:pStyle w:val="Bulle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E771811"/>
    <w:multiLevelType w:val="hybridMultilevel"/>
    <w:tmpl w:val="013E02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09E3208"/>
    <w:multiLevelType w:val="hybridMultilevel"/>
    <w:tmpl w:val="1E0E8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A9B4FB5"/>
    <w:multiLevelType w:val="hybridMultilevel"/>
    <w:tmpl w:val="1CDC7808"/>
    <w:lvl w:ilvl="0" w:tplc="3D8CB8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AD343AF"/>
    <w:multiLevelType w:val="hybridMultilevel"/>
    <w:tmpl w:val="9B8487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B7E5F21"/>
    <w:multiLevelType w:val="hybridMultilevel"/>
    <w:tmpl w:val="9DC28A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02D0C4B"/>
    <w:multiLevelType w:val="hybridMultilevel"/>
    <w:tmpl w:val="7488E774"/>
    <w:lvl w:ilvl="0" w:tplc="3D8CB8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1E75D98"/>
    <w:multiLevelType w:val="hybridMultilevel"/>
    <w:tmpl w:val="D470748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2653EC4"/>
    <w:multiLevelType w:val="hybridMultilevel"/>
    <w:tmpl w:val="B00C2F8E"/>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54D35B47"/>
    <w:multiLevelType w:val="hybridMultilevel"/>
    <w:tmpl w:val="EF0A0BA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8794FC9"/>
    <w:multiLevelType w:val="hybridMultilevel"/>
    <w:tmpl w:val="5324ED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555AAD"/>
    <w:multiLevelType w:val="hybridMultilevel"/>
    <w:tmpl w:val="BCDCEB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25B7CB6"/>
    <w:multiLevelType w:val="hybridMultilevel"/>
    <w:tmpl w:val="65FA9906"/>
    <w:lvl w:ilvl="0" w:tplc="3D8CB8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54C57AE"/>
    <w:multiLevelType w:val="hybridMultilevel"/>
    <w:tmpl w:val="0044A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681ABE"/>
    <w:multiLevelType w:val="hybridMultilevel"/>
    <w:tmpl w:val="290C154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96F2189"/>
    <w:multiLevelType w:val="hybridMultilevel"/>
    <w:tmpl w:val="182A4744"/>
    <w:lvl w:ilvl="0" w:tplc="937C89E4">
      <w:start w:val="1"/>
      <w:numFmt w:val="bullet"/>
      <w:pStyle w:val="Bulletstable"/>
      <w:lvlText w:val=""/>
      <w:lvlJc w:val="left"/>
      <w:pPr>
        <w:ind w:left="908" w:hanging="454"/>
      </w:pPr>
      <w:rPr>
        <w:rFonts w:ascii="Symbol" w:hAnsi="Symbol" w:hint="default"/>
      </w:rPr>
    </w:lvl>
    <w:lvl w:ilvl="1" w:tplc="08090003">
      <w:start w:val="1"/>
      <w:numFmt w:val="bullet"/>
      <w:lvlText w:val="o"/>
      <w:lvlJc w:val="left"/>
      <w:pPr>
        <w:ind w:left="1214" w:hanging="360"/>
      </w:pPr>
      <w:rPr>
        <w:rFonts w:ascii="Courier New" w:hAnsi="Courier New" w:cs="Courier New" w:hint="default"/>
      </w:rPr>
    </w:lvl>
    <w:lvl w:ilvl="2" w:tplc="E4BEE080">
      <w:numFmt w:val="bullet"/>
      <w:lvlText w:val="•"/>
      <w:lvlJc w:val="left"/>
      <w:pPr>
        <w:ind w:left="1934" w:hanging="360"/>
      </w:pPr>
      <w:rPr>
        <w:rFonts w:ascii="Arial" w:eastAsia="Times New Roman" w:hAnsi="Arial" w:cs="Arial"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40" w15:restartNumberingAfterBreak="0">
    <w:nsid w:val="6995490B"/>
    <w:multiLevelType w:val="hybridMultilevel"/>
    <w:tmpl w:val="FFBEA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4D3A81"/>
    <w:multiLevelType w:val="hybridMultilevel"/>
    <w:tmpl w:val="2D78D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0222288"/>
    <w:multiLevelType w:val="hybridMultilevel"/>
    <w:tmpl w:val="DA58103C"/>
    <w:lvl w:ilvl="0" w:tplc="08D42AC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B803D4"/>
    <w:multiLevelType w:val="hybridMultilevel"/>
    <w:tmpl w:val="821CDE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4C8703C"/>
    <w:multiLevelType w:val="hybridMultilevel"/>
    <w:tmpl w:val="E8545A88"/>
    <w:lvl w:ilvl="0" w:tplc="08090001">
      <w:start w:val="1"/>
      <w:numFmt w:val="bullet"/>
      <w:lvlText w:val=""/>
      <w:lvlJc w:val="left"/>
      <w:pPr>
        <w:ind w:left="-351" w:hanging="360"/>
      </w:pPr>
      <w:rPr>
        <w:rFonts w:ascii="Symbol" w:hAnsi="Symbol" w:hint="default"/>
      </w:rPr>
    </w:lvl>
    <w:lvl w:ilvl="1" w:tplc="08090003" w:tentative="1">
      <w:start w:val="1"/>
      <w:numFmt w:val="bullet"/>
      <w:lvlText w:val="o"/>
      <w:lvlJc w:val="left"/>
      <w:pPr>
        <w:ind w:left="369" w:hanging="360"/>
      </w:pPr>
      <w:rPr>
        <w:rFonts w:ascii="Courier New" w:hAnsi="Courier New" w:cs="Courier New" w:hint="default"/>
      </w:rPr>
    </w:lvl>
    <w:lvl w:ilvl="2" w:tplc="08090005" w:tentative="1">
      <w:start w:val="1"/>
      <w:numFmt w:val="bullet"/>
      <w:lvlText w:val=""/>
      <w:lvlJc w:val="left"/>
      <w:pPr>
        <w:ind w:left="1089" w:hanging="360"/>
      </w:pPr>
      <w:rPr>
        <w:rFonts w:ascii="Wingdings" w:hAnsi="Wingdings" w:hint="default"/>
      </w:rPr>
    </w:lvl>
    <w:lvl w:ilvl="3" w:tplc="08090001" w:tentative="1">
      <w:start w:val="1"/>
      <w:numFmt w:val="bullet"/>
      <w:lvlText w:val=""/>
      <w:lvlJc w:val="left"/>
      <w:pPr>
        <w:ind w:left="1809" w:hanging="360"/>
      </w:pPr>
      <w:rPr>
        <w:rFonts w:ascii="Symbol" w:hAnsi="Symbol" w:hint="default"/>
      </w:rPr>
    </w:lvl>
    <w:lvl w:ilvl="4" w:tplc="08090003" w:tentative="1">
      <w:start w:val="1"/>
      <w:numFmt w:val="bullet"/>
      <w:lvlText w:val="o"/>
      <w:lvlJc w:val="left"/>
      <w:pPr>
        <w:ind w:left="2529" w:hanging="360"/>
      </w:pPr>
      <w:rPr>
        <w:rFonts w:ascii="Courier New" w:hAnsi="Courier New" w:cs="Courier New" w:hint="default"/>
      </w:rPr>
    </w:lvl>
    <w:lvl w:ilvl="5" w:tplc="08090005" w:tentative="1">
      <w:start w:val="1"/>
      <w:numFmt w:val="bullet"/>
      <w:lvlText w:val=""/>
      <w:lvlJc w:val="left"/>
      <w:pPr>
        <w:ind w:left="3249" w:hanging="360"/>
      </w:pPr>
      <w:rPr>
        <w:rFonts w:ascii="Wingdings" w:hAnsi="Wingdings" w:hint="default"/>
      </w:rPr>
    </w:lvl>
    <w:lvl w:ilvl="6" w:tplc="08090001" w:tentative="1">
      <w:start w:val="1"/>
      <w:numFmt w:val="bullet"/>
      <w:lvlText w:val=""/>
      <w:lvlJc w:val="left"/>
      <w:pPr>
        <w:ind w:left="3969" w:hanging="360"/>
      </w:pPr>
      <w:rPr>
        <w:rFonts w:ascii="Symbol" w:hAnsi="Symbol" w:hint="default"/>
      </w:rPr>
    </w:lvl>
    <w:lvl w:ilvl="7" w:tplc="08090003" w:tentative="1">
      <w:start w:val="1"/>
      <w:numFmt w:val="bullet"/>
      <w:lvlText w:val="o"/>
      <w:lvlJc w:val="left"/>
      <w:pPr>
        <w:ind w:left="4689" w:hanging="360"/>
      </w:pPr>
      <w:rPr>
        <w:rFonts w:ascii="Courier New" w:hAnsi="Courier New" w:cs="Courier New" w:hint="default"/>
      </w:rPr>
    </w:lvl>
    <w:lvl w:ilvl="8" w:tplc="08090005" w:tentative="1">
      <w:start w:val="1"/>
      <w:numFmt w:val="bullet"/>
      <w:lvlText w:val=""/>
      <w:lvlJc w:val="left"/>
      <w:pPr>
        <w:ind w:left="5409" w:hanging="360"/>
      </w:pPr>
      <w:rPr>
        <w:rFonts w:ascii="Wingdings" w:hAnsi="Wingdings" w:hint="default"/>
      </w:rPr>
    </w:lvl>
  </w:abstractNum>
  <w:abstractNum w:abstractNumId="45" w15:restartNumberingAfterBreak="0">
    <w:nsid w:val="77FF5349"/>
    <w:multiLevelType w:val="hybridMultilevel"/>
    <w:tmpl w:val="D6482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B0467B"/>
    <w:multiLevelType w:val="hybridMultilevel"/>
    <w:tmpl w:val="65783A06"/>
    <w:lvl w:ilvl="0" w:tplc="3D8CB8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EB82C81"/>
    <w:multiLevelType w:val="hybridMultilevel"/>
    <w:tmpl w:val="74AC4948"/>
    <w:lvl w:ilvl="0" w:tplc="62421720">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8" w15:restartNumberingAfterBreak="0">
    <w:nsid w:val="7F5E09A8"/>
    <w:multiLevelType w:val="hybridMultilevel"/>
    <w:tmpl w:val="671297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57956686">
    <w:abstractNumId w:val="39"/>
  </w:num>
  <w:num w:numId="2" w16cid:durableId="131097718">
    <w:abstractNumId w:val="23"/>
  </w:num>
  <w:num w:numId="3" w16cid:durableId="1293559298">
    <w:abstractNumId w:val="13"/>
  </w:num>
  <w:num w:numId="4" w16cid:durableId="1376928630">
    <w:abstractNumId w:val="6"/>
  </w:num>
  <w:num w:numId="5" w16cid:durableId="886989606">
    <w:abstractNumId w:val="8"/>
  </w:num>
  <w:num w:numId="6" w16cid:durableId="1939482047">
    <w:abstractNumId w:val="34"/>
  </w:num>
  <w:num w:numId="7" w16cid:durableId="1439444261">
    <w:abstractNumId w:val="20"/>
  </w:num>
  <w:num w:numId="8" w16cid:durableId="896673385">
    <w:abstractNumId w:val="22"/>
  </w:num>
  <w:num w:numId="9" w16cid:durableId="533079084">
    <w:abstractNumId w:val="30"/>
  </w:num>
  <w:num w:numId="10" w16cid:durableId="1409570028">
    <w:abstractNumId w:val="15"/>
  </w:num>
  <w:num w:numId="11" w16cid:durableId="1267495733">
    <w:abstractNumId w:val="3"/>
  </w:num>
  <w:num w:numId="12" w16cid:durableId="1892381480">
    <w:abstractNumId w:val="7"/>
  </w:num>
  <w:num w:numId="13" w16cid:durableId="1522814650">
    <w:abstractNumId w:val="38"/>
  </w:num>
  <w:num w:numId="14" w16cid:durableId="1035809995">
    <w:abstractNumId w:val="5"/>
  </w:num>
  <w:num w:numId="15" w16cid:durableId="940719323">
    <w:abstractNumId w:val="31"/>
  </w:num>
  <w:num w:numId="16" w16cid:durableId="1547062853">
    <w:abstractNumId w:val="40"/>
  </w:num>
  <w:num w:numId="17" w16cid:durableId="1424719068">
    <w:abstractNumId w:val="32"/>
  </w:num>
  <w:num w:numId="18" w16cid:durableId="771323516">
    <w:abstractNumId w:val="2"/>
  </w:num>
  <w:num w:numId="19" w16cid:durableId="1218131935">
    <w:abstractNumId w:val="19"/>
  </w:num>
  <w:num w:numId="20" w16cid:durableId="1489126438">
    <w:abstractNumId w:val="10"/>
  </w:num>
  <w:num w:numId="21" w16cid:durableId="1256014634">
    <w:abstractNumId w:val="41"/>
  </w:num>
  <w:num w:numId="22" w16cid:durableId="2011366846">
    <w:abstractNumId w:val="0"/>
  </w:num>
  <w:num w:numId="23" w16cid:durableId="1022436265">
    <w:abstractNumId w:val="27"/>
  </w:num>
  <w:num w:numId="24" w16cid:durableId="931939964">
    <w:abstractNumId w:val="24"/>
  </w:num>
  <w:num w:numId="25" w16cid:durableId="746339650">
    <w:abstractNumId w:val="25"/>
  </w:num>
  <w:num w:numId="26" w16cid:durableId="106120719">
    <w:abstractNumId w:val="48"/>
  </w:num>
  <w:num w:numId="27" w16cid:durableId="1219365365">
    <w:abstractNumId w:val="17"/>
  </w:num>
  <w:num w:numId="28" w16cid:durableId="1885361250">
    <w:abstractNumId w:val="44"/>
  </w:num>
  <w:num w:numId="29" w16cid:durableId="2005277610">
    <w:abstractNumId w:val="43"/>
  </w:num>
  <w:num w:numId="30" w16cid:durableId="761679275">
    <w:abstractNumId w:val="35"/>
  </w:num>
  <w:num w:numId="31" w16cid:durableId="938878409">
    <w:abstractNumId w:val="28"/>
  </w:num>
  <w:num w:numId="32" w16cid:durableId="70322802">
    <w:abstractNumId w:val="33"/>
  </w:num>
  <w:num w:numId="33" w16cid:durableId="873810165">
    <w:abstractNumId w:val="21"/>
  </w:num>
  <w:num w:numId="34" w16cid:durableId="426585167">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5410881">
    <w:abstractNumId w:val="14"/>
  </w:num>
  <w:num w:numId="36" w16cid:durableId="1486238436">
    <w:abstractNumId w:val="4"/>
  </w:num>
  <w:num w:numId="37" w16cid:durableId="4162907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3758986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9253604">
    <w:abstractNumId w:val="42"/>
  </w:num>
  <w:num w:numId="40" w16cid:durableId="2063216217">
    <w:abstractNumId w:val="12"/>
  </w:num>
  <w:num w:numId="41" w16cid:durableId="1493793607">
    <w:abstractNumId w:val="37"/>
  </w:num>
  <w:num w:numId="42" w16cid:durableId="653416867">
    <w:abstractNumId w:val="45"/>
  </w:num>
  <w:num w:numId="43" w16cid:durableId="1160192973">
    <w:abstractNumId w:val="16"/>
  </w:num>
  <w:num w:numId="44" w16cid:durableId="2024479597">
    <w:abstractNumId w:val="26"/>
  </w:num>
  <w:num w:numId="45" w16cid:durableId="576479719">
    <w:abstractNumId w:val="18"/>
  </w:num>
  <w:num w:numId="46" w16cid:durableId="749352148">
    <w:abstractNumId w:val="46"/>
  </w:num>
  <w:num w:numId="47" w16cid:durableId="465005061">
    <w:abstractNumId w:val="1"/>
  </w:num>
  <w:num w:numId="48" w16cid:durableId="503513256">
    <w:abstractNumId w:val="29"/>
  </w:num>
  <w:num w:numId="49" w16cid:durableId="1519612929">
    <w:abstractNumId w:val="11"/>
  </w:num>
  <w:num w:numId="50" w16cid:durableId="1075200593">
    <w:abstractNumId w:val="36"/>
  </w:num>
  <w:num w:numId="51" w16cid:durableId="1394308928">
    <w:abstractNumId w:val="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FMGR.InstantFormat" w:val="&lt;ENInstantFormat&gt;&lt;Enabled&gt;1&lt;/Enabled&gt;&lt;ScanUnformatted&gt;1&lt;/ScanUnformatted&gt;&lt;ScanChanges&gt;1&lt;/ScanChanges&gt;&lt;/ENInstantFormat&gt;"/>
    <w:docVar w:name="REFMGR.Layout" w:val="&lt;ENLayout&gt;&lt;Style&gt;Y:\Styles\NICE - CAS.os&lt;/Style&gt;&lt;LeftDelim&gt;{&lt;/LeftDelim&gt;&lt;RightDelim&gt;}&lt;/RightDelim&gt;&lt;FontName&gt;Times New Roman&lt;/FontName&gt;&lt;FontSize&gt;12&lt;/FontSize&gt;&lt;ReflistTitle&gt;Reference List&lt;/ReflistTitle&gt;&lt;StartingRefnum&gt;1&lt;/StartingRefnum&gt;&lt;FirstLineIndent&gt;0&lt;/FirstLineIndent&gt;&lt;HangingIndent&gt;0&lt;/HangingIndent&gt;&lt;LineSpacing&gt;0&lt;/LineSpacing&gt;&lt;SpaceAfter&gt;1&lt;/SpaceAfter&gt;&lt;ReflistOrder&gt;1&lt;/ReflistOrder&gt;&lt;CitationOrder&gt;1&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qs - adhd&lt;/item&gt;&lt;/Libraries&gt;&lt;/ENLibraries&gt;"/>
  </w:docVars>
  <w:rsids>
    <w:rsidRoot w:val="00D62542"/>
    <w:rsid w:val="00004174"/>
    <w:rsid w:val="0000482A"/>
    <w:rsid w:val="000063A5"/>
    <w:rsid w:val="00006509"/>
    <w:rsid w:val="0001067F"/>
    <w:rsid w:val="000109F1"/>
    <w:rsid w:val="00011E49"/>
    <w:rsid w:val="00011EBF"/>
    <w:rsid w:val="00012958"/>
    <w:rsid w:val="0001392D"/>
    <w:rsid w:val="00014ECB"/>
    <w:rsid w:val="000158CB"/>
    <w:rsid w:val="00021BF3"/>
    <w:rsid w:val="000227E2"/>
    <w:rsid w:val="00022E2D"/>
    <w:rsid w:val="000241C3"/>
    <w:rsid w:val="000243A6"/>
    <w:rsid w:val="0002445C"/>
    <w:rsid w:val="00024D0A"/>
    <w:rsid w:val="00026998"/>
    <w:rsid w:val="00026B56"/>
    <w:rsid w:val="000304D4"/>
    <w:rsid w:val="00031277"/>
    <w:rsid w:val="0003252C"/>
    <w:rsid w:val="00034728"/>
    <w:rsid w:val="00034DC6"/>
    <w:rsid w:val="0004009D"/>
    <w:rsid w:val="00040A87"/>
    <w:rsid w:val="00040B71"/>
    <w:rsid w:val="00040E52"/>
    <w:rsid w:val="00043F74"/>
    <w:rsid w:val="000447EC"/>
    <w:rsid w:val="000456C5"/>
    <w:rsid w:val="000457D8"/>
    <w:rsid w:val="00046804"/>
    <w:rsid w:val="000477D6"/>
    <w:rsid w:val="000478F6"/>
    <w:rsid w:val="0005195E"/>
    <w:rsid w:val="0005253C"/>
    <w:rsid w:val="00052FE0"/>
    <w:rsid w:val="00053CB8"/>
    <w:rsid w:val="000549EA"/>
    <w:rsid w:val="00055399"/>
    <w:rsid w:val="00056D75"/>
    <w:rsid w:val="0005765C"/>
    <w:rsid w:val="00057DCC"/>
    <w:rsid w:val="000604CD"/>
    <w:rsid w:val="000605B7"/>
    <w:rsid w:val="00060C31"/>
    <w:rsid w:val="0006134B"/>
    <w:rsid w:val="0006181F"/>
    <w:rsid w:val="000638D2"/>
    <w:rsid w:val="00064662"/>
    <w:rsid w:val="00064819"/>
    <w:rsid w:val="00064E7D"/>
    <w:rsid w:val="00065914"/>
    <w:rsid w:val="00065D99"/>
    <w:rsid w:val="00070065"/>
    <w:rsid w:val="00070F91"/>
    <w:rsid w:val="000746B9"/>
    <w:rsid w:val="000750FD"/>
    <w:rsid w:val="00075A7E"/>
    <w:rsid w:val="0007740A"/>
    <w:rsid w:val="000806D1"/>
    <w:rsid w:val="00080ED4"/>
    <w:rsid w:val="00081716"/>
    <w:rsid w:val="00081B14"/>
    <w:rsid w:val="00081F5D"/>
    <w:rsid w:val="00084B59"/>
    <w:rsid w:val="00086C0D"/>
    <w:rsid w:val="00091BE3"/>
    <w:rsid w:val="00095A23"/>
    <w:rsid w:val="00095B40"/>
    <w:rsid w:val="0009709D"/>
    <w:rsid w:val="000A007F"/>
    <w:rsid w:val="000A03CC"/>
    <w:rsid w:val="000A085C"/>
    <w:rsid w:val="000A17DA"/>
    <w:rsid w:val="000A1D82"/>
    <w:rsid w:val="000A1F76"/>
    <w:rsid w:val="000A2859"/>
    <w:rsid w:val="000A2F07"/>
    <w:rsid w:val="000A4BDB"/>
    <w:rsid w:val="000A6728"/>
    <w:rsid w:val="000B0583"/>
    <w:rsid w:val="000B2B3A"/>
    <w:rsid w:val="000B53AB"/>
    <w:rsid w:val="000B588C"/>
    <w:rsid w:val="000B5939"/>
    <w:rsid w:val="000B76F8"/>
    <w:rsid w:val="000C01C6"/>
    <w:rsid w:val="000C135B"/>
    <w:rsid w:val="000C389A"/>
    <w:rsid w:val="000C3BD7"/>
    <w:rsid w:val="000C5484"/>
    <w:rsid w:val="000C6195"/>
    <w:rsid w:val="000D09A9"/>
    <w:rsid w:val="000D3561"/>
    <w:rsid w:val="000D48CF"/>
    <w:rsid w:val="000D6F9B"/>
    <w:rsid w:val="000D7F66"/>
    <w:rsid w:val="000E0B99"/>
    <w:rsid w:val="000E11B2"/>
    <w:rsid w:val="000E1203"/>
    <w:rsid w:val="000E2775"/>
    <w:rsid w:val="000E2AE9"/>
    <w:rsid w:val="000E34F7"/>
    <w:rsid w:val="000E401D"/>
    <w:rsid w:val="000E44DF"/>
    <w:rsid w:val="000E52DC"/>
    <w:rsid w:val="000E6AF0"/>
    <w:rsid w:val="000E6B43"/>
    <w:rsid w:val="000E6B85"/>
    <w:rsid w:val="000E7129"/>
    <w:rsid w:val="000F03DD"/>
    <w:rsid w:val="000F2919"/>
    <w:rsid w:val="000F2B40"/>
    <w:rsid w:val="000F2E75"/>
    <w:rsid w:val="000F32F7"/>
    <w:rsid w:val="000F77C9"/>
    <w:rsid w:val="000F7811"/>
    <w:rsid w:val="0010168A"/>
    <w:rsid w:val="0010218E"/>
    <w:rsid w:val="001044F8"/>
    <w:rsid w:val="001078C7"/>
    <w:rsid w:val="00111379"/>
    <w:rsid w:val="001134E7"/>
    <w:rsid w:val="00113D4E"/>
    <w:rsid w:val="00114F2A"/>
    <w:rsid w:val="00120936"/>
    <w:rsid w:val="0012302C"/>
    <w:rsid w:val="00123A4A"/>
    <w:rsid w:val="0012414A"/>
    <w:rsid w:val="00124A83"/>
    <w:rsid w:val="0012636D"/>
    <w:rsid w:val="001269DD"/>
    <w:rsid w:val="00127583"/>
    <w:rsid w:val="001304F2"/>
    <w:rsid w:val="00130DF7"/>
    <w:rsid w:val="0013205D"/>
    <w:rsid w:val="001324DA"/>
    <w:rsid w:val="00132C51"/>
    <w:rsid w:val="0013437C"/>
    <w:rsid w:val="00134FDA"/>
    <w:rsid w:val="00135497"/>
    <w:rsid w:val="00136344"/>
    <w:rsid w:val="0013658C"/>
    <w:rsid w:val="00137DE8"/>
    <w:rsid w:val="00137F31"/>
    <w:rsid w:val="001406AD"/>
    <w:rsid w:val="00140807"/>
    <w:rsid w:val="00140C3A"/>
    <w:rsid w:val="00141CA0"/>
    <w:rsid w:val="00141D9C"/>
    <w:rsid w:val="00142BCF"/>
    <w:rsid w:val="001431DF"/>
    <w:rsid w:val="00145BDB"/>
    <w:rsid w:val="001524B1"/>
    <w:rsid w:val="00153DAC"/>
    <w:rsid w:val="00154BEC"/>
    <w:rsid w:val="00155CA1"/>
    <w:rsid w:val="00163672"/>
    <w:rsid w:val="0016506B"/>
    <w:rsid w:val="00165C83"/>
    <w:rsid w:val="00171399"/>
    <w:rsid w:val="0017169E"/>
    <w:rsid w:val="00171A41"/>
    <w:rsid w:val="00172412"/>
    <w:rsid w:val="00173911"/>
    <w:rsid w:val="00173C82"/>
    <w:rsid w:val="001753FE"/>
    <w:rsid w:val="00175545"/>
    <w:rsid w:val="00180E49"/>
    <w:rsid w:val="001826C9"/>
    <w:rsid w:val="00184409"/>
    <w:rsid w:val="00185BB8"/>
    <w:rsid w:val="00185C85"/>
    <w:rsid w:val="00187A81"/>
    <w:rsid w:val="001901BB"/>
    <w:rsid w:val="001902D3"/>
    <w:rsid w:val="00190C0B"/>
    <w:rsid w:val="00194435"/>
    <w:rsid w:val="001A003A"/>
    <w:rsid w:val="001A0354"/>
    <w:rsid w:val="001A0EC7"/>
    <w:rsid w:val="001A2072"/>
    <w:rsid w:val="001A230A"/>
    <w:rsid w:val="001A23E4"/>
    <w:rsid w:val="001A29B5"/>
    <w:rsid w:val="001A481C"/>
    <w:rsid w:val="001A528A"/>
    <w:rsid w:val="001A542E"/>
    <w:rsid w:val="001A5435"/>
    <w:rsid w:val="001A5F04"/>
    <w:rsid w:val="001A6CF7"/>
    <w:rsid w:val="001A6F0E"/>
    <w:rsid w:val="001A7574"/>
    <w:rsid w:val="001A7BE4"/>
    <w:rsid w:val="001A7E1A"/>
    <w:rsid w:val="001A7FE3"/>
    <w:rsid w:val="001B0B96"/>
    <w:rsid w:val="001B10FA"/>
    <w:rsid w:val="001B4362"/>
    <w:rsid w:val="001B65B3"/>
    <w:rsid w:val="001B6602"/>
    <w:rsid w:val="001B69FF"/>
    <w:rsid w:val="001C0520"/>
    <w:rsid w:val="001C1A93"/>
    <w:rsid w:val="001C1E3B"/>
    <w:rsid w:val="001C217D"/>
    <w:rsid w:val="001C2A60"/>
    <w:rsid w:val="001C4671"/>
    <w:rsid w:val="001C5F01"/>
    <w:rsid w:val="001C7AC5"/>
    <w:rsid w:val="001D1140"/>
    <w:rsid w:val="001D2208"/>
    <w:rsid w:val="001D256F"/>
    <w:rsid w:val="001D3BAE"/>
    <w:rsid w:val="001D510F"/>
    <w:rsid w:val="001D7170"/>
    <w:rsid w:val="001D7375"/>
    <w:rsid w:val="001E3574"/>
    <w:rsid w:val="001E46F6"/>
    <w:rsid w:val="001E506D"/>
    <w:rsid w:val="001E7267"/>
    <w:rsid w:val="001F060B"/>
    <w:rsid w:val="001F2FA2"/>
    <w:rsid w:val="001F3DAC"/>
    <w:rsid w:val="001F4FA4"/>
    <w:rsid w:val="001F50A4"/>
    <w:rsid w:val="001F5655"/>
    <w:rsid w:val="001F677F"/>
    <w:rsid w:val="00200B72"/>
    <w:rsid w:val="00202A49"/>
    <w:rsid w:val="00202B9D"/>
    <w:rsid w:val="00203B2D"/>
    <w:rsid w:val="00203D17"/>
    <w:rsid w:val="00204AD5"/>
    <w:rsid w:val="0020691A"/>
    <w:rsid w:val="00211174"/>
    <w:rsid w:val="00213473"/>
    <w:rsid w:val="002137DA"/>
    <w:rsid w:val="00214030"/>
    <w:rsid w:val="002143B8"/>
    <w:rsid w:val="00215A7F"/>
    <w:rsid w:val="00216965"/>
    <w:rsid w:val="00222609"/>
    <w:rsid w:val="00222D0F"/>
    <w:rsid w:val="00222FA7"/>
    <w:rsid w:val="00223274"/>
    <w:rsid w:val="002235F1"/>
    <w:rsid w:val="00223713"/>
    <w:rsid w:val="00223E15"/>
    <w:rsid w:val="00225730"/>
    <w:rsid w:val="00227341"/>
    <w:rsid w:val="00230249"/>
    <w:rsid w:val="002321B3"/>
    <w:rsid w:val="0023376A"/>
    <w:rsid w:val="00233C8F"/>
    <w:rsid w:val="00235927"/>
    <w:rsid w:val="00237E01"/>
    <w:rsid w:val="002400F4"/>
    <w:rsid w:val="002408EA"/>
    <w:rsid w:val="00244647"/>
    <w:rsid w:val="00245633"/>
    <w:rsid w:val="00246A0A"/>
    <w:rsid w:val="00246C9A"/>
    <w:rsid w:val="00247C4F"/>
    <w:rsid w:val="002514A8"/>
    <w:rsid w:val="0025206D"/>
    <w:rsid w:val="00252C62"/>
    <w:rsid w:val="00254C0B"/>
    <w:rsid w:val="00255F77"/>
    <w:rsid w:val="002569CE"/>
    <w:rsid w:val="002578E4"/>
    <w:rsid w:val="00260272"/>
    <w:rsid w:val="002604BC"/>
    <w:rsid w:val="00260CE4"/>
    <w:rsid w:val="0026302E"/>
    <w:rsid w:val="00263614"/>
    <w:rsid w:val="00263A98"/>
    <w:rsid w:val="002641FE"/>
    <w:rsid w:val="00265A34"/>
    <w:rsid w:val="00266A54"/>
    <w:rsid w:val="00266AD4"/>
    <w:rsid w:val="00267D60"/>
    <w:rsid w:val="00270605"/>
    <w:rsid w:val="00270E94"/>
    <w:rsid w:val="0027103E"/>
    <w:rsid w:val="002719AD"/>
    <w:rsid w:val="00276267"/>
    <w:rsid w:val="00276A95"/>
    <w:rsid w:val="00277952"/>
    <w:rsid w:val="00277A2D"/>
    <w:rsid w:val="00282250"/>
    <w:rsid w:val="00282C5B"/>
    <w:rsid w:val="00283A5E"/>
    <w:rsid w:val="00285183"/>
    <w:rsid w:val="002857D0"/>
    <w:rsid w:val="0028753A"/>
    <w:rsid w:val="00290B5B"/>
    <w:rsid w:val="0029335E"/>
    <w:rsid w:val="00293B5A"/>
    <w:rsid w:val="00296096"/>
    <w:rsid w:val="00296372"/>
    <w:rsid w:val="002A0E3E"/>
    <w:rsid w:val="002A2D00"/>
    <w:rsid w:val="002A511E"/>
    <w:rsid w:val="002A52EE"/>
    <w:rsid w:val="002A5BF4"/>
    <w:rsid w:val="002A60D0"/>
    <w:rsid w:val="002A665B"/>
    <w:rsid w:val="002A6CFB"/>
    <w:rsid w:val="002A77D6"/>
    <w:rsid w:val="002B019F"/>
    <w:rsid w:val="002B0CA5"/>
    <w:rsid w:val="002B28FB"/>
    <w:rsid w:val="002B2D42"/>
    <w:rsid w:val="002B311E"/>
    <w:rsid w:val="002B5A6E"/>
    <w:rsid w:val="002B6109"/>
    <w:rsid w:val="002B61C4"/>
    <w:rsid w:val="002B6862"/>
    <w:rsid w:val="002B6A12"/>
    <w:rsid w:val="002B7C21"/>
    <w:rsid w:val="002C0CCC"/>
    <w:rsid w:val="002C13B0"/>
    <w:rsid w:val="002C1A7E"/>
    <w:rsid w:val="002C2447"/>
    <w:rsid w:val="002C296A"/>
    <w:rsid w:val="002C3AFC"/>
    <w:rsid w:val="002C783B"/>
    <w:rsid w:val="002C7BF6"/>
    <w:rsid w:val="002D0382"/>
    <w:rsid w:val="002D06B9"/>
    <w:rsid w:val="002D0A3B"/>
    <w:rsid w:val="002D1A12"/>
    <w:rsid w:val="002D22B1"/>
    <w:rsid w:val="002D2A81"/>
    <w:rsid w:val="002D430E"/>
    <w:rsid w:val="002D46B9"/>
    <w:rsid w:val="002D6FAA"/>
    <w:rsid w:val="002E0F65"/>
    <w:rsid w:val="002E1493"/>
    <w:rsid w:val="002E4721"/>
    <w:rsid w:val="002E5FFA"/>
    <w:rsid w:val="002E6F58"/>
    <w:rsid w:val="002E7460"/>
    <w:rsid w:val="002E74A3"/>
    <w:rsid w:val="002F0519"/>
    <w:rsid w:val="002F2EEF"/>
    <w:rsid w:val="002F3295"/>
    <w:rsid w:val="002F4E93"/>
    <w:rsid w:val="002F64BD"/>
    <w:rsid w:val="002F68C2"/>
    <w:rsid w:val="002F6C0D"/>
    <w:rsid w:val="002F6CD5"/>
    <w:rsid w:val="002F6DF6"/>
    <w:rsid w:val="002F7B0E"/>
    <w:rsid w:val="002F7E53"/>
    <w:rsid w:val="00302664"/>
    <w:rsid w:val="00302BE7"/>
    <w:rsid w:val="00304C30"/>
    <w:rsid w:val="0030560A"/>
    <w:rsid w:val="00305C6E"/>
    <w:rsid w:val="00306E17"/>
    <w:rsid w:val="00307736"/>
    <w:rsid w:val="00307924"/>
    <w:rsid w:val="00307AD6"/>
    <w:rsid w:val="00307BB2"/>
    <w:rsid w:val="003116A1"/>
    <w:rsid w:val="00311ED0"/>
    <w:rsid w:val="0031416A"/>
    <w:rsid w:val="003153EB"/>
    <w:rsid w:val="00315638"/>
    <w:rsid w:val="003167EB"/>
    <w:rsid w:val="00320158"/>
    <w:rsid w:val="00322631"/>
    <w:rsid w:val="0032263A"/>
    <w:rsid w:val="00322954"/>
    <w:rsid w:val="003240F0"/>
    <w:rsid w:val="00324607"/>
    <w:rsid w:val="00324CC5"/>
    <w:rsid w:val="00325ABD"/>
    <w:rsid w:val="00327521"/>
    <w:rsid w:val="00330692"/>
    <w:rsid w:val="00330A91"/>
    <w:rsid w:val="00332D1B"/>
    <w:rsid w:val="00333357"/>
    <w:rsid w:val="00334132"/>
    <w:rsid w:val="003341C8"/>
    <w:rsid w:val="003347DA"/>
    <w:rsid w:val="00334FF0"/>
    <w:rsid w:val="00335AF3"/>
    <w:rsid w:val="0034067D"/>
    <w:rsid w:val="003408D2"/>
    <w:rsid w:val="00342B8B"/>
    <w:rsid w:val="0034304D"/>
    <w:rsid w:val="003441F7"/>
    <w:rsid w:val="00344EDC"/>
    <w:rsid w:val="00345FA5"/>
    <w:rsid w:val="00346DBA"/>
    <w:rsid w:val="00351427"/>
    <w:rsid w:val="00353A88"/>
    <w:rsid w:val="00354C5D"/>
    <w:rsid w:val="0036152E"/>
    <w:rsid w:val="00362D0C"/>
    <w:rsid w:val="00362D87"/>
    <w:rsid w:val="00363872"/>
    <w:rsid w:val="00363F9C"/>
    <w:rsid w:val="003648BE"/>
    <w:rsid w:val="00364E15"/>
    <w:rsid w:val="003657A1"/>
    <w:rsid w:val="00367A04"/>
    <w:rsid w:val="003708C8"/>
    <w:rsid w:val="00370B6D"/>
    <w:rsid w:val="003713FB"/>
    <w:rsid w:val="00371C16"/>
    <w:rsid w:val="0037224D"/>
    <w:rsid w:val="003722FA"/>
    <w:rsid w:val="0037339D"/>
    <w:rsid w:val="00375903"/>
    <w:rsid w:val="00377277"/>
    <w:rsid w:val="00381592"/>
    <w:rsid w:val="003816D1"/>
    <w:rsid w:val="003825E7"/>
    <w:rsid w:val="0038274C"/>
    <w:rsid w:val="00382AFE"/>
    <w:rsid w:val="00384CFD"/>
    <w:rsid w:val="0038506C"/>
    <w:rsid w:val="003869B0"/>
    <w:rsid w:val="00387B4D"/>
    <w:rsid w:val="003906D7"/>
    <w:rsid w:val="0039079F"/>
    <w:rsid w:val="00391E95"/>
    <w:rsid w:val="00391E9F"/>
    <w:rsid w:val="003926B7"/>
    <w:rsid w:val="00392F13"/>
    <w:rsid w:val="00393CDA"/>
    <w:rsid w:val="00394BD5"/>
    <w:rsid w:val="00395ACE"/>
    <w:rsid w:val="003A093D"/>
    <w:rsid w:val="003A09D5"/>
    <w:rsid w:val="003A1825"/>
    <w:rsid w:val="003A27D7"/>
    <w:rsid w:val="003A57C1"/>
    <w:rsid w:val="003A6AA8"/>
    <w:rsid w:val="003A6CF6"/>
    <w:rsid w:val="003A6FF6"/>
    <w:rsid w:val="003A746A"/>
    <w:rsid w:val="003B109E"/>
    <w:rsid w:val="003B1354"/>
    <w:rsid w:val="003B1747"/>
    <w:rsid w:val="003B1C33"/>
    <w:rsid w:val="003B49F8"/>
    <w:rsid w:val="003B5177"/>
    <w:rsid w:val="003B6DDC"/>
    <w:rsid w:val="003B7567"/>
    <w:rsid w:val="003C0CB0"/>
    <w:rsid w:val="003C36F7"/>
    <w:rsid w:val="003C50D4"/>
    <w:rsid w:val="003C527B"/>
    <w:rsid w:val="003C6E82"/>
    <w:rsid w:val="003C6FAD"/>
    <w:rsid w:val="003C7AAF"/>
    <w:rsid w:val="003D3532"/>
    <w:rsid w:val="003D6F5F"/>
    <w:rsid w:val="003E073D"/>
    <w:rsid w:val="003E12B1"/>
    <w:rsid w:val="003E1C13"/>
    <w:rsid w:val="003E1FE5"/>
    <w:rsid w:val="003E366A"/>
    <w:rsid w:val="003E3FA7"/>
    <w:rsid w:val="003E4281"/>
    <w:rsid w:val="003E436E"/>
    <w:rsid w:val="003E4BA1"/>
    <w:rsid w:val="003E4C4B"/>
    <w:rsid w:val="003E575D"/>
    <w:rsid w:val="003E58F8"/>
    <w:rsid w:val="003E655F"/>
    <w:rsid w:val="003F0523"/>
    <w:rsid w:val="003F0552"/>
    <w:rsid w:val="003F130E"/>
    <w:rsid w:val="003F14F7"/>
    <w:rsid w:val="003F18BC"/>
    <w:rsid w:val="003F2EC0"/>
    <w:rsid w:val="003F41A3"/>
    <w:rsid w:val="003F4508"/>
    <w:rsid w:val="003F4EC4"/>
    <w:rsid w:val="003F542C"/>
    <w:rsid w:val="003F5A2A"/>
    <w:rsid w:val="003F70B8"/>
    <w:rsid w:val="003F7F4C"/>
    <w:rsid w:val="00400EA8"/>
    <w:rsid w:val="00402A3A"/>
    <w:rsid w:val="00404F49"/>
    <w:rsid w:val="00405DE9"/>
    <w:rsid w:val="004075B6"/>
    <w:rsid w:val="00411201"/>
    <w:rsid w:val="0041188D"/>
    <w:rsid w:val="00414915"/>
    <w:rsid w:val="0041607B"/>
    <w:rsid w:val="0041660E"/>
    <w:rsid w:val="00416A41"/>
    <w:rsid w:val="0041703D"/>
    <w:rsid w:val="0041736E"/>
    <w:rsid w:val="00420333"/>
    <w:rsid w:val="00420952"/>
    <w:rsid w:val="0042183E"/>
    <w:rsid w:val="0042221D"/>
    <w:rsid w:val="004240BC"/>
    <w:rsid w:val="00424414"/>
    <w:rsid w:val="0042628F"/>
    <w:rsid w:val="00427135"/>
    <w:rsid w:val="00431DE3"/>
    <w:rsid w:val="0043294A"/>
    <w:rsid w:val="00432BBB"/>
    <w:rsid w:val="004330FF"/>
    <w:rsid w:val="004338C5"/>
    <w:rsid w:val="00435DD2"/>
    <w:rsid w:val="00435EA3"/>
    <w:rsid w:val="0044048C"/>
    <w:rsid w:val="004405D7"/>
    <w:rsid w:val="004408D8"/>
    <w:rsid w:val="00444032"/>
    <w:rsid w:val="00444EA6"/>
    <w:rsid w:val="0044519F"/>
    <w:rsid w:val="004455CA"/>
    <w:rsid w:val="00445784"/>
    <w:rsid w:val="004462F7"/>
    <w:rsid w:val="00446498"/>
    <w:rsid w:val="00446BEE"/>
    <w:rsid w:val="00450090"/>
    <w:rsid w:val="004510E0"/>
    <w:rsid w:val="0045126F"/>
    <w:rsid w:val="00454048"/>
    <w:rsid w:val="004541A0"/>
    <w:rsid w:val="00456881"/>
    <w:rsid w:val="00460410"/>
    <w:rsid w:val="00462FAD"/>
    <w:rsid w:val="00463B94"/>
    <w:rsid w:val="00463BD8"/>
    <w:rsid w:val="00464586"/>
    <w:rsid w:val="00465C36"/>
    <w:rsid w:val="00466B16"/>
    <w:rsid w:val="00466C26"/>
    <w:rsid w:val="00467334"/>
    <w:rsid w:val="00471920"/>
    <w:rsid w:val="004730BA"/>
    <w:rsid w:val="00473BB1"/>
    <w:rsid w:val="00474F01"/>
    <w:rsid w:val="00476394"/>
    <w:rsid w:val="004773EE"/>
    <w:rsid w:val="004817EB"/>
    <w:rsid w:val="00481E56"/>
    <w:rsid w:val="00483123"/>
    <w:rsid w:val="004834ED"/>
    <w:rsid w:val="00483981"/>
    <w:rsid w:val="00485987"/>
    <w:rsid w:val="004900AF"/>
    <w:rsid w:val="00491211"/>
    <w:rsid w:val="00491FE4"/>
    <w:rsid w:val="0049289D"/>
    <w:rsid w:val="00494C8B"/>
    <w:rsid w:val="004963F1"/>
    <w:rsid w:val="00496BE3"/>
    <w:rsid w:val="00497DA0"/>
    <w:rsid w:val="004A2A32"/>
    <w:rsid w:val="004A325A"/>
    <w:rsid w:val="004A44A3"/>
    <w:rsid w:val="004A5F0D"/>
    <w:rsid w:val="004A6456"/>
    <w:rsid w:val="004A6C8B"/>
    <w:rsid w:val="004A6FCF"/>
    <w:rsid w:val="004A73DB"/>
    <w:rsid w:val="004A75DC"/>
    <w:rsid w:val="004A7BD3"/>
    <w:rsid w:val="004B00AC"/>
    <w:rsid w:val="004B1B27"/>
    <w:rsid w:val="004B2E89"/>
    <w:rsid w:val="004B4112"/>
    <w:rsid w:val="004B4663"/>
    <w:rsid w:val="004B5922"/>
    <w:rsid w:val="004B62C1"/>
    <w:rsid w:val="004B662B"/>
    <w:rsid w:val="004C14F4"/>
    <w:rsid w:val="004C1561"/>
    <w:rsid w:val="004C1AB9"/>
    <w:rsid w:val="004C3051"/>
    <w:rsid w:val="004C38A3"/>
    <w:rsid w:val="004C3F55"/>
    <w:rsid w:val="004C4168"/>
    <w:rsid w:val="004C4A03"/>
    <w:rsid w:val="004C7591"/>
    <w:rsid w:val="004D2E54"/>
    <w:rsid w:val="004D410E"/>
    <w:rsid w:val="004D472D"/>
    <w:rsid w:val="004D4FC4"/>
    <w:rsid w:val="004D7EF1"/>
    <w:rsid w:val="004E072F"/>
    <w:rsid w:val="004E12A7"/>
    <w:rsid w:val="004E1CEF"/>
    <w:rsid w:val="004E1FD4"/>
    <w:rsid w:val="004E3A88"/>
    <w:rsid w:val="004E6D91"/>
    <w:rsid w:val="004E731F"/>
    <w:rsid w:val="004F3F31"/>
    <w:rsid w:val="004F457A"/>
    <w:rsid w:val="004F63DC"/>
    <w:rsid w:val="004F76CC"/>
    <w:rsid w:val="00500434"/>
    <w:rsid w:val="00501A31"/>
    <w:rsid w:val="005025A1"/>
    <w:rsid w:val="00502874"/>
    <w:rsid w:val="00502C4B"/>
    <w:rsid w:val="005048FB"/>
    <w:rsid w:val="00504F90"/>
    <w:rsid w:val="005061F9"/>
    <w:rsid w:val="00506C81"/>
    <w:rsid w:val="0051026C"/>
    <w:rsid w:val="0051111E"/>
    <w:rsid w:val="0051622C"/>
    <w:rsid w:val="00516718"/>
    <w:rsid w:val="00516AAC"/>
    <w:rsid w:val="00517CA6"/>
    <w:rsid w:val="0052055D"/>
    <w:rsid w:val="0052161D"/>
    <w:rsid w:val="005229DD"/>
    <w:rsid w:val="00526CC1"/>
    <w:rsid w:val="00526F93"/>
    <w:rsid w:val="0052771E"/>
    <w:rsid w:val="00527EE4"/>
    <w:rsid w:val="00534339"/>
    <w:rsid w:val="00534AD1"/>
    <w:rsid w:val="005357B3"/>
    <w:rsid w:val="00536730"/>
    <w:rsid w:val="0053706F"/>
    <w:rsid w:val="0054323C"/>
    <w:rsid w:val="00543FBB"/>
    <w:rsid w:val="005456D5"/>
    <w:rsid w:val="005459FC"/>
    <w:rsid w:val="00545FF6"/>
    <w:rsid w:val="00546183"/>
    <w:rsid w:val="005470DB"/>
    <w:rsid w:val="00547BC2"/>
    <w:rsid w:val="00547CF2"/>
    <w:rsid w:val="00547D49"/>
    <w:rsid w:val="005507C8"/>
    <w:rsid w:val="00553560"/>
    <w:rsid w:val="005535D1"/>
    <w:rsid w:val="00554721"/>
    <w:rsid w:val="00556203"/>
    <w:rsid w:val="00557616"/>
    <w:rsid w:val="00557EBB"/>
    <w:rsid w:val="00560A84"/>
    <w:rsid w:val="00562D25"/>
    <w:rsid w:val="00565C8C"/>
    <w:rsid w:val="00566CA5"/>
    <w:rsid w:val="005702EE"/>
    <w:rsid w:val="00573F7C"/>
    <w:rsid w:val="00574385"/>
    <w:rsid w:val="005760C5"/>
    <w:rsid w:val="00576A15"/>
    <w:rsid w:val="00580B4F"/>
    <w:rsid w:val="00580D6D"/>
    <w:rsid w:val="00581557"/>
    <w:rsid w:val="00582451"/>
    <w:rsid w:val="00582653"/>
    <w:rsid w:val="00582D94"/>
    <w:rsid w:val="00583D78"/>
    <w:rsid w:val="00586982"/>
    <w:rsid w:val="00587E96"/>
    <w:rsid w:val="005911EA"/>
    <w:rsid w:val="005921BE"/>
    <w:rsid w:val="005929B1"/>
    <w:rsid w:val="00594085"/>
    <w:rsid w:val="00596195"/>
    <w:rsid w:val="005966BC"/>
    <w:rsid w:val="005A0C10"/>
    <w:rsid w:val="005A19AE"/>
    <w:rsid w:val="005A1DB2"/>
    <w:rsid w:val="005A2D81"/>
    <w:rsid w:val="005A46AA"/>
    <w:rsid w:val="005A49EA"/>
    <w:rsid w:val="005A4F22"/>
    <w:rsid w:val="005A5841"/>
    <w:rsid w:val="005A61AD"/>
    <w:rsid w:val="005B1D16"/>
    <w:rsid w:val="005B4E96"/>
    <w:rsid w:val="005B7948"/>
    <w:rsid w:val="005C0A82"/>
    <w:rsid w:val="005C0E53"/>
    <w:rsid w:val="005C179D"/>
    <w:rsid w:val="005C6004"/>
    <w:rsid w:val="005C6281"/>
    <w:rsid w:val="005C6F10"/>
    <w:rsid w:val="005D09B7"/>
    <w:rsid w:val="005D1A93"/>
    <w:rsid w:val="005D35D7"/>
    <w:rsid w:val="005D3CF1"/>
    <w:rsid w:val="005D3F1C"/>
    <w:rsid w:val="005D5F66"/>
    <w:rsid w:val="005D769A"/>
    <w:rsid w:val="005D78A9"/>
    <w:rsid w:val="005E2BA0"/>
    <w:rsid w:val="005E400B"/>
    <w:rsid w:val="005E4983"/>
    <w:rsid w:val="005E5DDE"/>
    <w:rsid w:val="005E5E3B"/>
    <w:rsid w:val="005E66E2"/>
    <w:rsid w:val="005E6F8F"/>
    <w:rsid w:val="005F30B0"/>
    <w:rsid w:val="005F3784"/>
    <w:rsid w:val="005F3808"/>
    <w:rsid w:val="005F76B7"/>
    <w:rsid w:val="00600D6F"/>
    <w:rsid w:val="0060307C"/>
    <w:rsid w:val="00603263"/>
    <w:rsid w:val="00604500"/>
    <w:rsid w:val="00604751"/>
    <w:rsid w:val="006057FD"/>
    <w:rsid w:val="00606F1C"/>
    <w:rsid w:val="00607B3D"/>
    <w:rsid w:val="00610C04"/>
    <w:rsid w:val="006110B7"/>
    <w:rsid w:val="006144F6"/>
    <w:rsid w:val="00620648"/>
    <w:rsid w:val="0062116C"/>
    <w:rsid w:val="00621435"/>
    <w:rsid w:val="0062214D"/>
    <w:rsid w:val="00623619"/>
    <w:rsid w:val="00624810"/>
    <w:rsid w:val="0062494E"/>
    <w:rsid w:val="00625B1A"/>
    <w:rsid w:val="00626943"/>
    <w:rsid w:val="00627895"/>
    <w:rsid w:val="00627E87"/>
    <w:rsid w:val="00627EAB"/>
    <w:rsid w:val="006316DB"/>
    <w:rsid w:val="00632C95"/>
    <w:rsid w:val="00632F95"/>
    <w:rsid w:val="006340F4"/>
    <w:rsid w:val="00634347"/>
    <w:rsid w:val="0064039D"/>
    <w:rsid w:val="00641033"/>
    <w:rsid w:val="0064504B"/>
    <w:rsid w:val="006504BC"/>
    <w:rsid w:val="00650AE7"/>
    <w:rsid w:val="00652CCB"/>
    <w:rsid w:val="006541B3"/>
    <w:rsid w:val="006544D3"/>
    <w:rsid w:val="006557CF"/>
    <w:rsid w:val="006573BF"/>
    <w:rsid w:val="00660953"/>
    <w:rsid w:val="00661C18"/>
    <w:rsid w:val="0066208D"/>
    <w:rsid w:val="00665120"/>
    <w:rsid w:val="00666456"/>
    <w:rsid w:val="006700FC"/>
    <w:rsid w:val="006711C4"/>
    <w:rsid w:val="00671949"/>
    <w:rsid w:val="00671A65"/>
    <w:rsid w:val="00672367"/>
    <w:rsid w:val="0067273A"/>
    <w:rsid w:val="00673ED1"/>
    <w:rsid w:val="0067426A"/>
    <w:rsid w:val="006744FF"/>
    <w:rsid w:val="0067455E"/>
    <w:rsid w:val="0067493D"/>
    <w:rsid w:val="00676FCC"/>
    <w:rsid w:val="00677032"/>
    <w:rsid w:val="0068026C"/>
    <w:rsid w:val="0068068C"/>
    <w:rsid w:val="006809E4"/>
    <w:rsid w:val="0068121A"/>
    <w:rsid w:val="00683301"/>
    <w:rsid w:val="006844BA"/>
    <w:rsid w:val="006844CB"/>
    <w:rsid w:val="006854A8"/>
    <w:rsid w:val="00685A26"/>
    <w:rsid w:val="00691454"/>
    <w:rsid w:val="006921E1"/>
    <w:rsid w:val="006929A2"/>
    <w:rsid w:val="00693202"/>
    <w:rsid w:val="00695209"/>
    <w:rsid w:val="00695B92"/>
    <w:rsid w:val="00695E44"/>
    <w:rsid w:val="006A055D"/>
    <w:rsid w:val="006A0658"/>
    <w:rsid w:val="006A10CF"/>
    <w:rsid w:val="006A548B"/>
    <w:rsid w:val="006A5EF3"/>
    <w:rsid w:val="006A710A"/>
    <w:rsid w:val="006A72B6"/>
    <w:rsid w:val="006B080F"/>
    <w:rsid w:val="006B2BBF"/>
    <w:rsid w:val="006B3FED"/>
    <w:rsid w:val="006B56CF"/>
    <w:rsid w:val="006B5842"/>
    <w:rsid w:val="006B5E3E"/>
    <w:rsid w:val="006C0F6B"/>
    <w:rsid w:val="006C3BE4"/>
    <w:rsid w:val="006C45F8"/>
    <w:rsid w:val="006C50C0"/>
    <w:rsid w:val="006C6335"/>
    <w:rsid w:val="006D1F93"/>
    <w:rsid w:val="006D2029"/>
    <w:rsid w:val="006D3B0D"/>
    <w:rsid w:val="006D3F19"/>
    <w:rsid w:val="006D4113"/>
    <w:rsid w:val="006D50F4"/>
    <w:rsid w:val="006D55A6"/>
    <w:rsid w:val="006D5F03"/>
    <w:rsid w:val="006D6361"/>
    <w:rsid w:val="006D79FC"/>
    <w:rsid w:val="006E1B96"/>
    <w:rsid w:val="006E3831"/>
    <w:rsid w:val="006E4B13"/>
    <w:rsid w:val="006E608E"/>
    <w:rsid w:val="006E74CA"/>
    <w:rsid w:val="006E7A31"/>
    <w:rsid w:val="006F0D0C"/>
    <w:rsid w:val="006F0D9A"/>
    <w:rsid w:val="006F1C1B"/>
    <w:rsid w:val="006F21DF"/>
    <w:rsid w:val="006F298C"/>
    <w:rsid w:val="006F398A"/>
    <w:rsid w:val="006F5EAB"/>
    <w:rsid w:val="006F7937"/>
    <w:rsid w:val="006F7D33"/>
    <w:rsid w:val="00700F38"/>
    <w:rsid w:val="00702177"/>
    <w:rsid w:val="00707F29"/>
    <w:rsid w:val="00710A3E"/>
    <w:rsid w:val="00711385"/>
    <w:rsid w:val="007134DF"/>
    <w:rsid w:val="00714F6F"/>
    <w:rsid w:val="007179D5"/>
    <w:rsid w:val="00717A3E"/>
    <w:rsid w:val="007203AD"/>
    <w:rsid w:val="00720DF9"/>
    <w:rsid w:val="007228AE"/>
    <w:rsid w:val="007232CC"/>
    <w:rsid w:val="007250E7"/>
    <w:rsid w:val="00726D27"/>
    <w:rsid w:val="00727A9D"/>
    <w:rsid w:val="00730CE3"/>
    <w:rsid w:val="007318B0"/>
    <w:rsid w:val="00734970"/>
    <w:rsid w:val="00734EB2"/>
    <w:rsid w:val="00736348"/>
    <w:rsid w:val="0073638F"/>
    <w:rsid w:val="00737153"/>
    <w:rsid w:val="00737425"/>
    <w:rsid w:val="00741501"/>
    <w:rsid w:val="007419FC"/>
    <w:rsid w:val="00743045"/>
    <w:rsid w:val="007438DF"/>
    <w:rsid w:val="00744CBD"/>
    <w:rsid w:val="00744E23"/>
    <w:rsid w:val="007453FD"/>
    <w:rsid w:val="00746901"/>
    <w:rsid w:val="00750BD6"/>
    <w:rsid w:val="0075162E"/>
    <w:rsid w:val="00752671"/>
    <w:rsid w:val="00756656"/>
    <w:rsid w:val="00757102"/>
    <w:rsid w:val="00760FFD"/>
    <w:rsid w:val="00761031"/>
    <w:rsid w:val="00764BB0"/>
    <w:rsid w:val="00764EDF"/>
    <w:rsid w:val="00766AE9"/>
    <w:rsid w:val="00766F95"/>
    <w:rsid w:val="00767347"/>
    <w:rsid w:val="00767ABA"/>
    <w:rsid w:val="00770B9A"/>
    <w:rsid w:val="007732C4"/>
    <w:rsid w:val="00774362"/>
    <w:rsid w:val="00776773"/>
    <w:rsid w:val="00776D35"/>
    <w:rsid w:val="00780D9B"/>
    <w:rsid w:val="007813F8"/>
    <w:rsid w:val="00781448"/>
    <w:rsid w:val="00781987"/>
    <w:rsid w:val="00781F53"/>
    <w:rsid w:val="00782AD8"/>
    <w:rsid w:val="00784333"/>
    <w:rsid w:val="00786120"/>
    <w:rsid w:val="0079042A"/>
    <w:rsid w:val="0079179D"/>
    <w:rsid w:val="00791E62"/>
    <w:rsid w:val="0079479A"/>
    <w:rsid w:val="007972D5"/>
    <w:rsid w:val="007A00FC"/>
    <w:rsid w:val="007A1B0A"/>
    <w:rsid w:val="007A34BC"/>
    <w:rsid w:val="007A4E4B"/>
    <w:rsid w:val="007B0D6A"/>
    <w:rsid w:val="007B1BCD"/>
    <w:rsid w:val="007B1C0E"/>
    <w:rsid w:val="007B272A"/>
    <w:rsid w:val="007B3DB0"/>
    <w:rsid w:val="007B4872"/>
    <w:rsid w:val="007B54CD"/>
    <w:rsid w:val="007B5A3A"/>
    <w:rsid w:val="007B5F92"/>
    <w:rsid w:val="007B624F"/>
    <w:rsid w:val="007B6A17"/>
    <w:rsid w:val="007C2022"/>
    <w:rsid w:val="007C324A"/>
    <w:rsid w:val="007C33DA"/>
    <w:rsid w:val="007C3BFB"/>
    <w:rsid w:val="007C40E4"/>
    <w:rsid w:val="007C5211"/>
    <w:rsid w:val="007C5853"/>
    <w:rsid w:val="007C6EB9"/>
    <w:rsid w:val="007C6ED4"/>
    <w:rsid w:val="007D08FA"/>
    <w:rsid w:val="007D0A6D"/>
    <w:rsid w:val="007D3112"/>
    <w:rsid w:val="007D333F"/>
    <w:rsid w:val="007D3BBE"/>
    <w:rsid w:val="007D4B1A"/>
    <w:rsid w:val="007D69CE"/>
    <w:rsid w:val="007D7479"/>
    <w:rsid w:val="007D7952"/>
    <w:rsid w:val="007E09E1"/>
    <w:rsid w:val="007E4546"/>
    <w:rsid w:val="007E676D"/>
    <w:rsid w:val="007E6875"/>
    <w:rsid w:val="007F0768"/>
    <w:rsid w:val="007F158B"/>
    <w:rsid w:val="007F182C"/>
    <w:rsid w:val="007F1B53"/>
    <w:rsid w:val="007F2999"/>
    <w:rsid w:val="007F3DAF"/>
    <w:rsid w:val="0080003F"/>
    <w:rsid w:val="00800CD8"/>
    <w:rsid w:val="00801EA9"/>
    <w:rsid w:val="00802592"/>
    <w:rsid w:val="00804D70"/>
    <w:rsid w:val="00805042"/>
    <w:rsid w:val="00805EF0"/>
    <w:rsid w:val="008068ED"/>
    <w:rsid w:val="00810720"/>
    <w:rsid w:val="00810EAB"/>
    <w:rsid w:val="00811F99"/>
    <w:rsid w:val="00813821"/>
    <w:rsid w:val="00813E13"/>
    <w:rsid w:val="008148A2"/>
    <w:rsid w:val="00820719"/>
    <w:rsid w:val="0082220F"/>
    <w:rsid w:val="00824B73"/>
    <w:rsid w:val="00825151"/>
    <w:rsid w:val="00825BBE"/>
    <w:rsid w:val="00825D3C"/>
    <w:rsid w:val="00825D5B"/>
    <w:rsid w:val="00826EB6"/>
    <w:rsid w:val="00827E06"/>
    <w:rsid w:val="00833514"/>
    <w:rsid w:val="00834011"/>
    <w:rsid w:val="00835D8B"/>
    <w:rsid w:val="00837B47"/>
    <w:rsid w:val="008419F4"/>
    <w:rsid w:val="008434B1"/>
    <w:rsid w:val="0084433F"/>
    <w:rsid w:val="008461D4"/>
    <w:rsid w:val="0084662F"/>
    <w:rsid w:val="00850647"/>
    <w:rsid w:val="00853304"/>
    <w:rsid w:val="00854ADE"/>
    <w:rsid w:val="0085513A"/>
    <w:rsid w:val="00857851"/>
    <w:rsid w:val="00862555"/>
    <w:rsid w:val="008637D6"/>
    <w:rsid w:val="008637EA"/>
    <w:rsid w:val="00863E38"/>
    <w:rsid w:val="00865458"/>
    <w:rsid w:val="008666CB"/>
    <w:rsid w:val="00866C8E"/>
    <w:rsid w:val="008671B4"/>
    <w:rsid w:val="008706FF"/>
    <w:rsid w:val="00870D6C"/>
    <w:rsid w:val="00872097"/>
    <w:rsid w:val="00873000"/>
    <w:rsid w:val="00873312"/>
    <w:rsid w:val="0087337A"/>
    <w:rsid w:val="0087356E"/>
    <w:rsid w:val="00875376"/>
    <w:rsid w:val="00875B8D"/>
    <w:rsid w:val="008778A0"/>
    <w:rsid w:val="0088008A"/>
    <w:rsid w:val="008804D8"/>
    <w:rsid w:val="00880CE9"/>
    <w:rsid w:val="0088162D"/>
    <w:rsid w:val="0088276D"/>
    <w:rsid w:val="00882F63"/>
    <w:rsid w:val="00883BFB"/>
    <w:rsid w:val="008840BC"/>
    <w:rsid w:val="00884CF8"/>
    <w:rsid w:val="00884DA5"/>
    <w:rsid w:val="0088526E"/>
    <w:rsid w:val="00885299"/>
    <w:rsid w:val="0088696C"/>
    <w:rsid w:val="00887284"/>
    <w:rsid w:val="008921EA"/>
    <w:rsid w:val="008922EB"/>
    <w:rsid w:val="00893AF1"/>
    <w:rsid w:val="00894225"/>
    <w:rsid w:val="0089737A"/>
    <w:rsid w:val="00897382"/>
    <w:rsid w:val="008A009C"/>
    <w:rsid w:val="008A40B9"/>
    <w:rsid w:val="008A4B1B"/>
    <w:rsid w:val="008A4E56"/>
    <w:rsid w:val="008A5E6E"/>
    <w:rsid w:val="008A60D2"/>
    <w:rsid w:val="008A6367"/>
    <w:rsid w:val="008A6728"/>
    <w:rsid w:val="008A7182"/>
    <w:rsid w:val="008B1A94"/>
    <w:rsid w:val="008B1C4C"/>
    <w:rsid w:val="008B2083"/>
    <w:rsid w:val="008B2D89"/>
    <w:rsid w:val="008B449A"/>
    <w:rsid w:val="008C0762"/>
    <w:rsid w:val="008C0EAF"/>
    <w:rsid w:val="008C17FA"/>
    <w:rsid w:val="008C330D"/>
    <w:rsid w:val="008C3A8E"/>
    <w:rsid w:val="008C4704"/>
    <w:rsid w:val="008C4998"/>
    <w:rsid w:val="008C5661"/>
    <w:rsid w:val="008C684F"/>
    <w:rsid w:val="008C6A7E"/>
    <w:rsid w:val="008C743A"/>
    <w:rsid w:val="008C7C37"/>
    <w:rsid w:val="008D0068"/>
    <w:rsid w:val="008D18FB"/>
    <w:rsid w:val="008D318F"/>
    <w:rsid w:val="008D52FD"/>
    <w:rsid w:val="008D5584"/>
    <w:rsid w:val="008D578A"/>
    <w:rsid w:val="008D5869"/>
    <w:rsid w:val="008D5B3C"/>
    <w:rsid w:val="008E2D91"/>
    <w:rsid w:val="008E37F5"/>
    <w:rsid w:val="008E3962"/>
    <w:rsid w:val="008E4484"/>
    <w:rsid w:val="008E658D"/>
    <w:rsid w:val="008F3881"/>
    <w:rsid w:val="008F3AF0"/>
    <w:rsid w:val="008F7740"/>
    <w:rsid w:val="009008F5"/>
    <w:rsid w:val="0090118F"/>
    <w:rsid w:val="00902E8A"/>
    <w:rsid w:val="0090418A"/>
    <w:rsid w:val="00905E96"/>
    <w:rsid w:val="00906005"/>
    <w:rsid w:val="0090625D"/>
    <w:rsid w:val="00910C02"/>
    <w:rsid w:val="00910D5A"/>
    <w:rsid w:val="0091193E"/>
    <w:rsid w:val="00911DF5"/>
    <w:rsid w:val="0091423E"/>
    <w:rsid w:val="009142F4"/>
    <w:rsid w:val="00915590"/>
    <w:rsid w:val="00920194"/>
    <w:rsid w:val="00921011"/>
    <w:rsid w:val="009217BA"/>
    <w:rsid w:val="009220E2"/>
    <w:rsid w:val="009234E7"/>
    <w:rsid w:val="009239C8"/>
    <w:rsid w:val="00925F15"/>
    <w:rsid w:val="00926FBD"/>
    <w:rsid w:val="00930054"/>
    <w:rsid w:val="00930D75"/>
    <w:rsid w:val="009321C7"/>
    <w:rsid w:val="00933881"/>
    <w:rsid w:val="00933924"/>
    <w:rsid w:val="00933944"/>
    <w:rsid w:val="00936328"/>
    <w:rsid w:val="00936609"/>
    <w:rsid w:val="00940C99"/>
    <w:rsid w:val="0094289B"/>
    <w:rsid w:val="00943B7D"/>
    <w:rsid w:val="0094446B"/>
    <w:rsid w:val="00947FEE"/>
    <w:rsid w:val="00951AE1"/>
    <w:rsid w:val="0095240A"/>
    <w:rsid w:val="0095288F"/>
    <w:rsid w:val="00952A60"/>
    <w:rsid w:val="00953A7C"/>
    <w:rsid w:val="0095467B"/>
    <w:rsid w:val="009574D1"/>
    <w:rsid w:val="009625A6"/>
    <w:rsid w:val="00963989"/>
    <w:rsid w:val="009656CF"/>
    <w:rsid w:val="009657F9"/>
    <w:rsid w:val="00965823"/>
    <w:rsid w:val="009716C3"/>
    <w:rsid w:val="00971A71"/>
    <w:rsid w:val="0097347B"/>
    <w:rsid w:val="00974CAD"/>
    <w:rsid w:val="0097542C"/>
    <w:rsid w:val="009760B1"/>
    <w:rsid w:val="00976B64"/>
    <w:rsid w:val="00976FC3"/>
    <w:rsid w:val="0098213B"/>
    <w:rsid w:val="0098521B"/>
    <w:rsid w:val="0098542D"/>
    <w:rsid w:val="009864B1"/>
    <w:rsid w:val="00986845"/>
    <w:rsid w:val="0098686E"/>
    <w:rsid w:val="00986940"/>
    <w:rsid w:val="00987796"/>
    <w:rsid w:val="00990B82"/>
    <w:rsid w:val="009916B0"/>
    <w:rsid w:val="009920D7"/>
    <w:rsid w:val="0099376B"/>
    <w:rsid w:val="00993F21"/>
    <w:rsid w:val="00996A73"/>
    <w:rsid w:val="00997BA0"/>
    <w:rsid w:val="009A0607"/>
    <w:rsid w:val="009A5BEF"/>
    <w:rsid w:val="009B2724"/>
    <w:rsid w:val="009B3412"/>
    <w:rsid w:val="009B362C"/>
    <w:rsid w:val="009B7C78"/>
    <w:rsid w:val="009C1687"/>
    <w:rsid w:val="009C2E4C"/>
    <w:rsid w:val="009C32E3"/>
    <w:rsid w:val="009C64CF"/>
    <w:rsid w:val="009C7E6B"/>
    <w:rsid w:val="009D090E"/>
    <w:rsid w:val="009D22AB"/>
    <w:rsid w:val="009D48E3"/>
    <w:rsid w:val="009D4BF0"/>
    <w:rsid w:val="009D599B"/>
    <w:rsid w:val="009E1291"/>
    <w:rsid w:val="009E156C"/>
    <w:rsid w:val="009E23E2"/>
    <w:rsid w:val="009E470D"/>
    <w:rsid w:val="009E485C"/>
    <w:rsid w:val="009E55B6"/>
    <w:rsid w:val="009E663E"/>
    <w:rsid w:val="009E680B"/>
    <w:rsid w:val="009E6DF0"/>
    <w:rsid w:val="009E7A4A"/>
    <w:rsid w:val="009F089D"/>
    <w:rsid w:val="009F0BB7"/>
    <w:rsid w:val="009F1802"/>
    <w:rsid w:val="009F3D9C"/>
    <w:rsid w:val="009F4837"/>
    <w:rsid w:val="009F5C68"/>
    <w:rsid w:val="009F672A"/>
    <w:rsid w:val="009F7239"/>
    <w:rsid w:val="00A02CE9"/>
    <w:rsid w:val="00A04FA0"/>
    <w:rsid w:val="00A077E2"/>
    <w:rsid w:val="00A07A23"/>
    <w:rsid w:val="00A07F46"/>
    <w:rsid w:val="00A10161"/>
    <w:rsid w:val="00A1559F"/>
    <w:rsid w:val="00A15A1F"/>
    <w:rsid w:val="00A160CE"/>
    <w:rsid w:val="00A161BD"/>
    <w:rsid w:val="00A16278"/>
    <w:rsid w:val="00A16DB5"/>
    <w:rsid w:val="00A16E20"/>
    <w:rsid w:val="00A203A3"/>
    <w:rsid w:val="00A22122"/>
    <w:rsid w:val="00A25545"/>
    <w:rsid w:val="00A3325A"/>
    <w:rsid w:val="00A33FAA"/>
    <w:rsid w:val="00A376D6"/>
    <w:rsid w:val="00A37C54"/>
    <w:rsid w:val="00A37E21"/>
    <w:rsid w:val="00A37EA0"/>
    <w:rsid w:val="00A40AE7"/>
    <w:rsid w:val="00A410DF"/>
    <w:rsid w:val="00A42976"/>
    <w:rsid w:val="00A443FE"/>
    <w:rsid w:val="00A452C1"/>
    <w:rsid w:val="00A45F29"/>
    <w:rsid w:val="00A460D4"/>
    <w:rsid w:val="00A46FA4"/>
    <w:rsid w:val="00A5121F"/>
    <w:rsid w:val="00A51C09"/>
    <w:rsid w:val="00A52F43"/>
    <w:rsid w:val="00A53184"/>
    <w:rsid w:val="00A53A6F"/>
    <w:rsid w:val="00A54AAE"/>
    <w:rsid w:val="00A56E08"/>
    <w:rsid w:val="00A570A1"/>
    <w:rsid w:val="00A57108"/>
    <w:rsid w:val="00A61103"/>
    <w:rsid w:val="00A6267C"/>
    <w:rsid w:val="00A64E85"/>
    <w:rsid w:val="00A66ADF"/>
    <w:rsid w:val="00A66C8F"/>
    <w:rsid w:val="00A6717D"/>
    <w:rsid w:val="00A673EB"/>
    <w:rsid w:val="00A707F7"/>
    <w:rsid w:val="00A7163E"/>
    <w:rsid w:val="00A71A70"/>
    <w:rsid w:val="00A71F93"/>
    <w:rsid w:val="00A726C6"/>
    <w:rsid w:val="00A7294F"/>
    <w:rsid w:val="00A739AE"/>
    <w:rsid w:val="00A73D39"/>
    <w:rsid w:val="00A74C02"/>
    <w:rsid w:val="00A756BB"/>
    <w:rsid w:val="00A76F0E"/>
    <w:rsid w:val="00A80CFB"/>
    <w:rsid w:val="00A81319"/>
    <w:rsid w:val="00A813F7"/>
    <w:rsid w:val="00A82B58"/>
    <w:rsid w:val="00A83D54"/>
    <w:rsid w:val="00A84F04"/>
    <w:rsid w:val="00A85E44"/>
    <w:rsid w:val="00A917F1"/>
    <w:rsid w:val="00A91A1E"/>
    <w:rsid w:val="00A93085"/>
    <w:rsid w:val="00A93478"/>
    <w:rsid w:val="00A94DF3"/>
    <w:rsid w:val="00A9673D"/>
    <w:rsid w:val="00A973CD"/>
    <w:rsid w:val="00AA0B61"/>
    <w:rsid w:val="00AA283E"/>
    <w:rsid w:val="00AA367B"/>
    <w:rsid w:val="00AA3A48"/>
    <w:rsid w:val="00AA4379"/>
    <w:rsid w:val="00AA60BA"/>
    <w:rsid w:val="00AA77B8"/>
    <w:rsid w:val="00AA7AF0"/>
    <w:rsid w:val="00AB0618"/>
    <w:rsid w:val="00AB14D0"/>
    <w:rsid w:val="00AB16C8"/>
    <w:rsid w:val="00AB23C6"/>
    <w:rsid w:val="00AB2BC3"/>
    <w:rsid w:val="00AB39FB"/>
    <w:rsid w:val="00AB415F"/>
    <w:rsid w:val="00AB49E4"/>
    <w:rsid w:val="00AB61D1"/>
    <w:rsid w:val="00AC0EC6"/>
    <w:rsid w:val="00AC1F93"/>
    <w:rsid w:val="00AC24CF"/>
    <w:rsid w:val="00AC3F23"/>
    <w:rsid w:val="00AC3FAC"/>
    <w:rsid w:val="00AC4E68"/>
    <w:rsid w:val="00AC503C"/>
    <w:rsid w:val="00AC7689"/>
    <w:rsid w:val="00AC7702"/>
    <w:rsid w:val="00AC793F"/>
    <w:rsid w:val="00AD0F7C"/>
    <w:rsid w:val="00AD1E86"/>
    <w:rsid w:val="00AD260E"/>
    <w:rsid w:val="00AD39C7"/>
    <w:rsid w:val="00AD3F91"/>
    <w:rsid w:val="00AD4815"/>
    <w:rsid w:val="00AD5959"/>
    <w:rsid w:val="00AD7675"/>
    <w:rsid w:val="00AD7CFC"/>
    <w:rsid w:val="00AE0BDD"/>
    <w:rsid w:val="00AE0D39"/>
    <w:rsid w:val="00AE13B7"/>
    <w:rsid w:val="00AE15B1"/>
    <w:rsid w:val="00AE19AA"/>
    <w:rsid w:val="00AE42E7"/>
    <w:rsid w:val="00AE54E2"/>
    <w:rsid w:val="00AF05D2"/>
    <w:rsid w:val="00AF108A"/>
    <w:rsid w:val="00AF13BF"/>
    <w:rsid w:val="00AF1BE4"/>
    <w:rsid w:val="00AF3364"/>
    <w:rsid w:val="00AF3886"/>
    <w:rsid w:val="00AF5E1F"/>
    <w:rsid w:val="00AF6728"/>
    <w:rsid w:val="00AF76D1"/>
    <w:rsid w:val="00B0030E"/>
    <w:rsid w:val="00B00498"/>
    <w:rsid w:val="00B02AE3"/>
    <w:rsid w:val="00B02C46"/>
    <w:rsid w:val="00B02E55"/>
    <w:rsid w:val="00B03B57"/>
    <w:rsid w:val="00B048D2"/>
    <w:rsid w:val="00B04F34"/>
    <w:rsid w:val="00B05B51"/>
    <w:rsid w:val="00B11FB2"/>
    <w:rsid w:val="00B12A48"/>
    <w:rsid w:val="00B16F53"/>
    <w:rsid w:val="00B176A7"/>
    <w:rsid w:val="00B2002C"/>
    <w:rsid w:val="00B20FA1"/>
    <w:rsid w:val="00B235E6"/>
    <w:rsid w:val="00B2429D"/>
    <w:rsid w:val="00B24E25"/>
    <w:rsid w:val="00B2526F"/>
    <w:rsid w:val="00B25894"/>
    <w:rsid w:val="00B25C9D"/>
    <w:rsid w:val="00B27357"/>
    <w:rsid w:val="00B274E0"/>
    <w:rsid w:val="00B30BFA"/>
    <w:rsid w:val="00B33639"/>
    <w:rsid w:val="00B342A0"/>
    <w:rsid w:val="00B345AC"/>
    <w:rsid w:val="00B34674"/>
    <w:rsid w:val="00B41247"/>
    <w:rsid w:val="00B413F2"/>
    <w:rsid w:val="00B419E2"/>
    <w:rsid w:val="00B42A05"/>
    <w:rsid w:val="00B42E8E"/>
    <w:rsid w:val="00B441AA"/>
    <w:rsid w:val="00B44482"/>
    <w:rsid w:val="00B45FE5"/>
    <w:rsid w:val="00B46013"/>
    <w:rsid w:val="00B473DA"/>
    <w:rsid w:val="00B47D3C"/>
    <w:rsid w:val="00B54904"/>
    <w:rsid w:val="00B54FAB"/>
    <w:rsid w:val="00B55CC7"/>
    <w:rsid w:val="00B56C27"/>
    <w:rsid w:val="00B56FB7"/>
    <w:rsid w:val="00B60617"/>
    <w:rsid w:val="00B621C7"/>
    <w:rsid w:val="00B64536"/>
    <w:rsid w:val="00B64970"/>
    <w:rsid w:val="00B64B86"/>
    <w:rsid w:val="00B65248"/>
    <w:rsid w:val="00B65D9F"/>
    <w:rsid w:val="00B672F4"/>
    <w:rsid w:val="00B676A4"/>
    <w:rsid w:val="00B70BEE"/>
    <w:rsid w:val="00B73352"/>
    <w:rsid w:val="00B74A5B"/>
    <w:rsid w:val="00B771F7"/>
    <w:rsid w:val="00B7780A"/>
    <w:rsid w:val="00B81DD9"/>
    <w:rsid w:val="00B8205D"/>
    <w:rsid w:val="00B835F0"/>
    <w:rsid w:val="00B86518"/>
    <w:rsid w:val="00B8676E"/>
    <w:rsid w:val="00B86CB9"/>
    <w:rsid w:val="00B87A6F"/>
    <w:rsid w:val="00B90220"/>
    <w:rsid w:val="00B9081B"/>
    <w:rsid w:val="00B917FF"/>
    <w:rsid w:val="00B91B64"/>
    <w:rsid w:val="00B92D4F"/>
    <w:rsid w:val="00B9324E"/>
    <w:rsid w:val="00B93720"/>
    <w:rsid w:val="00B96992"/>
    <w:rsid w:val="00B96A88"/>
    <w:rsid w:val="00BA005C"/>
    <w:rsid w:val="00BA35EC"/>
    <w:rsid w:val="00BA420C"/>
    <w:rsid w:val="00BA5842"/>
    <w:rsid w:val="00BA6B0E"/>
    <w:rsid w:val="00BB0BC1"/>
    <w:rsid w:val="00BB1B86"/>
    <w:rsid w:val="00BB204D"/>
    <w:rsid w:val="00BB217E"/>
    <w:rsid w:val="00BB3CE1"/>
    <w:rsid w:val="00BB4634"/>
    <w:rsid w:val="00BB518B"/>
    <w:rsid w:val="00BB6D7B"/>
    <w:rsid w:val="00BB728C"/>
    <w:rsid w:val="00BB791B"/>
    <w:rsid w:val="00BC197D"/>
    <w:rsid w:val="00BC4A49"/>
    <w:rsid w:val="00BC6C14"/>
    <w:rsid w:val="00BD1581"/>
    <w:rsid w:val="00BD2437"/>
    <w:rsid w:val="00BD2E23"/>
    <w:rsid w:val="00BD4F28"/>
    <w:rsid w:val="00BD66D9"/>
    <w:rsid w:val="00BD6C65"/>
    <w:rsid w:val="00BD71BB"/>
    <w:rsid w:val="00BD74A7"/>
    <w:rsid w:val="00BE50DF"/>
    <w:rsid w:val="00BE564B"/>
    <w:rsid w:val="00BE5835"/>
    <w:rsid w:val="00BE68AE"/>
    <w:rsid w:val="00BE6E04"/>
    <w:rsid w:val="00BE75F0"/>
    <w:rsid w:val="00BE7ABA"/>
    <w:rsid w:val="00BF09F3"/>
    <w:rsid w:val="00BF0DA7"/>
    <w:rsid w:val="00BF3925"/>
    <w:rsid w:val="00BF4F7E"/>
    <w:rsid w:val="00BF4FC1"/>
    <w:rsid w:val="00BF5E39"/>
    <w:rsid w:val="00BF70EA"/>
    <w:rsid w:val="00BF7FE0"/>
    <w:rsid w:val="00C00132"/>
    <w:rsid w:val="00C0047C"/>
    <w:rsid w:val="00C00D7D"/>
    <w:rsid w:val="00C031D2"/>
    <w:rsid w:val="00C0331D"/>
    <w:rsid w:val="00C040A1"/>
    <w:rsid w:val="00C0457B"/>
    <w:rsid w:val="00C05404"/>
    <w:rsid w:val="00C06A7A"/>
    <w:rsid w:val="00C06E45"/>
    <w:rsid w:val="00C0714C"/>
    <w:rsid w:val="00C071D4"/>
    <w:rsid w:val="00C12669"/>
    <w:rsid w:val="00C12EF3"/>
    <w:rsid w:val="00C17EA4"/>
    <w:rsid w:val="00C20597"/>
    <w:rsid w:val="00C20A28"/>
    <w:rsid w:val="00C22DED"/>
    <w:rsid w:val="00C242AF"/>
    <w:rsid w:val="00C30037"/>
    <w:rsid w:val="00C32AF3"/>
    <w:rsid w:val="00C32B9D"/>
    <w:rsid w:val="00C3385F"/>
    <w:rsid w:val="00C353C1"/>
    <w:rsid w:val="00C36C3D"/>
    <w:rsid w:val="00C37F55"/>
    <w:rsid w:val="00C448E8"/>
    <w:rsid w:val="00C4562D"/>
    <w:rsid w:val="00C46449"/>
    <w:rsid w:val="00C47409"/>
    <w:rsid w:val="00C478DE"/>
    <w:rsid w:val="00C47DDE"/>
    <w:rsid w:val="00C50031"/>
    <w:rsid w:val="00C52853"/>
    <w:rsid w:val="00C53BC4"/>
    <w:rsid w:val="00C54EE8"/>
    <w:rsid w:val="00C553BA"/>
    <w:rsid w:val="00C568D0"/>
    <w:rsid w:val="00C57A0B"/>
    <w:rsid w:val="00C57E99"/>
    <w:rsid w:val="00C57EA4"/>
    <w:rsid w:val="00C6011A"/>
    <w:rsid w:val="00C61095"/>
    <w:rsid w:val="00C61380"/>
    <w:rsid w:val="00C61E43"/>
    <w:rsid w:val="00C63D16"/>
    <w:rsid w:val="00C641A7"/>
    <w:rsid w:val="00C64CB1"/>
    <w:rsid w:val="00C651C2"/>
    <w:rsid w:val="00C655DF"/>
    <w:rsid w:val="00C7005B"/>
    <w:rsid w:val="00C705C0"/>
    <w:rsid w:val="00C70657"/>
    <w:rsid w:val="00C7237C"/>
    <w:rsid w:val="00C74477"/>
    <w:rsid w:val="00C744BE"/>
    <w:rsid w:val="00C74BF8"/>
    <w:rsid w:val="00C77AC2"/>
    <w:rsid w:val="00C80386"/>
    <w:rsid w:val="00C80FF0"/>
    <w:rsid w:val="00C82029"/>
    <w:rsid w:val="00C84457"/>
    <w:rsid w:val="00C849D8"/>
    <w:rsid w:val="00C859C6"/>
    <w:rsid w:val="00C85B06"/>
    <w:rsid w:val="00C8607E"/>
    <w:rsid w:val="00C90403"/>
    <w:rsid w:val="00C9172F"/>
    <w:rsid w:val="00C920C9"/>
    <w:rsid w:val="00C92D69"/>
    <w:rsid w:val="00C931DC"/>
    <w:rsid w:val="00C94C6F"/>
    <w:rsid w:val="00C94C89"/>
    <w:rsid w:val="00C94F0D"/>
    <w:rsid w:val="00C952B4"/>
    <w:rsid w:val="00C95B15"/>
    <w:rsid w:val="00CA0360"/>
    <w:rsid w:val="00CA1E94"/>
    <w:rsid w:val="00CA284C"/>
    <w:rsid w:val="00CA321B"/>
    <w:rsid w:val="00CA36CC"/>
    <w:rsid w:val="00CA6009"/>
    <w:rsid w:val="00CB1A41"/>
    <w:rsid w:val="00CB1B05"/>
    <w:rsid w:val="00CB4083"/>
    <w:rsid w:val="00CB44D6"/>
    <w:rsid w:val="00CC1517"/>
    <w:rsid w:val="00CC15D4"/>
    <w:rsid w:val="00CC4B4E"/>
    <w:rsid w:val="00CC7F77"/>
    <w:rsid w:val="00CD1691"/>
    <w:rsid w:val="00CD16AC"/>
    <w:rsid w:val="00CD19A4"/>
    <w:rsid w:val="00CD3D03"/>
    <w:rsid w:val="00CD52D6"/>
    <w:rsid w:val="00CD5944"/>
    <w:rsid w:val="00CD60CE"/>
    <w:rsid w:val="00CD651E"/>
    <w:rsid w:val="00CD6AFA"/>
    <w:rsid w:val="00CE0C92"/>
    <w:rsid w:val="00CE27C9"/>
    <w:rsid w:val="00CE2F48"/>
    <w:rsid w:val="00CE3CF7"/>
    <w:rsid w:val="00CE3E45"/>
    <w:rsid w:val="00CE4759"/>
    <w:rsid w:val="00CE6D7B"/>
    <w:rsid w:val="00CE7641"/>
    <w:rsid w:val="00CF1546"/>
    <w:rsid w:val="00CF1765"/>
    <w:rsid w:val="00CF3B07"/>
    <w:rsid w:val="00CF499F"/>
    <w:rsid w:val="00CF4DE0"/>
    <w:rsid w:val="00CF5207"/>
    <w:rsid w:val="00CF58B7"/>
    <w:rsid w:val="00CF6816"/>
    <w:rsid w:val="00CF7797"/>
    <w:rsid w:val="00CF7C35"/>
    <w:rsid w:val="00CF7ECA"/>
    <w:rsid w:val="00D006BD"/>
    <w:rsid w:val="00D0095E"/>
    <w:rsid w:val="00D01D55"/>
    <w:rsid w:val="00D022A5"/>
    <w:rsid w:val="00D027C1"/>
    <w:rsid w:val="00D04185"/>
    <w:rsid w:val="00D04B91"/>
    <w:rsid w:val="00D078F5"/>
    <w:rsid w:val="00D12A75"/>
    <w:rsid w:val="00D133CA"/>
    <w:rsid w:val="00D13854"/>
    <w:rsid w:val="00D13ABD"/>
    <w:rsid w:val="00D141F5"/>
    <w:rsid w:val="00D14392"/>
    <w:rsid w:val="00D14A90"/>
    <w:rsid w:val="00D14FE3"/>
    <w:rsid w:val="00D160E0"/>
    <w:rsid w:val="00D16392"/>
    <w:rsid w:val="00D16399"/>
    <w:rsid w:val="00D163C0"/>
    <w:rsid w:val="00D16AEF"/>
    <w:rsid w:val="00D16D6B"/>
    <w:rsid w:val="00D2065C"/>
    <w:rsid w:val="00D2187A"/>
    <w:rsid w:val="00D21887"/>
    <w:rsid w:val="00D221DA"/>
    <w:rsid w:val="00D228EF"/>
    <w:rsid w:val="00D2295E"/>
    <w:rsid w:val="00D23536"/>
    <w:rsid w:val="00D2407B"/>
    <w:rsid w:val="00D24E89"/>
    <w:rsid w:val="00D25A0B"/>
    <w:rsid w:val="00D26751"/>
    <w:rsid w:val="00D3146E"/>
    <w:rsid w:val="00D32846"/>
    <w:rsid w:val="00D33B5E"/>
    <w:rsid w:val="00D34529"/>
    <w:rsid w:val="00D3467D"/>
    <w:rsid w:val="00D351C1"/>
    <w:rsid w:val="00D357BA"/>
    <w:rsid w:val="00D35F14"/>
    <w:rsid w:val="00D36586"/>
    <w:rsid w:val="00D36BC9"/>
    <w:rsid w:val="00D376BD"/>
    <w:rsid w:val="00D40FDA"/>
    <w:rsid w:val="00D41D49"/>
    <w:rsid w:val="00D4396E"/>
    <w:rsid w:val="00D439AA"/>
    <w:rsid w:val="00D43D36"/>
    <w:rsid w:val="00D43E98"/>
    <w:rsid w:val="00D44D8A"/>
    <w:rsid w:val="00D47575"/>
    <w:rsid w:val="00D50532"/>
    <w:rsid w:val="00D50FCD"/>
    <w:rsid w:val="00D561E4"/>
    <w:rsid w:val="00D568DD"/>
    <w:rsid w:val="00D568E6"/>
    <w:rsid w:val="00D57CEB"/>
    <w:rsid w:val="00D612F3"/>
    <w:rsid w:val="00D62542"/>
    <w:rsid w:val="00D6638A"/>
    <w:rsid w:val="00D66CC8"/>
    <w:rsid w:val="00D670D3"/>
    <w:rsid w:val="00D672F1"/>
    <w:rsid w:val="00D71678"/>
    <w:rsid w:val="00D71B5E"/>
    <w:rsid w:val="00D731A9"/>
    <w:rsid w:val="00D73371"/>
    <w:rsid w:val="00D74CA1"/>
    <w:rsid w:val="00D75EEC"/>
    <w:rsid w:val="00D775DF"/>
    <w:rsid w:val="00D80157"/>
    <w:rsid w:val="00D814B3"/>
    <w:rsid w:val="00D83CAF"/>
    <w:rsid w:val="00D84014"/>
    <w:rsid w:val="00D849EE"/>
    <w:rsid w:val="00D858B6"/>
    <w:rsid w:val="00D862D3"/>
    <w:rsid w:val="00D86BF0"/>
    <w:rsid w:val="00D923BF"/>
    <w:rsid w:val="00D94311"/>
    <w:rsid w:val="00D94834"/>
    <w:rsid w:val="00D95CC2"/>
    <w:rsid w:val="00D95FA4"/>
    <w:rsid w:val="00D97876"/>
    <w:rsid w:val="00DA3BE2"/>
    <w:rsid w:val="00DA5A53"/>
    <w:rsid w:val="00DB2828"/>
    <w:rsid w:val="00DB42C9"/>
    <w:rsid w:val="00DB4D4C"/>
    <w:rsid w:val="00DB523C"/>
    <w:rsid w:val="00DB5DB4"/>
    <w:rsid w:val="00DB792F"/>
    <w:rsid w:val="00DB7FA2"/>
    <w:rsid w:val="00DC23A9"/>
    <w:rsid w:val="00DC2522"/>
    <w:rsid w:val="00DD0629"/>
    <w:rsid w:val="00DD0BD8"/>
    <w:rsid w:val="00DD1198"/>
    <w:rsid w:val="00DD1BFE"/>
    <w:rsid w:val="00DD4DDA"/>
    <w:rsid w:val="00DD56F6"/>
    <w:rsid w:val="00DD610B"/>
    <w:rsid w:val="00DD6603"/>
    <w:rsid w:val="00DD69F9"/>
    <w:rsid w:val="00DE05AF"/>
    <w:rsid w:val="00DE26B5"/>
    <w:rsid w:val="00DF11E0"/>
    <w:rsid w:val="00DF1BE4"/>
    <w:rsid w:val="00DF2D9D"/>
    <w:rsid w:val="00DF479B"/>
    <w:rsid w:val="00DF54C4"/>
    <w:rsid w:val="00E013CB"/>
    <w:rsid w:val="00E01B68"/>
    <w:rsid w:val="00E01FA7"/>
    <w:rsid w:val="00E02955"/>
    <w:rsid w:val="00E02F6D"/>
    <w:rsid w:val="00E03454"/>
    <w:rsid w:val="00E04D16"/>
    <w:rsid w:val="00E10156"/>
    <w:rsid w:val="00E10237"/>
    <w:rsid w:val="00E10769"/>
    <w:rsid w:val="00E10BDD"/>
    <w:rsid w:val="00E112A3"/>
    <w:rsid w:val="00E12A17"/>
    <w:rsid w:val="00E12D66"/>
    <w:rsid w:val="00E14CE4"/>
    <w:rsid w:val="00E14EFB"/>
    <w:rsid w:val="00E1550C"/>
    <w:rsid w:val="00E15716"/>
    <w:rsid w:val="00E15955"/>
    <w:rsid w:val="00E160E0"/>
    <w:rsid w:val="00E21C70"/>
    <w:rsid w:val="00E21EF9"/>
    <w:rsid w:val="00E231B2"/>
    <w:rsid w:val="00E23626"/>
    <w:rsid w:val="00E23D33"/>
    <w:rsid w:val="00E257A6"/>
    <w:rsid w:val="00E257B1"/>
    <w:rsid w:val="00E276B8"/>
    <w:rsid w:val="00E30665"/>
    <w:rsid w:val="00E32B16"/>
    <w:rsid w:val="00E346B5"/>
    <w:rsid w:val="00E34F21"/>
    <w:rsid w:val="00E354A2"/>
    <w:rsid w:val="00E35C68"/>
    <w:rsid w:val="00E36527"/>
    <w:rsid w:val="00E4022E"/>
    <w:rsid w:val="00E40480"/>
    <w:rsid w:val="00E418DC"/>
    <w:rsid w:val="00E42A7A"/>
    <w:rsid w:val="00E43595"/>
    <w:rsid w:val="00E4539E"/>
    <w:rsid w:val="00E50B54"/>
    <w:rsid w:val="00E51920"/>
    <w:rsid w:val="00E53214"/>
    <w:rsid w:val="00E56515"/>
    <w:rsid w:val="00E578AE"/>
    <w:rsid w:val="00E60B90"/>
    <w:rsid w:val="00E61EF3"/>
    <w:rsid w:val="00E62F68"/>
    <w:rsid w:val="00E63C49"/>
    <w:rsid w:val="00E64120"/>
    <w:rsid w:val="00E657DB"/>
    <w:rsid w:val="00E663A4"/>
    <w:rsid w:val="00E6662B"/>
    <w:rsid w:val="00E678D5"/>
    <w:rsid w:val="00E738D9"/>
    <w:rsid w:val="00E770DC"/>
    <w:rsid w:val="00E80C4B"/>
    <w:rsid w:val="00E81054"/>
    <w:rsid w:val="00E82A51"/>
    <w:rsid w:val="00E841F5"/>
    <w:rsid w:val="00E842B3"/>
    <w:rsid w:val="00E84442"/>
    <w:rsid w:val="00E848DB"/>
    <w:rsid w:val="00E8523A"/>
    <w:rsid w:val="00E86283"/>
    <w:rsid w:val="00E87C6E"/>
    <w:rsid w:val="00E9062C"/>
    <w:rsid w:val="00E90E1F"/>
    <w:rsid w:val="00E934D9"/>
    <w:rsid w:val="00E93803"/>
    <w:rsid w:val="00E93C14"/>
    <w:rsid w:val="00E9420E"/>
    <w:rsid w:val="00E94EED"/>
    <w:rsid w:val="00E95619"/>
    <w:rsid w:val="00E96A3D"/>
    <w:rsid w:val="00E9717F"/>
    <w:rsid w:val="00E972D2"/>
    <w:rsid w:val="00E9784F"/>
    <w:rsid w:val="00E97AE0"/>
    <w:rsid w:val="00EA1211"/>
    <w:rsid w:val="00EA29C8"/>
    <w:rsid w:val="00EA529C"/>
    <w:rsid w:val="00EA55DC"/>
    <w:rsid w:val="00EA5D1E"/>
    <w:rsid w:val="00EB05B1"/>
    <w:rsid w:val="00EB22DD"/>
    <w:rsid w:val="00EB4AD3"/>
    <w:rsid w:val="00EB4D61"/>
    <w:rsid w:val="00EB5C1B"/>
    <w:rsid w:val="00EB7586"/>
    <w:rsid w:val="00EB7EC0"/>
    <w:rsid w:val="00EC079E"/>
    <w:rsid w:val="00EC3567"/>
    <w:rsid w:val="00EC383E"/>
    <w:rsid w:val="00EC5082"/>
    <w:rsid w:val="00EC667E"/>
    <w:rsid w:val="00EC6922"/>
    <w:rsid w:val="00EC6E13"/>
    <w:rsid w:val="00EC705E"/>
    <w:rsid w:val="00EC7558"/>
    <w:rsid w:val="00EC7C1F"/>
    <w:rsid w:val="00ED41D4"/>
    <w:rsid w:val="00ED42B7"/>
    <w:rsid w:val="00EE4C3D"/>
    <w:rsid w:val="00EF078D"/>
    <w:rsid w:val="00EF0D90"/>
    <w:rsid w:val="00EF2532"/>
    <w:rsid w:val="00EF3298"/>
    <w:rsid w:val="00F02C53"/>
    <w:rsid w:val="00F04213"/>
    <w:rsid w:val="00F04347"/>
    <w:rsid w:val="00F04826"/>
    <w:rsid w:val="00F055F1"/>
    <w:rsid w:val="00F05CD5"/>
    <w:rsid w:val="00F076C4"/>
    <w:rsid w:val="00F1031F"/>
    <w:rsid w:val="00F11229"/>
    <w:rsid w:val="00F11B51"/>
    <w:rsid w:val="00F11EE1"/>
    <w:rsid w:val="00F15B4A"/>
    <w:rsid w:val="00F15ECC"/>
    <w:rsid w:val="00F17DB3"/>
    <w:rsid w:val="00F20713"/>
    <w:rsid w:val="00F208DB"/>
    <w:rsid w:val="00F211AC"/>
    <w:rsid w:val="00F2333B"/>
    <w:rsid w:val="00F27622"/>
    <w:rsid w:val="00F30E8E"/>
    <w:rsid w:val="00F31FAB"/>
    <w:rsid w:val="00F32D0F"/>
    <w:rsid w:val="00F333EC"/>
    <w:rsid w:val="00F359DA"/>
    <w:rsid w:val="00F35EE9"/>
    <w:rsid w:val="00F36BDF"/>
    <w:rsid w:val="00F37AEA"/>
    <w:rsid w:val="00F40216"/>
    <w:rsid w:val="00F41978"/>
    <w:rsid w:val="00F42F2E"/>
    <w:rsid w:val="00F45BD5"/>
    <w:rsid w:val="00F45FBA"/>
    <w:rsid w:val="00F5150D"/>
    <w:rsid w:val="00F52150"/>
    <w:rsid w:val="00F5305E"/>
    <w:rsid w:val="00F53FF6"/>
    <w:rsid w:val="00F543BA"/>
    <w:rsid w:val="00F54B19"/>
    <w:rsid w:val="00F558F6"/>
    <w:rsid w:val="00F566ED"/>
    <w:rsid w:val="00F56DE9"/>
    <w:rsid w:val="00F570B9"/>
    <w:rsid w:val="00F5760D"/>
    <w:rsid w:val="00F579D9"/>
    <w:rsid w:val="00F603D8"/>
    <w:rsid w:val="00F606A4"/>
    <w:rsid w:val="00F62232"/>
    <w:rsid w:val="00F6784F"/>
    <w:rsid w:val="00F710BF"/>
    <w:rsid w:val="00F7186D"/>
    <w:rsid w:val="00F7226D"/>
    <w:rsid w:val="00F76AA7"/>
    <w:rsid w:val="00F76EDE"/>
    <w:rsid w:val="00F77391"/>
    <w:rsid w:val="00F77659"/>
    <w:rsid w:val="00F8076C"/>
    <w:rsid w:val="00F8088B"/>
    <w:rsid w:val="00F83776"/>
    <w:rsid w:val="00F83BC9"/>
    <w:rsid w:val="00F84350"/>
    <w:rsid w:val="00F848CE"/>
    <w:rsid w:val="00F85BF7"/>
    <w:rsid w:val="00F86B2B"/>
    <w:rsid w:val="00F90A03"/>
    <w:rsid w:val="00F9187A"/>
    <w:rsid w:val="00F91DF8"/>
    <w:rsid w:val="00F93FDF"/>
    <w:rsid w:val="00F94538"/>
    <w:rsid w:val="00F95A57"/>
    <w:rsid w:val="00F96905"/>
    <w:rsid w:val="00F973E3"/>
    <w:rsid w:val="00FA0345"/>
    <w:rsid w:val="00FA102A"/>
    <w:rsid w:val="00FA1131"/>
    <w:rsid w:val="00FA127D"/>
    <w:rsid w:val="00FA1373"/>
    <w:rsid w:val="00FA2526"/>
    <w:rsid w:val="00FA414C"/>
    <w:rsid w:val="00FA61CA"/>
    <w:rsid w:val="00FA6360"/>
    <w:rsid w:val="00FA68D0"/>
    <w:rsid w:val="00FA6FCE"/>
    <w:rsid w:val="00FB0056"/>
    <w:rsid w:val="00FB03B6"/>
    <w:rsid w:val="00FB3BAF"/>
    <w:rsid w:val="00FB5CCC"/>
    <w:rsid w:val="00FB6682"/>
    <w:rsid w:val="00FB7A2C"/>
    <w:rsid w:val="00FB7D21"/>
    <w:rsid w:val="00FC10ED"/>
    <w:rsid w:val="00FC11EC"/>
    <w:rsid w:val="00FC2D11"/>
    <w:rsid w:val="00FC5901"/>
    <w:rsid w:val="00FC6099"/>
    <w:rsid w:val="00FC6230"/>
    <w:rsid w:val="00FC6A36"/>
    <w:rsid w:val="00FD1A1D"/>
    <w:rsid w:val="00FD2318"/>
    <w:rsid w:val="00FD3EDC"/>
    <w:rsid w:val="00FD3F42"/>
    <w:rsid w:val="00FD3FF6"/>
    <w:rsid w:val="00FD4E96"/>
    <w:rsid w:val="00FD55A4"/>
    <w:rsid w:val="00FE033C"/>
    <w:rsid w:val="00FE1410"/>
    <w:rsid w:val="00FE248C"/>
    <w:rsid w:val="00FE2734"/>
    <w:rsid w:val="00FE3CA5"/>
    <w:rsid w:val="00FE4584"/>
    <w:rsid w:val="00FE6933"/>
    <w:rsid w:val="00FE6943"/>
    <w:rsid w:val="00FE6C70"/>
    <w:rsid w:val="00FE6F85"/>
    <w:rsid w:val="00FF0361"/>
    <w:rsid w:val="00FF265C"/>
    <w:rsid w:val="00FF30C4"/>
    <w:rsid w:val="00FF35AF"/>
    <w:rsid w:val="00FF3662"/>
    <w:rsid w:val="00FF4E7C"/>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45F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semiHidden="1" w:qFormat="1"/>
    <w:lsdException w:name="heading 2" w:locked="0" w:semiHidden="1" w:qFormat="1"/>
    <w:lsdException w:name="heading 3" w:locked="0" w:semiHidden="1" w:qFormat="1"/>
    <w:lsdException w:name="heading 4" w:locked="0" w:semiHidden="1" w:qFormat="1"/>
    <w:lsdException w:name="heading 5" w:locked="0" w:semiHidden="1" w:qFormat="1"/>
    <w:lsdException w:name="heading 6" w:locked="0"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semiHidden="1" w:uiPriority="22" w:qFormat="1"/>
    <w:lsdException w:name="Emphasis" w:semiHidden="1" w:uiPriority="20" w:qFormat="1"/>
    <w:lsdException w:name="Document Map" w:locked="0" w:semiHidden="1" w:unhideWhenUsed="1"/>
    <w:lsdException w:name="Plain Text" w:semiHidden="1" w:uiPriority="99"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locked="0"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locked="0" w:uiPriority="46"/>
    <w:lsdException w:name="Grid Table 2" w:locked="0" w:uiPriority="47"/>
    <w:lsdException w:name="Grid Table 3" w:locked="0" w:uiPriority="48"/>
    <w:lsdException w:name="Grid Table 4" w:locked="0"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locked="0" w:semiHidden="1" w:uiPriority="99" w:unhideWhenUsed="1"/>
    <w:lsdException w:name="Smart Link" w:semiHidden="1" w:uiPriority="99" w:unhideWhenUsed="1"/>
  </w:latentStyles>
  <w:style w:type="paragraph" w:default="1" w:styleId="Normal">
    <w:name w:val="Normal"/>
    <w:qFormat/>
    <w:rsid w:val="00B413F2"/>
    <w:rPr>
      <w:sz w:val="24"/>
      <w:szCs w:val="24"/>
      <w:lang w:eastAsia="en-US"/>
    </w:rPr>
  </w:style>
  <w:style w:type="paragraph" w:styleId="Heading1">
    <w:name w:val="heading 1"/>
    <w:basedOn w:val="Normal"/>
    <w:next w:val="Normal"/>
    <w:link w:val="Heading1Char"/>
    <w:qFormat/>
    <w:rsid w:val="00676FCC"/>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ormal"/>
    <w:link w:val="Heading2Char"/>
    <w:qFormat/>
    <w:rsid w:val="00676FCC"/>
    <w:pPr>
      <w:keepNext/>
      <w:spacing w:before="240" w:after="60" w:line="360" w:lineRule="auto"/>
      <w:outlineLvl w:val="1"/>
    </w:pPr>
    <w:rPr>
      <w:rFonts w:ascii="Arial" w:hAnsi="Arial" w:cs="Arial"/>
      <w:b/>
      <w:bCs/>
      <w:sz w:val="28"/>
      <w:szCs w:val="28"/>
    </w:rPr>
  </w:style>
  <w:style w:type="paragraph" w:styleId="Heading3">
    <w:name w:val="heading 3"/>
    <w:basedOn w:val="Normal"/>
    <w:next w:val="Normal"/>
    <w:link w:val="Heading3Char"/>
    <w:qFormat/>
    <w:rsid w:val="00676FCC"/>
    <w:pPr>
      <w:keepNext/>
      <w:spacing w:before="240" w:after="60" w:line="360" w:lineRule="auto"/>
      <w:outlineLvl w:val="2"/>
    </w:pPr>
    <w:rPr>
      <w:rFonts w:ascii="Arial" w:hAnsi="Arial" w:cs="Arial"/>
      <w:b/>
      <w:bCs/>
      <w:sz w:val="26"/>
    </w:rPr>
  </w:style>
  <w:style w:type="paragraph" w:styleId="Heading4">
    <w:name w:val="heading 4"/>
    <w:basedOn w:val="Normal"/>
    <w:next w:val="Normal"/>
    <w:link w:val="Heading4Char"/>
    <w:qFormat/>
    <w:rsid w:val="00676FCC"/>
    <w:pPr>
      <w:keepNext/>
      <w:spacing w:before="240" w:after="60" w:line="360" w:lineRule="auto"/>
      <w:outlineLvl w:val="3"/>
    </w:pPr>
    <w:rPr>
      <w:rFonts w:ascii="Arial" w:hAnsi="Arial"/>
      <w:b/>
      <w:bCs/>
      <w:iCs/>
      <w:szCs w:val="28"/>
    </w:rPr>
  </w:style>
  <w:style w:type="paragraph" w:styleId="Heading5">
    <w:name w:val="heading 5"/>
    <w:basedOn w:val="Normal"/>
    <w:next w:val="Normal"/>
    <w:link w:val="Heading5Char"/>
    <w:qFormat/>
    <w:rsid w:val="00825D5B"/>
    <w:pPr>
      <w:keepNext/>
      <w:keepLines/>
      <w:spacing w:before="200"/>
      <w:outlineLvl w:val="4"/>
    </w:pPr>
    <w:rPr>
      <w:rFonts w:ascii="Cambria" w:hAnsi="Cambria"/>
      <w:color w:val="243F60"/>
    </w:rPr>
  </w:style>
  <w:style w:type="paragraph" w:styleId="Heading6">
    <w:name w:val="heading 6"/>
    <w:basedOn w:val="Normal"/>
    <w:next w:val="Normal"/>
    <w:link w:val="Heading6Char"/>
    <w:semiHidden/>
    <w:unhideWhenUsed/>
    <w:qFormat/>
    <w:rsid w:val="000746B9"/>
    <w:pPr>
      <w:keepNext/>
      <w:keepLines/>
      <w:spacing w:before="200"/>
      <w:ind w:left="1152" w:hanging="1152"/>
      <w:outlineLvl w:val="5"/>
    </w:pPr>
    <w:rPr>
      <w:rFonts w:ascii="Cambria" w:hAnsi="Cambria"/>
      <w:i/>
      <w:iCs/>
      <w:color w:val="243F60"/>
      <w:lang w:eastAsia="en-GB"/>
    </w:rPr>
  </w:style>
  <w:style w:type="paragraph" w:styleId="Heading8">
    <w:name w:val="heading 8"/>
    <w:basedOn w:val="Normal"/>
    <w:next w:val="Normal"/>
    <w:link w:val="Heading8Char"/>
    <w:semiHidden/>
    <w:unhideWhenUsed/>
    <w:qFormat/>
    <w:locked/>
    <w:rsid w:val="0035142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4"/>
    <w:qFormat/>
    <w:rsid w:val="00FE6933"/>
    <w:pPr>
      <w:spacing w:before="240" w:after="240" w:line="276" w:lineRule="auto"/>
    </w:pPr>
    <w:rPr>
      <w:rFonts w:ascii="Arial" w:hAnsi="Arial"/>
    </w:rPr>
  </w:style>
  <w:style w:type="character" w:customStyle="1" w:styleId="Heading1Char">
    <w:name w:val="Heading 1 Char"/>
    <w:link w:val="Heading1"/>
    <w:rsid w:val="00676FCC"/>
    <w:rPr>
      <w:rFonts w:ascii="Arial" w:hAnsi="Arial" w:cs="Arial"/>
      <w:b/>
      <w:bCs/>
      <w:kern w:val="32"/>
      <w:sz w:val="32"/>
      <w:szCs w:val="32"/>
      <w:lang w:eastAsia="en-US"/>
    </w:rPr>
  </w:style>
  <w:style w:type="character" w:customStyle="1" w:styleId="Heading2Char">
    <w:name w:val="Heading 2 Char"/>
    <w:link w:val="Heading2"/>
    <w:rsid w:val="00676FCC"/>
    <w:rPr>
      <w:rFonts w:ascii="Arial" w:hAnsi="Arial" w:cs="Arial"/>
      <w:b/>
      <w:bCs/>
      <w:sz w:val="28"/>
      <w:szCs w:val="28"/>
      <w:lang w:eastAsia="en-US"/>
    </w:rPr>
  </w:style>
  <w:style w:type="character" w:customStyle="1" w:styleId="Heading3Char">
    <w:name w:val="Heading 3 Char"/>
    <w:link w:val="Heading3"/>
    <w:rsid w:val="006921E1"/>
    <w:rPr>
      <w:rFonts w:ascii="Arial" w:hAnsi="Arial" w:cs="Arial"/>
      <w:b/>
      <w:bCs/>
      <w:sz w:val="26"/>
      <w:szCs w:val="24"/>
      <w:lang w:eastAsia="en-US"/>
    </w:rPr>
  </w:style>
  <w:style w:type="paragraph" w:styleId="Title">
    <w:name w:val="Title"/>
    <w:basedOn w:val="Normal"/>
    <w:next w:val="NICEnormal"/>
    <w:link w:val="TitleChar"/>
    <w:qFormat/>
    <w:locked/>
    <w:rsid w:val="00582451"/>
    <w:pPr>
      <w:keepNext/>
      <w:spacing w:before="240" w:after="240"/>
      <w:jc w:val="center"/>
      <w:outlineLvl w:val="0"/>
    </w:pPr>
    <w:rPr>
      <w:rFonts w:ascii="Arial" w:hAnsi="Arial" w:cs="Arial"/>
      <w:b/>
      <w:bCs/>
      <w:kern w:val="28"/>
      <w:sz w:val="40"/>
      <w:szCs w:val="32"/>
    </w:rPr>
  </w:style>
  <w:style w:type="character" w:customStyle="1" w:styleId="TitleChar">
    <w:name w:val="Title Char"/>
    <w:link w:val="Title"/>
    <w:rsid w:val="00FC10ED"/>
    <w:rPr>
      <w:rFonts w:ascii="Arial" w:hAnsi="Arial" w:cs="Arial"/>
      <w:b/>
      <w:bCs/>
      <w:kern w:val="28"/>
      <w:sz w:val="40"/>
      <w:szCs w:val="32"/>
      <w:lang w:eastAsia="en-US"/>
    </w:rPr>
  </w:style>
  <w:style w:type="paragraph" w:customStyle="1" w:styleId="Bulletstable">
    <w:name w:val="Bullets (table)"/>
    <w:basedOn w:val="Normal"/>
    <w:rsid w:val="003D6F5F"/>
    <w:pPr>
      <w:numPr>
        <w:numId w:val="1"/>
      </w:numPr>
      <w:tabs>
        <w:tab w:val="left" w:pos="284"/>
      </w:tabs>
      <w:ind w:left="284" w:hanging="284"/>
    </w:pPr>
    <w:rPr>
      <w:rFonts w:ascii="Arial" w:hAnsi="Arial"/>
      <w:sz w:val="22"/>
      <w:szCs w:val="22"/>
    </w:rPr>
  </w:style>
  <w:style w:type="paragraph" w:styleId="Header">
    <w:name w:val="header"/>
    <w:basedOn w:val="Normal"/>
    <w:link w:val="HeaderChar"/>
    <w:rsid w:val="0017169E"/>
    <w:pPr>
      <w:tabs>
        <w:tab w:val="center" w:pos="4513"/>
        <w:tab w:val="right" w:pos="9026"/>
      </w:tabs>
    </w:pPr>
    <w:rPr>
      <w:rFonts w:ascii="Arial" w:hAnsi="Arial"/>
    </w:rPr>
  </w:style>
  <w:style w:type="character" w:customStyle="1" w:styleId="HeaderChar">
    <w:name w:val="Header Char"/>
    <w:link w:val="Header"/>
    <w:rsid w:val="009E680B"/>
    <w:rPr>
      <w:rFonts w:ascii="Arial" w:hAnsi="Arial"/>
      <w:sz w:val="24"/>
      <w:szCs w:val="24"/>
    </w:rPr>
  </w:style>
  <w:style w:type="paragraph" w:styleId="Footer">
    <w:name w:val="footer"/>
    <w:basedOn w:val="Normal"/>
    <w:link w:val="FooterChar"/>
    <w:rsid w:val="00446BEE"/>
    <w:pPr>
      <w:tabs>
        <w:tab w:val="center" w:pos="4513"/>
        <w:tab w:val="right" w:pos="9026"/>
      </w:tabs>
    </w:pPr>
    <w:rPr>
      <w:rFonts w:ascii="Arial" w:hAnsi="Arial"/>
      <w:sz w:val="20"/>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rsid w:val="00446BEE"/>
    <w:rPr>
      <w:rFonts w:ascii="Tahoma" w:hAnsi="Tahoma" w:cs="Tahoma"/>
      <w:sz w:val="16"/>
      <w:szCs w:val="16"/>
    </w:rPr>
  </w:style>
  <w:style w:type="character" w:customStyle="1" w:styleId="BalloonTextChar">
    <w:name w:val="Balloon Text Char"/>
    <w:link w:val="BalloonText"/>
    <w:rsid w:val="00446BEE"/>
    <w:rPr>
      <w:rFonts w:ascii="Tahoma" w:hAnsi="Tahoma" w:cs="Tahoma"/>
      <w:sz w:val="16"/>
      <w:szCs w:val="16"/>
    </w:rPr>
  </w:style>
  <w:style w:type="character" w:styleId="Hyperlink">
    <w:name w:val="Hyperlink"/>
    <w:basedOn w:val="DefaultParagraphFont"/>
    <w:uiPriority w:val="99"/>
    <w:unhideWhenUsed/>
    <w:rsid w:val="00676FCC"/>
    <w:rPr>
      <w:color w:val="0000FF" w:themeColor="hyperlink"/>
      <w:u w:val="single"/>
    </w:rPr>
  </w:style>
  <w:style w:type="paragraph" w:customStyle="1" w:styleId="Tabletitle">
    <w:name w:val="Table title"/>
    <w:basedOn w:val="Normal"/>
    <w:next w:val="Normal"/>
    <w:unhideWhenUsed/>
    <w:qFormat/>
    <w:rsid w:val="00A813F7"/>
    <w:pPr>
      <w:keepNext/>
      <w:spacing w:after="60"/>
    </w:pPr>
    <w:rPr>
      <w:rFonts w:ascii="Arial" w:hAnsi="Arial"/>
      <w:b/>
      <w:sz w:val="22"/>
    </w:rPr>
  </w:style>
  <w:style w:type="table" w:styleId="TableGrid">
    <w:name w:val="Table Grid"/>
    <w:basedOn w:val="TableNormal"/>
    <w:rsid w:val="003B1C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locked/>
    <w:rsid w:val="00FD55A4"/>
    <w:rPr>
      <w:color w:val="605E5C"/>
      <w:shd w:val="clear" w:color="auto" w:fill="E1DFDD"/>
    </w:rPr>
  </w:style>
  <w:style w:type="character" w:styleId="CommentReference">
    <w:name w:val="annotation reference"/>
    <w:rsid w:val="0009709D"/>
    <w:rPr>
      <w:sz w:val="16"/>
      <w:szCs w:val="16"/>
    </w:rPr>
  </w:style>
  <w:style w:type="paragraph" w:styleId="CommentText">
    <w:name w:val="annotation text"/>
    <w:basedOn w:val="Normal"/>
    <w:link w:val="CommentTextChar"/>
    <w:rsid w:val="0009709D"/>
    <w:rPr>
      <w:sz w:val="20"/>
      <w:szCs w:val="20"/>
    </w:rPr>
  </w:style>
  <w:style w:type="character" w:customStyle="1" w:styleId="CommentTextChar">
    <w:name w:val="Comment Text Char"/>
    <w:link w:val="CommentText"/>
    <w:rsid w:val="0009709D"/>
    <w:rPr>
      <w:lang w:eastAsia="en-US"/>
    </w:rPr>
  </w:style>
  <w:style w:type="paragraph" w:styleId="CommentSubject">
    <w:name w:val="annotation subject"/>
    <w:basedOn w:val="CommentText"/>
    <w:next w:val="CommentText"/>
    <w:link w:val="CommentSubjectChar"/>
    <w:rsid w:val="007B6A17"/>
    <w:rPr>
      <w:b/>
      <w:bCs/>
    </w:rPr>
  </w:style>
  <w:style w:type="character" w:customStyle="1" w:styleId="CommentSubjectChar">
    <w:name w:val="Comment Subject Char"/>
    <w:link w:val="CommentSubject"/>
    <w:rsid w:val="007B6A17"/>
    <w:rPr>
      <w:b/>
      <w:bCs/>
      <w:lang w:eastAsia="en-US"/>
    </w:rPr>
  </w:style>
  <w:style w:type="paragraph" w:customStyle="1" w:styleId="Numberedheading1">
    <w:name w:val="Numbered heading 1"/>
    <w:basedOn w:val="Heading1"/>
    <w:next w:val="NICEnormal"/>
    <w:link w:val="Numberedheading1CharChar"/>
    <w:rsid w:val="00676FCC"/>
    <w:pPr>
      <w:numPr>
        <w:numId w:val="3"/>
      </w:numPr>
    </w:pPr>
    <w:rPr>
      <w:szCs w:val="24"/>
    </w:rPr>
  </w:style>
  <w:style w:type="paragraph" w:customStyle="1" w:styleId="Numberedheading2">
    <w:name w:val="Numbered heading 2"/>
    <w:basedOn w:val="Heading2"/>
    <w:next w:val="Normal"/>
    <w:qFormat/>
    <w:rsid w:val="00884CF8"/>
    <w:pPr>
      <w:numPr>
        <w:ilvl w:val="1"/>
        <w:numId w:val="3"/>
      </w:numPr>
      <w:spacing w:after="240"/>
    </w:pPr>
  </w:style>
  <w:style w:type="paragraph" w:customStyle="1" w:styleId="Numberedheading3">
    <w:name w:val="Numbered heading 3"/>
    <w:basedOn w:val="Heading3"/>
    <w:next w:val="Paragraph"/>
    <w:qFormat/>
    <w:rsid w:val="00884CF8"/>
    <w:pPr>
      <w:spacing w:after="240"/>
    </w:pPr>
  </w:style>
  <w:style w:type="paragraph" w:customStyle="1" w:styleId="Tabletext">
    <w:name w:val="Table text"/>
    <w:basedOn w:val="Normal"/>
    <w:rsid w:val="00F42F2E"/>
    <w:pPr>
      <w:spacing w:after="60"/>
    </w:pPr>
    <w:rPr>
      <w:rFonts w:ascii="Arial" w:hAnsi="Arial"/>
      <w:sz w:val="22"/>
    </w:rPr>
  </w:style>
  <w:style w:type="paragraph" w:styleId="FootnoteText">
    <w:name w:val="footnote text"/>
    <w:basedOn w:val="Normal"/>
    <w:link w:val="FootnoteTextChar"/>
    <w:unhideWhenUsed/>
    <w:rsid w:val="00FA1131"/>
    <w:rPr>
      <w:rFonts w:ascii="Arial" w:hAnsi="Arial"/>
      <w:sz w:val="20"/>
      <w:szCs w:val="20"/>
    </w:rPr>
  </w:style>
  <w:style w:type="character" w:customStyle="1" w:styleId="FootnoteTextChar">
    <w:name w:val="Footnote Text Char"/>
    <w:link w:val="FootnoteText"/>
    <w:rsid w:val="00FA1131"/>
    <w:rPr>
      <w:rFonts w:ascii="Arial" w:hAnsi="Arial"/>
      <w:lang w:eastAsia="en-US"/>
    </w:rPr>
  </w:style>
  <w:style w:type="character" w:styleId="FootnoteReference">
    <w:name w:val="footnote reference"/>
    <w:rsid w:val="00FA1131"/>
    <w:rPr>
      <w:vertAlign w:val="superscript"/>
    </w:rPr>
  </w:style>
  <w:style w:type="character" w:styleId="FollowedHyperlink">
    <w:name w:val="FollowedHyperlink"/>
    <w:rsid w:val="00FB6682"/>
    <w:rPr>
      <w:color w:val="800080"/>
      <w:u w:val="single"/>
    </w:rPr>
  </w:style>
  <w:style w:type="paragraph" w:styleId="TOC1">
    <w:name w:val="toc 1"/>
    <w:basedOn w:val="Normal"/>
    <w:next w:val="Normal"/>
    <w:autoRedefine/>
    <w:uiPriority w:val="39"/>
    <w:rsid w:val="00367A04"/>
    <w:pPr>
      <w:tabs>
        <w:tab w:val="left" w:pos="426"/>
        <w:tab w:val="right" w:leader="dot" w:pos="9016"/>
      </w:tabs>
      <w:spacing w:line="360" w:lineRule="auto"/>
      <w:ind w:left="1276" w:hanging="1276"/>
    </w:pPr>
    <w:rPr>
      <w:rFonts w:ascii="Arial" w:hAnsi="Arial"/>
      <w:noProof/>
    </w:rPr>
  </w:style>
  <w:style w:type="character" w:customStyle="1" w:styleId="Heading5Char">
    <w:name w:val="Heading 5 Char"/>
    <w:link w:val="Heading5"/>
    <w:rsid w:val="00825D5B"/>
    <w:rPr>
      <w:rFonts w:ascii="Cambria" w:eastAsia="Times New Roman" w:hAnsi="Cambria" w:cs="Times New Roman"/>
      <w:color w:val="243F60"/>
      <w:sz w:val="24"/>
      <w:szCs w:val="24"/>
      <w:lang w:eastAsia="en-US"/>
    </w:rPr>
  </w:style>
  <w:style w:type="paragraph" w:styleId="DocumentMap">
    <w:name w:val="Document Map"/>
    <w:basedOn w:val="Normal"/>
    <w:link w:val="DocumentMapChar"/>
    <w:semiHidden/>
    <w:rsid w:val="004D4FC4"/>
    <w:rPr>
      <w:rFonts w:ascii="Tahoma" w:hAnsi="Tahoma" w:cs="Tahoma"/>
      <w:sz w:val="16"/>
      <w:szCs w:val="16"/>
    </w:rPr>
  </w:style>
  <w:style w:type="character" w:customStyle="1" w:styleId="DocumentMapChar">
    <w:name w:val="Document Map Char"/>
    <w:link w:val="DocumentMap"/>
    <w:semiHidden/>
    <w:rsid w:val="004D4FC4"/>
    <w:rPr>
      <w:rFonts w:ascii="Tahoma" w:hAnsi="Tahoma" w:cs="Tahoma"/>
      <w:sz w:val="16"/>
      <w:szCs w:val="16"/>
      <w:lang w:eastAsia="en-US"/>
    </w:rPr>
  </w:style>
  <w:style w:type="paragraph" w:styleId="Revision">
    <w:name w:val="Revision"/>
    <w:hidden/>
    <w:uiPriority w:val="99"/>
    <w:semiHidden/>
    <w:rsid w:val="00B96A88"/>
    <w:rPr>
      <w:sz w:val="24"/>
      <w:szCs w:val="24"/>
      <w:lang w:eastAsia="en-US"/>
    </w:rPr>
  </w:style>
  <w:style w:type="paragraph" w:customStyle="1" w:styleId="Heading40">
    <w:name w:val="Heading  4"/>
    <w:basedOn w:val="Paragraph"/>
    <w:qFormat/>
    <w:rsid w:val="000E401D"/>
    <w:rPr>
      <w:u w:val="single"/>
    </w:rPr>
  </w:style>
  <w:style w:type="paragraph" w:customStyle="1" w:styleId="Bulletparagraph">
    <w:name w:val="Bullet (paragraph)"/>
    <w:basedOn w:val="Normal"/>
    <w:rsid w:val="00A813F7"/>
    <w:pPr>
      <w:numPr>
        <w:numId w:val="2"/>
      </w:numPr>
      <w:spacing w:line="276" w:lineRule="auto"/>
    </w:pPr>
    <w:rPr>
      <w:rFonts w:ascii="Arial" w:hAnsi="Arial"/>
      <w:lang w:eastAsia="en-GB"/>
    </w:rPr>
  </w:style>
  <w:style w:type="paragraph" w:customStyle="1" w:styleId="Bulletparagraphlast">
    <w:name w:val="Bullet (paragraph last)"/>
    <w:basedOn w:val="Bulletparagraph"/>
    <w:rsid w:val="00DB4D4C"/>
    <w:pPr>
      <w:spacing w:after="240"/>
      <w:ind w:left="357" w:hanging="357"/>
    </w:pPr>
  </w:style>
  <w:style w:type="paragraph" w:styleId="TOC2">
    <w:name w:val="toc 2"/>
    <w:basedOn w:val="Normal"/>
    <w:next w:val="Normal"/>
    <w:autoRedefine/>
    <w:uiPriority w:val="39"/>
    <w:rsid w:val="00B92D4F"/>
    <w:pPr>
      <w:ind w:left="240"/>
    </w:pPr>
    <w:rPr>
      <w:rFonts w:ascii="Arial" w:hAnsi="Arial"/>
      <w:lang w:eastAsia="en-GB"/>
    </w:rPr>
  </w:style>
  <w:style w:type="paragraph" w:customStyle="1" w:styleId="Default">
    <w:name w:val="Default"/>
    <w:locked/>
    <w:rsid w:val="003708C8"/>
    <w:pPr>
      <w:autoSpaceDE w:val="0"/>
      <w:autoSpaceDN w:val="0"/>
      <w:adjustRightInd w:val="0"/>
    </w:pPr>
    <w:rPr>
      <w:rFonts w:ascii="Arial" w:hAnsi="Arial" w:cs="Arial"/>
      <w:color w:val="000000"/>
      <w:sz w:val="24"/>
      <w:szCs w:val="24"/>
    </w:rPr>
  </w:style>
  <w:style w:type="character" w:customStyle="1" w:styleId="Heading4Char">
    <w:name w:val="Heading 4 Char"/>
    <w:basedOn w:val="DefaultParagraphFont"/>
    <w:link w:val="Heading4"/>
    <w:rsid w:val="00F27622"/>
    <w:rPr>
      <w:rFonts w:ascii="Arial" w:hAnsi="Arial"/>
      <w:b/>
      <w:bCs/>
      <w:iCs/>
      <w:sz w:val="24"/>
      <w:szCs w:val="28"/>
      <w:lang w:eastAsia="en-US"/>
    </w:rPr>
  </w:style>
  <w:style w:type="character" w:customStyle="1" w:styleId="Addbold">
    <w:name w:val="Add bold"/>
    <w:basedOn w:val="DefaultParagraphFont"/>
    <w:uiPriority w:val="1"/>
    <w:rsid w:val="00C17EA4"/>
    <w:rPr>
      <w:b/>
      <w:bCs/>
    </w:rPr>
  </w:style>
  <w:style w:type="character" w:customStyle="1" w:styleId="Additalic">
    <w:name w:val="Add italic"/>
    <w:basedOn w:val="DefaultParagraphFont"/>
    <w:uiPriority w:val="1"/>
    <w:rsid w:val="00C17EA4"/>
    <w:rPr>
      <w:i/>
    </w:rPr>
  </w:style>
  <w:style w:type="character" w:customStyle="1" w:styleId="Addsuperscript">
    <w:name w:val="Add superscript"/>
    <w:basedOn w:val="DefaultParagraphFont"/>
    <w:uiPriority w:val="1"/>
    <w:rsid w:val="00C17EA4"/>
    <w:rPr>
      <w:i/>
      <w:vertAlign w:val="superscript"/>
    </w:rPr>
  </w:style>
  <w:style w:type="character" w:customStyle="1" w:styleId="Addsubscript">
    <w:name w:val="Add subscript"/>
    <w:basedOn w:val="DefaultParagraphFont"/>
    <w:uiPriority w:val="1"/>
    <w:rsid w:val="00C17EA4"/>
    <w:rPr>
      <w:vertAlign w:val="subscript"/>
    </w:rPr>
  </w:style>
  <w:style w:type="character" w:customStyle="1" w:styleId="Addboldanditalic">
    <w:name w:val="Add bold and italic"/>
    <w:basedOn w:val="DefaultParagraphFont"/>
    <w:uiPriority w:val="1"/>
    <w:rsid w:val="003E436E"/>
    <w:rPr>
      <w:b/>
      <w:i/>
    </w:rPr>
  </w:style>
  <w:style w:type="paragraph" w:styleId="ListParagraph">
    <w:name w:val="List Paragraph"/>
    <w:basedOn w:val="Normal"/>
    <w:uiPriority w:val="34"/>
    <w:qFormat/>
    <w:locked/>
    <w:rsid w:val="006B080F"/>
    <w:pPr>
      <w:ind w:left="720"/>
    </w:pPr>
    <w:rPr>
      <w:rFonts w:eastAsia="Calibri"/>
      <w:lang w:eastAsia="en-GB"/>
    </w:rPr>
  </w:style>
  <w:style w:type="table" w:styleId="TableGridLight">
    <w:name w:val="Grid Table Light"/>
    <w:basedOn w:val="TableNormal"/>
    <w:uiPriority w:val="40"/>
    <w:locked/>
    <w:rsid w:val="0062481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nonumbers">
    <w:name w:val="Paragraph no numbers"/>
    <w:basedOn w:val="Normal"/>
    <w:uiPriority w:val="99"/>
    <w:qFormat/>
    <w:rsid w:val="00EF3298"/>
    <w:pPr>
      <w:spacing w:after="240" w:line="276" w:lineRule="auto"/>
    </w:pPr>
    <w:rPr>
      <w:rFonts w:ascii="Arial" w:hAnsi="Arial"/>
      <w:lang w:eastAsia="en-GB"/>
    </w:rPr>
  </w:style>
  <w:style w:type="character" w:customStyle="1" w:styleId="Numberedheading1CharChar">
    <w:name w:val="Numbered heading 1 Char Char"/>
    <w:link w:val="Numberedheading1"/>
    <w:rsid w:val="00676FCC"/>
    <w:rPr>
      <w:rFonts w:ascii="Arial" w:hAnsi="Arial" w:cs="Arial"/>
      <w:b/>
      <w:bCs/>
      <w:kern w:val="32"/>
      <w:sz w:val="32"/>
      <w:szCs w:val="24"/>
      <w:lang w:eastAsia="en-US"/>
    </w:rPr>
  </w:style>
  <w:style w:type="paragraph" w:customStyle="1" w:styleId="NICEnormal">
    <w:name w:val="NICE normal"/>
    <w:link w:val="NICEnormalChar"/>
    <w:qFormat/>
    <w:rsid w:val="00676FCC"/>
    <w:pPr>
      <w:spacing w:after="240" w:line="360" w:lineRule="auto"/>
    </w:pPr>
    <w:rPr>
      <w:rFonts w:ascii="Arial" w:hAnsi="Arial"/>
      <w:sz w:val="24"/>
      <w:szCs w:val="24"/>
      <w:lang w:eastAsia="en-US"/>
    </w:rPr>
  </w:style>
  <w:style w:type="character" w:customStyle="1" w:styleId="NICEnormalChar">
    <w:name w:val="NICE normal Char"/>
    <w:link w:val="NICEnormal"/>
    <w:rsid w:val="00676FCC"/>
    <w:rPr>
      <w:rFonts w:ascii="Arial" w:hAnsi="Arial"/>
      <w:sz w:val="24"/>
      <w:szCs w:val="24"/>
      <w:lang w:eastAsia="en-US"/>
    </w:rPr>
  </w:style>
  <w:style w:type="paragraph" w:customStyle="1" w:styleId="NICEnormalindented">
    <w:name w:val="NICE normal indented"/>
    <w:basedOn w:val="NICEnormal"/>
    <w:rsid w:val="00676FCC"/>
    <w:pPr>
      <w:tabs>
        <w:tab w:val="left" w:pos="1134"/>
      </w:tabs>
      <w:ind w:left="1134"/>
    </w:pPr>
  </w:style>
  <w:style w:type="paragraph" w:customStyle="1" w:styleId="NICEnormalsinglespacing">
    <w:name w:val="NICE normal single spacing"/>
    <w:basedOn w:val="NICEnormal"/>
    <w:rsid w:val="00676FCC"/>
    <w:pPr>
      <w:spacing w:line="240" w:lineRule="auto"/>
    </w:pPr>
  </w:style>
  <w:style w:type="paragraph" w:styleId="Caption">
    <w:name w:val="caption"/>
    <w:basedOn w:val="NICEnormal"/>
    <w:next w:val="NICEnormal"/>
    <w:unhideWhenUsed/>
    <w:qFormat/>
    <w:locked/>
    <w:rsid w:val="003A57C1"/>
    <w:pPr>
      <w:keepNext/>
      <w:spacing w:after="200"/>
    </w:pPr>
    <w:rPr>
      <w:b/>
      <w:iCs/>
      <w:szCs w:val="18"/>
    </w:rPr>
  </w:style>
  <w:style w:type="character" w:customStyle="1" w:styleId="Bulletleft1lastChar">
    <w:name w:val="Bullet left 1 last Char"/>
    <w:link w:val="Bulletleft1last"/>
    <w:rsid w:val="00204AD5"/>
    <w:rPr>
      <w:rFonts w:ascii="Arial" w:hAnsi="Arial"/>
      <w:sz w:val="24"/>
      <w:szCs w:val="24"/>
      <w:lang w:val="x-none" w:eastAsia="en-US"/>
    </w:rPr>
  </w:style>
  <w:style w:type="paragraph" w:customStyle="1" w:styleId="Bulletleft1">
    <w:name w:val="Bullet left 1"/>
    <w:basedOn w:val="NICEnormal"/>
    <w:qFormat/>
    <w:rsid w:val="00204AD5"/>
    <w:pPr>
      <w:numPr>
        <w:numId w:val="4"/>
      </w:numPr>
      <w:spacing w:after="0"/>
    </w:pPr>
  </w:style>
  <w:style w:type="paragraph" w:customStyle="1" w:styleId="Bulletleft1last">
    <w:name w:val="Bullet left 1 last"/>
    <w:basedOn w:val="NICEnormal"/>
    <w:link w:val="Bulletleft1lastChar"/>
    <w:rsid w:val="00204AD5"/>
    <w:pPr>
      <w:numPr>
        <w:numId w:val="5"/>
      </w:numPr>
    </w:pPr>
    <w:rPr>
      <w:lang w:val="x-none"/>
    </w:rPr>
  </w:style>
  <w:style w:type="table" w:customStyle="1" w:styleId="PanelPrimary">
    <w:name w:val="Panel (Primary)"/>
    <w:basedOn w:val="TableNormal"/>
    <w:uiPriority w:val="99"/>
    <w:rsid w:val="00204AD5"/>
    <w:pPr>
      <w:spacing w:after="240"/>
    </w:pPr>
    <w:tblPr>
      <w:tblBorders>
        <w:top w:val="single" w:sz="24" w:space="0" w:color="A2BDC1"/>
        <w:left w:val="single" w:sz="24" w:space="0" w:color="A2BDC1"/>
        <w:bottom w:val="single" w:sz="24" w:space="0" w:color="A2BDC1"/>
        <w:right w:val="single" w:sz="24" w:space="0" w:color="A2BDC1"/>
      </w:tblBorders>
    </w:tblPr>
  </w:style>
  <w:style w:type="table" w:customStyle="1" w:styleId="PanelDefault">
    <w:name w:val="Panel (Default)"/>
    <w:basedOn w:val="TableNormal"/>
    <w:uiPriority w:val="99"/>
    <w:rsid w:val="00204AD5"/>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Impact">
    <w:name w:val="Panel (Impact)"/>
    <w:basedOn w:val="TableNormal"/>
    <w:uiPriority w:val="99"/>
    <w:rsid w:val="00204AD5"/>
    <w:rPr>
      <w:color w:val="FFFFFF"/>
    </w:rPr>
    <w:tblPr>
      <w:tblBorders>
        <w:top w:val="single" w:sz="8" w:space="0" w:color="314C60"/>
        <w:left w:val="single" w:sz="8" w:space="0" w:color="314C60"/>
        <w:bottom w:val="single" w:sz="8" w:space="0" w:color="314C60"/>
        <w:right w:val="single" w:sz="8" w:space="0" w:color="314C60"/>
      </w:tblBorders>
    </w:tblPr>
    <w:tcPr>
      <w:shd w:val="clear" w:color="auto" w:fill="517489"/>
    </w:tcPr>
  </w:style>
  <w:style w:type="paragraph" w:customStyle="1" w:styleId="Panelbullet1">
    <w:name w:val="Panel bullet 1"/>
    <w:basedOn w:val="Normal"/>
    <w:qFormat/>
    <w:rsid w:val="00204AD5"/>
    <w:pPr>
      <w:numPr>
        <w:numId w:val="6"/>
      </w:numPr>
      <w:tabs>
        <w:tab w:val="num" w:pos="360"/>
        <w:tab w:val="num" w:pos="1134"/>
      </w:tabs>
      <w:contextualSpacing/>
    </w:pPr>
    <w:rPr>
      <w:rFonts w:ascii="Arial" w:hAnsi="Arial"/>
    </w:rPr>
  </w:style>
  <w:style w:type="paragraph" w:customStyle="1" w:styleId="Panelhyperlink">
    <w:name w:val="Panel hyperlink"/>
    <w:basedOn w:val="NICEnormal"/>
    <w:next w:val="NICEnormal"/>
    <w:qFormat/>
    <w:rsid w:val="00204AD5"/>
    <w:rPr>
      <w:color w:val="FFFFFF" w:themeColor="background1"/>
      <w:u w:val="single"/>
    </w:rPr>
  </w:style>
  <w:style w:type="paragraph" w:styleId="TOCHeading">
    <w:name w:val="TOC Heading"/>
    <w:basedOn w:val="Heading1"/>
    <w:next w:val="Normal"/>
    <w:uiPriority w:val="39"/>
    <w:unhideWhenUsed/>
    <w:qFormat/>
    <w:locked/>
    <w:rsid w:val="008148A2"/>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TOC3">
    <w:name w:val="toc 3"/>
    <w:basedOn w:val="Normal"/>
    <w:next w:val="Normal"/>
    <w:autoRedefine/>
    <w:uiPriority w:val="39"/>
    <w:unhideWhenUsed/>
    <w:locked/>
    <w:rsid w:val="008148A2"/>
    <w:pPr>
      <w:spacing w:after="100"/>
      <w:ind w:left="480"/>
    </w:pPr>
  </w:style>
  <w:style w:type="paragraph" w:customStyle="1" w:styleId="Title1">
    <w:name w:val="Title 1"/>
    <w:basedOn w:val="Title"/>
    <w:qFormat/>
    <w:rsid w:val="00582451"/>
  </w:style>
  <w:style w:type="paragraph" w:customStyle="1" w:styleId="Title16pt">
    <w:name w:val="Title 16 pt"/>
    <w:basedOn w:val="Title"/>
    <w:rsid w:val="00582451"/>
    <w:rPr>
      <w:sz w:val="32"/>
    </w:rPr>
  </w:style>
  <w:style w:type="paragraph" w:customStyle="1" w:styleId="Title16ptleft">
    <w:name w:val="Title 16 pt left"/>
    <w:basedOn w:val="Title16pt"/>
    <w:rsid w:val="00582451"/>
    <w:pPr>
      <w:jc w:val="left"/>
    </w:pPr>
  </w:style>
  <w:style w:type="paragraph" w:customStyle="1" w:styleId="Title2">
    <w:name w:val="Title 2"/>
    <w:basedOn w:val="Title"/>
    <w:qFormat/>
    <w:rsid w:val="00582451"/>
    <w:rPr>
      <w:bCs w:val="0"/>
      <w:sz w:val="32"/>
    </w:rPr>
  </w:style>
  <w:style w:type="character" w:customStyle="1" w:styleId="Heading8Char">
    <w:name w:val="Heading 8 Char"/>
    <w:basedOn w:val="DefaultParagraphFont"/>
    <w:link w:val="Heading8"/>
    <w:semiHidden/>
    <w:rsid w:val="00351427"/>
    <w:rPr>
      <w:rFonts w:asciiTheme="majorHAnsi" w:eastAsiaTheme="majorEastAsia" w:hAnsiTheme="majorHAnsi" w:cstheme="majorBidi"/>
      <w:color w:val="272727" w:themeColor="text1" w:themeTint="D8"/>
      <w:sz w:val="21"/>
      <w:szCs w:val="21"/>
      <w:lang w:eastAsia="en-US"/>
    </w:rPr>
  </w:style>
  <w:style w:type="paragraph" w:customStyle="1" w:styleId="TableText1">
    <w:name w:val="Table Text 1"/>
    <w:basedOn w:val="Paragraphnonumbers"/>
    <w:qFormat/>
    <w:rsid w:val="00351427"/>
    <w:pPr>
      <w:spacing w:after="0" w:line="240" w:lineRule="auto"/>
    </w:pPr>
    <w:rPr>
      <w:sz w:val="22"/>
    </w:rPr>
  </w:style>
  <w:style w:type="character" w:customStyle="1" w:styleId="Heading6Char">
    <w:name w:val="Heading 6 Char"/>
    <w:basedOn w:val="DefaultParagraphFont"/>
    <w:link w:val="Heading6"/>
    <w:semiHidden/>
    <w:rsid w:val="000746B9"/>
    <w:rPr>
      <w:rFonts w:ascii="Cambria" w:hAnsi="Cambria"/>
      <w:i/>
      <w:iCs/>
      <w:color w:val="243F60"/>
      <w:sz w:val="24"/>
      <w:szCs w:val="24"/>
    </w:rPr>
  </w:style>
  <w:style w:type="paragraph" w:styleId="BodyText">
    <w:name w:val="Body Text"/>
    <w:basedOn w:val="Normal"/>
    <w:link w:val="BodyTextChar"/>
    <w:locked/>
    <w:rsid w:val="000746B9"/>
    <w:rPr>
      <w:rFonts w:ascii="Arial" w:hAnsi="Arial"/>
      <w:b/>
      <w:bCs/>
      <w:sz w:val="22"/>
      <w:szCs w:val="20"/>
    </w:rPr>
  </w:style>
  <w:style w:type="character" w:customStyle="1" w:styleId="BodyTextChar">
    <w:name w:val="Body Text Char"/>
    <w:basedOn w:val="DefaultParagraphFont"/>
    <w:link w:val="BodyText"/>
    <w:rsid w:val="000746B9"/>
    <w:rPr>
      <w:rFonts w:ascii="Arial" w:hAnsi="Arial"/>
      <w:b/>
      <w:bCs/>
      <w:sz w:val="22"/>
      <w:lang w:eastAsia="en-US"/>
    </w:rPr>
  </w:style>
  <w:style w:type="character" w:styleId="PageNumber">
    <w:name w:val="page number"/>
    <w:basedOn w:val="DefaultParagraphFont"/>
    <w:rsid w:val="000746B9"/>
  </w:style>
  <w:style w:type="character" w:styleId="Strong">
    <w:name w:val="Strong"/>
    <w:uiPriority w:val="22"/>
    <w:qFormat/>
    <w:locked/>
    <w:rsid w:val="000746B9"/>
    <w:rPr>
      <w:b/>
      <w:bCs/>
    </w:rPr>
  </w:style>
  <w:style w:type="character" w:styleId="Emphasis">
    <w:name w:val="Emphasis"/>
    <w:uiPriority w:val="20"/>
    <w:qFormat/>
    <w:locked/>
    <w:rsid w:val="000746B9"/>
    <w:rPr>
      <w:i/>
      <w:iCs/>
    </w:rPr>
  </w:style>
  <w:style w:type="character" w:customStyle="1" w:styleId="maintitle">
    <w:name w:val="maintitle"/>
    <w:rsid w:val="000746B9"/>
  </w:style>
  <w:style w:type="paragraph" w:styleId="Bibliography">
    <w:name w:val="Bibliography"/>
    <w:basedOn w:val="Normal"/>
    <w:next w:val="Normal"/>
    <w:uiPriority w:val="37"/>
    <w:semiHidden/>
    <w:unhideWhenUsed/>
    <w:locked/>
    <w:rsid w:val="000746B9"/>
    <w:rPr>
      <w:lang w:eastAsia="en-GB"/>
    </w:rPr>
  </w:style>
  <w:style w:type="character" w:customStyle="1" w:styleId="prod-title">
    <w:name w:val="prod-title"/>
    <w:basedOn w:val="DefaultParagraphFont"/>
    <w:rsid w:val="000746B9"/>
  </w:style>
  <w:style w:type="paragraph" w:customStyle="1" w:styleId="textlist-item">
    <w:name w:val="text__list-item"/>
    <w:basedOn w:val="Normal"/>
    <w:rsid w:val="000746B9"/>
    <w:pPr>
      <w:spacing w:before="100" w:beforeAutospacing="1" w:after="100" w:afterAutospacing="1"/>
    </w:pPr>
    <w:rPr>
      <w:lang w:eastAsia="en-GB"/>
    </w:rPr>
  </w:style>
  <w:style w:type="character" w:customStyle="1" w:styleId="apple-converted-space">
    <w:name w:val="apple-converted-space"/>
    <w:basedOn w:val="DefaultParagraphFont"/>
    <w:rsid w:val="000746B9"/>
  </w:style>
  <w:style w:type="paragraph" w:customStyle="1" w:styleId="EndNoteBibliography">
    <w:name w:val="EndNote Bibliography"/>
    <w:basedOn w:val="Normal"/>
    <w:link w:val="EndNoteBibliographyChar"/>
    <w:rsid w:val="000746B9"/>
    <w:pPr>
      <w:spacing w:after="200"/>
      <w:jc w:val="both"/>
    </w:pPr>
    <w:rPr>
      <w:rFonts w:ascii="Cambria" w:hAnsi="Cambria"/>
      <w:noProof/>
      <w:sz w:val="22"/>
      <w:szCs w:val="22"/>
      <w:lang w:eastAsia="en-GB"/>
    </w:rPr>
  </w:style>
  <w:style w:type="character" w:customStyle="1" w:styleId="EndNoteBibliographyChar">
    <w:name w:val="EndNote Bibliography Char"/>
    <w:link w:val="EndNoteBibliography"/>
    <w:rsid w:val="000746B9"/>
    <w:rPr>
      <w:rFonts w:ascii="Cambria" w:hAnsi="Cambria"/>
      <w:noProof/>
      <w:sz w:val="22"/>
      <w:szCs w:val="22"/>
    </w:rPr>
  </w:style>
  <w:style w:type="paragraph" w:styleId="NormalWeb">
    <w:name w:val="Normal (Web)"/>
    <w:basedOn w:val="Normal"/>
    <w:uiPriority w:val="99"/>
    <w:unhideWhenUsed/>
    <w:locked/>
    <w:rsid w:val="000746B9"/>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17486">
      <w:bodyDiv w:val="1"/>
      <w:marLeft w:val="0"/>
      <w:marRight w:val="0"/>
      <w:marTop w:val="0"/>
      <w:marBottom w:val="0"/>
      <w:divBdr>
        <w:top w:val="none" w:sz="0" w:space="0" w:color="auto"/>
        <w:left w:val="none" w:sz="0" w:space="0" w:color="auto"/>
        <w:bottom w:val="none" w:sz="0" w:space="0" w:color="auto"/>
        <w:right w:val="none" w:sz="0" w:space="0" w:color="auto"/>
      </w:divBdr>
      <w:divsChild>
        <w:div w:id="1914315054">
          <w:marLeft w:val="0"/>
          <w:marRight w:val="0"/>
          <w:marTop w:val="0"/>
          <w:marBottom w:val="0"/>
          <w:divBdr>
            <w:top w:val="none" w:sz="0" w:space="0" w:color="auto"/>
            <w:left w:val="none" w:sz="0" w:space="0" w:color="auto"/>
            <w:bottom w:val="none" w:sz="0" w:space="0" w:color="auto"/>
            <w:right w:val="none" w:sz="0" w:space="0" w:color="auto"/>
          </w:divBdr>
          <w:divsChild>
            <w:div w:id="205871113">
              <w:marLeft w:val="0"/>
              <w:marRight w:val="0"/>
              <w:marTop w:val="0"/>
              <w:marBottom w:val="0"/>
              <w:divBdr>
                <w:top w:val="none" w:sz="0" w:space="0" w:color="auto"/>
                <w:left w:val="none" w:sz="0" w:space="0" w:color="auto"/>
                <w:bottom w:val="none" w:sz="0" w:space="0" w:color="auto"/>
                <w:right w:val="none" w:sz="0" w:space="0" w:color="auto"/>
              </w:divBdr>
              <w:divsChild>
                <w:div w:id="1709061901">
                  <w:marLeft w:val="0"/>
                  <w:marRight w:val="0"/>
                  <w:marTop w:val="0"/>
                  <w:marBottom w:val="0"/>
                  <w:divBdr>
                    <w:top w:val="none" w:sz="0" w:space="0" w:color="auto"/>
                    <w:left w:val="none" w:sz="0" w:space="0" w:color="auto"/>
                    <w:bottom w:val="none" w:sz="0" w:space="0" w:color="auto"/>
                    <w:right w:val="none" w:sz="0" w:space="0" w:color="auto"/>
                  </w:divBdr>
                  <w:divsChild>
                    <w:div w:id="1105079342">
                      <w:marLeft w:val="0"/>
                      <w:marRight w:val="0"/>
                      <w:marTop w:val="0"/>
                      <w:marBottom w:val="0"/>
                      <w:divBdr>
                        <w:top w:val="none" w:sz="0" w:space="0" w:color="auto"/>
                        <w:left w:val="none" w:sz="0" w:space="0" w:color="auto"/>
                        <w:bottom w:val="none" w:sz="0" w:space="0" w:color="auto"/>
                        <w:right w:val="none" w:sz="0" w:space="0" w:color="auto"/>
                      </w:divBdr>
                      <w:divsChild>
                        <w:div w:id="2132240573">
                          <w:marLeft w:val="0"/>
                          <w:marRight w:val="0"/>
                          <w:marTop w:val="0"/>
                          <w:marBottom w:val="0"/>
                          <w:divBdr>
                            <w:top w:val="none" w:sz="0" w:space="0" w:color="auto"/>
                            <w:left w:val="none" w:sz="0" w:space="0" w:color="auto"/>
                            <w:bottom w:val="none" w:sz="0" w:space="0" w:color="auto"/>
                            <w:right w:val="none" w:sz="0" w:space="0" w:color="auto"/>
                          </w:divBdr>
                          <w:divsChild>
                            <w:div w:id="399981525">
                              <w:marLeft w:val="0"/>
                              <w:marRight w:val="0"/>
                              <w:marTop w:val="0"/>
                              <w:marBottom w:val="0"/>
                              <w:divBdr>
                                <w:top w:val="none" w:sz="0" w:space="0" w:color="auto"/>
                                <w:left w:val="none" w:sz="0" w:space="0" w:color="auto"/>
                                <w:bottom w:val="none" w:sz="0" w:space="0" w:color="auto"/>
                                <w:right w:val="none" w:sz="0" w:space="0" w:color="auto"/>
                              </w:divBdr>
                              <w:divsChild>
                                <w:div w:id="427194127">
                                  <w:marLeft w:val="0"/>
                                  <w:marRight w:val="0"/>
                                  <w:marTop w:val="0"/>
                                  <w:marBottom w:val="0"/>
                                  <w:divBdr>
                                    <w:top w:val="none" w:sz="0" w:space="0" w:color="auto"/>
                                    <w:left w:val="none" w:sz="0" w:space="0" w:color="auto"/>
                                    <w:bottom w:val="none" w:sz="0" w:space="0" w:color="auto"/>
                                    <w:right w:val="none" w:sz="0" w:space="0" w:color="auto"/>
                                  </w:divBdr>
                                  <w:divsChild>
                                    <w:div w:id="1373535238">
                                      <w:marLeft w:val="0"/>
                                      <w:marRight w:val="0"/>
                                      <w:marTop w:val="0"/>
                                      <w:marBottom w:val="0"/>
                                      <w:divBdr>
                                        <w:top w:val="none" w:sz="0" w:space="0" w:color="auto"/>
                                        <w:left w:val="none" w:sz="0" w:space="0" w:color="auto"/>
                                        <w:bottom w:val="none" w:sz="0" w:space="0" w:color="auto"/>
                                        <w:right w:val="none" w:sz="0" w:space="0" w:color="auto"/>
                                      </w:divBdr>
                                      <w:divsChild>
                                        <w:div w:id="1585916316">
                                          <w:marLeft w:val="0"/>
                                          <w:marRight w:val="0"/>
                                          <w:marTop w:val="0"/>
                                          <w:marBottom w:val="0"/>
                                          <w:divBdr>
                                            <w:top w:val="none" w:sz="0" w:space="0" w:color="auto"/>
                                            <w:left w:val="none" w:sz="0" w:space="0" w:color="auto"/>
                                            <w:bottom w:val="none" w:sz="0" w:space="0" w:color="auto"/>
                                            <w:right w:val="none" w:sz="0" w:space="0" w:color="auto"/>
                                          </w:divBdr>
                                          <w:divsChild>
                                            <w:div w:id="350684847">
                                              <w:marLeft w:val="0"/>
                                              <w:marRight w:val="0"/>
                                              <w:marTop w:val="0"/>
                                              <w:marBottom w:val="0"/>
                                              <w:divBdr>
                                                <w:top w:val="none" w:sz="0" w:space="0" w:color="auto"/>
                                                <w:left w:val="none" w:sz="0" w:space="0" w:color="auto"/>
                                                <w:bottom w:val="none" w:sz="0" w:space="0" w:color="auto"/>
                                                <w:right w:val="none" w:sz="0" w:space="0" w:color="auto"/>
                                              </w:divBdr>
                                              <w:divsChild>
                                                <w:div w:id="785541888">
                                                  <w:marLeft w:val="0"/>
                                                  <w:marRight w:val="0"/>
                                                  <w:marTop w:val="0"/>
                                                  <w:marBottom w:val="0"/>
                                                  <w:divBdr>
                                                    <w:top w:val="none" w:sz="0" w:space="0" w:color="auto"/>
                                                    <w:left w:val="none" w:sz="0" w:space="0" w:color="auto"/>
                                                    <w:bottom w:val="none" w:sz="0" w:space="0" w:color="auto"/>
                                                    <w:right w:val="none" w:sz="0" w:space="0" w:color="auto"/>
                                                  </w:divBdr>
                                                  <w:divsChild>
                                                    <w:div w:id="133380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349599">
      <w:bodyDiv w:val="1"/>
      <w:marLeft w:val="0"/>
      <w:marRight w:val="0"/>
      <w:marTop w:val="0"/>
      <w:marBottom w:val="0"/>
      <w:divBdr>
        <w:top w:val="none" w:sz="0" w:space="0" w:color="auto"/>
        <w:left w:val="none" w:sz="0" w:space="0" w:color="auto"/>
        <w:bottom w:val="none" w:sz="0" w:space="0" w:color="auto"/>
        <w:right w:val="none" w:sz="0" w:space="0" w:color="auto"/>
      </w:divBdr>
    </w:div>
    <w:div w:id="150800473">
      <w:bodyDiv w:val="1"/>
      <w:marLeft w:val="0"/>
      <w:marRight w:val="0"/>
      <w:marTop w:val="0"/>
      <w:marBottom w:val="0"/>
      <w:divBdr>
        <w:top w:val="none" w:sz="0" w:space="0" w:color="auto"/>
        <w:left w:val="none" w:sz="0" w:space="0" w:color="auto"/>
        <w:bottom w:val="none" w:sz="0" w:space="0" w:color="auto"/>
        <w:right w:val="none" w:sz="0" w:space="0" w:color="auto"/>
      </w:divBdr>
    </w:div>
    <w:div w:id="231232634">
      <w:bodyDiv w:val="1"/>
      <w:marLeft w:val="0"/>
      <w:marRight w:val="0"/>
      <w:marTop w:val="0"/>
      <w:marBottom w:val="0"/>
      <w:divBdr>
        <w:top w:val="none" w:sz="0" w:space="0" w:color="auto"/>
        <w:left w:val="none" w:sz="0" w:space="0" w:color="auto"/>
        <w:bottom w:val="none" w:sz="0" w:space="0" w:color="auto"/>
        <w:right w:val="none" w:sz="0" w:space="0" w:color="auto"/>
      </w:divBdr>
    </w:div>
    <w:div w:id="234584220">
      <w:bodyDiv w:val="1"/>
      <w:marLeft w:val="0"/>
      <w:marRight w:val="0"/>
      <w:marTop w:val="0"/>
      <w:marBottom w:val="0"/>
      <w:divBdr>
        <w:top w:val="none" w:sz="0" w:space="0" w:color="auto"/>
        <w:left w:val="none" w:sz="0" w:space="0" w:color="auto"/>
        <w:bottom w:val="none" w:sz="0" w:space="0" w:color="auto"/>
        <w:right w:val="none" w:sz="0" w:space="0" w:color="auto"/>
      </w:divBdr>
      <w:divsChild>
        <w:div w:id="1059398061">
          <w:marLeft w:val="0"/>
          <w:marRight w:val="0"/>
          <w:marTop w:val="0"/>
          <w:marBottom w:val="0"/>
          <w:divBdr>
            <w:top w:val="none" w:sz="0" w:space="0" w:color="auto"/>
            <w:left w:val="none" w:sz="0" w:space="0" w:color="auto"/>
            <w:bottom w:val="none" w:sz="0" w:space="0" w:color="auto"/>
            <w:right w:val="none" w:sz="0" w:space="0" w:color="auto"/>
          </w:divBdr>
          <w:divsChild>
            <w:div w:id="1323117172">
              <w:marLeft w:val="0"/>
              <w:marRight w:val="0"/>
              <w:marTop w:val="0"/>
              <w:marBottom w:val="0"/>
              <w:divBdr>
                <w:top w:val="none" w:sz="0" w:space="0" w:color="auto"/>
                <w:left w:val="none" w:sz="0" w:space="0" w:color="auto"/>
                <w:bottom w:val="none" w:sz="0" w:space="0" w:color="auto"/>
                <w:right w:val="none" w:sz="0" w:space="0" w:color="auto"/>
              </w:divBdr>
              <w:divsChild>
                <w:div w:id="538056454">
                  <w:marLeft w:val="0"/>
                  <w:marRight w:val="0"/>
                  <w:marTop w:val="0"/>
                  <w:marBottom w:val="0"/>
                  <w:divBdr>
                    <w:top w:val="none" w:sz="0" w:space="0" w:color="auto"/>
                    <w:left w:val="none" w:sz="0" w:space="0" w:color="auto"/>
                    <w:bottom w:val="none" w:sz="0" w:space="0" w:color="auto"/>
                    <w:right w:val="none" w:sz="0" w:space="0" w:color="auto"/>
                  </w:divBdr>
                  <w:divsChild>
                    <w:div w:id="1841239319">
                      <w:marLeft w:val="0"/>
                      <w:marRight w:val="0"/>
                      <w:marTop w:val="0"/>
                      <w:marBottom w:val="0"/>
                      <w:divBdr>
                        <w:top w:val="none" w:sz="0" w:space="0" w:color="auto"/>
                        <w:left w:val="none" w:sz="0" w:space="0" w:color="auto"/>
                        <w:bottom w:val="none" w:sz="0" w:space="0" w:color="auto"/>
                        <w:right w:val="none" w:sz="0" w:space="0" w:color="auto"/>
                      </w:divBdr>
                      <w:divsChild>
                        <w:div w:id="2004355029">
                          <w:marLeft w:val="0"/>
                          <w:marRight w:val="0"/>
                          <w:marTop w:val="0"/>
                          <w:marBottom w:val="0"/>
                          <w:divBdr>
                            <w:top w:val="none" w:sz="0" w:space="0" w:color="auto"/>
                            <w:left w:val="none" w:sz="0" w:space="0" w:color="auto"/>
                            <w:bottom w:val="none" w:sz="0" w:space="0" w:color="auto"/>
                            <w:right w:val="none" w:sz="0" w:space="0" w:color="auto"/>
                          </w:divBdr>
                          <w:divsChild>
                            <w:div w:id="310401697">
                              <w:marLeft w:val="0"/>
                              <w:marRight w:val="0"/>
                              <w:marTop w:val="0"/>
                              <w:marBottom w:val="0"/>
                              <w:divBdr>
                                <w:top w:val="none" w:sz="0" w:space="0" w:color="auto"/>
                                <w:left w:val="none" w:sz="0" w:space="0" w:color="auto"/>
                                <w:bottom w:val="none" w:sz="0" w:space="0" w:color="auto"/>
                                <w:right w:val="none" w:sz="0" w:space="0" w:color="auto"/>
                              </w:divBdr>
                              <w:divsChild>
                                <w:div w:id="593976680">
                                  <w:marLeft w:val="0"/>
                                  <w:marRight w:val="0"/>
                                  <w:marTop w:val="0"/>
                                  <w:marBottom w:val="0"/>
                                  <w:divBdr>
                                    <w:top w:val="none" w:sz="0" w:space="0" w:color="auto"/>
                                    <w:left w:val="none" w:sz="0" w:space="0" w:color="auto"/>
                                    <w:bottom w:val="none" w:sz="0" w:space="0" w:color="auto"/>
                                    <w:right w:val="none" w:sz="0" w:space="0" w:color="auto"/>
                                  </w:divBdr>
                                  <w:divsChild>
                                    <w:div w:id="859466313">
                                      <w:marLeft w:val="0"/>
                                      <w:marRight w:val="0"/>
                                      <w:marTop w:val="0"/>
                                      <w:marBottom w:val="0"/>
                                      <w:divBdr>
                                        <w:top w:val="none" w:sz="0" w:space="0" w:color="auto"/>
                                        <w:left w:val="none" w:sz="0" w:space="0" w:color="auto"/>
                                        <w:bottom w:val="none" w:sz="0" w:space="0" w:color="auto"/>
                                        <w:right w:val="none" w:sz="0" w:space="0" w:color="auto"/>
                                      </w:divBdr>
                                      <w:divsChild>
                                        <w:div w:id="20181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509137">
      <w:bodyDiv w:val="1"/>
      <w:marLeft w:val="0"/>
      <w:marRight w:val="0"/>
      <w:marTop w:val="0"/>
      <w:marBottom w:val="0"/>
      <w:divBdr>
        <w:top w:val="none" w:sz="0" w:space="0" w:color="auto"/>
        <w:left w:val="none" w:sz="0" w:space="0" w:color="auto"/>
        <w:bottom w:val="none" w:sz="0" w:space="0" w:color="auto"/>
        <w:right w:val="none" w:sz="0" w:space="0" w:color="auto"/>
      </w:divBdr>
      <w:divsChild>
        <w:div w:id="689835156">
          <w:marLeft w:val="0"/>
          <w:marRight w:val="0"/>
          <w:marTop w:val="0"/>
          <w:marBottom w:val="0"/>
          <w:divBdr>
            <w:top w:val="none" w:sz="0" w:space="0" w:color="auto"/>
            <w:left w:val="none" w:sz="0" w:space="0" w:color="auto"/>
            <w:bottom w:val="none" w:sz="0" w:space="0" w:color="auto"/>
            <w:right w:val="none" w:sz="0" w:space="0" w:color="auto"/>
          </w:divBdr>
          <w:divsChild>
            <w:div w:id="1148716287">
              <w:marLeft w:val="0"/>
              <w:marRight w:val="0"/>
              <w:marTop w:val="0"/>
              <w:marBottom w:val="0"/>
              <w:divBdr>
                <w:top w:val="none" w:sz="0" w:space="0" w:color="auto"/>
                <w:left w:val="none" w:sz="0" w:space="0" w:color="auto"/>
                <w:bottom w:val="none" w:sz="0" w:space="0" w:color="auto"/>
                <w:right w:val="none" w:sz="0" w:space="0" w:color="auto"/>
              </w:divBdr>
              <w:divsChild>
                <w:div w:id="1309746280">
                  <w:marLeft w:val="0"/>
                  <w:marRight w:val="0"/>
                  <w:marTop w:val="0"/>
                  <w:marBottom w:val="0"/>
                  <w:divBdr>
                    <w:top w:val="none" w:sz="0" w:space="0" w:color="auto"/>
                    <w:left w:val="none" w:sz="0" w:space="0" w:color="auto"/>
                    <w:bottom w:val="none" w:sz="0" w:space="0" w:color="auto"/>
                    <w:right w:val="none" w:sz="0" w:space="0" w:color="auto"/>
                  </w:divBdr>
                  <w:divsChild>
                    <w:div w:id="130832092">
                      <w:marLeft w:val="0"/>
                      <w:marRight w:val="0"/>
                      <w:marTop w:val="0"/>
                      <w:marBottom w:val="0"/>
                      <w:divBdr>
                        <w:top w:val="none" w:sz="0" w:space="0" w:color="auto"/>
                        <w:left w:val="none" w:sz="0" w:space="0" w:color="auto"/>
                        <w:bottom w:val="none" w:sz="0" w:space="0" w:color="auto"/>
                        <w:right w:val="none" w:sz="0" w:space="0" w:color="auto"/>
                      </w:divBdr>
                      <w:divsChild>
                        <w:div w:id="861628490">
                          <w:marLeft w:val="0"/>
                          <w:marRight w:val="0"/>
                          <w:marTop w:val="0"/>
                          <w:marBottom w:val="0"/>
                          <w:divBdr>
                            <w:top w:val="none" w:sz="0" w:space="0" w:color="auto"/>
                            <w:left w:val="none" w:sz="0" w:space="0" w:color="auto"/>
                            <w:bottom w:val="none" w:sz="0" w:space="0" w:color="auto"/>
                            <w:right w:val="none" w:sz="0" w:space="0" w:color="auto"/>
                          </w:divBdr>
                          <w:divsChild>
                            <w:div w:id="516627372">
                              <w:marLeft w:val="0"/>
                              <w:marRight w:val="0"/>
                              <w:marTop w:val="0"/>
                              <w:marBottom w:val="0"/>
                              <w:divBdr>
                                <w:top w:val="none" w:sz="0" w:space="0" w:color="auto"/>
                                <w:left w:val="none" w:sz="0" w:space="0" w:color="auto"/>
                                <w:bottom w:val="none" w:sz="0" w:space="0" w:color="auto"/>
                                <w:right w:val="none" w:sz="0" w:space="0" w:color="auto"/>
                              </w:divBdr>
                              <w:divsChild>
                                <w:div w:id="1330138068">
                                  <w:marLeft w:val="0"/>
                                  <w:marRight w:val="0"/>
                                  <w:marTop w:val="0"/>
                                  <w:marBottom w:val="0"/>
                                  <w:divBdr>
                                    <w:top w:val="none" w:sz="0" w:space="0" w:color="auto"/>
                                    <w:left w:val="none" w:sz="0" w:space="0" w:color="auto"/>
                                    <w:bottom w:val="none" w:sz="0" w:space="0" w:color="auto"/>
                                    <w:right w:val="none" w:sz="0" w:space="0" w:color="auto"/>
                                  </w:divBdr>
                                  <w:divsChild>
                                    <w:div w:id="851647035">
                                      <w:marLeft w:val="0"/>
                                      <w:marRight w:val="0"/>
                                      <w:marTop w:val="0"/>
                                      <w:marBottom w:val="0"/>
                                      <w:divBdr>
                                        <w:top w:val="none" w:sz="0" w:space="0" w:color="auto"/>
                                        <w:left w:val="none" w:sz="0" w:space="0" w:color="auto"/>
                                        <w:bottom w:val="none" w:sz="0" w:space="0" w:color="auto"/>
                                        <w:right w:val="none" w:sz="0" w:space="0" w:color="auto"/>
                                      </w:divBdr>
                                      <w:divsChild>
                                        <w:div w:id="989091177">
                                          <w:marLeft w:val="0"/>
                                          <w:marRight w:val="0"/>
                                          <w:marTop w:val="0"/>
                                          <w:marBottom w:val="0"/>
                                          <w:divBdr>
                                            <w:top w:val="none" w:sz="0" w:space="0" w:color="auto"/>
                                            <w:left w:val="none" w:sz="0" w:space="0" w:color="auto"/>
                                            <w:bottom w:val="none" w:sz="0" w:space="0" w:color="auto"/>
                                            <w:right w:val="none" w:sz="0" w:space="0" w:color="auto"/>
                                          </w:divBdr>
                                          <w:divsChild>
                                            <w:div w:id="1964580988">
                                              <w:marLeft w:val="0"/>
                                              <w:marRight w:val="0"/>
                                              <w:marTop w:val="0"/>
                                              <w:marBottom w:val="0"/>
                                              <w:divBdr>
                                                <w:top w:val="none" w:sz="0" w:space="0" w:color="auto"/>
                                                <w:left w:val="none" w:sz="0" w:space="0" w:color="auto"/>
                                                <w:bottom w:val="none" w:sz="0" w:space="0" w:color="auto"/>
                                                <w:right w:val="none" w:sz="0" w:space="0" w:color="auto"/>
                                              </w:divBdr>
                                              <w:divsChild>
                                                <w:div w:id="101930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8047666">
      <w:bodyDiv w:val="1"/>
      <w:marLeft w:val="0"/>
      <w:marRight w:val="0"/>
      <w:marTop w:val="0"/>
      <w:marBottom w:val="0"/>
      <w:divBdr>
        <w:top w:val="none" w:sz="0" w:space="0" w:color="auto"/>
        <w:left w:val="none" w:sz="0" w:space="0" w:color="auto"/>
        <w:bottom w:val="none" w:sz="0" w:space="0" w:color="auto"/>
        <w:right w:val="none" w:sz="0" w:space="0" w:color="auto"/>
      </w:divBdr>
    </w:div>
    <w:div w:id="415171570">
      <w:bodyDiv w:val="1"/>
      <w:marLeft w:val="0"/>
      <w:marRight w:val="0"/>
      <w:marTop w:val="0"/>
      <w:marBottom w:val="0"/>
      <w:divBdr>
        <w:top w:val="none" w:sz="0" w:space="0" w:color="auto"/>
        <w:left w:val="none" w:sz="0" w:space="0" w:color="auto"/>
        <w:bottom w:val="none" w:sz="0" w:space="0" w:color="auto"/>
        <w:right w:val="none" w:sz="0" w:space="0" w:color="auto"/>
      </w:divBdr>
      <w:divsChild>
        <w:div w:id="1670064021">
          <w:marLeft w:val="0"/>
          <w:marRight w:val="0"/>
          <w:marTop w:val="0"/>
          <w:marBottom w:val="0"/>
          <w:divBdr>
            <w:top w:val="none" w:sz="0" w:space="0" w:color="auto"/>
            <w:left w:val="none" w:sz="0" w:space="0" w:color="auto"/>
            <w:bottom w:val="none" w:sz="0" w:space="0" w:color="auto"/>
            <w:right w:val="none" w:sz="0" w:space="0" w:color="auto"/>
          </w:divBdr>
          <w:divsChild>
            <w:div w:id="1643728307">
              <w:marLeft w:val="0"/>
              <w:marRight w:val="0"/>
              <w:marTop w:val="0"/>
              <w:marBottom w:val="0"/>
              <w:divBdr>
                <w:top w:val="none" w:sz="0" w:space="0" w:color="auto"/>
                <w:left w:val="none" w:sz="0" w:space="0" w:color="auto"/>
                <w:bottom w:val="none" w:sz="0" w:space="0" w:color="auto"/>
                <w:right w:val="none" w:sz="0" w:space="0" w:color="auto"/>
              </w:divBdr>
              <w:divsChild>
                <w:div w:id="1304314010">
                  <w:marLeft w:val="0"/>
                  <w:marRight w:val="0"/>
                  <w:marTop w:val="0"/>
                  <w:marBottom w:val="0"/>
                  <w:divBdr>
                    <w:top w:val="none" w:sz="0" w:space="0" w:color="auto"/>
                    <w:left w:val="none" w:sz="0" w:space="0" w:color="auto"/>
                    <w:bottom w:val="none" w:sz="0" w:space="0" w:color="auto"/>
                    <w:right w:val="none" w:sz="0" w:space="0" w:color="auto"/>
                  </w:divBdr>
                  <w:divsChild>
                    <w:div w:id="664555801">
                      <w:marLeft w:val="0"/>
                      <w:marRight w:val="0"/>
                      <w:marTop w:val="0"/>
                      <w:marBottom w:val="0"/>
                      <w:divBdr>
                        <w:top w:val="none" w:sz="0" w:space="0" w:color="auto"/>
                        <w:left w:val="none" w:sz="0" w:space="0" w:color="auto"/>
                        <w:bottom w:val="none" w:sz="0" w:space="0" w:color="auto"/>
                        <w:right w:val="none" w:sz="0" w:space="0" w:color="auto"/>
                      </w:divBdr>
                      <w:divsChild>
                        <w:div w:id="437262732">
                          <w:marLeft w:val="0"/>
                          <w:marRight w:val="0"/>
                          <w:marTop w:val="0"/>
                          <w:marBottom w:val="0"/>
                          <w:divBdr>
                            <w:top w:val="none" w:sz="0" w:space="0" w:color="auto"/>
                            <w:left w:val="none" w:sz="0" w:space="0" w:color="auto"/>
                            <w:bottom w:val="none" w:sz="0" w:space="0" w:color="auto"/>
                            <w:right w:val="none" w:sz="0" w:space="0" w:color="auto"/>
                          </w:divBdr>
                          <w:divsChild>
                            <w:div w:id="1833905075">
                              <w:marLeft w:val="0"/>
                              <w:marRight w:val="0"/>
                              <w:marTop w:val="0"/>
                              <w:marBottom w:val="0"/>
                              <w:divBdr>
                                <w:top w:val="none" w:sz="0" w:space="0" w:color="auto"/>
                                <w:left w:val="none" w:sz="0" w:space="0" w:color="auto"/>
                                <w:bottom w:val="none" w:sz="0" w:space="0" w:color="auto"/>
                                <w:right w:val="none" w:sz="0" w:space="0" w:color="auto"/>
                              </w:divBdr>
                              <w:divsChild>
                                <w:div w:id="541212883">
                                  <w:marLeft w:val="0"/>
                                  <w:marRight w:val="0"/>
                                  <w:marTop w:val="0"/>
                                  <w:marBottom w:val="0"/>
                                  <w:divBdr>
                                    <w:top w:val="none" w:sz="0" w:space="0" w:color="auto"/>
                                    <w:left w:val="none" w:sz="0" w:space="0" w:color="auto"/>
                                    <w:bottom w:val="none" w:sz="0" w:space="0" w:color="auto"/>
                                    <w:right w:val="none" w:sz="0" w:space="0" w:color="auto"/>
                                  </w:divBdr>
                                  <w:divsChild>
                                    <w:div w:id="346448880">
                                      <w:marLeft w:val="0"/>
                                      <w:marRight w:val="0"/>
                                      <w:marTop w:val="0"/>
                                      <w:marBottom w:val="0"/>
                                      <w:divBdr>
                                        <w:top w:val="none" w:sz="0" w:space="0" w:color="auto"/>
                                        <w:left w:val="none" w:sz="0" w:space="0" w:color="auto"/>
                                        <w:bottom w:val="none" w:sz="0" w:space="0" w:color="auto"/>
                                        <w:right w:val="none" w:sz="0" w:space="0" w:color="auto"/>
                                      </w:divBdr>
                                      <w:divsChild>
                                        <w:div w:id="419982281">
                                          <w:marLeft w:val="0"/>
                                          <w:marRight w:val="0"/>
                                          <w:marTop w:val="0"/>
                                          <w:marBottom w:val="0"/>
                                          <w:divBdr>
                                            <w:top w:val="none" w:sz="0" w:space="0" w:color="auto"/>
                                            <w:left w:val="none" w:sz="0" w:space="0" w:color="auto"/>
                                            <w:bottom w:val="none" w:sz="0" w:space="0" w:color="auto"/>
                                            <w:right w:val="none" w:sz="0" w:space="0" w:color="auto"/>
                                          </w:divBdr>
                                          <w:divsChild>
                                            <w:div w:id="1357000306">
                                              <w:marLeft w:val="0"/>
                                              <w:marRight w:val="0"/>
                                              <w:marTop w:val="0"/>
                                              <w:marBottom w:val="0"/>
                                              <w:divBdr>
                                                <w:top w:val="none" w:sz="0" w:space="0" w:color="auto"/>
                                                <w:left w:val="none" w:sz="0" w:space="0" w:color="auto"/>
                                                <w:bottom w:val="none" w:sz="0" w:space="0" w:color="auto"/>
                                                <w:right w:val="none" w:sz="0" w:space="0" w:color="auto"/>
                                              </w:divBdr>
                                            </w:div>
                                            <w:div w:id="1453860917">
                                              <w:marLeft w:val="0"/>
                                              <w:marRight w:val="0"/>
                                              <w:marTop w:val="0"/>
                                              <w:marBottom w:val="0"/>
                                              <w:divBdr>
                                                <w:top w:val="none" w:sz="0" w:space="0" w:color="auto"/>
                                                <w:left w:val="none" w:sz="0" w:space="0" w:color="auto"/>
                                                <w:bottom w:val="none" w:sz="0" w:space="0" w:color="auto"/>
                                                <w:right w:val="none" w:sz="0" w:space="0" w:color="auto"/>
                                              </w:divBdr>
                                            </w:div>
                                            <w:div w:id="2063866721">
                                              <w:marLeft w:val="0"/>
                                              <w:marRight w:val="0"/>
                                              <w:marTop w:val="0"/>
                                              <w:marBottom w:val="0"/>
                                              <w:divBdr>
                                                <w:top w:val="none" w:sz="0" w:space="0" w:color="auto"/>
                                                <w:left w:val="none" w:sz="0" w:space="0" w:color="auto"/>
                                                <w:bottom w:val="none" w:sz="0" w:space="0" w:color="auto"/>
                                                <w:right w:val="none" w:sz="0" w:space="0" w:color="auto"/>
                                              </w:divBdr>
                                            </w:div>
                                            <w:div w:id="2138790828">
                                              <w:marLeft w:val="0"/>
                                              <w:marRight w:val="0"/>
                                              <w:marTop w:val="0"/>
                                              <w:marBottom w:val="0"/>
                                              <w:divBdr>
                                                <w:top w:val="none" w:sz="0" w:space="0" w:color="auto"/>
                                                <w:left w:val="none" w:sz="0" w:space="0" w:color="auto"/>
                                                <w:bottom w:val="none" w:sz="0" w:space="0" w:color="auto"/>
                                                <w:right w:val="none" w:sz="0" w:space="0" w:color="auto"/>
                                              </w:divBdr>
                                              <w:divsChild>
                                                <w:div w:id="90684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229443">
      <w:bodyDiv w:val="1"/>
      <w:marLeft w:val="0"/>
      <w:marRight w:val="0"/>
      <w:marTop w:val="0"/>
      <w:marBottom w:val="0"/>
      <w:divBdr>
        <w:top w:val="none" w:sz="0" w:space="0" w:color="auto"/>
        <w:left w:val="none" w:sz="0" w:space="0" w:color="auto"/>
        <w:bottom w:val="none" w:sz="0" w:space="0" w:color="auto"/>
        <w:right w:val="none" w:sz="0" w:space="0" w:color="auto"/>
      </w:divBdr>
      <w:divsChild>
        <w:div w:id="834150733">
          <w:marLeft w:val="0"/>
          <w:marRight w:val="0"/>
          <w:marTop w:val="0"/>
          <w:marBottom w:val="0"/>
          <w:divBdr>
            <w:top w:val="none" w:sz="0" w:space="0" w:color="auto"/>
            <w:left w:val="none" w:sz="0" w:space="0" w:color="auto"/>
            <w:bottom w:val="none" w:sz="0" w:space="0" w:color="auto"/>
            <w:right w:val="none" w:sz="0" w:space="0" w:color="auto"/>
          </w:divBdr>
          <w:divsChild>
            <w:div w:id="1449858101">
              <w:marLeft w:val="0"/>
              <w:marRight w:val="0"/>
              <w:marTop w:val="0"/>
              <w:marBottom w:val="0"/>
              <w:divBdr>
                <w:top w:val="none" w:sz="0" w:space="0" w:color="auto"/>
                <w:left w:val="none" w:sz="0" w:space="0" w:color="auto"/>
                <w:bottom w:val="none" w:sz="0" w:space="0" w:color="auto"/>
                <w:right w:val="none" w:sz="0" w:space="0" w:color="auto"/>
              </w:divBdr>
              <w:divsChild>
                <w:div w:id="1781220799">
                  <w:marLeft w:val="0"/>
                  <w:marRight w:val="0"/>
                  <w:marTop w:val="0"/>
                  <w:marBottom w:val="0"/>
                  <w:divBdr>
                    <w:top w:val="none" w:sz="0" w:space="0" w:color="auto"/>
                    <w:left w:val="none" w:sz="0" w:space="0" w:color="auto"/>
                    <w:bottom w:val="none" w:sz="0" w:space="0" w:color="auto"/>
                    <w:right w:val="none" w:sz="0" w:space="0" w:color="auto"/>
                  </w:divBdr>
                  <w:divsChild>
                    <w:div w:id="1577978663">
                      <w:marLeft w:val="2850"/>
                      <w:marRight w:val="300"/>
                      <w:marTop w:val="0"/>
                      <w:marBottom w:val="0"/>
                      <w:divBdr>
                        <w:top w:val="single" w:sz="6" w:space="0" w:color="6E90A6"/>
                        <w:left w:val="single" w:sz="6" w:space="19" w:color="6E90A6"/>
                        <w:bottom w:val="none" w:sz="0" w:space="0" w:color="auto"/>
                        <w:right w:val="single" w:sz="6" w:space="19" w:color="6E90A6"/>
                      </w:divBdr>
                    </w:div>
                  </w:divsChild>
                </w:div>
              </w:divsChild>
            </w:div>
          </w:divsChild>
        </w:div>
      </w:divsChild>
    </w:div>
    <w:div w:id="446169537">
      <w:bodyDiv w:val="1"/>
      <w:marLeft w:val="0"/>
      <w:marRight w:val="0"/>
      <w:marTop w:val="0"/>
      <w:marBottom w:val="0"/>
      <w:divBdr>
        <w:top w:val="none" w:sz="0" w:space="0" w:color="auto"/>
        <w:left w:val="none" w:sz="0" w:space="0" w:color="auto"/>
        <w:bottom w:val="none" w:sz="0" w:space="0" w:color="auto"/>
        <w:right w:val="none" w:sz="0" w:space="0" w:color="auto"/>
      </w:divBdr>
      <w:divsChild>
        <w:div w:id="992369884">
          <w:marLeft w:val="0"/>
          <w:marRight w:val="0"/>
          <w:marTop w:val="0"/>
          <w:marBottom w:val="0"/>
          <w:divBdr>
            <w:top w:val="none" w:sz="0" w:space="0" w:color="auto"/>
            <w:left w:val="none" w:sz="0" w:space="0" w:color="auto"/>
            <w:bottom w:val="none" w:sz="0" w:space="0" w:color="auto"/>
            <w:right w:val="none" w:sz="0" w:space="0" w:color="auto"/>
          </w:divBdr>
          <w:divsChild>
            <w:div w:id="710769023">
              <w:marLeft w:val="0"/>
              <w:marRight w:val="0"/>
              <w:marTop w:val="0"/>
              <w:marBottom w:val="0"/>
              <w:divBdr>
                <w:top w:val="none" w:sz="0" w:space="0" w:color="auto"/>
                <w:left w:val="none" w:sz="0" w:space="0" w:color="auto"/>
                <w:bottom w:val="none" w:sz="0" w:space="0" w:color="auto"/>
                <w:right w:val="none" w:sz="0" w:space="0" w:color="auto"/>
              </w:divBdr>
              <w:divsChild>
                <w:div w:id="780341494">
                  <w:marLeft w:val="0"/>
                  <w:marRight w:val="0"/>
                  <w:marTop w:val="0"/>
                  <w:marBottom w:val="0"/>
                  <w:divBdr>
                    <w:top w:val="none" w:sz="0" w:space="0" w:color="auto"/>
                    <w:left w:val="none" w:sz="0" w:space="0" w:color="auto"/>
                    <w:bottom w:val="none" w:sz="0" w:space="0" w:color="auto"/>
                    <w:right w:val="none" w:sz="0" w:space="0" w:color="auto"/>
                  </w:divBdr>
                  <w:divsChild>
                    <w:div w:id="968441988">
                      <w:marLeft w:val="0"/>
                      <w:marRight w:val="0"/>
                      <w:marTop w:val="0"/>
                      <w:marBottom w:val="0"/>
                      <w:divBdr>
                        <w:top w:val="none" w:sz="0" w:space="0" w:color="auto"/>
                        <w:left w:val="none" w:sz="0" w:space="0" w:color="auto"/>
                        <w:bottom w:val="none" w:sz="0" w:space="0" w:color="auto"/>
                        <w:right w:val="none" w:sz="0" w:space="0" w:color="auto"/>
                      </w:divBdr>
                      <w:divsChild>
                        <w:div w:id="677267709">
                          <w:marLeft w:val="0"/>
                          <w:marRight w:val="0"/>
                          <w:marTop w:val="0"/>
                          <w:marBottom w:val="0"/>
                          <w:divBdr>
                            <w:top w:val="none" w:sz="0" w:space="0" w:color="auto"/>
                            <w:left w:val="none" w:sz="0" w:space="0" w:color="auto"/>
                            <w:bottom w:val="none" w:sz="0" w:space="0" w:color="auto"/>
                            <w:right w:val="none" w:sz="0" w:space="0" w:color="auto"/>
                          </w:divBdr>
                          <w:divsChild>
                            <w:div w:id="1454523104">
                              <w:marLeft w:val="0"/>
                              <w:marRight w:val="0"/>
                              <w:marTop w:val="0"/>
                              <w:marBottom w:val="0"/>
                              <w:divBdr>
                                <w:top w:val="none" w:sz="0" w:space="0" w:color="auto"/>
                                <w:left w:val="none" w:sz="0" w:space="0" w:color="auto"/>
                                <w:bottom w:val="none" w:sz="0" w:space="0" w:color="auto"/>
                                <w:right w:val="none" w:sz="0" w:space="0" w:color="auto"/>
                              </w:divBdr>
                              <w:divsChild>
                                <w:div w:id="933822653">
                                  <w:marLeft w:val="0"/>
                                  <w:marRight w:val="0"/>
                                  <w:marTop w:val="0"/>
                                  <w:marBottom w:val="0"/>
                                  <w:divBdr>
                                    <w:top w:val="none" w:sz="0" w:space="0" w:color="auto"/>
                                    <w:left w:val="none" w:sz="0" w:space="0" w:color="auto"/>
                                    <w:bottom w:val="none" w:sz="0" w:space="0" w:color="auto"/>
                                    <w:right w:val="none" w:sz="0" w:space="0" w:color="auto"/>
                                  </w:divBdr>
                                  <w:divsChild>
                                    <w:div w:id="71630953">
                                      <w:marLeft w:val="0"/>
                                      <w:marRight w:val="0"/>
                                      <w:marTop w:val="0"/>
                                      <w:marBottom w:val="0"/>
                                      <w:divBdr>
                                        <w:top w:val="none" w:sz="0" w:space="0" w:color="auto"/>
                                        <w:left w:val="none" w:sz="0" w:space="0" w:color="auto"/>
                                        <w:bottom w:val="none" w:sz="0" w:space="0" w:color="auto"/>
                                        <w:right w:val="none" w:sz="0" w:space="0" w:color="auto"/>
                                      </w:divBdr>
                                      <w:divsChild>
                                        <w:div w:id="1560478657">
                                          <w:marLeft w:val="0"/>
                                          <w:marRight w:val="0"/>
                                          <w:marTop w:val="0"/>
                                          <w:marBottom w:val="0"/>
                                          <w:divBdr>
                                            <w:top w:val="none" w:sz="0" w:space="0" w:color="auto"/>
                                            <w:left w:val="none" w:sz="0" w:space="0" w:color="auto"/>
                                            <w:bottom w:val="none" w:sz="0" w:space="0" w:color="auto"/>
                                            <w:right w:val="none" w:sz="0" w:space="0" w:color="auto"/>
                                          </w:divBdr>
                                          <w:divsChild>
                                            <w:div w:id="1538083297">
                                              <w:marLeft w:val="0"/>
                                              <w:marRight w:val="0"/>
                                              <w:marTop w:val="0"/>
                                              <w:marBottom w:val="0"/>
                                              <w:divBdr>
                                                <w:top w:val="none" w:sz="0" w:space="0" w:color="auto"/>
                                                <w:left w:val="none" w:sz="0" w:space="0" w:color="auto"/>
                                                <w:bottom w:val="none" w:sz="0" w:space="0" w:color="auto"/>
                                                <w:right w:val="none" w:sz="0" w:space="0" w:color="auto"/>
                                              </w:divBdr>
                                              <w:divsChild>
                                                <w:div w:id="174753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0224126">
      <w:bodyDiv w:val="1"/>
      <w:marLeft w:val="0"/>
      <w:marRight w:val="0"/>
      <w:marTop w:val="0"/>
      <w:marBottom w:val="0"/>
      <w:divBdr>
        <w:top w:val="none" w:sz="0" w:space="0" w:color="auto"/>
        <w:left w:val="none" w:sz="0" w:space="0" w:color="auto"/>
        <w:bottom w:val="none" w:sz="0" w:space="0" w:color="auto"/>
        <w:right w:val="none" w:sz="0" w:space="0" w:color="auto"/>
      </w:divBdr>
      <w:divsChild>
        <w:div w:id="424156213">
          <w:marLeft w:val="0"/>
          <w:marRight w:val="0"/>
          <w:marTop w:val="0"/>
          <w:marBottom w:val="0"/>
          <w:divBdr>
            <w:top w:val="none" w:sz="0" w:space="0" w:color="auto"/>
            <w:left w:val="none" w:sz="0" w:space="0" w:color="auto"/>
            <w:bottom w:val="none" w:sz="0" w:space="0" w:color="auto"/>
            <w:right w:val="none" w:sz="0" w:space="0" w:color="auto"/>
          </w:divBdr>
          <w:divsChild>
            <w:div w:id="371808703">
              <w:marLeft w:val="0"/>
              <w:marRight w:val="0"/>
              <w:marTop w:val="0"/>
              <w:marBottom w:val="0"/>
              <w:divBdr>
                <w:top w:val="none" w:sz="0" w:space="0" w:color="auto"/>
                <w:left w:val="none" w:sz="0" w:space="0" w:color="auto"/>
                <w:bottom w:val="none" w:sz="0" w:space="0" w:color="auto"/>
                <w:right w:val="none" w:sz="0" w:space="0" w:color="auto"/>
              </w:divBdr>
              <w:divsChild>
                <w:div w:id="692414829">
                  <w:marLeft w:val="0"/>
                  <w:marRight w:val="0"/>
                  <w:marTop w:val="0"/>
                  <w:marBottom w:val="0"/>
                  <w:divBdr>
                    <w:top w:val="none" w:sz="0" w:space="0" w:color="auto"/>
                    <w:left w:val="none" w:sz="0" w:space="0" w:color="auto"/>
                    <w:bottom w:val="none" w:sz="0" w:space="0" w:color="auto"/>
                    <w:right w:val="none" w:sz="0" w:space="0" w:color="auto"/>
                  </w:divBdr>
                  <w:divsChild>
                    <w:div w:id="1598558020">
                      <w:marLeft w:val="0"/>
                      <w:marRight w:val="0"/>
                      <w:marTop w:val="0"/>
                      <w:marBottom w:val="0"/>
                      <w:divBdr>
                        <w:top w:val="none" w:sz="0" w:space="0" w:color="auto"/>
                        <w:left w:val="none" w:sz="0" w:space="0" w:color="auto"/>
                        <w:bottom w:val="none" w:sz="0" w:space="0" w:color="auto"/>
                        <w:right w:val="none" w:sz="0" w:space="0" w:color="auto"/>
                      </w:divBdr>
                      <w:divsChild>
                        <w:div w:id="1894388479">
                          <w:marLeft w:val="0"/>
                          <w:marRight w:val="0"/>
                          <w:marTop w:val="0"/>
                          <w:marBottom w:val="0"/>
                          <w:divBdr>
                            <w:top w:val="none" w:sz="0" w:space="0" w:color="auto"/>
                            <w:left w:val="none" w:sz="0" w:space="0" w:color="auto"/>
                            <w:bottom w:val="none" w:sz="0" w:space="0" w:color="auto"/>
                            <w:right w:val="none" w:sz="0" w:space="0" w:color="auto"/>
                          </w:divBdr>
                          <w:divsChild>
                            <w:div w:id="1895039713">
                              <w:marLeft w:val="0"/>
                              <w:marRight w:val="0"/>
                              <w:marTop w:val="0"/>
                              <w:marBottom w:val="0"/>
                              <w:divBdr>
                                <w:top w:val="none" w:sz="0" w:space="0" w:color="auto"/>
                                <w:left w:val="none" w:sz="0" w:space="0" w:color="auto"/>
                                <w:bottom w:val="none" w:sz="0" w:space="0" w:color="auto"/>
                                <w:right w:val="none" w:sz="0" w:space="0" w:color="auto"/>
                              </w:divBdr>
                              <w:divsChild>
                                <w:div w:id="1502231599">
                                  <w:marLeft w:val="0"/>
                                  <w:marRight w:val="0"/>
                                  <w:marTop w:val="0"/>
                                  <w:marBottom w:val="0"/>
                                  <w:divBdr>
                                    <w:top w:val="none" w:sz="0" w:space="0" w:color="auto"/>
                                    <w:left w:val="none" w:sz="0" w:space="0" w:color="auto"/>
                                    <w:bottom w:val="none" w:sz="0" w:space="0" w:color="auto"/>
                                    <w:right w:val="none" w:sz="0" w:space="0" w:color="auto"/>
                                  </w:divBdr>
                                  <w:divsChild>
                                    <w:div w:id="791899586">
                                      <w:marLeft w:val="0"/>
                                      <w:marRight w:val="0"/>
                                      <w:marTop w:val="0"/>
                                      <w:marBottom w:val="0"/>
                                      <w:divBdr>
                                        <w:top w:val="none" w:sz="0" w:space="0" w:color="auto"/>
                                        <w:left w:val="none" w:sz="0" w:space="0" w:color="auto"/>
                                        <w:bottom w:val="none" w:sz="0" w:space="0" w:color="auto"/>
                                        <w:right w:val="none" w:sz="0" w:space="0" w:color="auto"/>
                                      </w:divBdr>
                                      <w:divsChild>
                                        <w:div w:id="386103916">
                                          <w:marLeft w:val="0"/>
                                          <w:marRight w:val="0"/>
                                          <w:marTop w:val="0"/>
                                          <w:marBottom w:val="0"/>
                                          <w:divBdr>
                                            <w:top w:val="none" w:sz="0" w:space="0" w:color="auto"/>
                                            <w:left w:val="none" w:sz="0" w:space="0" w:color="auto"/>
                                            <w:bottom w:val="none" w:sz="0" w:space="0" w:color="auto"/>
                                            <w:right w:val="none" w:sz="0" w:space="0" w:color="auto"/>
                                          </w:divBdr>
                                          <w:divsChild>
                                            <w:div w:id="59596086">
                                              <w:marLeft w:val="0"/>
                                              <w:marRight w:val="0"/>
                                              <w:marTop w:val="0"/>
                                              <w:marBottom w:val="0"/>
                                              <w:divBdr>
                                                <w:top w:val="none" w:sz="0" w:space="0" w:color="auto"/>
                                                <w:left w:val="none" w:sz="0" w:space="0" w:color="auto"/>
                                                <w:bottom w:val="none" w:sz="0" w:space="0" w:color="auto"/>
                                                <w:right w:val="none" w:sz="0" w:space="0" w:color="auto"/>
                                              </w:divBdr>
                                              <w:divsChild>
                                                <w:div w:id="21366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9122672">
      <w:bodyDiv w:val="1"/>
      <w:marLeft w:val="0"/>
      <w:marRight w:val="0"/>
      <w:marTop w:val="0"/>
      <w:marBottom w:val="0"/>
      <w:divBdr>
        <w:top w:val="none" w:sz="0" w:space="0" w:color="auto"/>
        <w:left w:val="none" w:sz="0" w:space="0" w:color="auto"/>
        <w:bottom w:val="none" w:sz="0" w:space="0" w:color="auto"/>
        <w:right w:val="none" w:sz="0" w:space="0" w:color="auto"/>
      </w:divBdr>
      <w:divsChild>
        <w:div w:id="457647838">
          <w:marLeft w:val="0"/>
          <w:marRight w:val="0"/>
          <w:marTop w:val="0"/>
          <w:marBottom w:val="0"/>
          <w:divBdr>
            <w:top w:val="none" w:sz="0" w:space="0" w:color="auto"/>
            <w:left w:val="none" w:sz="0" w:space="0" w:color="auto"/>
            <w:bottom w:val="none" w:sz="0" w:space="0" w:color="auto"/>
            <w:right w:val="none" w:sz="0" w:space="0" w:color="auto"/>
          </w:divBdr>
          <w:divsChild>
            <w:div w:id="2137065863">
              <w:marLeft w:val="0"/>
              <w:marRight w:val="0"/>
              <w:marTop w:val="0"/>
              <w:marBottom w:val="0"/>
              <w:divBdr>
                <w:top w:val="none" w:sz="0" w:space="0" w:color="auto"/>
                <w:left w:val="none" w:sz="0" w:space="0" w:color="auto"/>
                <w:bottom w:val="none" w:sz="0" w:space="0" w:color="auto"/>
                <w:right w:val="none" w:sz="0" w:space="0" w:color="auto"/>
              </w:divBdr>
              <w:divsChild>
                <w:div w:id="1723749702">
                  <w:marLeft w:val="0"/>
                  <w:marRight w:val="0"/>
                  <w:marTop w:val="0"/>
                  <w:marBottom w:val="0"/>
                  <w:divBdr>
                    <w:top w:val="none" w:sz="0" w:space="0" w:color="auto"/>
                    <w:left w:val="none" w:sz="0" w:space="0" w:color="auto"/>
                    <w:bottom w:val="none" w:sz="0" w:space="0" w:color="auto"/>
                    <w:right w:val="none" w:sz="0" w:space="0" w:color="auto"/>
                  </w:divBdr>
                  <w:divsChild>
                    <w:div w:id="1107848452">
                      <w:marLeft w:val="0"/>
                      <w:marRight w:val="0"/>
                      <w:marTop w:val="0"/>
                      <w:marBottom w:val="0"/>
                      <w:divBdr>
                        <w:top w:val="none" w:sz="0" w:space="0" w:color="auto"/>
                        <w:left w:val="none" w:sz="0" w:space="0" w:color="auto"/>
                        <w:bottom w:val="none" w:sz="0" w:space="0" w:color="auto"/>
                        <w:right w:val="none" w:sz="0" w:space="0" w:color="auto"/>
                      </w:divBdr>
                      <w:divsChild>
                        <w:div w:id="1201170494">
                          <w:marLeft w:val="0"/>
                          <w:marRight w:val="0"/>
                          <w:marTop w:val="0"/>
                          <w:marBottom w:val="0"/>
                          <w:divBdr>
                            <w:top w:val="none" w:sz="0" w:space="0" w:color="auto"/>
                            <w:left w:val="none" w:sz="0" w:space="0" w:color="auto"/>
                            <w:bottom w:val="none" w:sz="0" w:space="0" w:color="auto"/>
                            <w:right w:val="none" w:sz="0" w:space="0" w:color="auto"/>
                          </w:divBdr>
                          <w:divsChild>
                            <w:div w:id="800733120">
                              <w:marLeft w:val="0"/>
                              <w:marRight w:val="0"/>
                              <w:marTop w:val="0"/>
                              <w:marBottom w:val="0"/>
                              <w:divBdr>
                                <w:top w:val="none" w:sz="0" w:space="0" w:color="auto"/>
                                <w:left w:val="none" w:sz="0" w:space="0" w:color="auto"/>
                                <w:bottom w:val="none" w:sz="0" w:space="0" w:color="auto"/>
                                <w:right w:val="none" w:sz="0" w:space="0" w:color="auto"/>
                              </w:divBdr>
                              <w:divsChild>
                                <w:div w:id="1330861750">
                                  <w:marLeft w:val="0"/>
                                  <w:marRight w:val="0"/>
                                  <w:marTop w:val="0"/>
                                  <w:marBottom w:val="0"/>
                                  <w:divBdr>
                                    <w:top w:val="none" w:sz="0" w:space="0" w:color="auto"/>
                                    <w:left w:val="none" w:sz="0" w:space="0" w:color="auto"/>
                                    <w:bottom w:val="none" w:sz="0" w:space="0" w:color="auto"/>
                                    <w:right w:val="none" w:sz="0" w:space="0" w:color="auto"/>
                                  </w:divBdr>
                                  <w:divsChild>
                                    <w:div w:id="77873385">
                                      <w:marLeft w:val="0"/>
                                      <w:marRight w:val="0"/>
                                      <w:marTop w:val="0"/>
                                      <w:marBottom w:val="0"/>
                                      <w:divBdr>
                                        <w:top w:val="none" w:sz="0" w:space="0" w:color="auto"/>
                                        <w:left w:val="none" w:sz="0" w:space="0" w:color="auto"/>
                                        <w:bottom w:val="none" w:sz="0" w:space="0" w:color="auto"/>
                                        <w:right w:val="none" w:sz="0" w:space="0" w:color="auto"/>
                                      </w:divBdr>
                                      <w:divsChild>
                                        <w:div w:id="1880168596">
                                          <w:marLeft w:val="0"/>
                                          <w:marRight w:val="0"/>
                                          <w:marTop w:val="0"/>
                                          <w:marBottom w:val="0"/>
                                          <w:divBdr>
                                            <w:top w:val="none" w:sz="0" w:space="0" w:color="auto"/>
                                            <w:left w:val="none" w:sz="0" w:space="0" w:color="auto"/>
                                            <w:bottom w:val="none" w:sz="0" w:space="0" w:color="auto"/>
                                            <w:right w:val="none" w:sz="0" w:space="0" w:color="auto"/>
                                          </w:divBdr>
                                          <w:divsChild>
                                            <w:div w:id="65680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2423841">
      <w:bodyDiv w:val="1"/>
      <w:marLeft w:val="0"/>
      <w:marRight w:val="0"/>
      <w:marTop w:val="0"/>
      <w:marBottom w:val="0"/>
      <w:divBdr>
        <w:top w:val="none" w:sz="0" w:space="0" w:color="auto"/>
        <w:left w:val="none" w:sz="0" w:space="0" w:color="auto"/>
        <w:bottom w:val="none" w:sz="0" w:space="0" w:color="auto"/>
        <w:right w:val="none" w:sz="0" w:space="0" w:color="auto"/>
      </w:divBdr>
    </w:div>
    <w:div w:id="583536819">
      <w:bodyDiv w:val="1"/>
      <w:marLeft w:val="0"/>
      <w:marRight w:val="0"/>
      <w:marTop w:val="0"/>
      <w:marBottom w:val="0"/>
      <w:divBdr>
        <w:top w:val="none" w:sz="0" w:space="0" w:color="auto"/>
        <w:left w:val="none" w:sz="0" w:space="0" w:color="auto"/>
        <w:bottom w:val="none" w:sz="0" w:space="0" w:color="auto"/>
        <w:right w:val="none" w:sz="0" w:space="0" w:color="auto"/>
      </w:divBdr>
    </w:div>
    <w:div w:id="594284544">
      <w:bodyDiv w:val="1"/>
      <w:marLeft w:val="0"/>
      <w:marRight w:val="0"/>
      <w:marTop w:val="0"/>
      <w:marBottom w:val="0"/>
      <w:divBdr>
        <w:top w:val="none" w:sz="0" w:space="0" w:color="auto"/>
        <w:left w:val="none" w:sz="0" w:space="0" w:color="auto"/>
        <w:bottom w:val="none" w:sz="0" w:space="0" w:color="auto"/>
        <w:right w:val="none" w:sz="0" w:space="0" w:color="auto"/>
      </w:divBdr>
      <w:divsChild>
        <w:div w:id="566111993">
          <w:marLeft w:val="0"/>
          <w:marRight w:val="0"/>
          <w:marTop w:val="0"/>
          <w:marBottom w:val="0"/>
          <w:divBdr>
            <w:top w:val="none" w:sz="0" w:space="0" w:color="auto"/>
            <w:left w:val="none" w:sz="0" w:space="0" w:color="auto"/>
            <w:bottom w:val="none" w:sz="0" w:space="0" w:color="auto"/>
            <w:right w:val="none" w:sz="0" w:space="0" w:color="auto"/>
          </w:divBdr>
          <w:divsChild>
            <w:div w:id="1818959445">
              <w:marLeft w:val="0"/>
              <w:marRight w:val="0"/>
              <w:marTop w:val="0"/>
              <w:marBottom w:val="0"/>
              <w:divBdr>
                <w:top w:val="none" w:sz="0" w:space="0" w:color="auto"/>
                <w:left w:val="none" w:sz="0" w:space="0" w:color="auto"/>
                <w:bottom w:val="none" w:sz="0" w:space="0" w:color="auto"/>
                <w:right w:val="none" w:sz="0" w:space="0" w:color="auto"/>
              </w:divBdr>
              <w:divsChild>
                <w:div w:id="409429856">
                  <w:marLeft w:val="0"/>
                  <w:marRight w:val="0"/>
                  <w:marTop w:val="0"/>
                  <w:marBottom w:val="0"/>
                  <w:divBdr>
                    <w:top w:val="none" w:sz="0" w:space="0" w:color="auto"/>
                    <w:left w:val="none" w:sz="0" w:space="0" w:color="auto"/>
                    <w:bottom w:val="none" w:sz="0" w:space="0" w:color="auto"/>
                    <w:right w:val="none" w:sz="0" w:space="0" w:color="auto"/>
                  </w:divBdr>
                  <w:divsChild>
                    <w:div w:id="1417896093">
                      <w:marLeft w:val="0"/>
                      <w:marRight w:val="0"/>
                      <w:marTop w:val="0"/>
                      <w:marBottom w:val="0"/>
                      <w:divBdr>
                        <w:top w:val="none" w:sz="0" w:space="0" w:color="auto"/>
                        <w:left w:val="none" w:sz="0" w:space="0" w:color="auto"/>
                        <w:bottom w:val="none" w:sz="0" w:space="0" w:color="auto"/>
                        <w:right w:val="none" w:sz="0" w:space="0" w:color="auto"/>
                      </w:divBdr>
                      <w:divsChild>
                        <w:div w:id="1937054494">
                          <w:marLeft w:val="0"/>
                          <w:marRight w:val="0"/>
                          <w:marTop w:val="0"/>
                          <w:marBottom w:val="0"/>
                          <w:divBdr>
                            <w:top w:val="none" w:sz="0" w:space="0" w:color="auto"/>
                            <w:left w:val="none" w:sz="0" w:space="0" w:color="auto"/>
                            <w:bottom w:val="none" w:sz="0" w:space="0" w:color="auto"/>
                            <w:right w:val="none" w:sz="0" w:space="0" w:color="auto"/>
                          </w:divBdr>
                          <w:divsChild>
                            <w:div w:id="1991514470">
                              <w:marLeft w:val="0"/>
                              <w:marRight w:val="0"/>
                              <w:marTop w:val="0"/>
                              <w:marBottom w:val="0"/>
                              <w:divBdr>
                                <w:top w:val="none" w:sz="0" w:space="0" w:color="auto"/>
                                <w:left w:val="none" w:sz="0" w:space="0" w:color="auto"/>
                                <w:bottom w:val="none" w:sz="0" w:space="0" w:color="auto"/>
                                <w:right w:val="none" w:sz="0" w:space="0" w:color="auto"/>
                              </w:divBdr>
                              <w:divsChild>
                                <w:div w:id="1566715890">
                                  <w:marLeft w:val="0"/>
                                  <w:marRight w:val="0"/>
                                  <w:marTop w:val="0"/>
                                  <w:marBottom w:val="0"/>
                                  <w:divBdr>
                                    <w:top w:val="none" w:sz="0" w:space="0" w:color="auto"/>
                                    <w:left w:val="none" w:sz="0" w:space="0" w:color="auto"/>
                                    <w:bottom w:val="none" w:sz="0" w:space="0" w:color="auto"/>
                                    <w:right w:val="none" w:sz="0" w:space="0" w:color="auto"/>
                                  </w:divBdr>
                                  <w:divsChild>
                                    <w:div w:id="2121365988">
                                      <w:marLeft w:val="0"/>
                                      <w:marRight w:val="0"/>
                                      <w:marTop w:val="0"/>
                                      <w:marBottom w:val="0"/>
                                      <w:divBdr>
                                        <w:top w:val="none" w:sz="0" w:space="0" w:color="auto"/>
                                        <w:left w:val="none" w:sz="0" w:space="0" w:color="auto"/>
                                        <w:bottom w:val="none" w:sz="0" w:space="0" w:color="auto"/>
                                        <w:right w:val="none" w:sz="0" w:space="0" w:color="auto"/>
                                      </w:divBdr>
                                      <w:divsChild>
                                        <w:div w:id="922570440">
                                          <w:marLeft w:val="0"/>
                                          <w:marRight w:val="0"/>
                                          <w:marTop w:val="0"/>
                                          <w:marBottom w:val="0"/>
                                          <w:divBdr>
                                            <w:top w:val="none" w:sz="0" w:space="0" w:color="auto"/>
                                            <w:left w:val="none" w:sz="0" w:space="0" w:color="auto"/>
                                            <w:bottom w:val="none" w:sz="0" w:space="0" w:color="auto"/>
                                            <w:right w:val="none" w:sz="0" w:space="0" w:color="auto"/>
                                          </w:divBdr>
                                          <w:divsChild>
                                            <w:div w:id="1077626920">
                                              <w:marLeft w:val="0"/>
                                              <w:marRight w:val="0"/>
                                              <w:marTop w:val="0"/>
                                              <w:marBottom w:val="0"/>
                                              <w:divBdr>
                                                <w:top w:val="none" w:sz="0" w:space="0" w:color="auto"/>
                                                <w:left w:val="none" w:sz="0" w:space="0" w:color="auto"/>
                                                <w:bottom w:val="none" w:sz="0" w:space="0" w:color="auto"/>
                                                <w:right w:val="none" w:sz="0" w:space="0" w:color="auto"/>
                                              </w:divBdr>
                                              <w:divsChild>
                                                <w:div w:id="1935818211">
                                                  <w:marLeft w:val="0"/>
                                                  <w:marRight w:val="0"/>
                                                  <w:marTop w:val="0"/>
                                                  <w:marBottom w:val="0"/>
                                                  <w:divBdr>
                                                    <w:top w:val="none" w:sz="0" w:space="0" w:color="auto"/>
                                                    <w:left w:val="none" w:sz="0" w:space="0" w:color="auto"/>
                                                    <w:bottom w:val="none" w:sz="0" w:space="0" w:color="auto"/>
                                                    <w:right w:val="none" w:sz="0" w:space="0" w:color="auto"/>
                                                  </w:divBdr>
                                                  <w:divsChild>
                                                    <w:div w:id="118305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0458129">
      <w:bodyDiv w:val="1"/>
      <w:marLeft w:val="0"/>
      <w:marRight w:val="0"/>
      <w:marTop w:val="0"/>
      <w:marBottom w:val="0"/>
      <w:divBdr>
        <w:top w:val="none" w:sz="0" w:space="0" w:color="auto"/>
        <w:left w:val="none" w:sz="0" w:space="0" w:color="auto"/>
        <w:bottom w:val="none" w:sz="0" w:space="0" w:color="auto"/>
        <w:right w:val="none" w:sz="0" w:space="0" w:color="auto"/>
      </w:divBdr>
      <w:divsChild>
        <w:div w:id="168177691">
          <w:marLeft w:val="0"/>
          <w:marRight w:val="0"/>
          <w:marTop w:val="0"/>
          <w:marBottom w:val="0"/>
          <w:divBdr>
            <w:top w:val="none" w:sz="0" w:space="0" w:color="auto"/>
            <w:left w:val="none" w:sz="0" w:space="0" w:color="auto"/>
            <w:bottom w:val="none" w:sz="0" w:space="0" w:color="auto"/>
            <w:right w:val="none" w:sz="0" w:space="0" w:color="auto"/>
          </w:divBdr>
          <w:divsChild>
            <w:div w:id="2087221000">
              <w:marLeft w:val="0"/>
              <w:marRight w:val="0"/>
              <w:marTop w:val="0"/>
              <w:marBottom w:val="0"/>
              <w:divBdr>
                <w:top w:val="none" w:sz="0" w:space="0" w:color="auto"/>
                <w:left w:val="none" w:sz="0" w:space="0" w:color="auto"/>
                <w:bottom w:val="none" w:sz="0" w:space="0" w:color="auto"/>
                <w:right w:val="none" w:sz="0" w:space="0" w:color="auto"/>
              </w:divBdr>
              <w:divsChild>
                <w:div w:id="402995007">
                  <w:marLeft w:val="0"/>
                  <w:marRight w:val="0"/>
                  <w:marTop w:val="0"/>
                  <w:marBottom w:val="0"/>
                  <w:divBdr>
                    <w:top w:val="none" w:sz="0" w:space="0" w:color="auto"/>
                    <w:left w:val="none" w:sz="0" w:space="0" w:color="auto"/>
                    <w:bottom w:val="none" w:sz="0" w:space="0" w:color="auto"/>
                    <w:right w:val="none" w:sz="0" w:space="0" w:color="auto"/>
                  </w:divBdr>
                  <w:divsChild>
                    <w:div w:id="1381326818">
                      <w:marLeft w:val="0"/>
                      <w:marRight w:val="0"/>
                      <w:marTop w:val="0"/>
                      <w:marBottom w:val="0"/>
                      <w:divBdr>
                        <w:top w:val="none" w:sz="0" w:space="0" w:color="auto"/>
                        <w:left w:val="none" w:sz="0" w:space="0" w:color="auto"/>
                        <w:bottom w:val="none" w:sz="0" w:space="0" w:color="auto"/>
                        <w:right w:val="none" w:sz="0" w:space="0" w:color="auto"/>
                      </w:divBdr>
                      <w:divsChild>
                        <w:div w:id="112334695">
                          <w:marLeft w:val="0"/>
                          <w:marRight w:val="0"/>
                          <w:marTop w:val="0"/>
                          <w:marBottom w:val="0"/>
                          <w:divBdr>
                            <w:top w:val="none" w:sz="0" w:space="0" w:color="auto"/>
                            <w:left w:val="none" w:sz="0" w:space="0" w:color="auto"/>
                            <w:bottom w:val="none" w:sz="0" w:space="0" w:color="auto"/>
                            <w:right w:val="none" w:sz="0" w:space="0" w:color="auto"/>
                          </w:divBdr>
                          <w:divsChild>
                            <w:div w:id="743458504">
                              <w:marLeft w:val="0"/>
                              <w:marRight w:val="0"/>
                              <w:marTop w:val="0"/>
                              <w:marBottom w:val="0"/>
                              <w:divBdr>
                                <w:top w:val="none" w:sz="0" w:space="0" w:color="auto"/>
                                <w:left w:val="none" w:sz="0" w:space="0" w:color="auto"/>
                                <w:bottom w:val="none" w:sz="0" w:space="0" w:color="auto"/>
                                <w:right w:val="none" w:sz="0" w:space="0" w:color="auto"/>
                              </w:divBdr>
                              <w:divsChild>
                                <w:div w:id="1926380162">
                                  <w:marLeft w:val="0"/>
                                  <w:marRight w:val="0"/>
                                  <w:marTop w:val="0"/>
                                  <w:marBottom w:val="0"/>
                                  <w:divBdr>
                                    <w:top w:val="none" w:sz="0" w:space="0" w:color="auto"/>
                                    <w:left w:val="none" w:sz="0" w:space="0" w:color="auto"/>
                                    <w:bottom w:val="none" w:sz="0" w:space="0" w:color="auto"/>
                                    <w:right w:val="none" w:sz="0" w:space="0" w:color="auto"/>
                                  </w:divBdr>
                                  <w:divsChild>
                                    <w:div w:id="7409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8337773">
      <w:bodyDiv w:val="1"/>
      <w:marLeft w:val="0"/>
      <w:marRight w:val="0"/>
      <w:marTop w:val="0"/>
      <w:marBottom w:val="0"/>
      <w:divBdr>
        <w:top w:val="none" w:sz="0" w:space="0" w:color="auto"/>
        <w:left w:val="none" w:sz="0" w:space="0" w:color="auto"/>
        <w:bottom w:val="none" w:sz="0" w:space="0" w:color="auto"/>
        <w:right w:val="none" w:sz="0" w:space="0" w:color="auto"/>
      </w:divBdr>
      <w:divsChild>
        <w:div w:id="465393457">
          <w:marLeft w:val="0"/>
          <w:marRight w:val="0"/>
          <w:marTop w:val="0"/>
          <w:marBottom w:val="0"/>
          <w:divBdr>
            <w:top w:val="none" w:sz="0" w:space="0" w:color="auto"/>
            <w:left w:val="none" w:sz="0" w:space="0" w:color="auto"/>
            <w:bottom w:val="none" w:sz="0" w:space="0" w:color="auto"/>
            <w:right w:val="none" w:sz="0" w:space="0" w:color="auto"/>
          </w:divBdr>
          <w:divsChild>
            <w:div w:id="607658851">
              <w:marLeft w:val="0"/>
              <w:marRight w:val="0"/>
              <w:marTop w:val="0"/>
              <w:marBottom w:val="0"/>
              <w:divBdr>
                <w:top w:val="none" w:sz="0" w:space="0" w:color="auto"/>
                <w:left w:val="none" w:sz="0" w:space="0" w:color="auto"/>
                <w:bottom w:val="none" w:sz="0" w:space="0" w:color="auto"/>
                <w:right w:val="none" w:sz="0" w:space="0" w:color="auto"/>
              </w:divBdr>
              <w:divsChild>
                <w:div w:id="850804007">
                  <w:marLeft w:val="0"/>
                  <w:marRight w:val="0"/>
                  <w:marTop w:val="0"/>
                  <w:marBottom w:val="0"/>
                  <w:divBdr>
                    <w:top w:val="none" w:sz="0" w:space="0" w:color="auto"/>
                    <w:left w:val="none" w:sz="0" w:space="0" w:color="auto"/>
                    <w:bottom w:val="none" w:sz="0" w:space="0" w:color="auto"/>
                    <w:right w:val="none" w:sz="0" w:space="0" w:color="auto"/>
                  </w:divBdr>
                  <w:divsChild>
                    <w:div w:id="1421754547">
                      <w:marLeft w:val="0"/>
                      <w:marRight w:val="0"/>
                      <w:marTop w:val="0"/>
                      <w:marBottom w:val="0"/>
                      <w:divBdr>
                        <w:top w:val="none" w:sz="0" w:space="0" w:color="auto"/>
                        <w:left w:val="none" w:sz="0" w:space="0" w:color="auto"/>
                        <w:bottom w:val="none" w:sz="0" w:space="0" w:color="auto"/>
                        <w:right w:val="none" w:sz="0" w:space="0" w:color="auto"/>
                      </w:divBdr>
                      <w:divsChild>
                        <w:div w:id="14186950">
                          <w:marLeft w:val="0"/>
                          <w:marRight w:val="0"/>
                          <w:marTop w:val="0"/>
                          <w:marBottom w:val="0"/>
                          <w:divBdr>
                            <w:top w:val="none" w:sz="0" w:space="0" w:color="auto"/>
                            <w:left w:val="none" w:sz="0" w:space="0" w:color="auto"/>
                            <w:bottom w:val="none" w:sz="0" w:space="0" w:color="auto"/>
                            <w:right w:val="none" w:sz="0" w:space="0" w:color="auto"/>
                          </w:divBdr>
                          <w:divsChild>
                            <w:div w:id="36591755">
                              <w:marLeft w:val="0"/>
                              <w:marRight w:val="0"/>
                              <w:marTop w:val="0"/>
                              <w:marBottom w:val="0"/>
                              <w:divBdr>
                                <w:top w:val="none" w:sz="0" w:space="0" w:color="auto"/>
                                <w:left w:val="none" w:sz="0" w:space="0" w:color="auto"/>
                                <w:bottom w:val="none" w:sz="0" w:space="0" w:color="auto"/>
                                <w:right w:val="none" w:sz="0" w:space="0" w:color="auto"/>
                              </w:divBdr>
                              <w:divsChild>
                                <w:div w:id="1854563402">
                                  <w:marLeft w:val="0"/>
                                  <w:marRight w:val="0"/>
                                  <w:marTop w:val="0"/>
                                  <w:marBottom w:val="0"/>
                                  <w:divBdr>
                                    <w:top w:val="none" w:sz="0" w:space="0" w:color="auto"/>
                                    <w:left w:val="none" w:sz="0" w:space="0" w:color="auto"/>
                                    <w:bottom w:val="none" w:sz="0" w:space="0" w:color="auto"/>
                                    <w:right w:val="none" w:sz="0" w:space="0" w:color="auto"/>
                                  </w:divBdr>
                                  <w:divsChild>
                                    <w:div w:id="478815134">
                                      <w:marLeft w:val="0"/>
                                      <w:marRight w:val="0"/>
                                      <w:marTop w:val="0"/>
                                      <w:marBottom w:val="0"/>
                                      <w:divBdr>
                                        <w:top w:val="none" w:sz="0" w:space="0" w:color="auto"/>
                                        <w:left w:val="none" w:sz="0" w:space="0" w:color="auto"/>
                                        <w:bottom w:val="none" w:sz="0" w:space="0" w:color="auto"/>
                                        <w:right w:val="none" w:sz="0" w:space="0" w:color="auto"/>
                                      </w:divBdr>
                                      <w:divsChild>
                                        <w:div w:id="1461536750">
                                          <w:marLeft w:val="0"/>
                                          <w:marRight w:val="0"/>
                                          <w:marTop w:val="0"/>
                                          <w:marBottom w:val="0"/>
                                          <w:divBdr>
                                            <w:top w:val="none" w:sz="0" w:space="0" w:color="auto"/>
                                            <w:left w:val="none" w:sz="0" w:space="0" w:color="auto"/>
                                            <w:bottom w:val="none" w:sz="0" w:space="0" w:color="auto"/>
                                            <w:right w:val="none" w:sz="0" w:space="0" w:color="auto"/>
                                          </w:divBdr>
                                          <w:divsChild>
                                            <w:div w:id="730152213">
                                              <w:marLeft w:val="0"/>
                                              <w:marRight w:val="0"/>
                                              <w:marTop w:val="0"/>
                                              <w:marBottom w:val="0"/>
                                              <w:divBdr>
                                                <w:top w:val="none" w:sz="0" w:space="0" w:color="auto"/>
                                                <w:left w:val="none" w:sz="0" w:space="0" w:color="auto"/>
                                                <w:bottom w:val="none" w:sz="0" w:space="0" w:color="auto"/>
                                                <w:right w:val="none" w:sz="0" w:space="0" w:color="auto"/>
                                              </w:divBdr>
                                              <w:divsChild>
                                                <w:div w:id="127640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4937297">
      <w:bodyDiv w:val="1"/>
      <w:marLeft w:val="0"/>
      <w:marRight w:val="0"/>
      <w:marTop w:val="0"/>
      <w:marBottom w:val="0"/>
      <w:divBdr>
        <w:top w:val="none" w:sz="0" w:space="0" w:color="auto"/>
        <w:left w:val="none" w:sz="0" w:space="0" w:color="auto"/>
        <w:bottom w:val="none" w:sz="0" w:space="0" w:color="auto"/>
        <w:right w:val="none" w:sz="0" w:space="0" w:color="auto"/>
      </w:divBdr>
      <w:divsChild>
        <w:div w:id="991563805">
          <w:marLeft w:val="0"/>
          <w:marRight w:val="0"/>
          <w:marTop w:val="0"/>
          <w:marBottom w:val="0"/>
          <w:divBdr>
            <w:top w:val="none" w:sz="0" w:space="0" w:color="auto"/>
            <w:left w:val="none" w:sz="0" w:space="0" w:color="auto"/>
            <w:bottom w:val="none" w:sz="0" w:space="0" w:color="auto"/>
            <w:right w:val="none" w:sz="0" w:space="0" w:color="auto"/>
          </w:divBdr>
          <w:divsChild>
            <w:div w:id="1863006040">
              <w:marLeft w:val="0"/>
              <w:marRight w:val="0"/>
              <w:marTop w:val="0"/>
              <w:marBottom w:val="0"/>
              <w:divBdr>
                <w:top w:val="none" w:sz="0" w:space="0" w:color="auto"/>
                <w:left w:val="none" w:sz="0" w:space="0" w:color="auto"/>
                <w:bottom w:val="none" w:sz="0" w:space="0" w:color="auto"/>
                <w:right w:val="none" w:sz="0" w:space="0" w:color="auto"/>
              </w:divBdr>
              <w:divsChild>
                <w:div w:id="903873292">
                  <w:marLeft w:val="0"/>
                  <w:marRight w:val="0"/>
                  <w:marTop w:val="0"/>
                  <w:marBottom w:val="0"/>
                  <w:divBdr>
                    <w:top w:val="none" w:sz="0" w:space="0" w:color="auto"/>
                    <w:left w:val="none" w:sz="0" w:space="0" w:color="auto"/>
                    <w:bottom w:val="none" w:sz="0" w:space="0" w:color="auto"/>
                    <w:right w:val="none" w:sz="0" w:space="0" w:color="auto"/>
                  </w:divBdr>
                  <w:divsChild>
                    <w:div w:id="1474525280">
                      <w:marLeft w:val="0"/>
                      <w:marRight w:val="0"/>
                      <w:marTop w:val="0"/>
                      <w:marBottom w:val="0"/>
                      <w:divBdr>
                        <w:top w:val="none" w:sz="0" w:space="0" w:color="auto"/>
                        <w:left w:val="none" w:sz="0" w:space="0" w:color="auto"/>
                        <w:bottom w:val="none" w:sz="0" w:space="0" w:color="auto"/>
                        <w:right w:val="none" w:sz="0" w:space="0" w:color="auto"/>
                      </w:divBdr>
                      <w:divsChild>
                        <w:div w:id="9071726">
                          <w:marLeft w:val="0"/>
                          <w:marRight w:val="0"/>
                          <w:marTop w:val="0"/>
                          <w:marBottom w:val="0"/>
                          <w:divBdr>
                            <w:top w:val="none" w:sz="0" w:space="0" w:color="auto"/>
                            <w:left w:val="none" w:sz="0" w:space="0" w:color="auto"/>
                            <w:bottom w:val="none" w:sz="0" w:space="0" w:color="auto"/>
                            <w:right w:val="none" w:sz="0" w:space="0" w:color="auto"/>
                          </w:divBdr>
                          <w:divsChild>
                            <w:div w:id="2122529616">
                              <w:marLeft w:val="0"/>
                              <w:marRight w:val="0"/>
                              <w:marTop w:val="0"/>
                              <w:marBottom w:val="0"/>
                              <w:divBdr>
                                <w:top w:val="none" w:sz="0" w:space="0" w:color="auto"/>
                                <w:left w:val="none" w:sz="0" w:space="0" w:color="auto"/>
                                <w:bottom w:val="none" w:sz="0" w:space="0" w:color="auto"/>
                                <w:right w:val="none" w:sz="0" w:space="0" w:color="auto"/>
                              </w:divBdr>
                              <w:divsChild>
                                <w:div w:id="548297517">
                                  <w:marLeft w:val="0"/>
                                  <w:marRight w:val="0"/>
                                  <w:marTop w:val="0"/>
                                  <w:marBottom w:val="0"/>
                                  <w:divBdr>
                                    <w:top w:val="none" w:sz="0" w:space="0" w:color="auto"/>
                                    <w:left w:val="none" w:sz="0" w:space="0" w:color="auto"/>
                                    <w:bottom w:val="none" w:sz="0" w:space="0" w:color="auto"/>
                                    <w:right w:val="none" w:sz="0" w:space="0" w:color="auto"/>
                                  </w:divBdr>
                                  <w:divsChild>
                                    <w:div w:id="246426751">
                                      <w:marLeft w:val="0"/>
                                      <w:marRight w:val="0"/>
                                      <w:marTop w:val="0"/>
                                      <w:marBottom w:val="0"/>
                                      <w:divBdr>
                                        <w:top w:val="none" w:sz="0" w:space="0" w:color="auto"/>
                                        <w:left w:val="none" w:sz="0" w:space="0" w:color="auto"/>
                                        <w:bottom w:val="none" w:sz="0" w:space="0" w:color="auto"/>
                                        <w:right w:val="none" w:sz="0" w:space="0" w:color="auto"/>
                                      </w:divBdr>
                                      <w:divsChild>
                                        <w:div w:id="1669364808">
                                          <w:marLeft w:val="0"/>
                                          <w:marRight w:val="0"/>
                                          <w:marTop w:val="0"/>
                                          <w:marBottom w:val="0"/>
                                          <w:divBdr>
                                            <w:top w:val="none" w:sz="0" w:space="0" w:color="auto"/>
                                            <w:left w:val="none" w:sz="0" w:space="0" w:color="auto"/>
                                            <w:bottom w:val="none" w:sz="0" w:space="0" w:color="auto"/>
                                            <w:right w:val="none" w:sz="0" w:space="0" w:color="auto"/>
                                          </w:divBdr>
                                          <w:divsChild>
                                            <w:div w:id="19938294">
                                              <w:marLeft w:val="0"/>
                                              <w:marRight w:val="0"/>
                                              <w:marTop w:val="0"/>
                                              <w:marBottom w:val="0"/>
                                              <w:divBdr>
                                                <w:top w:val="none" w:sz="0" w:space="0" w:color="auto"/>
                                                <w:left w:val="none" w:sz="0" w:space="0" w:color="auto"/>
                                                <w:bottom w:val="none" w:sz="0" w:space="0" w:color="auto"/>
                                                <w:right w:val="none" w:sz="0" w:space="0" w:color="auto"/>
                                              </w:divBdr>
                                              <w:divsChild>
                                                <w:div w:id="152436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8408403">
      <w:bodyDiv w:val="1"/>
      <w:marLeft w:val="0"/>
      <w:marRight w:val="0"/>
      <w:marTop w:val="0"/>
      <w:marBottom w:val="0"/>
      <w:divBdr>
        <w:top w:val="none" w:sz="0" w:space="0" w:color="auto"/>
        <w:left w:val="none" w:sz="0" w:space="0" w:color="auto"/>
        <w:bottom w:val="none" w:sz="0" w:space="0" w:color="auto"/>
        <w:right w:val="none" w:sz="0" w:space="0" w:color="auto"/>
      </w:divBdr>
      <w:divsChild>
        <w:div w:id="1785997583">
          <w:marLeft w:val="0"/>
          <w:marRight w:val="0"/>
          <w:marTop w:val="0"/>
          <w:marBottom w:val="0"/>
          <w:divBdr>
            <w:top w:val="none" w:sz="0" w:space="0" w:color="auto"/>
            <w:left w:val="none" w:sz="0" w:space="0" w:color="auto"/>
            <w:bottom w:val="none" w:sz="0" w:space="0" w:color="auto"/>
            <w:right w:val="none" w:sz="0" w:space="0" w:color="auto"/>
          </w:divBdr>
          <w:divsChild>
            <w:div w:id="268586592">
              <w:marLeft w:val="0"/>
              <w:marRight w:val="0"/>
              <w:marTop w:val="0"/>
              <w:marBottom w:val="0"/>
              <w:divBdr>
                <w:top w:val="none" w:sz="0" w:space="0" w:color="auto"/>
                <w:left w:val="none" w:sz="0" w:space="0" w:color="auto"/>
                <w:bottom w:val="none" w:sz="0" w:space="0" w:color="auto"/>
                <w:right w:val="none" w:sz="0" w:space="0" w:color="auto"/>
              </w:divBdr>
              <w:divsChild>
                <w:div w:id="1643388537">
                  <w:marLeft w:val="0"/>
                  <w:marRight w:val="0"/>
                  <w:marTop w:val="0"/>
                  <w:marBottom w:val="0"/>
                  <w:divBdr>
                    <w:top w:val="none" w:sz="0" w:space="0" w:color="auto"/>
                    <w:left w:val="none" w:sz="0" w:space="0" w:color="auto"/>
                    <w:bottom w:val="none" w:sz="0" w:space="0" w:color="auto"/>
                    <w:right w:val="none" w:sz="0" w:space="0" w:color="auto"/>
                  </w:divBdr>
                  <w:divsChild>
                    <w:div w:id="2067147164">
                      <w:marLeft w:val="0"/>
                      <w:marRight w:val="0"/>
                      <w:marTop w:val="0"/>
                      <w:marBottom w:val="0"/>
                      <w:divBdr>
                        <w:top w:val="none" w:sz="0" w:space="0" w:color="auto"/>
                        <w:left w:val="none" w:sz="0" w:space="0" w:color="auto"/>
                        <w:bottom w:val="none" w:sz="0" w:space="0" w:color="auto"/>
                        <w:right w:val="none" w:sz="0" w:space="0" w:color="auto"/>
                      </w:divBdr>
                      <w:divsChild>
                        <w:div w:id="54865643">
                          <w:marLeft w:val="0"/>
                          <w:marRight w:val="0"/>
                          <w:marTop w:val="0"/>
                          <w:marBottom w:val="0"/>
                          <w:divBdr>
                            <w:top w:val="none" w:sz="0" w:space="0" w:color="auto"/>
                            <w:left w:val="none" w:sz="0" w:space="0" w:color="auto"/>
                            <w:bottom w:val="none" w:sz="0" w:space="0" w:color="auto"/>
                            <w:right w:val="none" w:sz="0" w:space="0" w:color="auto"/>
                          </w:divBdr>
                          <w:divsChild>
                            <w:div w:id="664287189">
                              <w:marLeft w:val="0"/>
                              <w:marRight w:val="0"/>
                              <w:marTop w:val="0"/>
                              <w:marBottom w:val="0"/>
                              <w:divBdr>
                                <w:top w:val="none" w:sz="0" w:space="0" w:color="auto"/>
                                <w:left w:val="none" w:sz="0" w:space="0" w:color="auto"/>
                                <w:bottom w:val="none" w:sz="0" w:space="0" w:color="auto"/>
                                <w:right w:val="none" w:sz="0" w:space="0" w:color="auto"/>
                              </w:divBdr>
                              <w:divsChild>
                                <w:div w:id="37290202">
                                  <w:marLeft w:val="0"/>
                                  <w:marRight w:val="0"/>
                                  <w:marTop w:val="0"/>
                                  <w:marBottom w:val="0"/>
                                  <w:divBdr>
                                    <w:top w:val="none" w:sz="0" w:space="0" w:color="auto"/>
                                    <w:left w:val="none" w:sz="0" w:space="0" w:color="auto"/>
                                    <w:bottom w:val="none" w:sz="0" w:space="0" w:color="auto"/>
                                    <w:right w:val="none" w:sz="0" w:space="0" w:color="auto"/>
                                  </w:divBdr>
                                  <w:divsChild>
                                    <w:div w:id="984503341">
                                      <w:marLeft w:val="0"/>
                                      <w:marRight w:val="0"/>
                                      <w:marTop w:val="0"/>
                                      <w:marBottom w:val="0"/>
                                      <w:divBdr>
                                        <w:top w:val="none" w:sz="0" w:space="0" w:color="auto"/>
                                        <w:left w:val="none" w:sz="0" w:space="0" w:color="auto"/>
                                        <w:bottom w:val="none" w:sz="0" w:space="0" w:color="auto"/>
                                        <w:right w:val="none" w:sz="0" w:space="0" w:color="auto"/>
                                      </w:divBdr>
                                    </w:div>
                                    <w:div w:id="1069117409">
                                      <w:marLeft w:val="0"/>
                                      <w:marRight w:val="0"/>
                                      <w:marTop w:val="0"/>
                                      <w:marBottom w:val="0"/>
                                      <w:divBdr>
                                        <w:top w:val="none" w:sz="0" w:space="0" w:color="auto"/>
                                        <w:left w:val="none" w:sz="0" w:space="0" w:color="auto"/>
                                        <w:bottom w:val="none" w:sz="0" w:space="0" w:color="auto"/>
                                        <w:right w:val="none" w:sz="0" w:space="0" w:color="auto"/>
                                      </w:divBdr>
                                      <w:divsChild>
                                        <w:div w:id="643504251">
                                          <w:marLeft w:val="0"/>
                                          <w:marRight w:val="0"/>
                                          <w:marTop w:val="0"/>
                                          <w:marBottom w:val="0"/>
                                          <w:divBdr>
                                            <w:top w:val="none" w:sz="0" w:space="0" w:color="auto"/>
                                            <w:left w:val="none" w:sz="0" w:space="0" w:color="auto"/>
                                            <w:bottom w:val="none" w:sz="0" w:space="0" w:color="auto"/>
                                            <w:right w:val="none" w:sz="0" w:space="0" w:color="auto"/>
                                          </w:divBdr>
                                        </w:div>
                                      </w:divsChild>
                                    </w:div>
                                    <w:div w:id="1427000951">
                                      <w:marLeft w:val="0"/>
                                      <w:marRight w:val="0"/>
                                      <w:marTop w:val="0"/>
                                      <w:marBottom w:val="0"/>
                                      <w:divBdr>
                                        <w:top w:val="none" w:sz="0" w:space="0" w:color="auto"/>
                                        <w:left w:val="none" w:sz="0" w:space="0" w:color="auto"/>
                                        <w:bottom w:val="none" w:sz="0" w:space="0" w:color="auto"/>
                                        <w:right w:val="none" w:sz="0" w:space="0" w:color="auto"/>
                                      </w:divBdr>
                                      <w:divsChild>
                                        <w:div w:id="278489251">
                                          <w:marLeft w:val="0"/>
                                          <w:marRight w:val="0"/>
                                          <w:marTop w:val="0"/>
                                          <w:marBottom w:val="0"/>
                                          <w:divBdr>
                                            <w:top w:val="none" w:sz="0" w:space="0" w:color="auto"/>
                                            <w:left w:val="none" w:sz="0" w:space="0" w:color="auto"/>
                                            <w:bottom w:val="none" w:sz="0" w:space="0" w:color="auto"/>
                                            <w:right w:val="none" w:sz="0" w:space="0" w:color="auto"/>
                                          </w:divBdr>
                                        </w:div>
                                      </w:divsChild>
                                    </w:div>
                                    <w:div w:id="1530335450">
                                      <w:marLeft w:val="0"/>
                                      <w:marRight w:val="0"/>
                                      <w:marTop w:val="0"/>
                                      <w:marBottom w:val="0"/>
                                      <w:divBdr>
                                        <w:top w:val="none" w:sz="0" w:space="0" w:color="auto"/>
                                        <w:left w:val="none" w:sz="0" w:space="0" w:color="auto"/>
                                        <w:bottom w:val="none" w:sz="0" w:space="0" w:color="auto"/>
                                        <w:right w:val="none" w:sz="0" w:space="0" w:color="auto"/>
                                      </w:divBdr>
                                    </w:div>
                                    <w:div w:id="1826629299">
                                      <w:marLeft w:val="0"/>
                                      <w:marRight w:val="0"/>
                                      <w:marTop w:val="0"/>
                                      <w:marBottom w:val="0"/>
                                      <w:divBdr>
                                        <w:top w:val="none" w:sz="0" w:space="0" w:color="auto"/>
                                        <w:left w:val="none" w:sz="0" w:space="0" w:color="auto"/>
                                        <w:bottom w:val="none" w:sz="0" w:space="0" w:color="auto"/>
                                        <w:right w:val="none" w:sz="0" w:space="0" w:color="auto"/>
                                      </w:divBdr>
                                      <w:divsChild>
                                        <w:div w:id="80182143">
                                          <w:marLeft w:val="0"/>
                                          <w:marRight w:val="0"/>
                                          <w:marTop w:val="0"/>
                                          <w:marBottom w:val="0"/>
                                          <w:divBdr>
                                            <w:top w:val="none" w:sz="0" w:space="0" w:color="auto"/>
                                            <w:left w:val="none" w:sz="0" w:space="0" w:color="auto"/>
                                            <w:bottom w:val="none" w:sz="0" w:space="0" w:color="auto"/>
                                            <w:right w:val="none" w:sz="0" w:space="0" w:color="auto"/>
                                          </w:divBdr>
                                        </w:div>
                                        <w:div w:id="470563000">
                                          <w:marLeft w:val="0"/>
                                          <w:marRight w:val="0"/>
                                          <w:marTop w:val="0"/>
                                          <w:marBottom w:val="0"/>
                                          <w:divBdr>
                                            <w:top w:val="none" w:sz="0" w:space="0" w:color="auto"/>
                                            <w:left w:val="none" w:sz="0" w:space="0" w:color="auto"/>
                                            <w:bottom w:val="none" w:sz="0" w:space="0" w:color="auto"/>
                                            <w:right w:val="none" w:sz="0" w:space="0" w:color="auto"/>
                                          </w:divBdr>
                                        </w:div>
                                      </w:divsChild>
                                    </w:div>
                                    <w:div w:id="2004702029">
                                      <w:marLeft w:val="0"/>
                                      <w:marRight w:val="0"/>
                                      <w:marTop w:val="0"/>
                                      <w:marBottom w:val="0"/>
                                      <w:divBdr>
                                        <w:top w:val="none" w:sz="0" w:space="0" w:color="auto"/>
                                        <w:left w:val="none" w:sz="0" w:space="0" w:color="auto"/>
                                        <w:bottom w:val="none" w:sz="0" w:space="0" w:color="auto"/>
                                        <w:right w:val="none" w:sz="0" w:space="0" w:color="auto"/>
                                      </w:divBdr>
                                    </w:div>
                                    <w:div w:id="201545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7095943">
      <w:bodyDiv w:val="1"/>
      <w:marLeft w:val="0"/>
      <w:marRight w:val="0"/>
      <w:marTop w:val="0"/>
      <w:marBottom w:val="0"/>
      <w:divBdr>
        <w:top w:val="none" w:sz="0" w:space="0" w:color="auto"/>
        <w:left w:val="none" w:sz="0" w:space="0" w:color="auto"/>
        <w:bottom w:val="none" w:sz="0" w:space="0" w:color="auto"/>
        <w:right w:val="none" w:sz="0" w:space="0" w:color="auto"/>
      </w:divBdr>
    </w:div>
    <w:div w:id="765686834">
      <w:bodyDiv w:val="1"/>
      <w:marLeft w:val="0"/>
      <w:marRight w:val="0"/>
      <w:marTop w:val="0"/>
      <w:marBottom w:val="0"/>
      <w:divBdr>
        <w:top w:val="none" w:sz="0" w:space="0" w:color="auto"/>
        <w:left w:val="none" w:sz="0" w:space="0" w:color="auto"/>
        <w:bottom w:val="none" w:sz="0" w:space="0" w:color="auto"/>
        <w:right w:val="none" w:sz="0" w:space="0" w:color="auto"/>
      </w:divBdr>
      <w:divsChild>
        <w:div w:id="439959441">
          <w:marLeft w:val="0"/>
          <w:marRight w:val="0"/>
          <w:marTop w:val="0"/>
          <w:marBottom w:val="0"/>
          <w:divBdr>
            <w:top w:val="none" w:sz="0" w:space="0" w:color="auto"/>
            <w:left w:val="none" w:sz="0" w:space="0" w:color="auto"/>
            <w:bottom w:val="none" w:sz="0" w:space="0" w:color="auto"/>
            <w:right w:val="none" w:sz="0" w:space="0" w:color="auto"/>
          </w:divBdr>
          <w:divsChild>
            <w:div w:id="1104495464">
              <w:marLeft w:val="0"/>
              <w:marRight w:val="0"/>
              <w:marTop w:val="0"/>
              <w:marBottom w:val="0"/>
              <w:divBdr>
                <w:top w:val="none" w:sz="0" w:space="0" w:color="auto"/>
                <w:left w:val="none" w:sz="0" w:space="0" w:color="auto"/>
                <w:bottom w:val="none" w:sz="0" w:space="0" w:color="auto"/>
                <w:right w:val="none" w:sz="0" w:space="0" w:color="auto"/>
              </w:divBdr>
              <w:divsChild>
                <w:div w:id="1743211537">
                  <w:marLeft w:val="0"/>
                  <w:marRight w:val="0"/>
                  <w:marTop w:val="0"/>
                  <w:marBottom w:val="0"/>
                  <w:divBdr>
                    <w:top w:val="none" w:sz="0" w:space="0" w:color="auto"/>
                    <w:left w:val="none" w:sz="0" w:space="0" w:color="auto"/>
                    <w:bottom w:val="none" w:sz="0" w:space="0" w:color="auto"/>
                    <w:right w:val="none" w:sz="0" w:space="0" w:color="auto"/>
                  </w:divBdr>
                  <w:divsChild>
                    <w:div w:id="1135443145">
                      <w:marLeft w:val="0"/>
                      <w:marRight w:val="0"/>
                      <w:marTop w:val="0"/>
                      <w:marBottom w:val="0"/>
                      <w:divBdr>
                        <w:top w:val="none" w:sz="0" w:space="0" w:color="auto"/>
                        <w:left w:val="none" w:sz="0" w:space="0" w:color="auto"/>
                        <w:bottom w:val="none" w:sz="0" w:space="0" w:color="auto"/>
                        <w:right w:val="none" w:sz="0" w:space="0" w:color="auto"/>
                      </w:divBdr>
                      <w:divsChild>
                        <w:div w:id="1749811342">
                          <w:marLeft w:val="0"/>
                          <w:marRight w:val="0"/>
                          <w:marTop w:val="0"/>
                          <w:marBottom w:val="0"/>
                          <w:divBdr>
                            <w:top w:val="none" w:sz="0" w:space="0" w:color="auto"/>
                            <w:left w:val="none" w:sz="0" w:space="0" w:color="auto"/>
                            <w:bottom w:val="none" w:sz="0" w:space="0" w:color="auto"/>
                            <w:right w:val="none" w:sz="0" w:space="0" w:color="auto"/>
                          </w:divBdr>
                          <w:divsChild>
                            <w:div w:id="1473979297">
                              <w:marLeft w:val="0"/>
                              <w:marRight w:val="0"/>
                              <w:marTop w:val="0"/>
                              <w:marBottom w:val="0"/>
                              <w:divBdr>
                                <w:top w:val="none" w:sz="0" w:space="0" w:color="auto"/>
                                <w:left w:val="none" w:sz="0" w:space="0" w:color="auto"/>
                                <w:bottom w:val="none" w:sz="0" w:space="0" w:color="auto"/>
                                <w:right w:val="none" w:sz="0" w:space="0" w:color="auto"/>
                              </w:divBdr>
                              <w:divsChild>
                                <w:div w:id="1997106076">
                                  <w:marLeft w:val="0"/>
                                  <w:marRight w:val="0"/>
                                  <w:marTop w:val="0"/>
                                  <w:marBottom w:val="0"/>
                                  <w:divBdr>
                                    <w:top w:val="none" w:sz="0" w:space="0" w:color="auto"/>
                                    <w:left w:val="none" w:sz="0" w:space="0" w:color="auto"/>
                                    <w:bottom w:val="none" w:sz="0" w:space="0" w:color="auto"/>
                                    <w:right w:val="none" w:sz="0" w:space="0" w:color="auto"/>
                                  </w:divBdr>
                                  <w:divsChild>
                                    <w:div w:id="52706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996393">
      <w:bodyDiv w:val="1"/>
      <w:marLeft w:val="0"/>
      <w:marRight w:val="0"/>
      <w:marTop w:val="0"/>
      <w:marBottom w:val="0"/>
      <w:divBdr>
        <w:top w:val="none" w:sz="0" w:space="0" w:color="auto"/>
        <w:left w:val="none" w:sz="0" w:space="0" w:color="auto"/>
        <w:bottom w:val="none" w:sz="0" w:space="0" w:color="auto"/>
        <w:right w:val="none" w:sz="0" w:space="0" w:color="auto"/>
      </w:divBdr>
      <w:divsChild>
        <w:div w:id="1078555307">
          <w:marLeft w:val="0"/>
          <w:marRight w:val="0"/>
          <w:marTop w:val="0"/>
          <w:marBottom w:val="0"/>
          <w:divBdr>
            <w:top w:val="none" w:sz="0" w:space="0" w:color="auto"/>
            <w:left w:val="none" w:sz="0" w:space="0" w:color="auto"/>
            <w:bottom w:val="none" w:sz="0" w:space="0" w:color="auto"/>
            <w:right w:val="none" w:sz="0" w:space="0" w:color="auto"/>
          </w:divBdr>
          <w:divsChild>
            <w:div w:id="2059275944">
              <w:marLeft w:val="0"/>
              <w:marRight w:val="0"/>
              <w:marTop w:val="0"/>
              <w:marBottom w:val="0"/>
              <w:divBdr>
                <w:top w:val="none" w:sz="0" w:space="0" w:color="auto"/>
                <w:left w:val="none" w:sz="0" w:space="0" w:color="auto"/>
                <w:bottom w:val="none" w:sz="0" w:space="0" w:color="auto"/>
                <w:right w:val="none" w:sz="0" w:space="0" w:color="auto"/>
              </w:divBdr>
              <w:divsChild>
                <w:div w:id="188809312">
                  <w:marLeft w:val="0"/>
                  <w:marRight w:val="0"/>
                  <w:marTop w:val="0"/>
                  <w:marBottom w:val="0"/>
                  <w:divBdr>
                    <w:top w:val="none" w:sz="0" w:space="0" w:color="auto"/>
                    <w:left w:val="none" w:sz="0" w:space="0" w:color="auto"/>
                    <w:bottom w:val="none" w:sz="0" w:space="0" w:color="auto"/>
                    <w:right w:val="none" w:sz="0" w:space="0" w:color="auto"/>
                  </w:divBdr>
                  <w:divsChild>
                    <w:div w:id="1274174164">
                      <w:marLeft w:val="0"/>
                      <w:marRight w:val="0"/>
                      <w:marTop w:val="0"/>
                      <w:marBottom w:val="0"/>
                      <w:divBdr>
                        <w:top w:val="none" w:sz="0" w:space="0" w:color="auto"/>
                        <w:left w:val="none" w:sz="0" w:space="0" w:color="auto"/>
                        <w:bottom w:val="none" w:sz="0" w:space="0" w:color="auto"/>
                        <w:right w:val="none" w:sz="0" w:space="0" w:color="auto"/>
                      </w:divBdr>
                      <w:divsChild>
                        <w:div w:id="180821827">
                          <w:marLeft w:val="0"/>
                          <w:marRight w:val="0"/>
                          <w:marTop w:val="0"/>
                          <w:marBottom w:val="0"/>
                          <w:divBdr>
                            <w:top w:val="none" w:sz="0" w:space="0" w:color="auto"/>
                            <w:left w:val="none" w:sz="0" w:space="0" w:color="auto"/>
                            <w:bottom w:val="none" w:sz="0" w:space="0" w:color="auto"/>
                            <w:right w:val="none" w:sz="0" w:space="0" w:color="auto"/>
                          </w:divBdr>
                          <w:divsChild>
                            <w:div w:id="1817798373">
                              <w:marLeft w:val="0"/>
                              <w:marRight w:val="0"/>
                              <w:marTop w:val="0"/>
                              <w:marBottom w:val="0"/>
                              <w:divBdr>
                                <w:top w:val="none" w:sz="0" w:space="0" w:color="auto"/>
                                <w:left w:val="none" w:sz="0" w:space="0" w:color="auto"/>
                                <w:bottom w:val="none" w:sz="0" w:space="0" w:color="auto"/>
                                <w:right w:val="none" w:sz="0" w:space="0" w:color="auto"/>
                              </w:divBdr>
                              <w:divsChild>
                                <w:div w:id="1898666880">
                                  <w:marLeft w:val="0"/>
                                  <w:marRight w:val="0"/>
                                  <w:marTop w:val="0"/>
                                  <w:marBottom w:val="0"/>
                                  <w:divBdr>
                                    <w:top w:val="none" w:sz="0" w:space="0" w:color="auto"/>
                                    <w:left w:val="none" w:sz="0" w:space="0" w:color="auto"/>
                                    <w:bottom w:val="none" w:sz="0" w:space="0" w:color="auto"/>
                                    <w:right w:val="none" w:sz="0" w:space="0" w:color="auto"/>
                                  </w:divBdr>
                                  <w:divsChild>
                                    <w:div w:id="590509784">
                                      <w:marLeft w:val="0"/>
                                      <w:marRight w:val="0"/>
                                      <w:marTop w:val="0"/>
                                      <w:marBottom w:val="0"/>
                                      <w:divBdr>
                                        <w:top w:val="none" w:sz="0" w:space="0" w:color="auto"/>
                                        <w:left w:val="none" w:sz="0" w:space="0" w:color="auto"/>
                                        <w:bottom w:val="none" w:sz="0" w:space="0" w:color="auto"/>
                                        <w:right w:val="none" w:sz="0" w:space="0" w:color="auto"/>
                                      </w:divBdr>
                                      <w:divsChild>
                                        <w:div w:id="180002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1972585">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3">
          <w:marLeft w:val="0"/>
          <w:marRight w:val="0"/>
          <w:marTop w:val="0"/>
          <w:marBottom w:val="0"/>
          <w:divBdr>
            <w:top w:val="none" w:sz="0" w:space="0" w:color="auto"/>
            <w:left w:val="none" w:sz="0" w:space="0" w:color="auto"/>
            <w:bottom w:val="none" w:sz="0" w:space="0" w:color="auto"/>
            <w:right w:val="none" w:sz="0" w:space="0" w:color="auto"/>
          </w:divBdr>
          <w:divsChild>
            <w:div w:id="506790857">
              <w:marLeft w:val="0"/>
              <w:marRight w:val="0"/>
              <w:marTop w:val="0"/>
              <w:marBottom w:val="0"/>
              <w:divBdr>
                <w:top w:val="none" w:sz="0" w:space="0" w:color="auto"/>
                <w:left w:val="none" w:sz="0" w:space="0" w:color="auto"/>
                <w:bottom w:val="none" w:sz="0" w:space="0" w:color="auto"/>
                <w:right w:val="none" w:sz="0" w:space="0" w:color="auto"/>
              </w:divBdr>
              <w:divsChild>
                <w:div w:id="7951213">
                  <w:marLeft w:val="0"/>
                  <w:marRight w:val="0"/>
                  <w:marTop w:val="0"/>
                  <w:marBottom w:val="0"/>
                  <w:divBdr>
                    <w:top w:val="none" w:sz="0" w:space="0" w:color="auto"/>
                    <w:left w:val="none" w:sz="0" w:space="0" w:color="auto"/>
                    <w:bottom w:val="none" w:sz="0" w:space="0" w:color="auto"/>
                    <w:right w:val="none" w:sz="0" w:space="0" w:color="auto"/>
                  </w:divBdr>
                  <w:divsChild>
                    <w:div w:id="1739935693">
                      <w:marLeft w:val="0"/>
                      <w:marRight w:val="0"/>
                      <w:marTop w:val="0"/>
                      <w:marBottom w:val="0"/>
                      <w:divBdr>
                        <w:top w:val="none" w:sz="0" w:space="0" w:color="auto"/>
                        <w:left w:val="none" w:sz="0" w:space="0" w:color="auto"/>
                        <w:bottom w:val="none" w:sz="0" w:space="0" w:color="auto"/>
                        <w:right w:val="none" w:sz="0" w:space="0" w:color="auto"/>
                      </w:divBdr>
                      <w:divsChild>
                        <w:div w:id="1567033320">
                          <w:marLeft w:val="0"/>
                          <w:marRight w:val="0"/>
                          <w:marTop w:val="0"/>
                          <w:marBottom w:val="0"/>
                          <w:divBdr>
                            <w:top w:val="none" w:sz="0" w:space="0" w:color="auto"/>
                            <w:left w:val="none" w:sz="0" w:space="0" w:color="auto"/>
                            <w:bottom w:val="none" w:sz="0" w:space="0" w:color="auto"/>
                            <w:right w:val="none" w:sz="0" w:space="0" w:color="auto"/>
                          </w:divBdr>
                          <w:divsChild>
                            <w:div w:id="928663152">
                              <w:marLeft w:val="0"/>
                              <w:marRight w:val="0"/>
                              <w:marTop w:val="0"/>
                              <w:marBottom w:val="0"/>
                              <w:divBdr>
                                <w:top w:val="none" w:sz="0" w:space="0" w:color="auto"/>
                                <w:left w:val="none" w:sz="0" w:space="0" w:color="auto"/>
                                <w:bottom w:val="none" w:sz="0" w:space="0" w:color="auto"/>
                                <w:right w:val="none" w:sz="0" w:space="0" w:color="auto"/>
                              </w:divBdr>
                              <w:divsChild>
                                <w:div w:id="2138451239">
                                  <w:marLeft w:val="0"/>
                                  <w:marRight w:val="0"/>
                                  <w:marTop w:val="0"/>
                                  <w:marBottom w:val="0"/>
                                  <w:divBdr>
                                    <w:top w:val="none" w:sz="0" w:space="0" w:color="auto"/>
                                    <w:left w:val="none" w:sz="0" w:space="0" w:color="auto"/>
                                    <w:bottom w:val="none" w:sz="0" w:space="0" w:color="auto"/>
                                    <w:right w:val="none" w:sz="0" w:space="0" w:color="auto"/>
                                  </w:divBdr>
                                  <w:divsChild>
                                    <w:div w:id="9840152">
                                      <w:marLeft w:val="0"/>
                                      <w:marRight w:val="0"/>
                                      <w:marTop w:val="0"/>
                                      <w:marBottom w:val="0"/>
                                      <w:divBdr>
                                        <w:top w:val="none" w:sz="0" w:space="0" w:color="auto"/>
                                        <w:left w:val="none" w:sz="0" w:space="0" w:color="auto"/>
                                        <w:bottom w:val="none" w:sz="0" w:space="0" w:color="auto"/>
                                        <w:right w:val="none" w:sz="0" w:space="0" w:color="auto"/>
                                      </w:divBdr>
                                      <w:divsChild>
                                        <w:div w:id="399255795">
                                          <w:marLeft w:val="0"/>
                                          <w:marRight w:val="0"/>
                                          <w:marTop w:val="0"/>
                                          <w:marBottom w:val="0"/>
                                          <w:divBdr>
                                            <w:top w:val="none" w:sz="0" w:space="0" w:color="auto"/>
                                            <w:left w:val="none" w:sz="0" w:space="0" w:color="auto"/>
                                            <w:bottom w:val="none" w:sz="0" w:space="0" w:color="auto"/>
                                            <w:right w:val="none" w:sz="0" w:space="0" w:color="auto"/>
                                          </w:divBdr>
                                          <w:divsChild>
                                            <w:div w:id="127679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4651011">
      <w:bodyDiv w:val="1"/>
      <w:marLeft w:val="0"/>
      <w:marRight w:val="0"/>
      <w:marTop w:val="0"/>
      <w:marBottom w:val="0"/>
      <w:divBdr>
        <w:top w:val="none" w:sz="0" w:space="0" w:color="auto"/>
        <w:left w:val="none" w:sz="0" w:space="0" w:color="auto"/>
        <w:bottom w:val="none" w:sz="0" w:space="0" w:color="auto"/>
        <w:right w:val="none" w:sz="0" w:space="0" w:color="auto"/>
      </w:divBdr>
    </w:div>
    <w:div w:id="931477557">
      <w:bodyDiv w:val="1"/>
      <w:marLeft w:val="0"/>
      <w:marRight w:val="0"/>
      <w:marTop w:val="0"/>
      <w:marBottom w:val="0"/>
      <w:divBdr>
        <w:top w:val="none" w:sz="0" w:space="0" w:color="auto"/>
        <w:left w:val="none" w:sz="0" w:space="0" w:color="auto"/>
        <w:bottom w:val="none" w:sz="0" w:space="0" w:color="auto"/>
        <w:right w:val="none" w:sz="0" w:space="0" w:color="auto"/>
      </w:divBdr>
    </w:div>
    <w:div w:id="932126189">
      <w:bodyDiv w:val="1"/>
      <w:marLeft w:val="0"/>
      <w:marRight w:val="0"/>
      <w:marTop w:val="0"/>
      <w:marBottom w:val="0"/>
      <w:divBdr>
        <w:top w:val="none" w:sz="0" w:space="0" w:color="auto"/>
        <w:left w:val="none" w:sz="0" w:space="0" w:color="auto"/>
        <w:bottom w:val="none" w:sz="0" w:space="0" w:color="auto"/>
        <w:right w:val="none" w:sz="0" w:space="0" w:color="auto"/>
      </w:divBdr>
      <w:divsChild>
        <w:div w:id="286401216">
          <w:marLeft w:val="0"/>
          <w:marRight w:val="0"/>
          <w:marTop w:val="0"/>
          <w:marBottom w:val="0"/>
          <w:divBdr>
            <w:top w:val="none" w:sz="0" w:space="0" w:color="auto"/>
            <w:left w:val="none" w:sz="0" w:space="0" w:color="auto"/>
            <w:bottom w:val="none" w:sz="0" w:space="0" w:color="auto"/>
            <w:right w:val="none" w:sz="0" w:space="0" w:color="auto"/>
          </w:divBdr>
          <w:divsChild>
            <w:div w:id="1000887589">
              <w:marLeft w:val="0"/>
              <w:marRight w:val="0"/>
              <w:marTop w:val="0"/>
              <w:marBottom w:val="0"/>
              <w:divBdr>
                <w:top w:val="none" w:sz="0" w:space="0" w:color="auto"/>
                <w:left w:val="none" w:sz="0" w:space="0" w:color="auto"/>
                <w:bottom w:val="none" w:sz="0" w:space="0" w:color="auto"/>
                <w:right w:val="none" w:sz="0" w:space="0" w:color="auto"/>
              </w:divBdr>
              <w:divsChild>
                <w:div w:id="1803767465">
                  <w:marLeft w:val="0"/>
                  <w:marRight w:val="0"/>
                  <w:marTop w:val="0"/>
                  <w:marBottom w:val="0"/>
                  <w:divBdr>
                    <w:top w:val="none" w:sz="0" w:space="0" w:color="auto"/>
                    <w:left w:val="none" w:sz="0" w:space="0" w:color="auto"/>
                    <w:bottom w:val="none" w:sz="0" w:space="0" w:color="auto"/>
                    <w:right w:val="none" w:sz="0" w:space="0" w:color="auto"/>
                  </w:divBdr>
                  <w:divsChild>
                    <w:div w:id="1029648086">
                      <w:marLeft w:val="0"/>
                      <w:marRight w:val="0"/>
                      <w:marTop w:val="0"/>
                      <w:marBottom w:val="0"/>
                      <w:divBdr>
                        <w:top w:val="none" w:sz="0" w:space="0" w:color="auto"/>
                        <w:left w:val="none" w:sz="0" w:space="0" w:color="auto"/>
                        <w:bottom w:val="none" w:sz="0" w:space="0" w:color="auto"/>
                        <w:right w:val="none" w:sz="0" w:space="0" w:color="auto"/>
                      </w:divBdr>
                      <w:divsChild>
                        <w:div w:id="1430737657">
                          <w:marLeft w:val="0"/>
                          <w:marRight w:val="0"/>
                          <w:marTop w:val="0"/>
                          <w:marBottom w:val="0"/>
                          <w:divBdr>
                            <w:top w:val="none" w:sz="0" w:space="0" w:color="auto"/>
                            <w:left w:val="none" w:sz="0" w:space="0" w:color="auto"/>
                            <w:bottom w:val="none" w:sz="0" w:space="0" w:color="auto"/>
                            <w:right w:val="none" w:sz="0" w:space="0" w:color="auto"/>
                          </w:divBdr>
                          <w:divsChild>
                            <w:div w:id="497695597">
                              <w:marLeft w:val="0"/>
                              <w:marRight w:val="0"/>
                              <w:marTop w:val="0"/>
                              <w:marBottom w:val="0"/>
                              <w:divBdr>
                                <w:top w:val="none" w:sz="0" w:space="0" w:color="auto"/>
                                <w:left w:val="none" w:sz="0" w:space="0" w:color="auto"/>
                                <w:bottom w:val="none" w:sz="0" w:space="0" w:color="auto"/>
                                <w:right w:val="none" w:sz="0" w:space="0" w:color="auto"/>
                              </w:divBdr>
                              <w:divsChild>
                                <w:div w:id="1711152885">
                                  <w:marLeft w:val="0"/>
                                  <w:marRight w:val="0"/>
                                  <w:marTop w:val="0"/>
                                  <w:marBottom w:val="0"/>
                                  <w:divBdr>
                                    <w:top w:val="none" w:sz="0" w:space="0" w:color="auto"/>
                                    <w:left w:val="none" w:sz="0" w:space="0" w:color="auto"/>
                                    <w:bottom w:val="none" w:sz="0" w:space="0" w:color="auto"/>
                                    <w:right w:val="none" w:sz="0" w:space="0" w:color="auto"/>
                                  </w:divBdr>
                                  <w:divsChild>
                                    <w:div w:id="1259751321">
                                      <w:marLeft w:val="0"/>
                                      <w:marRight w:val="0"/>
                                      <w:marTop w:val="0"/>
                                      <w:marBottom w:val="0"/>
                                      <w:divBdr>
                                        <w:top w:val="none" w:sz="0" w:space="0" w:color="auto"/>
                                        <w:left w:val="none" w:sz="0" w:space="0" w:color="auto"/>
                                        <w:bottom w:val="none" w:sz="0" w:space="0" w:color="auto"/>
                                        <w:right w:val="none" w:sz="0" w:space="0" w:color="auto"/>
                                      </w:divBdr>
                                      <w:divsChild>
                                        <w:div w:id="154536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035261">
      <w:bodyDiv w:val="1"/>
      <w:marLeft w:val="0"/>
      <w:marRight w:val="0"/>
      <w:marTop w:val="0"/>
      <w:marBottom w:val="0"/>
      <w:divBdr>
        <w:top w:val="none" w:sz="0" w:space="0" w:color="auto"/>
        <w:left w:val="none" w:sz="0" w:space="0" w:color="auto"/>
        <w:bottom w:val="none" w:sz="0" w:space="0" w:color="auto"/>
        <w:right w:val="none" w:sz="0" w:space="0" w:color="auto"/>
      </w:divBdr>
      <w:divsChild>
        <w:div w:id="329528689">
          <w:marLeft w:val="0"/>
          <w:marRight w:val="0"/>
          <w:marTop w:val="0"/>
          <w:marBottom w:val="0"/>
          <w:divBdr>
            <w:top w:val="none" w:sz="0" w:space="0" w:color="auto"/>
            <w:left w:val="none" w:sz="0" w:space="0" w:color="auto"/>
            <w:bottom w:val="none" w:sz="0" w:space="0" w:color="auto"/>
            <w:right w:val="none" w:sz="0" w:space="0" w:color="auto"/>
          </w:divBdr>
          <w:divsChild>
            <w:div w:id="919028024">
              <w:marLeft w:val="0"/>
              <w:marRight w:val="0"/>
              <w:marTop w:val="0"/>
              <w:marBottom w:val="0"/>
              <w:divBdr>
                <w:top w:val="none" w:sz="0" w:space="0" w:color="auto"/>
                <w:left w:val="none" w:sz="0" w:space="0" w:color="auto"/>
                <w:bottom w:val="none" w:sz="0" w:space="0" w:color="auto"/>
                <w:right w:val="none" w:sz="0" w:space="0" w:color="auto"/>
              </w:divBdr>
              <w:divsChild>
                <w:div w:id="340855570">
                  <w:marLeft w:val="0"/>
                  <w:marRight w:val="0"/>
                  <w:marTop w:val="0"/>
                  <w:marBottom w:val="0"/>
                  <w:divBdr>
                    <w:top w:val="none" w:sz="0" w:space="0" w:color="auto"/>
                    <w:left w:val="none" w:sz="0" w:space="0" w:color="auto"/>
                    <w:bottom w:val="none" w:sz="0" w:space="0" w:color="auto"/>
                    <w:right w:val="none" w:sz="0" w:space="0" w:color="auto"/>
                  </w:divBdr>
                  <w:divsChild>
                    <w:div w:id="150567001">
                      <w:marLeft w:val="0"/>
                      <w:marRight w:val="0"/>
                      <w:marTop w:val="0"/>
                      <w:marBottom w:val="0"/>
                      <w:divBdr>
                        <w:top w:val="none" w:sz="0" w:space="0" w:color="auto"/>
                        <w:left w:val="none" w:sz="0" w:space="0" w:color="auto"/>
                        <w:bottom w:val="none" w:sz="0" w:space="0" w:color="auto"/>
                        <w:right w:val="none" w:sz="0" w:space="0" w:color="auto"/>
                      </w:divBdr>
                      <w:divsChild>
                        <w:div w:id="1211040531">
                          <w:marLeft w:val="0"/>
                          <w:marRight w:val="0"/>
                          <w:marTop w:val="0"/>
                          <w:marBottom w:val="0"/>
                          <w:divBdr>
                            <w:top w:val="none" w:sz="0" w:space="0" w:color="auto"/>
                            <w:left w:val="none" w:sz="0" w:space="0" w:color="auto"/>
                            <w:bottom w:val="none" w:sz="0" w:space="0" w:color="auto"/>
                            <w:right w:val="none" w:sz="0" w:space="0" w:color="auto"/>
                          </w:divBdr>
                          <w:divsChild>
                            <w:div w:id="164513936">
                              <w:marLeft w:val="0"/>
                              <w:marRight w:val="0"/>
                              <w:marTop w:val="0"/>
                              <w:marBottom w:val="0"/>
                              <w:divBdr>
                                <w:top w:val="none" w:sz="0" w:space="0" w:color="auto"/>
                                <w:left w:val="none" w:sz="0" w:space="0" w:color="auto"/>
                                <w:bottom w:val="none" w:sz="0" w:space="0" w:color="auto"/>
                                <w:right w:val="none" w:sz="0" w:space="0" w:color="auto"/>
                              </w:divBdr>
                              <w:divsChild>
                                <w:div w:id="1780030923">
                                  <w:marLeft w:val="0"/>
                                  <w:marRight w:val="0"/>
                                  <w:marTop w:val="0"/>
                                  <w:marBottom w:val="0"/>
                                  <w:divBdr>
                                    <w:top w:val="none" w:sz="0" w:space="0" w:color="auto"/>
                                    <w:left w:val="none" w:sz="0" w:space="0" w:color="auto"/>
                                    <w:bottom w:val="none" w:sz="0" w:space="0" w:color="auto"/>
                                    <w:right w:val="none" w:sz="0" w:space="0" w:color="auto"/>
                                  </w:divBdr>
                                  <w:divsChild>
                                    <w:div w:id="2015649064">
                                      <w:marLeft w:val="0"/>
                                      <w:marRight w:val="0"/>
                                      <w:marTop w:val="0"/>
                                      <w:marBottom w:val="0"/>
                                      <w:divBdr>
                                        <w:top w:val="none" w:sz="0" w:space="0" w:color="auto"/>
                                        <w:left w:val="none" w:sz="0" w:space="0" w:color="auto"/>
                                        <w:bottom w:val="none" w:sz="0" w:space="0" w:color="auto"/>
                                        <w:right w:val="none" w:sz="0" w:space="0" w:color="auto"/>
                                      </w:divBdr>
                                      <w:divsChild>
                                        <w:div w:id="1979609766">
                                          <w:marLeft w:val="0"/>
                                          <w:marRight w:val="0"/>
                                          <w:marTop w:val="0"/>
                                          <w:marBottom w:val="0"/>
                                          <w:divBdr>
                                            <w:top w:val="none" w:sz="0" w:space="0" w:color="auto"/>
                                            <w:left w:val="none" w:sz="0" w:space="0" w:color="auto"/>
                                            <w:bottom w:val="none" w:sz="0" w:space="0" w:color="auto"/>
                                            <w:right w:val="none" w:sz="0" w:space="0" w:color="auto"/>
                                          </w:divBdr>
                                          <w:divsChild>
                                            <w:div w:id="72090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7735124">
      <w:bodyDiv w:val="1"/>
      <w:marLeft w:val="0"/>
      <w:marRight w:val="0"/>
      <w:marTop w:val="0"/>
      <w:marBottom w:val="0"/>
      <w:divBdr>
        <w:top w:val="none" w:sz="0" w:space="0" w:color="auto"/>
        <w:left w:val="none" w:sz="0" w:space="0" w:color="auto"/>
        <w:bottom w:val="none" w:sz="0" w:space="0" w:color="auto"/>
        <w:right w:val="none" w:sz="0" w:space="0" w:color="auto"/>
      </w:divBdr>
    </w:div>
    <w:div w:id="1013994160">
      <w:bodyDiv w:val="1"/>
      <w:marLeft w:val="0"/>
      <w:marRight w:val="0"/>
      <w:marTop w:val="0"/>
      <w:marBottom w:val="0"/>
      <w:divBdr>
        <w:top w:val="none" w:sz="0" w:space="0" w:color="auto"/>
        <w:left w:val="none" w:sz="0" w:space="0" w:color="auto"/>
        <w:bottom w:val="none" w:sz="0" w:space="0" w:color="auto"/>
        <w:right w:val="none" w:sz="0" w:space="0" w:color="auto"/>
      </w:divBdr>
      <w:divsChild>
        <w:div w:id="784347878">
          <w:marLeft w:val="0"/>
          <w:marRight w:val="0"/>
          <w:marTop w:val="0"/>
          <w:marBottom w:val="0"/>
          <w:divBdr>
            <w:top w:val="none" w:sz="0" w:space="0" w:color="auto"/>
            <w:left w:val="none" w:sz="0" w:space="0" w:color="auto"/>
            <w:bottom w:val="none" w:sz="0" w:space="0" w:color="auto"/>
            <w:right w:val="none" w:sz="0" w:space="0" w:color="auto"/>
          </w:divBdr>
          <w:divsChild>
            <w:div w:id="1114250727">
              <w:marLeft w:val="0"/>
              <w:marRight w:val="0"/>
              <w:marTop w:val="0"/>
              <w:marBottom w:val="0"/>
              <w:divBdr>
                <w:top w:val="none" w:sz="0" w:space="0" w:color="auto"/>
                <w:left w:val="none" w:sz="0" w:space="0" w:color="auto"/>
                <w:bottom w:val="none" w:sz="0" w:space="0" w:color="auto"/>
                <w:right w:val="none" w:sz="0" w:space="0" w:color="auto"/>
              </w:divBdr>
              <w:divsChild>
                <w:div w:id="1545873219">
                  <w:marLeft w:val="0"/>
                  <w:marRight w:val="0"/>
                  <w:marTop w:val="0"/>
                  <w:marBottom w:val="0"/>
                  <w:divBdr>
                    <w:top w:val="none" w:sz="0" w:space="0" w:color="auto"/>
                    <w:left w:val="none" w:sz="0" w:space="0" w:color="auto"/>
                    <w:bottom w:val="none" w:sz="0" w:space="0" w:color="auto"/>
                    <w:right w:val="none" w:sz="0" w:space="0" w:color="auto"/>
                  </w:divBdr>
                  <w:divsChild>
                    <w:div w:id="663244568">
                      <w:marLeft w:val="0"/>
                      <w:marRight w:val="0"/>
                      <w:marTop w:val="0"/>
                      <w:marBottom w:val="0"/>
                      <w:divBdr>
                        <w:top w:val="none" w:sz="0" w:space="0" w:color="auto"/>
                        <w:left w:val="none" w:sz="0" w:space="0" w:color="auto"/>
                        <w:bottom w:val="none" w:sz="0" w:space="0" w:color="auto"/>
                        <w:right w:val="none" w:sz="0" w:space="0" w:color="auto"/>
                      </w:divBdr>
                      <w:divsChild>
                        <w:div w:id="2083598791">
                          <w:marLeft w:val="0"/>
                          <w:marRight w:val="0"/>
                          <w:marTop w:val="0"/>
                          <w:marBottom w:val="0"/>
                          <w:divBdr>
                            <w:top w:val="none" w:sz="0" w:space="0" w:color="auto"/>
                            <w:left w:val="none" w:sz="0" w:space="0" w:color="auto"/>
                            <w:bottom w:val="none" w:sz="0" w:space="0" w:color="auto"/>
                            <w:right w:val="none" w:sz="0" w:space="0" w:color="auto"/>
                          </w:divBdr>
                          <w:divsChild>
                            <w:div w:id="355470877">
                              <w:marLeft w:val="0"/>
                              <w:marRight w:val="0"/>
                              <w:marTop w:val="0"/>
                              <w:marBottom w:val="0"/>
                              <w:divBdr>
                                <w:top w:val="none" w:sz="0" w:space="0" w:color="auto"/>
                                <w:left w:val="none" w:sz="0" w:space="0" w:color="auto"/>
                                <w:bottom w:val="none" w:sz="0" w:space="0" w:color="auto"/>
                                <w:right w:val="none" w:sz="0" w:space="0" w:color="auto"/>
                              </w:divBdr>
                              <w:divsChild>
                                <w:div w:id="1729500926">
                                  <w:marLeft w:val="0"/>
                                  <w:marRight w:val="0"/>
                                  <w:marTop w:val="0"/>
                                  <w:marBottom w:val="0"/>
                                  <w:divBdr>
                                    <w:top w:val="none" w:sz="0" w:space="0" w:color="auto"/>
                                    <w:left w:val="none" w:sz="0" w:space="0" w:color="auto"/>
                                    <w:bottom w:val="none" w:sz="0" w:space="0" w:color="auto"/>
                                    <w:right w:val="none" w:sz="0" w:space="0" w:color="auto"/>
                                  </w:divBdr>
                                  <w:divsChild>
                                    <w:div w:id="1253465571">
                                      <w:marLeft w:val="0"/>
                                      <w:marRight w:val="0"/>
                                      <w:marTop w:val="0"/>
                                      <w:marBottom w:val="0"/>
                                      <w:divBdr>
                                        <w:top w:val="none" w:sz="0" w:space="0" w:color="auto"/>
                                        <w:left w:val="none" w:sz="0" w:space="0" w:color="auto"/>
                                        <w:bottom w:val="none" w:sz="0" w:space="0" w:color="auto"/>
                                        <w:right w:val="none" w:sz="0" w:space="0" w:color="auto"/>
                                      </w:divBdr>
                                      <w:divsChild>
                                        <w:div w:id="1691025416">
                                          <w:marLeft w:val="0"/>
                                          <w:marRight w:val="0"/>
                                          <w:marTop w:val="0"/>
                                          <w:marBottom w:val="0"/>
                                          <w:divBdr>
                                            <w:top w:val="none" w:sz="0" w:space="0" w:color="auto"/>
                                            <w:left w:val="none" w:sz="0" w:space="0" w:color="auto"/>
                                            <w:bottom w:val="none" w:sz="0" w:space="0" w:color="auto"/>
                                            <w:right w:val="none" w:sz="0" w:space="0" w:color="auto"/>
                                          </w:divBdr>
                                          <w:divsChild>
                                            <w:div w:id="202558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8699674">
      <w:bodyDiv w:val="1"/>
      <w:marLeft w:val="0"/>
      <w:marRight w:val="0"/>
      <w:marTop w:val="0"/>
      <w:marBottom w:val="0"/>
      <w:divBdr>
        <w:top w:val="none" w:sz="0" w:space="0" w:color="auto"/>
        <w:left w:val="none" w:sz="0" w:space="0" w:color="auto"/>
        <w:bottom w:val="none" w:sz="0" w:space="0" w:color="auto"/>
        <w:right w:val="none" w:sz="0" w:space="0" w:color="auto"/>
      </w:divBdr>
      <w:divsChild>
        <w:div w:id="647439641">
          <w:marLeft w:val="0"/>
          <w:marRight w:val="0"/>
          <w:marTop w:val="0"/>
          <w:marBottom w:val="0"/>
          <w:divBdr>
            <w:top w:val="none" w:sz="0" w:space="0" w:color="auto"/>
            <w:left w:val="none" w:sz="0" w:space="0" w:color="auto"/>
            <w:bottom w:val="none" w:sz="0" w:space="0" w:color="auto"/>
            <w:right w:val="none" w:sz="0" w:space="0" w:color="auto"/>
          </w:divBdr>
          <w:divsChild>
            <w:div w:id="1986663343">
              <w:marLeft w:val="0"/>
              <w:marRight w:val="0"/>
              <w:marTop w:val="0"/>
              <w:marBottom w:val="0"/>
              <w:divBdr>
                <w:top w:val="none" w:sz="0" w:space="0" w:color="auto"/>
                <w:left w:val="none" w:sz="0" w:space="0" w:color="auto"/>
                <w:bottom w:val="none" w:sz="0" w:space="0" w:color="auto"/>
                <w:right w:val="none" w:sz="0" w:space="0" w:color="auto"/>
              </w:divBdr>
              <w:divsChild>
                <w:div w:id="312877612">
                  <w:marLeft w:val="0"/>
                  <w:marRight w:val="0"/>
                  <w:marTop w:val="0"/>
                  <w:marBottom w:val="0"/>
                  <w:divBdr>
                    <w:top w:val="none" w:sz="0" w:space="0" w:color="auto"/>
                    <w:left w:val="none" w:sz="0" w:space="0" w:color="auto"/>
                    <w:bottom w:val="none" w:sz="0" w:space="0" w:color="auto"/>
                    <w:right w:val="none" w:sz="0" w:space="0" w:color="auto"/>
                  </w:divBdr>
                  <w:divsChild>
                    <w:div w:id="1443188362">
                      <w:marLeft w:val="0"/>
                      <w:marRight w:val="0"/>
                      <w:marTop w:val="0"/>
                      <w:marBottom w:val="0"/>
                      <w:divBdr>
                        <w:top w:val="none" w:sz="0" w:space="0" w:color="auto"/>
                        <w:left w:val="none" w:sz="0" w:space="0" w:color="auto"/>
                        <w:bottom w:val="none" w:sz="0" w:space="0" w:color="auto"/>
                        <w:right w:val="none" w:sz="0" w:space="0" w:color="auto"/>
                      </w:divBdr>
                      <w:divsChild>
                        <w:div w:id="477502772">
                          <w:marLeft w:val="0"/>
                          <w:marRight w:val="0"/>
                          <w:marTop w:val="0"/>
                          <w:marBottom w:val="0"/>
                          <w:divBdr>
                            <w:top w:val="none" w:sz="0" w:space="0" w:color="auto"/>
                            <w:left w:val="none" w:sz="0" w:space="0" w:color="auto"/>
                            <w:bottom w:val="none" w:sz="0" w:space="0" w:color="auto"/>
                            <w:right w:val="none" w:sz="0" w:space="0" w:color="auto"/>
                          </w:divBdr>
                          <w:divsChild>
                            <w:div w:id="124809758">
                              <w:marLeft w:val="0"/>
                              <w:marRight w:val="0"/>
                              <w:marTop w:val="0"/>
                              <w:marBottom w:val="0"/>
                              <w:divBdr>
                                <w:top w:val="none" w:sz="0" w:space="0" w:color="auto"/>
                                <w:left w:val="none" w:sz="0" w:space="0" w:color="auto"/>
                                <w:bottom w:val="none" w:sz="0" w:space="0" w:color="auto"/>
                                <w:right w:val="none" w:sz="0" w:space="0" w:color="auto"/>
                              </w:divBdr>
                              <w:divsChild>
                                <w:div w:id="1700617750">
                                  <w:marLeft w:val="0"/>
                                  <w:marRight w:val="0"/>
                                  <w:marTop w:val="0"/>
                                  <w:marBottom w:val="0"/>
                                  <w:divBdr>
                                    <w:top w:val="none" w:sz="0" w:space="0" w:color="auto"/>
                                    <w:left w:val="none" w:sz="0" w:space="0" w:color="auto"/>
                                    <w:bottom w:val="none" w:sz="0" w:space="0" w:color="auto"/>
                                    <w:right w:val="none" w:sz="0" w:space="0" w:color="auto"/>
                                  </w:divBdr>
                                  <w:divsChild>
                                    <w:div w:id="789937840">
                                      <w:marLeft w:val="0"/>
                                      <w:marRight w:val="0"/>
                                      <w:marTop w:val="0"/>
                                      <w:marBottom w:val="0"/>
                                      <w:divBdr>
                                        <w:top w:val="none" w:sz="0" w:space="0" w:color="auto"/>
                                        <w:left w:val="none" w:sz="0" w:space="0" w:color="auto"/>
                                        <w:bottom w:val="none" w:sz="0" w:space="0" w:color="auto"/>
                                        <w:right w:val="none" w:sz="0" w:space="0" w:color="auto"/>
                                      </w:divBdr>
                                      <w:divsChild>
                                        <w:div w:id="2035114806">
                                          <w:marLeft w:val="0"/>
                                          <w:marRight w:val="0"/>
                                          <w:marTop w:val="0"/>
                                          <w:marBottom w:val="0"/>
                                          <w:divBdr>
                                            <w:top w:val="none" w:sz="0" w:space="0" w:color="auto"/>
                                            <w:left w:val="none" w:sz="0" w:space="0" w:color="auto"/>
                                            <w:bottom w:val="none" w:sz="0" w:space="0" w:color="auto"/>
                                            <w:right w:val="none" w:sz="0" w:space="0" w:color="auto"/>
                                          </w:divBdr>
                                          <w:divsChild>
                                            <w:div w:id="724986967">
                                              <w:marLeft w:val="0"/>
                                              <w:marRight w:val="0"/>
                                              <w:marTop w:val="0"/>
                                              <w:marBottom w:val="0"/>
                                              <w:divBdr>
                                                <w:top w:val="none" w:sz="0" w:space="0" w:color="auto"/>
                                                <w:left w:val="none" w:sz="0" w:space="0" w:color="auto"/>
                                                <w:bottom w:val="none" w:sz="0" w:space="0" w:color="auto"/>
                                                <w:right w:val="none" w:sz="0" w:space="0" w:color="auto"/>
                                              </w:divBdr>
                                              <w:divsChild>
                                                <w:div w:id="40117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603893">
      <w:bodyDiv w:val="1"/>
      <w:marLeft w:val="0"/>
      <w:marRight w:val="0"/>
      <w:marTop w:val="0"/>
      <w:marBottom w:val="0"/>
      <w:divBdr>
        <w:top w:val="none" w:sz="0" w:space="0" w:color="auto"/>
        <w:left w:val="none" w:sz="0" w:space="0" w:color="auto"/>
        <w:bottom w:val="none" w:sz="0" w:space="0" w:color="auto"/>
        <w:right w:val="none" w:sz="0" w:space="0" w:color="auto"/>
      </w:divBdr>
    </w:div>
    <w:div w:id="1057050507">
      <w:bodyDiv w:val="1"/>
      <w:marLeft w:val="0"/>
      <w:marRight w:val="0"/>
      <w:marTop w:val="0"/>
      <w:marBottom w:val="0"/>
      <w:divBdr>
        <w:top w:val="none" w:sz="0" w:space="0" w:color="auto"/>
        <w:left w:val="none" w:sz="0" w:space="0" w:color="auto"/>
        <w:bottom w:val="none" w:sz="0" w:space="0" w:color="auto"/>
        <w:right w:val="none" w:sz="0" w:space="0" w:color="auto"/>
      </w:divBdr>
      <w:divsChild>
        <w:div w:id="1994599178">
          <w:marLeft w:val="0"/>
          <w:marRight w:val="0"/>
          <w:marTop w:val="0"/>
          <w:marBottom w:val="0"/>
          <w:divBdr>
            <w:top w:val="none" w:sz="0" w:space="0" w:color="auto"/>
            <w:left w:val="none" w:sz="0" w:space="0" w:color="auto"/>
            <w:bottom w:val="none" w:sz="0" w:space="0" w:color="auto"/>
            <w:right w:val="none" w:sz="0" w:space="0" w:color="auto"/>
          </w:divBdr>
          <w:divsChild>
            <w:div w:id="342174362">
              <w:marLeft w:val="0"/>
              <w:marRight w:val="0"/>
              <w:marTop w:val="0"/>
              <w:marBottom w:val="0"/>
              <w:divBdr>
                <w:top w:val="none" w:sz="0" w:space="0" w:color="auto"/>
                <w:left w:val="none" w:sz="0" w:space="0" w:color="auto"/>
                <w:bottom w:val="none" w:sz="0" w:space="0" w:color="auto"/>
                <w:right w:val="none" w:sz="0" w:space="0" w:color="auto"/>
              </w:divBdr>
              <w:divsChild>
                <w:div w:id="270430987">
                  <w:marLeft w:val="0"/>
                  <w:marRight w:val="0"/>
                  <w:marTop w:val="0"/>
                  <w:marBottom w:val="0"/>
                  <w:divBdr>
                    <w:top w:val="none" w:sz="0" w:space="0" w:color="auto"/>
                    <w:left w:val="none" w:sz="0" w:space="0" w:color="auto"/>
                    <w:bottom w:val="none" w:sz="0" w:space="0" w:color="auto"/>
                    <w:right w:val="none" w:sz="0" w:space="0" w:color="auto"/>
                  </w:divBdr>
                  <w:divsChild>
                    <w:div w:id="2043364647">
                      <w:marLeft w:val="0"/>
                      <w:marRight w:val="0"/>
                      <w:marTop w:val="0"/>
                      <w:marBottom w:val="0"/>
                      <w:divBdr>
                        <w:top w:val="none" w:sz="0" w:space="0" w:color="auto"/>
                        <w:left w:val="none" w:sz="0" w:space="0" w:color="auto"/>
                        <w:bottom w:val="none" w:sz="0" w:space="0" w:color="auto"/>
                        <w:right w:val="none" w:sz="0" w:space="0" w:color="auto"/>
                      </w:divBdr>
                      <w:divsChild>
                        <w:div w:id="326245911">
                          <w:marLeft w:val="0"/>
                          <w:marRight w:val="0"/>
                          <w:marTop w:val="0"/>
                          <w:marBottom w:val="0"/>
                          <w:divBdr>
                            <w:top w:val="none" w:sz="0" w:space="0" w:color="auto"/>
                            <w:left w:val="none" w:sz="0" w:space="0" w:color="auto"/>
                            <w:bottom w:val="none" w:sz="0" w:space="0" w:color="auto"/>
                            <w:right w:val="none" w:sz="0" w:space="0" w:color="auto"/>
                          </w:divBdr>
                          <w:divsChild>
                            <w:div w:id="1844516169">
                              <w:marLeft w:val="0"/>
                              <w:marRight w:val="0"/>
                              <w:marTop w:val="0"/>
                              <w:marBottom w:val="0"/>
                              <w:divBdr>
                                <w:top w:val="none" w:sz="0" w:space="0" w:color="auto"/>
                                <w:left w:val="none" w:sz="0" w:space="0" w:color="auto"/>
                                <w:bottom w:val="none" w:sz="0" w:space="0" w:color="auto"/>
                                <w:right w:val="none" w:sz="0" w:space="0" w:color="auto"/>
                              </w:divBdr>
                              <w:divsChild>
                                <w:div w:id="1214465916">
                                  <w:marLeft w:val="0"/>
                                  <w:marRight w:val="0"/>
                                  <w:marTop w:val="0"/>
                                  <w:marBottom w:val="0"/>
                                  <w:divBdr>
                                    <w:top w:val="none" w:sz="0" w:space="0" w:color="auto"/>
                                    <w:left w:val="none" w:sz="0" w:space="0" w:color="auto"/>
                                    <w:bottom w:val="none" w:sz="0" w:space="0" w:color="auto"/>
                                    <w:right w:val="none" w:sz="0" w:space="0" w:color="auto"/>
                                  </w:divBdr>
                                  <w:divsChild>
                                    <w:div w:id="1136948698">
                                      <w:marLeft w:val="0"/>
                                      <w:marRight w:val="0"/>
                                      <w:marTop w:val="0"/>
                                      <w:marBottom w:val="0"/>
                                      <w:divBdr>
                                        <w:top w:val="none" w:sz="0" w:space="0" w:color="auto"/>
                                        <w:left w:val="none" w:sz="0" w:space="0" w:color="auto"/>
                                        <w:bottom w:val="none" w:sz="0" w:space="0" w:color="auto"/>
                                        <w:right w:val="none" w:sz="0" w:space="0" w:color="auto"/>
                                      </w:divBdr>
                                      <w:divsChild>
                                        <w:div w:id="1670131710">
                                          <w:marLeft w:val="0"/>
                                          <w:marRight w:val="0"/>
                                          <w:marTop w:val="0"/>
                                          <w:marBottom w:val="0"/>
                                          <w:divBdr>
                                            <w:top w:val="none" w:sz="0" w:space="0" w:color="auto"/>
                                            <w:left w:val="none" w:sz="0" w:space="0" w:color="auto"/>
                                            <w:bottom w:val="none" w:sz="0" w:space="0" w:color="auto"/>
                                            <w:right w:val="none" w:sz="0" w:space="0" w:color="auto"/>
                                          </w:divBdr>
                                          <w:divsChild>
                                            <w:div w:id="91173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1290084">
      <w:bodyDiv w:val="1"/>
      <w:marLeft w:val="0"/>
      <w:marRight w:val="0"/>
      <w:marTop w:val="0"/>
      <w:marBottom w:val="0"/>
      <w:divBdr>
        <w:top w:val="none" w:sz="0" w:space="0" w:color="auto"/>
        <w:left w:val="none" w:sz="0" w:space="0" w:color="auto"/>
        <w:bottom w:val="none" w:sz="0" w:space="0" w:color="auto"/>
        <w:right w:val="none" w:sz="0" w:space="0" w:color="auto"/>
      </w:divBdr>
      <w:divsChild>
        <w:div w:id="1080911437">
          <w:marLeft w:val="0"/>
          <w:marRight w:val="0"/>
          <w:marTop w:val="0"/>
          <w:marBottom w:val="0"/>
          <w:divBdr>
            <w:top w:val="none" w:sz="0" w:space="0" w:color="auto"/>
            <w:left w:val="none" w:sz="0" w:space="0" w:color="auto"/>
            <w:bottom w:val="none" w:sz="0" w:space="0" w:color="auto"/>
            <w:right w:val="none" w:sz="0" w:space="0" w:color="auto"/>
          </w:divBdr>
          <w:divsChild>
            <w:div w:id="1817726403">
              <w:marLeft w:val="0"/>
              <w:marRight w:val="0"/>
              <w:marTop w:val="0"/>
              <w:marBottom w:val="0"/>
              <w:divBdr>
                <w:top w:val="none" w:sz="0" w:space="0" w:color="auto"/>
                <w:left w:val="none" w:sz="0" w:space="0" w:color="auto"/>
                <w:bottom w:val="none" w:sz="0" w:space="0" w:color="auto"/>
                <w:right w:val="none" w:sz="0" w:space="0" w:color="auto"/>
              </w:divBdr>
              <w:divsChild>
                <w:div w:id="91710083">
                  <w:marLeft w:val="0"/>
                  <w:marRight w:val="0"/>
                  <w:marTop w:val="0"/>
                  <w:marBottom w:val="0"/>
                  <w:divBdr>
                    <w:top w:val="none" w:sz="0" w:space="0" w:color="auto"/>
                    <w:left w:val="none" w:sz="0" w:space="0" w:color="auto"/>
                    <w:bottom w:val="none" w:sz="0" w:space="0" w:color="auto"/>
                    <w:right w:val="none" w:sz="0" w:space="0" w:color="auto"/>
                  </w:divBdr>
                  <w:divsChild>
                    <w:div w:id="657535079">
                      <w:marLeft w:val="0"/>
                      <w:marRight w:val="0"/>
                      <w:marTop w:val="0"/>
                      <w:marBottom w:val="0"/>
                      <w:divBdr>
                        <w:top w:val="none" w:sz="0" w:space="0" w:color="auto"/>
                        <w:left w:val="none" w:sz="0" w:space="0" w:color="auto"/>
                        <w:bottom w:val="none" w:sz="0" w:space="0" w:color="auto"/>
                        <w:right w:val="none" w:sz="0" w:space="0" w:color="auto"/>
                      </w:divBdr>
                      <w:divsChild>
                        <w:div w:id="1075587236">
                          <w:marLeft w:val="0"/>
                          <w:marRight w:val="0"/>
                          <w:marTop w:val="0"/>
                          <w:marBottom w:val="0"/>
                          <w:divBdr>
                            <w:top w:val="none" w:sz="0" w:space="0" w:color="auto"/>
                            <w:left w:val="none" w:sz="0" w:space="0" w:color="auto"/>
                            <w:bottom w:val="none" w:sz="0" w:space="0" w:color="auto"/>
                            <w:right w:val="none" w:sz="0" w:space="0" w:color="auto"/>
                          </w:divBdr>
                          <w:divsChild>
                            <w:div w:id="452209161">
                              <w:marLeft w:val="0"/>
                              <w:marRight w:val="0"/>
                              <w:marTop w:val="0"/>
                              <w:marBottom w:val="0"/>
                              <w:divBdr>
                                <w:top w:val="none" w:sz="0" w:space="0" w:color="auto"/>
                                <w:left w:val="none" w:sz="0" w:space="0" w:color="auto"/>
                                <w:bottom w:val="none" w:sz="0" w:space="0" w:color="auto"/>
                                <w:right w:val="none" w:sz="0" w:space="0" w:color="auto"/>
                              </w:divBdr>
                              <w:divsChild>
                                <w:div w:id="363334541">
                                  <w:marLeft w:val="0"/>
                                  <w:marRight w:val="0"/>
                                  <w:marTop w:val="0"/>
                                  <w:marBottom w:val="0"/>
                                  <w:divBdr>
                                    <w:top w:val="none" w:sz="0" w:space="0" w:color="auto"/>
                                    <w:left w:val="none" w:sz="0" w:space="0" w:color="auto"/>
                                    <w:bottom w:val="none" w:sz="0" w:space="0" w:color="auto"/>
                                    <w:right w:val="none" w:sz="0" w:space="0" w:color="auto"/>
                                  </w:divBdr>
                                  <w:divsChild>
                                    <w:div w:id="561715299">
                                      <w:marLeft w:val="0"/>
                                      <w:marRight w:val="0"/>
                                      <w:marTop w:val="0"/>
                                      <w:marBottom w:val="0"/>
                                      <w:divBdr>
                                        <w:top w:val="none" w:sz="0" w:space="0" w:color="auto"/>
                                        <w:left w:val="none" w:sz="0" w:space="0" w:color="auto"/>
                                        <w:bottom w:val="none" w:sz="0" w:space="0" w:color="auto"/>
                                        <w:right w:val="none" w:sz="0" w:space="0" w:color="auto"/>
                                      </w:divBdr>
                                      <w:divsChild>
                                        <w:div w:id="26227492">
                                          <w:marLeft w:val="0"/>
                                          <w:marRight w:val="0"/>
                                          <w:marTop w:val="0"/>
                                          <w:marBottom w:val="0"/>
                                          <w:divBdr>
                                            <w:top w:val="none" w:sz="0" w:space="0" w:color="auto"/>
                                            <w:left w:val="none" w:sz="0" w:space="0" w:color="auto"/>
                                            <w:bottom w:val="none" w:sz="0" w:space="0" w:color="auto"/>
                                            <w:right w:val="none" w:sz="0" w:space="0" w:color="auto"/>
                                          </w:divBdr>
                                          <w:divsChild>
                                            <w:div w:id="75907013">
                                              <w:marLeft w:val="0"/>
                                              <w:marRight w:val="0"/>
                                              <w:marTop w:val="0"/>
                                              <w:marBottom w:val="0"/>
                                              <w:divBdr>
                                                <w:top w:val="none" w:sz="0" w:space="0" w:color="auto"/>
                                                <w:left w:val="none" w:sz="0" w:space="0" w:color="auto"/>
                                                <w:bottom w:val="none" w:sz="0" w:space="0" w:color="auto"/>
                                                <w:right w:val="none" w:sz="0" w:space="0" w:color="auto"/>
                                              </w:divBdr>
                                            </w:div>
                                            <w:div w:id="575744088">
                                              <w:marLeft w:val="0"/>
                                              <w:marRight w:val="0"/>
                                              <w:marTop w:val="0"/>
                                              <w:marBottom w:val="0"/>
                                              <w:divBdr>
                                                <w:top w:val="none" w:sz="0" w:space="0" w:color="auto"/>
                                                <w:left w:val="none" w:sz="0" w:space="0" w:color="auto"/>
                                                <w:bottom w:val="none" w:sz="0" w:space="0" w:color="auto"/>
                                                <w:right w:val="none" w:sz="0" w:space="0" w:color="auto"/>
                                              </w:divBdr>
                                              <w:divsChild>
                                                <w:div w:id="2142188121">
                                                  <w:marLeft w:val="0"/>
                                                  <w:marRight w:val="0"/>
                                                  <w:marTop w:val="0"/>
                                                  <w:marBottom w:val="0"/>
                                                  <w:divBdr>
                                                    <w:top w:val="none" w:sz="0" w:space="0" w:color="auto"/>
                                                    <w:left w:val="none" w:sz="0" w:space="0" w:color="auto"/>
                                                    <w:bottom w:val="none" w:sz="0" w:space="0" w:color="auto"/>
                                                    <w:right w:val="none" w:sz="0" w:space="0" w:color="auto"/>
                                                  </w:divBdr>
                                                </w:div>
                                              </w:divsChild>
                                            </w:div>
                                            <w:div w:id="1236626546">
                                              <w:marLeft w:val="0"/>
                                              <w:marRight w:val="0"/>
                                              <w:marTop w:val="0"/>
                                              <w:marBottom w:val="0"/>
                                              <w:divBdr>
                                                <w:top w:val="none" w:sz="0" w:space="0" w:color="auto"/>
                                                <w:left w:val="none" w:sz="0" w:space="0" w:color="auto"/>
                                                <w:bottom w:val="none" w:sz="0" w:space="0" w:color="auto"/>
                                                <w:right w:val="none" w:sz="0" w:space="0" w:color="auto"/>
                                              </w:divBdr>
                                            </w:div>
                                            <w:div w:id="1322730573">
                                              <w:marLeft w:val="0"/>
                                              <w:marRight w:val="0"/>
                                              <w:marTop w:val="0"/>
                                              <w:marBottom w:val="0"/>
                                              <w:divBdr>
                                                <w:top w:val="none" w:sz="0" w:space="0" w:color="auto"/>
                                                <w:left w:val="none" w:sz="0" w:space="0" w:color="auto"/>
                                                <w:bottom w:val="none" w:sz="0" w:space="0" w:color="auto"/>
                                                <w:right w:val="none" w:sz="0" w:space="0" w:color="auto"/>
                                              </w:divBdr>
                                            </w:div>
                                          </w:divsChild>
                                        </w:div>
                                        <w:div w:id="338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4454035">
      <w:bodyDiv w:val="1"/>
      <w:marLeft w:val="0"/>
      <w:marRight w:val="0"/>
      <w:marTop w:val="0"/>
      <w:marBottom w:val="0"/>
      <w:divBdr>
        <w:top w:val="none" w:sz="0" w:space="0" w:color="auto"/>
        <w:left w:val="none" w:sz="0" w:space="0" w:color="auto"/>
        <w:bottom w:val="none" w:sz="0" w:space="0" w:color="auto"/>
        <w:right w:val="none" w:sz="0" w:space="0" w:color="auto"/>
      </w:divBdr>
      <w:divsChild>
        <w:div w:id="416948038">
          <w:marLeft w:val="0"/>
          <w:marRight w:val="0"/>
          <w:marTop w:val="0"/>
          <w:marBottom w:val="0"/>
          <w:divBdr>
            <w:top w:val="none" w:sz="0" w:space="0" w:color="auto"/>
            <w:left w:val="none" w:sz="0" w:space="0" w:color="auto"/>
            <w:bottom w:val="none" w:sz="0" w:space="0" w:color="auto"/>
            <w:right w:val="none" w:sz="0" w:space="0" w:color="auto"/>
          </w:divBdr>
          <w:divsChild>
            <w:div w:id="1516188863">
              <w:marLeft w:val="0"/>
              <w:marRight w:val="0"/>
              <w:marTop w:val="0"/>
              <w:marBottom w:val="0"/>
              <w:divBdr>
                <w:top w:val="none" w:sz="0" w:space="0" w:color="auto"/>
                <w:left w:val="none" w:sz="0" w:space="0" w:color="auto"/>
                <w:bottom w:val="none" w:sz="0" w:space="0" w:color="auto"/>
                <w:right w:val="none" w:sz="0" w:space="0" w:color="auto"/>
              </w:divBdr>
              <w:divsChild>
                <w:div w:id="1992515983">
                  <w:marLeft w:val="0"/>
                  <w:marRight w:val="0"/>
                  <w:marTop w:val="0"/>
                  <w:marBottom w:val="0"/>
                  <w:divBdr>
                    <w:top w:val="none" w:sz="0" w:space="0" w:color="auto"/>
                    <w:left w:val="none" w:sz="0" w:space="0" w:color="auto"/>
                    <w:bottom w:val="none" w:sz="0" w:space="0" w:color="auto"/>
                    <w:right w:val="none" w:sz="0" w:space="0" w:color="auto"/>
                  </w:divBdr>
                  <w:divsChild>
                    <w:div w:id="753936543">
                      <w:marLeft w:val="0"/>
                      <w:marRight w:val="0"/>
                      <w:marTop w:val="0"/>
                      <w:marBottom w:val="0"/>
                      <w:divBdr>
                        <w:top w:val="none" w:sz="0" w:space="0" w:color="auto"/>
                        <w:left w:val="none" w:sz="0" w:space="0" w:color="auto"/>
                        <w:bottom w:val="none" w:sz="0" w:space="0" w:color="auto"/>
                        <w:right w:val="none" w:sz="0" w:space="0" w:color="auto"/>
                      </w:divBdr>
                      <w:divsChild>
                        <w:div w:id="849182443">
                          <w:marLeft w:val="0"/>
                          <w:marRight w:val="0"/>
                          <w:marTop w:val="0"/>
                          <w:marBottom w:val="0"/>
                          <w:divBdr>
                            <w:top w:val="none" w:sz="0" w:space="0" w:color="auto"/>
                            <w:left w:val="none" w:sz="0" w:space="0" w:color="auto"/>
                            <w:bottom w:val="none" w:sz="0" w:space="0" w:color="auto"/>
                            <w:right w:val="none" w:sz="0" w:space="0" w:color="auto"/>
                          </w:divBdr>
                          <w:divsChild>
                            <w:div w:id="552354628">
                              <w:marLeft w:val="0"/>
                              <w:marRight w:val="0"/>
                              <w:marTop w:val="0"/>
                              <w:marBottom w:val="0"/>
                              <w:divBdr>
                                <w:top w:val="none" w:sz="0" w:space="0" w:color="auto"/>
                                <w:left w:val="none" w:sz="0" w:space="0" w:color="auto"/>
                                <w:bottom w:val="none" w:sz="0" w:space="0" w:color="auto"/>
                                <w:right w:val="none" w:sz="0" w:space="0" w:color="auto"/>
                              </w:divBdr>
                              <w:divsChild>
                                <w:div w:id="309789527">
                                  <w:marLeft w:val="0"/>
                                  <w:marRight w:val="0"/>
                                  <w:marTop w:val="0"/>
                                  <w:marBottom w:val="0"/>
                                  <w:divBdr>
                                    <w:top w:val="none" w:sz="0" w:space="0" w:color="auto"/>
                                    <w:left w:val="none" w:sz="0" w:space="0" w:color="auto"/>
                                    <w:bottom w:val="none" w:sz="0" w:space="0" w:color="auto"/>
                                    <w:right w:val="none" w:sz="0" w:space="0" w:color="auto"/>
                                  </w:divBdr>
                                  <w:divsChild>
                                    <w:div w:id="1491865431">
                                      <w:marLeft w:val="0"/>
                                      <w:marRight w:val="0"/>
                                      <w:marTop w:val="0"/>
                                      <w:marBottom w:val="0"/>
                                      <w:divBdr>
                                        <w:top w:val="none" w:sz="0" w:space="0" w:color="auto"/>
                                        <w:left w:val="none" w:sz="0" w:space="0" w:color="auto"/>
                                        <w:bottom w:val="none" w:sz="0" w:space="0" w:color="auto"/>
                                        <w:right w:val="none" w:sz="0" w:space="0" w:color="auto"/>
                                      </w:divBdr>
                                      <w:divsChild>
                                        <w:div w:id="2118718915">
                                          <w:marLeft w:val="0"/>
                                          <w:marRight w:val="0"/>
                                          <w:marTop w:val="0"/>
                                          <w:marBottom w:val="0"/>
                                          <w:divBdr>
                                            <w:top w:val="none" w:sz="0" w:space="0" w:color="auto"/>
                                            <w:left w:val="none" w:sz="0" w:space="0" w:color="auto"/>
                                            <w:bottom w:val="none" w:sz="0" w:space="0" w:color="auto"/>
                                            <w:right w:val="none" w:sz="0" w:space="0" w:color="auto"/>
                                          </w:divBdr>
                                          <w:divsChild>
                                            <w:div w:id="17708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937804">
      <w:bodyDiv w:val="1"/>
      <w:marLeft w:val="0"/>
      <w:marRight w:val="0"/>
      <w:marTop w:val="0"/>
      <w:marBottom w:val="0"/>
      <w:divBdr>
        <w:top w:val="none" w:sz="0" w:space="0" w:color="auto"/>
        <w:left w:val="none" w:sz="0" w:space="0" w:color="auto"/>
        <w:bottom w:val="none" w:sz="0" w:space="0" w:color="auto"/>
        <w:right w:val="none" w:sz="0" w:space="0" w:color="auto"/>
      </w:divBdr>
    </w:div>
    <w:div w:id="1180007969">
      <w:bodyDiv w:val="1"/>
      <w:marLeft w:val="0"/>
      <w:marRight w:val="0"/>
      <w:marTop w:val="0"/>
      <w:marBottom w:val="0"/>
      <w:divBdr>
        <w:top w:val="none" w:sz="0" w:space="0" w:color="auto"/>
        <w:left w:val="none" w:sz="0" w:space="0" w:color="auto"/>
        <w:bottom w:val="none" w:sz="0" w:space="0" w:color="auto"/>
        <w:right w:val="none" w:sz="0" w:space="0" w:color="auto"/>
      </w:divBdr>
      <w:divsChild>
        <w:div w:id="334110500">
          <w:marLeft w:val="0"/>
          <w:marRight w:val="0"/>
          <w:marTop w:val="0"/>
          <w:marBottom w:val="0"/>
          <w:divBdr>
            <w:top w:val="none" w:sz="0" w:space="0" w:color="auto"/>
            <w:left w:val="none" w:sz="0" w:space="0" w:color="auto"/>
            <w:bottom w:val="none" w:sz="0" w:space="0" w:color="auto"/>
            <w:right w:val="none" w:sz="0" w:space="0" w:color="auto"/>
          </w:divBdr>
          <w:divsChild>
            <w:div w:id="791481892">
              <w:marLeft w:val="0"/>
              <w:marRight w:val="0"/>
              <w:marTop w:val="0"/>
              <w:marBottom w:val="0"/>
              <w:divBdr>
                <w:top w:val="none" w:sz="0" w:space="0" w:color="auto"/>
                <w:left w:val="none" w:sz="0" w:space="0" w:color="auto"/>
                <w:bottom w:val="none" w:sz="0" w:space="0" w:color="auto"/>
                <w:right w:val="none" w:sz="0" w:space="0" w:color="auto"/>
              </w:divBdr>
              <w:divsChild>
                <w:div w:id="759453653">
                  <w:marLeft w:val="0"/>
                  <w:marRight w:val="0"/>
                  <w:marTop w:val="0"/>
                  <w:marBottom w:val="0"/>
                  <w:divBdr>
                    <w:top w:val="none" w:sz="0" w:space="0" w:color="auto"/>
                    <w:left w:val="none" w:sz="0" w:space="0" w:color="auto"/>
                    <w:bottom w:val="none" w:sz="0" w:space="0" w:color="auto"/>
                    <w:right w:val="none" w:sz="0" w:space="0" w:color="auto"/>
                  </w:divBdr>
                  <w:divsChild>
                    <w:div w:id="1671718557">
                      <w:marLeft w:val="0"/>
                      <w:marRight w:val="0"/>
                      <w:marTop w:val="0"/>
                      <w:marBottom w:val="0"/>
                      <w:divBdr>
                        <w:top w:val="none" w:sz="0" w:space="0" w:color="auto"/>
                        <w:left w:val="none" w:sz="0" w:space="0" w:color="auto"/>
                        <w:bottom w:val="none" w:sz="0" w:space="0" w:color="auto"/>
                        <w:right w:val="none" w:sz="0" w:space="0" w:color="auto"/>
                      </w:divBdr>
                      <w:divsChild>
                        <w:div w:id="1166289071">
                          <w:marLeft w:val="0"/>
                          <w:marRight w:val="0"/>
                          <w:marTop w:val="0"/>
                          <w:marBottom w:val="0"/>
                          <w:divBdr>
                            <w:top w:val="none" w:sz="0" w:space="0" w:color="auto"/>
                            <w:left w:val="none" w:sz="0" w:space="0" w:color="auto"/>
                            <w:bottom w:val="none" w:sz="0" w:space="0" w:color="auto"/>
                            <w:right w:val="none" w:sz="0" w:space="0" w:color="auto"/>
                          </w:divBdr>
                          <w:divsChild>
                            <w:div w:id="1050148972">
                              <w:marLeft w:val="0"/>
                              <w:marRight w:val="0"/>
                              <w:marTop w:val="0"/>
                              <w:marBottom w:val="0"/>
                              <w:divBdr>
                                <w:top w:val="none" w:sz="0" w:space="0" w:color="auto"/>
                                <w:left w:val="none" w:sz="0" w:space="0" w:color="auto"/>
                                <w:bottom w:val="none" w:sz="0" w:space="0" w:color="auto"/>
                                <w:right w:val="none" w:sz="0" w:space="0" w:color="auto"/>
                              </w:divBdr>
                              <w:divsChild>
                                <w:div w:id="2019696760">
                                  <w:marLeft w:val="0"/>
                                  <w:marRight w:val="0"/>
                                  <w:marTop w:val="0"/>
                                  <w:marBottom w:val="0"/>
                                  <w:divBdr>
                                    <w:top w:val="none" w:sz="0" w:space="0" w:color="auto"/>
                                    <w:left w:val="none" w:sz="0" w:space="0" w:color="auto"/>
                                    <w:bottom w:val="none" w:sz="0" w:space="0" w:color="auto"/>
                                    <w:right w:val="none" w:sz="0" w:space="0" w:color="auto"/>
                                  </w:divBdr>
                                  <w:divsChild>
                                    <w:div w:id="104885445">
                                      <w:marLeft w:val="0"/>
                                      <w:marRight w:val="0"/>
                                      <w:marTop w:val="0"/>
                                      <w:marBottom w:val="0"/>
                                      <w:divBdr>
                                        <w:top w:val="none" w:sz="0" w:space="0" w:color="auto"/>
                                        <w:left w:val="none" w:sz="0" w:space="0" w:color="auto"/>
                                        <w:bottom w:val="none" w:sz="0" w:space="0" w:color="auto"/>
                                        <w:right w:val="none" w:sz="0" w:space="0" w:color="auto"/>
                                      </w:divBdr>
                                      <w:divsChild>
                                        <w:div w:id="196436772">
                                          <w:marLeft w:val="0"/>
                                          <w:marRight w:val="0"/>
                                          <w:marTop w:val="0"/>
                                          <w:marBottom w:val="0"/>
                                          <w:divBdr>
                                            <w:top w:val="none" w:sz="0" w:space="0" w:color="auto"/>
                                            <w:left w:val="none" w:sz="0" w:space="0" w:color="auto"/>
                                            <w:bottom w:val="none" w:sz="0" w:space="0" w:color="auto"/>
                                            <w:right w:val="none" w:sz="0" w:space="0" w:color="auto"/>
                                          </w:divBdr>
                                          <w:divsChild>
                                            <w:div w:id="2140490487">
                                              <w:marLeft w:val="0"/>
                                              <w:marRight w:val="0"/>
                                              <w:marTop w:val="0"/>
                                              <w:marBottom w:val="0"/>
                                              <w:divBdr>
                                                <w:top w:val="none" w:sz="0" w:space="0" w:color="auto"/>
                                                <w:left w:val="none" w:sz="0" w:space="0" w:color="auto"/>
                                                <w:bottom w:val="none" w:sz="0" w:space="0" w:color="auto"/>
                                                <w:right w:val="none" w:sz="0" w:space="0" w:color="auto"/>
                                              </w:divBdr>
                                              <w:divsChild>
                                                <w:div w:id="449590149">
                                                  <w:marLeft w:val="0"/>
                                                  <w:marRight w:val="0"/>
                                                  <w:marTop w:val="0"/>
                                                  <w:marBottom w:val="0"/>
                                                  <w:divBdr>
                                                    <w:top w:val="none" w:sz="0" w:space="0" w:color="auto"/>
                                                    <w:left w:val="none" w:sz="0" w:space="0" w:color="auto"/>
                                                    <w:bottom w:val="none" w:sz="0" w:space="0" w:color="auto"/>
                                                    <w:right w:val="none" w:sz="0" w:space="0" w:color="auto"/>
                                                  </w:divBdr>
                                                  <w:divsChild>
                                                    <w:div w:id="55273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8225853">
      <w:bodyDiv w:val="1"/>
      <w:marLeft w:val="0"/>
      <w:marRight w:val="0"/>
      <w:marTop w:val="0"/>
      <w:marBottom w:val="0"/>
      <w:divBdr>
        <w:top w:val="none" w:sz="0" w:space="0" w:color="auto"/>
        <w:left w:val="none" w:sz="0" w:space="0" w:color="auto"/>
        <w:bottom w:val="none" w:sz="0" w:space="0" w:color="auto"/>
        <w:right w:val="none" w:sz="0" w:space="0" w:color="auto"/>
      </w:divBdr>
      <w:divsChild>
        <w:div w:id="2128505989">
          <w:marLeft w:val="0"/>
          <w:marRight w:val="0"/>
          <w:marTop w:val="0"/>
          <w:marBottom w:val="0"/>
          <w:divBdr>
            <w:top w:val="none" w:sz="0" w:space="0" w:color="auto"/>
            <w:left w:val="none" w:sz="0" w:space="0" w:color="auto"/>
            <w:bottom w:val="none" w:sz="0" w:space="0" w:color="auto"/>
            <w:right w:val="none" w:sz="0" w:space="0" w:color="auto"/>
          </w:divBdr>
          <w:divsChild>
            <w:div w:id="1601140050">
              <w:marLeft w:val="0"/>
              <w:marRight w:val="0"/>
              <w:marTop w:val="0"/>
              <w:marBottom w:val="0"/>
              <w:divBdr>
                <w:top w:val="none" w:sz="0" w:space="0" w:color="auto"/>
                <w:left w:val="none" w:sz="0" w:space="0" w:color="auto"/>
                <w:bottom w:val="none" w:sz="0" w:space="0" w:color="auto"/>
                <w:right w:val="none" w:sz="0" w:space="0" w:color="auto"/>
              </w:divBdr>
              <w:divsChild>
                <w:div w:id="904292909">
                  <w:marLeft w:val="0"/>
                  <w:marRight w:val="0"/>
                  <w:marTop w:val="0"/>
                  <w:marBottom w:val="0"/>
                  <w:divBdr>
                    <w:top w:val="none" w:sz="0" w:space="0" w:color="auto"/>
                    <w:left w:val="none" w:sz="0" w:space="0" w:color="auto"/>
                    <w:bottom w:val="none" w:sz="0" w:space="0" w:color="auto"/>
                    <w:right w:val="none" w:sz="0" w:space="0" w:color="auto"/>
                  </w:divBdr>
                  <w:divsChild>
                    <w:div w:id="500852895">
                      <w:marLeft w:val="2850"/>
                      <w:marRight w:val="300"/>
                      <w:marTop w:val="0"/>
                      <w:marBottom w:val="0"/>
                      <w:divBdr>
                        <w:top w:val="single" w:sz="6" w:space="0" w:color="6E90A6"/>
                        <w:left w:val="single" w:sz="6" w:space="19" w:color="6E90A6"/>
                        <w:bottom w:val="none" w:sz="0" w:space="0" w:color="auto"/>
                        <w:right w:val="single" w:sz="6" w:space="19" w:color="6E90A6"/>
                      </w:divBdr>
                    </w:div>
                  </w:divsChild>
                </w:div>
              </w:divsChild>
            </w:div>
          </w:divsChild>
        </w:div>
      </w:divsChild>
    </w:div>
    <w:div w:id="1327056130">
      <w:bodyDiv w:val="1"/>
      <w:marLeft w:val="0"/>
      <w:marRight w:val="0"/>
      <w:marTop w:val="0"/>
      <w:marBottom w:val="0"/>
      <w:divBdr>
        <w:top w:val="none" w:sz="0" w:space="0" w:color="auto"/>
        <w:left w:val="none" w:sz="0" w:space="0" w:color="auto"/>
        <w:bottom w:val="none" w:sz="0" w:space="0" w:color="auto"/>
        <w:right w:val="none" w:sz="0" w:space="0" w:color="auto"/>
      </w:divBdr>
      <w:divsChild>
        <w:div w:id="1106925172">
          <w:marLeft w:val="0"/>
          <w:marRight w:val="0"/>
          <w:marTop w:val="0"/>
          <w:marBottom w:val="0"/>
          <w:divBdr>
            <w:top w:val="none" w:sz="0" w:space="0" w:color="auto"/>
            <w:left w:val="none" w:sz="0" w:space="0" w:color="auto"/>
            <w:bottom w:val="none" w:sz="0" w:space="0" w:color="auto"/>
            <w:right w:val="none" w:sz="0" w:space="0" w:color="auto"/>
          </w:divBdr>
          <w:divsChild>
            <w:div w:id="883441894">
              <w:marLeft w:val="0"/>
              <w:marRight w:val="0"/>
              <w:marTop w:val="0"/>
              <w:marBottom w:val="0"/>
              <w:divBdr>
                <w:top w:val="none" w:sz="0" w:space="0" w:color="auto"/>
                <w:left w:val="none" w:sz="0" w:space="0" w:color="auto"/>
                <w:bottom w:val="none" w:sz="0" w:space="0" w:color="auto"/>
                <w:right w:val="none" w:sz="0" w:space="0" w:color="auto"/>
              </w:divBdr>
              <w:divsChild>
                <w:div w:id="893469382">
                  <w:marLeft w:val="0"/>
                  <w:marRight w:val="0"/>
                  <w:marTop w:val="0"/>
                  <w:marBottom w:val="0"/>
                  <w:divBdr>
                    <w:top w:val="none" w:sz="0" w:space="0" w:color="auto"/>
                    <w:left w:val="none" w:sz="0" w:space="0" w:color="auto"/>
                    <w:bottom w:val="none" w:sz="0" w:space="0" w:color="auto"/>
                    <w:right w:val="none" w:sz="0" w:space="0" w:color="auto"/>
                  </w:divBdr>
                  <w:divsChild>
                    <w:div w:id="845826812">
                      <w:marLeft w:val="0"/>
                      <w:marRight w:val="0"/>
                      <w:marTop w:val="0"/>
                      <w:marBottom w:val="0"/>
                      <w:divBdr>
                        <w:top w:val="none" w:sz="0" w:space="0" w:color="auto"/>
                        <w:left w:val="none" w:sz="0" w:space="0" w:color="auto"/>
                        <w:bottom w:val="none" w:sz="0" w:space="0" w:color="auto"/>
                        <w:right w:val="none" w:sz="0" w:space="0" w:color="auto"/>
                      </w:divBdr>
                      <w:divsChild>
                        <w:div w:id="1747071881">
                          <w:marLeft w:val="0"/>
                          <w:marRight w:val="0"/>
                          <w:marTop w:val="0"/>
                          <w:marBottom w:val="0"/>
                          <w:divBdr>
                            <w:top w:val="none" w:sz="0" w:space="0" w:color="auto"/>
                            <w:left w:val="none" w:sz="0" w:space="0" w:color="auto"/>
                            <w:bottom w:val="none" w:sz="0" w:space="0" w:color="auto"/>
                            <w:right w:val="none" w:sz="0" w:space="0" w:color="auto"/>
                          </w:divBdr>
                          <w:divsChild>
                            <w:div w:id="1443913494">
                              <w:marLeft w:val="0"/>
                              <w:marRight w:val="0"/>
                              <w:marTop w:val="0"/>
                              <w:marBottom w:val="0"/>
                              <w:divBdr>
                                <w:top w:val="none" w:sz="0" w:space="0" w:color="auto"/>
                                <w:left w:val="none" w:sz="0" w:space="0" w:color="auto"/>
                                <w:bottom w:val="none" w:sz="0" w:space="0" w:color="auto"/>
                                <w:right w:val="none" w:sz="0" w:space="0" w:color="auto"/>
                              </w:divBdr>
                              <w:divsChild>
                                <w:div w:id="1694116259">
                                  <w:marLeft w:val="0"/>
                                  <w:marRight w:val="0"/>
                                  <w:marTop w:val="0"/>
                                  <w:marBottom w:val="0"/>
                                  <w:divBdr>
                                    <w:top w:val="none" w:sz="0" w:space="0" w:color="auto"/>
                                    <w:left w:val="none" w:sz="0" w:space="0" w:color="auto"/>
                                    <w:bottom w:val="none" w:sz="0" w:space="0" w:color="auto"/>
                                    <w:right w:val="none" w:sz="0" w:space="0" w:color="auto"/>
                                  </w:divBdr>
                                  <w:divsChild>
                                    <w:div w:id="39756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8703833">
      <w:bodyDiv w:val="1"/>
      <w:marLeft w:val="0"/>
      <w:marRight w:val="0"/>
      <w:marTop w:val="0"/>
      <w:marBottom w:val="0"/>
      <w:divBdr>
        <w:top w:val="none" w:sz="0" w:space="0" w:color="auto"/>
        <w:left w:val="none" w:sz="0" w:space="0" w:color="auto"/>
        <w:bottom w:val="none" w:sz="0" w:space="0" w:color="auto"/>
        <w:right w:val="none" w:sz="0" w:space="0" w:color="auto"/>
      </w:divBdr>
      <w:divsChild>
        <w:div w:id="322396806">
          <w:marLeft w:val="0"/>
          <w:marRight w:val="0"/>
          <w:marTop w:val="0"/>
          <w:marBottom w:val="0"/>
          <w:divBdr>
            <w:top w:val="none" w:sz="0" w:space="0" w:color="auto"/>
            <w:left w:val="none" w:sz="0" w:space="0" w:color="auto"/>
            <w:bottom w:val="none" w:sz="0" w:space="0" w:color="auto"/>
            <w:right w:val="none" w:sz="0" w:space="0" w:color="auto"/>
          </w:divBdr>
          <w:divsChild>
            <w:div w:id="1487285949">
              <w:marLeft w:val="0"/>
              <w:marRight w:val="0"/>
              <w:marTop w:val="0"/>
              <w:marBottom w:val="0"/>
              <w:divBdr>
                <w:top w:val="none" w:sz="0" w:space="0" w:color="auto"/>
                <w:left w:val="none" w:sz="0" w:space="0" w:color="auto"/>
                <w:bottom w:val="none" w:sz="0" w:space="0" w:color="auto"/>
                <w:right w:val="none" w:sz="0" w:space="0" w:color="auto"/>
              </w:divBdr>
              <w:divsChild>
                <w:div w:id="982388422">
                  <w:marLeft w:val="0"/>
                  <w:marRight w:val="0"/>
                  <w:marTop w:val="0"/>
                  <w:marBottom w:val="0"/>
                  <w:divBdr>
                    <w:top w:val="none" w:sz="0" w:space="0" w:color="auto"/>
                    <w:left w:val="none" w:sz="0" w:space="0" w:color="auto"/>
                    <w:bottom w:val="none" w:sz="0" w:space="0" w:color="auto"/>
                    <w:right w:val="none" w:sz="0" w:space="0" w:color="auto"/>
                  </w:divBdr>
                  <w:divsChild>
                    <w:div w:id="1312641168">
                      <w:marLeft w:val="0"/>
                      <w:marRight w:val="0"/>
                      <w:marTop w:val="0"/>
                      <w:marBottom w:val="0"/>
                      <w:divBdr>
                        <w:top w:val="none" w:sz="0" w:space="0" w:color="auto"/>
                        <w:left w:val="none" w:sz="0" w:space="0" w:color="auto"/>
                        <w:bottom w:val="none" w:sz="0" w:space="0" w:color="auto"/>
                        <w:right w:val="none" w:sz="0" w:space="0" w:color="auto"/>
                      </w:divBdr>
                      <w:divsChild>
                        <w:div w:id="848298957">
                          <w:marLeft w:val="0"/>
                          <w:marRight w:val="0"/>
                          <w:marTop w:val="0"/>
                          <w:marBottom w:val="0"/>
                          <w:divBdr>
                            <w:top w:val="none" w:sz="0" w:space="0" w:color="auto"/>
                            <w:left w:val="none" w:sz="0" w:space="0" w:color="auto"/>
                            <w:bottom w:val="none" w:sz="0" w:space="0" w:color="auto"/>
                            <w:right w:val="none" w:sz="0" w:space="0" w:color="auto"/>
                          </w:divBdr>
                          <w:divsChild>
                            <w:div w:id="1979066866">
                              <w:marLeft w:val="0"/>
                              <w:marRight w:val="0"/>
                              <w:marTop w:val="0"/>
                              <w:marBottom w:val="0"/>
                              <w:divBdr>
                                <w:top w:val="none" w:sz="0" w:space="0" w:color="auto"/>
                                <w:left w:val="none" w:sz="0" w:space="0" w:color="auto"/>
                                <w:bottom w:val="none" w:sz="0" w:space="0" w:color="auto"/>
                                <w:right w:val="none" w:sz="0" w:space="0" w:color="auto"/>
                              </w:divBdr>
                              <w:divsChild>
                                <w:div w:id="89813767">
                                  <w:marLeft w:val="0"/>
                                  <w:marRight w:val="0"/>
                                  <w:marTop w:val="0"/>
                                  <w:marBottom w:val="0"/>
                                  <w:divBdr>
                                    <w:top w:val="none" w:sz="0" w:space="0" w:color="auto"/>
                                    <w:left w:val="none" w:sz="0" w:space="0" w:color="auto"/>
                                    <w:bottom w:val="none" w:sz="0" w:space="0" w:color="auto"/>
                                    <w:right w:val="none" w:sz="0" w:space="0" w:color="auto"/>
                                  </w:divBdr>
                                  <w:divsChild>
                                    <w:div w:id="38672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5956516">
      <w:bodyDiv w:val="1"/>
      <w:marLeft w:val="0"/>
      <w:marRight w:val="0"/>
      <w:marTop w:val="0"/>
      <w:marBottom w:val="0"/>
      <w:divBdr>
        <w:top w:val="none" w:sz="0" w:space="0" w:color="auto"/>
        <w:left w:val="none" w:sz="0" w:space="0" w:color="auto"/>
        <w:bottom w:val="none" w:sz="0" w:space="0" w:color="auto"/>
        <w:right w:val="none" w:sz="0" w:space="0" w:color="auto"/>
      </w:divBdr>
    </w:div>
    <w:div w:id="1437604513">
      <w:bodyDiv w:val="1"/>
      <w:marLeft w:val="0"/>
      <w:marRight w:val="0"/>
      <w:marTop w:val="0"/>
      <w:marBottom w:val="0"/>
      <w:divBdr>
        <w:top w:val="none" w:sz="0" w:space="0" w:color="auto"/>
        <w:left w:val="none" w:sz="0" w:space="0" w:color="auto"/>
        <w:bottom w:val="none" w:sz="0" w:space="0" w:color="auto"/>
        <w:right w:val="none" w:sz="0" w:space="0" w:color="auto"/>
      </w:divBdr>
      <w:divsChild>
        <w:div w:id="1737968187">
          <w:marLeft w:val="0"/>
          <w:marRight w:val="0"/>
          <w:marTop w:val="0"/>
          <w:marBottom w:val="0"/>
          <w:divBdr>
            <w:top w:val="none" w:sz="0" w:space="0" w:color="auto"/>
            <w:left w:val="none" w:sz="0" w:space="0" w:color="auto"/>
            <w:bottom w:val="none" w:sz="0" w:space="0" w:color="auto"/>
            <w:right w:val="none" w:sz="0" w:space="0" w:color="auto"/>
          </w:divBdr>
          <w:divsChild>
            <w:div w:id="409741361">
              <w:marLeft w:val="0"/>
              <w:marRight w:val="0"/>
              <w:marTop w:val="0"/>
              <w:marBottom w:val="0"/>
              <w:divBdr>
                <w:top w:val="none" w:sz="0" w:space="0" w:color="auto"/>
                <w:left w:val="none" w:sz="0" w:space="0" w:color="auto"/>
                <w:bottom w:val="none" w:sz="0" w:space="0" w:color="auto"/>
                <w:right w:val="none" w:sz="0" w:space="0" w:color="auto"/>
              </w:divBdr>
              <w:divsChild>
                <w:div w:id="1780684672">
                  <w:marLeft w:val="0"/>
                  <w:marRight w:val="0"/>
                  <w:marTop w:val="0"/>
                  <w:marBottom w:val="0"/>
                  <w:divBdr>
                    <w:top w:val="none" w:sz="0" w:space="0" w:color="auto"/>
                    <w:left w:val="none" w:sz="0" w:space="0" w:color="auto"/>
                    <w:bottom w:val="none" w:sz="0" w:space="0" w:color="auto"/>
                    <w:right w:val="none" w:sz="0" w:space="0" w:color="auto"/>
                  </w:divBdr>
                  <w:divsChild>
                    <w:div w:id="1525971842">
                      <w:marLeft w:val="0"/>
                      <w:marRight w:val="0"/>
                      <w:marTop w:val="0"/>
                      <w:marBottom w:val="0"/>
                      <w:divBdr>
                        <w:top w:val="none" w:sz="0" w:space="0" w:color="auto"/>
                        <w:left w:val="none" w:sz="0" w:space="0" w:color="auto"/>
                        <w:bottom w:val="none" w:sz="0" w:space="0" w:color="auto"/>
                        <w:right w:val="none" w:sz="0" w:space="0" w:color="auto"/>
                      </w:divBdr>
                      <w:divsChild>
                        <w:div w:id="2132818994">
                          <w:marLeft w:val="0"/>
                          <w:marRight w:val="0"/>
                          <w:marTop w:val="0"/>
                          <w:marBottom w:val="0"/>
                          <w:divBdr>
                            <w:top w:val="none" w:sz="0" w:space="0" w:color="auto"/>
                            <w:left w:val="none" w:sz="0" w:space="0" w:color="auto"/>
                            <w:bottom w:val="none" w:sz="0" w:space="0" w:color="auto"/>
                            <w:right w:val="none" w:sz="0" w:space="0" w:color="auto"/>
                          </w:divBdr>
                          <w:divsChild>
                            <w:div w:id="561869919">
                              <w:marLeft w:val="0"/>
                              <w:marRight w:val="0"/>
                              <w:marTop w:val="0"/>
                              <w:marBottom w:val="0"/>
                              <w:divBdr>
                                <w:top w:val="none" w:sz="0" w:space="0" w:color="auto"/>
                                <w:left w:val="none" w:sz="0" w:space="0" w:color="auto"/>
                                <w:bottom w:val="none" w:sz="0" w:space="0" w:color="auto"/>
                                <w:right w:val="none" w:sz="0" w:space="0" w:color="auto"/>
                              </w:divBdr>
                              <w:divsChild>
                                <w:div w:id="1297754339">
                                  <w:marLeft w:val="0"/>
                                  <w:marRight w:val="0"/>
                                  <w:marTop w:val="0"/>
                                  <w:marBottom w:val="0"/>
                                  <w:divBdr>
                                    <w:top w:val="none" w:sz="0" w:space="0" w:color="auto"/>
                                    <w:left w:val="none" w:sz="0" w:space="0" w:color="auto"/>
                                    <w:bottom w:val="none" w:sz="0" w:space="0" w:color="auto"/>
                                    <w:right w:val="none" w:sz="0" w:space="0" w:color="auto"/>
                                  </w:divBdr>
                                  <w:divsChild>
                                    <w:div w:id="1068722816">
                                      <w:marLeft w:val="0"/>
                                      <w:marRight w:val="0"/>
                                      <w:marTop w:val="0"/>
                                      <w:marBottom w:val="0"/>
                                      <w:divBdr>
                                        <w:top w:val="none" w:sz="0" w:space="0" w:color="auto"/>
                                        <w:left w:val="none" w:sz="0" w:space="0" w:color="auto"/>
                                        <w:bottom w:val="none" w:sz="0" w:space="0" w:color="auto"/>
                                        <w:right w:val="none" w:sz="0" w:space="0" w:color="auto"/>
                                      </w:divBdr>
                                      <w:divsChild>
                                        <w:div w:id="137578766">
                                          <w:marLeft w:val="0"/>
                                          <w:marRight w:val="0"/>
                                          <w:marTop w:val="0"/>
                                          <w:marBottom w:val="0"/>
                                          <w:divBdr>
                                            <w:top w:val="none" w:sz="0" w:space="0" w:color="auto"/>
                                            <w:left w:val="none" w:sz="0" w:space="0" w:color="auto"/>
                                            <w:bottom w:val="none" w:sz="0" w:space="0" w:color="auto"/>
                                            <w:right w:val="none" w:sz="0" w:space="0" w:color="auto"/>
                                          </w:divBdr>
                                          <w:divsChild>
                                            <w:div w:id="962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5833867">
      <w:bodyDiv w:val="1"/>
      <w:marLeft w:val="0"/>
      <w:marRight w:val="0"/>
      <w:marTop w:val="0"/>
      <w:marBottom w:val="0"/>
      <w:divBdr>
        <w:top w:val="none" w:sz="0" w:space="0" w:color="auto"/>
        <w:left w:val="none" w:sz="0" w:space="0" w:color="auto"/>
        <w:bottom w:val="none" w:sz="0" w:space="0" w:color="auto"/>
        <w:right w:val="none" w:sz="0" w:space="0" w:color="auto"/>
      </w:divBdr>
      <w:divsChild>
        <w:div w:id="996615480">
          <w:marLeft w:val="0"/>
          <w:marRight w:val="0"/>
          <w:marTop w:val="0"/>
          <w:marBottom w:val="0"/>
          <w:divBdr>
            <w:top w:val="none" w:sz="0" w:space="0" w:color="auto"/>
            <w:left w:val="none" w:sz="0" w:space="0" w:color="auto"/>
            <w:bottom w:val="none" w:sz="0" w:space="0" w:color="auto"/>
            <w:right w:val="none" w:sz="0" w:space="0" w:color="auto"/>
          </w:divBdr>
          <w:divsChild>
            <w:div w:id="1992519576">
              <w:marLeft w:val="0"/>
              <w:marRight w:val="0"/>
              <w:marTop w:val="0"/>
              <w:marBottom w:val="0"/>
              <w:divBdr>
                <w:top w:val="none" w:sz="0" w:space="0" w:color="auto"/>
                <w:left w:val="none" w:sz="0" w:space="0" w:color="auto"/>
                <w:bottom w:val="none" w:sz="0" w:space="0" w:color="auto"/>
                <w:right w:val="none" w:sz="0" w:space="0" w:color="auto"/>
              </w:divBdr>
              <w:divsChild>
                <w:div w:id="2099403655">
                  <w:marLeft w:val="0"/>
                  <w:marRight w:val="0"/>
                  <w:marTop w:val="0"/>
                  <w:marBottom w:val="0"/>
                  <w:divBdr>
                    <w:top w:val="none" w:sz="0" w:space="0" w:color="auto"/>
                    <w:left w:val="none" w:sz="0" w:space="0" w:color="auto"/>
                    <w:bottom w:val="none" w:sz="0" w:space="0" w:color="auto"/>
                    <w:right w:val="none" w:sz="0" w:space="0" w:color="auto"/>
                  </w:divBdr>
                  <w:divsChild>
                    <w:div w:id="2026127097">
                      <w:marLeft w:val="0"/>
                      <w:marRight w:val="0"/>
                      <w:marTop w:val="0"/>
                      <w:marBottom w:val="0"/>
                      <w:divBdr>
                        <w:top w:val="none" w:sz="0" w:space="0" w:color="auto"/>
                        <w:left w:val="none" w:sz="0" w:space="0" w:color="auto"/>
                        <w:bottom w:val="none" w:sz="0" w:space="0" w:color="auto"/>
                        <w:right w:val="none" w:sz="0" w:space="0" w:color="auto"/>
                      </w:divBdr>
                      <w:divsChild>
                        <w:div w:id="306934318">
                          <w:marLeft w:val="0"/>
                          <w:marRight w:val="0"/>
                          <w:marTop w:val="0"/>
                          <w:marBottom w:val="0"/>
                          <w:divBdr>
                            <w:top w:val="none" w:sz="0" w:space="0" w:color="auto"/>
                            <w:left w:val="none" w:sz="0" w:space="0" w:color="auto"/>
                            <w:bottom w:val="none" w:sz="0" w:space="0" w:color="auto"/>
                            <w:right w:val="none" w:sz="0" w:space="0" w:color="auto"/>
                          </w:divBdr>
                          <w:divsChild>
                            <w:div w:id="1421367399">
                              <w:marLeft w:val="0"/>
                              <w:marRight w:val="0"/>
                              <w:marTop w:val="0"/>
                              <w:marBottom w:val="0"/>
                              <w:divBdr>
                                <w:top w:val="none" w:sz="0" w:space="0" w:color="auto"/>
                                <w:left w:val="none" w:sz="0" w:space="0" w:color="auto"/>
                                <w:bottom w:val="none" w:sz="0" w:space="0" w:color="auto"/>
                                <w:right w:val="none" w:sz="0" w:space="0" w:color="auto"/>
                              </w:divBdr>
                              <w:divsChild>
                                <w:div w:id="1883325624">
                                  <w:marLeft w:val="0"/>
                                  <w:marRight w:val="0"/>
                                  <w:marTop w:val="0"/>
                                  <w:marBottom w:val="0"/>
                                  <w:divBdr>
                                    <w:top w:val="none" w:sz="0" w:space="0" w:color="auto"/>
                                    <w:left w:val="none" w:sz="0" w:space="0" w:color="auto"/>
                                    <w:bottom w:val="none" w:sz="0" w:space="0" w:color="auto"/>
                                    <w:right w:val="none" w:sz="0" w:space="0" w:color="auto"/>
                                  </w:divBdr>
                                  <w:divsChild>
                                    <w:div w:id="1335568296">
                                      <w:marLeft w:val="0"/>
                                      <w:marRight w:val="0"/>
                                      <w:marTop w:val="0"/>
                                      <w:marBottom w:val="0"/>
                                      <w:divBdr>
                                        <w:top w:val="none" w:sz="0" w:space="0" w:color="auto"/>
                                        <w:left w:val="none" w:sz="0" w:space="0" w:color="auto"/>
                                        <w:bottom w:val="none" w:sz="0" w:space="0" w:color="auto"/>
                                        <w:right w:val="none" w:sz="0" w:space="0" w:color="auto"/>
                                      </w:divBdr>
                                      <w:divsChild>
                                        <w:div w:id="346173542">
                                          <w:marLeft w:val="0"/>
                                          <w:marRight w:val="0"/>
                                          <w:marTop w:val="0"/>
                                          <w:marBottom w:val="0"/>
                                          <w:divBdr>
                                            <w:top w:val="none" w:sz="0" w:space="0" w:color="auto"/>
                                            <w:left w:val="none" w:sz="0" w:space="0" w:color="auto"/>
                                            <w:bottom w:val="none" w:sz="0" w:space="0" w:color="auto"/>
                                            <w:right w:val="none" w:sz="0" w:space="0" w:color="auto"/>
                                          </w:divBdr>
                                        </w:div>
                                        <w:div w:id="801075692">
                                          <w:marLeft w:val="0"/>
                                          <w:marRight w:val="0"/>
                                          <w:marTop w:val="0"/>
                                          <w:marBottom w:val="0"/>
                                          <w:divBdr>
                                            <w:top w:val="none" w:sz="0" w:space="0" w:color="auto"/>
                                            <w:left w:val="none" w:sz="0" w:space="0" w:color="auto"/>
                                            <w:bottom w:val="none" w:sz="0" w:space="0" w:color="auto"/>
                                            <w:right w:val="none" w:sz="0" w:space="0" w:color="auto"/>
                                          </w:divBdr>
                                        </w:div>
                                        <w:div w:id="1349136614">
                                          <w:marLeft w:val="0"/>
                                          <w:marRight w:val="0"/>
                                          <w:marTop w:val="0"/>
                                          <w:marBottom w:val="0"/>
                                          <w:divBdr>
                                            <w:top w:val="none" w:sz="0" w:space="0" w:color="auto"/>
                                            <w:left w:val="none" w:sz="0" w:space="0" w:color="auto"/>
                                            <w:bottom w:val="none" w:sz="0" w:space="0" w:color="auto"/>
                                            <w:right w:val="none" w:sz="0" w:space="0" w:color="auto"/>
                                          </w:divBdr>
                                        </w:div>
                                        <w:div w:id="1794057827">
                                          <w:marLeft w:val="0"/>
                                          <w:marRight w:val="0"/>
                                          <w:marTop w:val="0"/>
                                          <w:marBottom w:val="0"/>
                                          <w:divBdr>
                                            <w:top w:val="none" w:sz="0" w:space="0" w:color="auto"/>
                                            <w:left w:val="none" w:sz="0" w:space="0" w:color="auto"/>
                                            <w:bottom w:val="none" w:sz="0" w:space="0" w:color="auto"/>
                                            <w:right w:val="none" w:sz="0" w:space="0" w:color="auto"/>
                                          </w:divBdr>
                                        </w:div>
                                        <w:div w:id="191293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9516884">
      <w:bodyDiv w:val="1"/>
      <w:marLeft w:val="0"/>
      <w:marRight w:val="0"/>
      <w:marTop w:val="0"/>
      <w:marBottom w:val="0"/>
      <w:divBdr>
        <w:top w:val="none" w:sz="0" w:space="0" w:color="auto"/>
        <w:left w:val="none" w:sz="0" w:space="0" w:color="auto"/>
        <w:bottom w:val="none" w:sz="0" w:space="0" w:color="auto"/>
        <w:right w:val="none" w:sz="0" w:space="0" w:color="auto"/>
      </w:divBdr>
      <w:divsChild>
        <w:div w:id="428041649">
          <w:marLeft w:val="0"/>
          <w:marRight w:val="0"/>
          <w:marTop w:val="0"/>
          <w:marBottom w:val="0"/>
          <w:divBdr>
            <w:top w:val="none" w:sz="0" w:space="0" w:color="auto"/>
            <w:left w:val="none" w:sz="0" w:space="0" w:color="auto"/>
            <w:bottom w:val="none" w:sz="0" w:space="0" w:color="auto"/>
            <w:right w:val="none" w:sz="0" w:space="0" w:color="auto"/>
          </w:divBdr>
          <w:divsChild>
            <w:div w:id="1065564181">
              <w:marLeft w:val="0"/>
              <w:marRight w:val="0"/>
              <w:marTop w:val="0"/>
              <w:marBottom w:val="0"/>
              <w:divBdr>
                <w:top w:val="none" w:sz="0" w:space="0" w:color="auto"/>
                <w:left w:val="none" w:sz="0" w:space="0" w:color="auto"/>
                <w:bottom w:val="none" w:sz="0" w:space="0" w:color="auto"/>
                <w:right w:val="none" w:sz="0" w:space="0" w:color="auto"/>
              </w:divBdr>
              <w:divsChild>
                <w:div w:id="1740442776">
                  <w:marLeft w:val="0"/>
                  <w:marRight w:val="0"/>
                  <w:marTop w:val="0"/>
                  <w:marBottom w:val="0"/>
                  <w:divBdr>
                    <w:top w:val="none" w:sz="0" w:space="0" w:color="auto"/>
                    <w:left w:val="none" w:sz="0" w:space="0" w:color="auto"/>
                    <w:bottom w:val="none" w:sz="0" w:space="0" w:color="auto"/>
                    <w:right w:val="none" w:sz="0" w:space="0" w:color="auto"/>
                  </w:divBdr>
                  <w:divsChild>
                    <w:div w:id="2041543271">
                      <w:marLeft w:val="0"/>
                      <w:marRight w:val="0"/>
                      <w:marTop w:val="0"/>
                      <w:marBottom w:val="0"/>
                      <w:divBdr>
                        <w:top w:val="none" w:sz="0" w:space="0" w:color="auto"/>
                        <w:left w:val="none" w:sz="0" w:space="0" w:color="auto"/>
                        <w:bottom w:val="none" w:sz="0" w:space="0" w:color="auto"/>
                        <w:right w:val="none" w:sz="0" w:space="0" w:color="auto"/>
                      </w:divBdr>
                      <w:divsChild>
                        <w:div w:id="1485898969">
                          <w:marLeft w:val="0"/>
                          <w:marRight w:val="0"/>
                          <w:marTop w:val="0"/>
                          <w:marBottom w:val="0"/>
                          <w:divBdr>
                            <w:top w:val="none" w:sz="0" w:space="0" w:color="auto"/>
                            <w:left w:val="none" w:sz="0" w:space="0" w:color="auto"/>
                            <w:bottom w:val="none" w:sz="0" w:space="0" w:color="auto"/>
                            <w:right w:val="none" w:sz="0" w:space="0" w:color="auto"/>
                          </w:divBdr>
                          <w:divsChild>
                            <w:div w:id="340133707">
                              <w:marLeft w:val="0"/>
                              <w:marRight w:val="0"/>
                              <w:marTop w:val="0"/>
                              <w:marBottom w:val="0"/>
                              <w:divBdr>
                                <w:top w:val="none" w:sz="0" w:space="0" w:color="auto"/>
                                <w:left w:val="none" w:sz="0" w:space="0" w:color="auto"/>
                                <w:bottom w:val="none" w:sz="0" w:space="0" w:color="auto"/>
                                <w:right w:val="none" w:sz="0" w:space="0" w:color="auto"/>
                              </w:divBdr>
                              <w:divsChild>
                                <w:div w:id="627200590">
                                  <w:marLeft w:val="0"/>
                                  <w:marRight w:val="0"/>
                                  <w:marTop w:val="0"/>
                                  <w:marBottom w:val="0"/>
                                  <w:divBdr>
                                    <w:top w:val="none" w:sz="0" w:space="0" w:color="auto"/>
                                    <w:left w:val="none" w:sz="0" w:space="0" w:color="auto"/>
                                    <w:bottom w:val="none" w:sz="0" w:space="0" w:color="auto"/>
                                    <w:right w:val="none" w:sz="0" w:space="0" w:color="auto"/>
                                  </w:divBdr>
                                  <w:divsChild>
                                    <w:div w:id="1518695403">
                                      <w:marLeft w:val="0"/>
                                      <w:marRight w:val="0"/>
                                      <w:marTop w:val="0"/>
                                      <w:marBottom w:val="0"/>
                                      <w:divBdr>
                                        <w:top w:val="none" w:sz="0" w:space="0" w:color="auto"/>
                                        <w:left w:val="none" w:sz="0" w:space="0" w:color="auto"/>
                                        <w:bottom w:val="none" w:sz="0" w:space="0" w:color="auto"/>
                                        <w:right w:val="none" w:sz="0" w:space="0" w:color="auto"/>
                                      </w:divBdr>
                                      <w:divsChild>
                                        <w:div w:id="995454486">
                                          <w:marLeft w:val="0"/>
                                          <w:marRight w:val="0"/>
                                          <w:marTop w:val="0"/>
                                          <w:marBottom w:val="0"/>
                                          <w:divBdr>
                                            <w:top w:val="none" w:sz="0" w:space="0" w:color="auto"/>
                                            <w:left w:val="none" w:sz="0" w:space="0" w:color="auto"/>
                                            <w:bottom w:val="none" w:sz="0" w:space="0" w:color="auto"/>
                                            <w:right w:val="none" w:sz="0" w:space="0" w:color="auto"/>
                                          </w:divBdr>
                                          <w:divsChild>
                                            <w:div w:id="23975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9976325">
      <w:bodyDiv w:val="1"/>
      <w:marLeft w:val="0"/>
      <w:marRight w:val="0"/>
      <w:marTop w:val="0"/>
      <w:marBottom w:val="0"/>
      <w:divBdr>
        <w:top w:val="none" w:sz="0" w:space="0" w:color="auto"/>
        <w:left w:val="none" w:sz="0" w:space="0" w:color="auto"/>
        <w:bottom w:val="none" w:sz="0" w:space="0" w:color="auto"/>
        <w:right w:val="none" w:sz="0" w:space="0" w:color="auto"/>
      </w:divBdr>
      <w:divsChild>
        <w:div w:id="586773504">
          <w:marLeft w:val="0"/>
          <w:marRight w:val="0"/>
          <w:marTop w:val="0"/>
          <w:marBottom w:val="0"/>
          <w:divBdr>
            <w:top w:val="none" w:sz="0" w:space="0" w:color="auto"/>
            <w:left w:val="none" w:sz="0" w:space="0" w:color="auto"/>
            <w:bottom w:val="none" w:sz="0" w:space="0" w:color="auto"/>
            <w:right w:val="none" w:sz="0" w:space="0" w:color="auto"/>
          </w:divBdr>
          <w:divsChild>
            <w:div w:id="2143766617">
              <w:marLeft w:val="0"/>
              <w:marRight w:val="0"/>
              <w:marTop w:val="0"/>
              <w:marBottom w:val="0"/>
              <w:divBdr>
                <w:top w:val="none" w:sz="0" w:space="0" w:color="auto"/>
                <w:left w:val="none" w:sz="0" w:space="0" w:color="auto"/>
                <w:bottom w:val="none" w:sz="0" w:space="0" w:color="auto"/>
                <w:right w:val="none" w:sz="0" w:space="0" w:color="auto"/>
              </w:divBdr>
              <w:divsChild>
                <w:div w:id="881213127">
                  <w:marLeft w:val="0"/>
                  <w:marRight w:val="0"/>
                  <w:marTop w:val="0"/>
                  <w:marBottom w:val="0"/>
                  <w:divBdr>
                    <w:top w:val="none" w:sz="0" w:space="0" w:color="auto"/>
                    <w:left w:val="none" w:sz="0" w:space="0" w:color="auto"/>
                    <w:bottom w:val="none" w:sz="0" w:space="0" w:color="auto"/>
                    <w:right w:val="none" w:sz="0" w:space="0" w:color="auto"/>
                  </w:divBdr>
                  <w:divsChild>
                    <w:div w:id="875318162">
                      <w:marLeft w:val="0"/>
                      <w:marRight w:val="0"/>
                      <w:marTop w:val="0"/>
                      <w:marBottom w:val="0"/>
                      <w:divBdr>
                        <w:top w:val="none" w:sz="0" w:space="0" w:color="auto"/>
                        <w:left w:val="none" w:sz="0" w:space="0" w:color="auto"/>
                        <w:bottom w:val="none" w:sz="0" w:space="0" w:color="auto"/>
                        <w:right w:val="none" w:sz="0" w:space="0" w:color="auto"/>
                      </w:divBdr>
                      <w:divsChild>
                        <w:div w:id="1307322939">
                          <w:marLeft w:val="0"/>
                          <w:marRight w:val="0"/>
                          <w:marTop w:val="0"/>
                          <w:marBottom w:val="0"/>
                          <w:divBdr>
                            <w:top w:val="none" w:sz="0" w:space="0" w:color="auto"/>
                            <w:left w:val="none" w:sz="0" w:space="0" w:color="auto"/>
                            <w:bottom w:val="none" w:sz="0" w:space="0" w:color="auto"/>
                            <w:right w:val="none" w:sz="0" w:space="0" w:color="auto"/>
                          </w:divBdr>
                          <w:divsChild>
                            <w:div w:id="1362508422">
                              <w:marLeft w:val="0"/>
                              <w:marRight w:val="0"/>
                              <w:marTop w:val="0"/>
                              <w:marBottom w:val="0"/>
                              <w:divBdr>
                                <w:top w:val="none" w:sz="0" w:space="0" w:color="auto"/>
                                <w:left w:val="none" w:sz="0" w:space="0" w:color="auto"/>
                                <w:bottom w:val="none" w:sz="0" w:space="0" w:color="auto"/>
                                <w:right w:val="none" w:sz="0" w:space="0" w:color="auto"/>
                              </w:divBdr>
                              <w:divsChild>
                                <w:div w:id="1700156551">
                                  <w:marLeft w:val="0"/>
                                  <w:marRight w:val="0"/>
                                  <w:marTop w:val="0"/>
                                  <w:marBottom w:val="0"/>
                                  <w:divBdr>
                                    <w:top w:val="none" w:sz="0" w:space="0" w:color="auto"/>
                                    <w:left w:val="none" w:sz="0" w:space="0" w:color="auto"/>
                                    <w:bottom w:val="none" w:sz="0" w:space="0" w:color="auto"/>
                                    <w:right w:val="none" w:sz="0" w:space="0" w:color="auto"/>
                                  </w:divBdr>
                                  <w:divsChild>
                                    <w:div w:id="778180295">
                                      <w:marLeft w:val="0"/>
                                      <w:marRight w:val="0"/>
                                      <w:marTop w:val="0"/>
                                      <w:marBottom w:val="0"/>
                                      <w:divBdr>
                                        <w:top w:val="none" w:sz="0" w:space="0" w:color="auto"/>
                                        <w:left w:val="none" w:sz="0" w:space="0" w:color="auto"/>
                                        <w:bottom w:val="none" w:sz="0" w:space="0" w:color="auto"/>
                                        <w:right w:val="none" w:sz="0" w:space="0" w:color="auto"/>
                                      </w:divBdr>
                                      <w:divsChild>
                                        <w:div w:id="33260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4078168">
      <w:bodyDiv w:val="1"/>
      <w:marLeft w:val="0"/>
      <w:marRight w:val="0"/>
      <w:marTop w:val="0"/>
      <w:marBottom w:val="0"/>
      <w:divBdr>
        <w:top w:val="none" w:sz="0" w:space="0" w:color="auto"/>
        <w:left w:val="none" w:sz="0" w:space="0" w:color="auto"/>
        <w:bottom w:val="none" w:sz="0" w:space="0" w:color="auto"/>
        <w:right w:val="none" w:sz="0" w:space="0" w:color="auto"/>
      </w:divBdr>
    </w:div>
    <w:div w:id="1580750360">
      <w:bodyDiv w:val="1"/>
      <w:marLeft w:val="0"/>
      <w:marRight w:val="0"/>
      <w:marTop w:val="0"/>
      <w:marBottom w:val="0"/>
      <w:divBdr>
        <w:top w:val="none" w:sz="0" w:space="0" w:color="auto"/>
        <w:left w:val="none" w:sz="0" w:space="0" w:color="auto"/>
        <w:bottom w:val="none" w:sz="0" w:space="0" w:color="auto"/>
        <w:right w:val="none" w:sz="0" w:space="0" w:color="auto"/>
      </w:divBdr>
      <w:divsChild>
        <w:div w:id="2109231045">
          <w:marLeft w:val="0"/>
          <w:marRight w:val="0"/>
          <w:marTop w:val="0"/>
          <w:marBottom w:val="0"/>
          <w:divBdr>
            <w:top w:val="none" w:sz="0" w:space="0" w:color="auto"/>
            <w:left w:val="none" w:sz="0" w:space="0" w:color="auto"/>
            <w:bottom w:val="none" w:sz="0" w:space="0" w:color="auto"/>
            <w:right w:val="none" w:sz="0" w:space="0" w:color="auto"/>
          </w:divBdr>
          <w:divsChild>
            <w:div w:id="684790415">
              <w:marLeft w:val="0"/>
              <w:marRight w:val="0"/>
              <w:marTop w:val="0"/>
              <w:marBottom w:val="0"/>
              <w:divBdr>
                <w:top w:val="none" w:sz="0" w:space="0" w:color="auto"/>
                <w:left w:val="none" w:sz="0" w:space="0" w:color="auto"/>
                <w:bottom w:val="none" w:sz="0" w:space="0" w:color="auto"/>
                <w:right w:val="none" w:sz="0" w:space="0" w:color="auto"/>
              </w:divBdr>
              <w:divsChild>
                <w:div w:id="400182872">
                  <w:marLeft w:val="0"/>
                  <w:marRight w:val="0"/>
                  <w:marTop w:val="0"/>
                  <w:marBottom w:val="0"/>
                  <w:divBdr>
                    <w:top w:val="none" w:sz="0" w:space="0" w:color="auto"/>
                    <w:left w:val="none" w:sz="0" w:space="0" w:color="auto"/>
                    <w:bottom w:val="none" w:sz="0" w:space="0" w:color="auto"/>
                    <w:right w:val="none" w:sz="0" w:space="0" w:color="auto"/>
                  </w:divBdr>
                  <w:divsChild>
                    <w:div w:id="2130053708">
                      <w:marLeft w:val="0"/>
                      <w:marRight w:val="0"/>
                      <w:marTop w:val="0"/>
                      <w:marBottom w:val="0"/>
                      <w:divBdr>
                        <w:top w:val="none" w:sz="0" w:space="0" w:color="auto"/>
                        <w:left w:val="none" w:sz="0" w:space="0" w:color="auto"/>
                        <w:bottom w:val="none" w:sz="0" w:space="0" w:color="auto"/>
                        <w:right w:val="none" w:sz="0" w:space="0" w:color="auto"/>
                      </w:divBdr>
                      <w:divsChild>
                        <w:div w:id="1961304066">
                          <w:marLeft w:val="0"/>
                          <w:marRight w:val="0"/>
                          <w:marTop w:val="0"/>
                          <w:marBottom w:val="0"/>
                          <w:divBdr>
                            <w:top w:val="none" w:sz="0" w:space="0" w:color="auto"/>
                            <w:left w:val="none" w:sz="0" w:space="0" w:color="auto"/>
                            <w:bottom w:val="none" w:sz="0" w:space="0" w:color="auto"/>
                            <w:right w:val="none" w:sz="0" w:space="0" w:color="auto"/>
                          </w:divBdr>
                          <w:divsChild>
                            <w:div w:id="1718119458">
                              <w:marLeft w:val="0"/>
                              <w:marRight w:val="0"/>
                              <w:marTop w:val="0"/>
                              <w:marBottom w:val="0"/>
                              <w:divBdr>
                                <w:top w:val="none" w:sz="0" w:space="0" w:color="auto"/>
                                <w:left w:val="none" w:sz="0" w:space="0" w:color="auto"/>
                                <w:bottom w:val="none" w:sz="0" w:space="0" w:color="auto"/>
                                <w:right w:val="none" w:sz="0" w:space="0" w:color="auto"/>
                              </w:divBdr>
                              <w:divsChild>
                                <w:div w:id="674191555">
                                  <w:marLeft w:val="0"/>
                                  <w:marRight w:val="0"/>
                                  <w:marTop w:val="0"/>
                                  <w:marBottom w:val="0"/>
                                  <w:divBdr>
                                    <w:top w:val="none" w:sz="0" w:space="0" w:color="auto"/>
                                    <w:left w:val="none" w:sz="0" w:space="0" w:color="auto"/>
                                    <w:bottom w:val="none" w:sz="0" w:space="0" w:color="auto"/>
                                    <w:right w:val="none" w:sz="0" w:space="0" w:color="auto"/>
                                  </w:divBdr>
                                  <w:divsChild>
                                    <w:div w:id="129246709">
                                      <w:marLeft w:val="0"/>
                                      <w:marRight w:val="0"/>
                                      <w:marTop w:val="0"/>
                                      <w:marBottom w:val="0"/>
                                      <w:divBdr>
                                        <w:top w:val="none" w:sz="0" w:space="0" w:color="auto"/>
                                        <w:left w:val="none" w:sz="0" w:space="0" w:color="auto"/>
                                        <w:bottom w:val="none" w:sz="0" w:space="0" w:color="auto"/>
                                        <w:right w:val="none" w:sz="0" w:space="0" w:color="auto"/>
                                      </w:divBdr>
                                      <w:divsChild>
                                        <w:div w:id="52387797">
                                          <w:marLeft w:val="0"/>
                                          <w:marRight w:val="0"/>
                                          <w:marTop w:val="0"/>
                                          <w:marBottom w:val="0"/>
                                          <w:divBdr>
                                            <w:top w:val="none" w:sz="0" w:space="0" w:color="auto"/>
                                            <w:left w:val="none" w:sz="0" w:space="0" w:color="auto"/>
                                            <w:bottom w:val="none" w:sz="0" w:space="0" w:color="auto"/>
                                            <w:right w:val="none" w:sz="0" w:space="0" w:color="auto"/>
                                          </w:divBdr>
                                          <w:divsChild>
                                            <w:div w:id="574121824">
                                              <w:marLeft w:val="0"/>
                                              <w:marRight w:val="0"/>
                                              <w:marTop w:val="0"/>
                                              <w:marBottom w:val="0"/>
                                              <w:divBdr>
                                                <w:top w:val="none" w:sz="0" w:space="0" w:color="auto"/>
                                                <w:left w:val="none" w:sz="0" w:space="0" w:color="auto"/>
                                                <w:bottom w:val="none" w:sz="0" w:space="0" w:color="auto"/>
                                                <w:right w:val="none" w:sz="0" w:space="0" w:color="auto"/>
                                              </w:divBdr>
                                              <w:divsChild>
                                                <w:div w:id="34170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9460976">
      <w:bodyDiv w:val="1"/>
      <w:marLeft w:val="0"/>
      <w:marRight w:val="0"/>
      <w:marTop w:val="0"/>
      <w:marBottom w:val="0"/>
      <w:divBdr>
        <w:top w:val="none" w:sz="0" w:space="0" w:color="auto"/>
        <w:left w:val="none" w:sz="0" w:space="0" w:color="auto"/>
        <w:bottom w:val="none" w:sz="0" w:space="0" w:color="auto"/>
        <w:right w:val="none" w:sz="0" w:space="0" w:color="auto"/>
      </w:divBdr>
    </w:div>
    <w:div w:id="1714112102">
      <w:bodyDiv w:val="1"/>
      <w:marLeft w:val="0"/>
      <w:marRight w:val="0"/>
      <w:marTop w:val="0"/>
      <w:marBottom w:val="0"/>
      <w:divBdr>
        <w:top w:val="none" w:sz="0" w:space="0" w:color="auto"/>
        <w:left w:val="none" w:sz="0" w:space="0" w:color="auto"/>
        <w:bottom w:val="none" w:sz="0" w:space="0" w:color="auto"/>
        <w:right w:val="none" w:sz="0" w:space="0" w:color="auto"/>
      </w:divBdr>
    </w:div>
    <w:div w:id="1779063140">
      <w:bodyDiv w:val="1"/>
      <w:marLeft w:val="0"/>
      <w:marRight w:val="0"/>
      <w:marTop w:val="0"/>
      <w:marBottom w:val="0"/>
      <w:divBdr>
        <w:top w:val="none" w:sz="0" w:space="0" w:color="auto"/>
        <w:left w:val="none" w:sz="0" w:space="0" w:color="auto"/>
        <w:bottom w:val="none" w:sz="0" w:space="0" w:color="auto"/>
        <w:right w:val="none" w:sz="0" w:space="0" w:color="auto"/>
      </w:divBdr>
    </w:div>
    <w:div w:id="1812287456">
      <w:bodyDiv w:val="1"/>
      <w:marLeft w:val="0"/>
      <w:marRight w:val="0"/>
      <w:marTop w:val="0"/>
      <w:marBottom w:val="0"/>
      <w:divBdr>
        <w:top w:val="none" w:sz="0" w:space="0" w:color="auto"/>
        <w:left w:val="none" w:sz="0" w:space="0" w:color="auto"/>
        <w:bottom w:val="none" w:sz="0" w:space="0" w:color="auto"/>
        <w:right w:val="none" w:sz="0" w:space="0" w:color="auto"/>
      </w:divBdr>
      <w:divsChild>
        <w:div w:id="1519614901">
          <w:marLeft w:val="0"/>
          <w:marRight w:val="0"/>
          <w:marTop w:val="0"/>
          <w:marBottom w:val="0"/>
          <w:divBdr>
            <w:top w:val="none" w:sz="0" w:space="0" w:color="auto"/>
            <w:left w:val="none" w:sz="0" w:space="0" w:color="auto"/>
            <w:bottom w:val="none" w:sz="0" w:space="0" w:color="auto"/>
            <w:right w:val="none" w:sz="0" w:space="0" w:color="auto"/>
          </w:divBdr>
          <w:divsChild>
            <w:div w:id="1709211346">
              <w:marLeft w:val="0"/>
              <w:marRight w:val="0"/>
              <w:marTop w:val="0"/>
              <w:marBottom w:val="0"/>
              <w:divBdr>
                <w:top w:val="none" w:sz="0" w:space="0" w:color="auto"/>
                <w:left w:val="none" w:sz="0" w:space="0" w:color="auto"/>
                <w:bottom w:val="none" w:sz="0" w:space="0" w:color="auto"/>
                <w:right w:val="none" w:sz="0" w:space="0" w:color="auto"/>
              </w:divBdr>
              <w:divsChild>
                <w:div w:id="715080374">
                  <w:marLeft w:val="0"/>
                  <w:marRight w:val="0"/>
                  <w:marTop w:val="0"/>
                  <w:marBottom w:val="0"/>
                  <w:divBdr>
                    <w:top w:val="none" w:sz="0" w:space="0" w:color="auto"/>
                    <w:left w:val="none" w:sz="0" w:space="0" w:color="auto"/>
                    <w:bottom w:val="none" w:sz="0" w:space="0" w:color="auto"/>
                    <w:right w:val="none" w:sz="0" w:space="0" w:color="auto"/>
                  </w:divBdr>
                  <w:divsChild>
                    <w:div w:id="1625967195">
                      <w:marLeft w:val="0"/>
                      <w:marRight w:val="0"/>
                      <w:marTop w:val="0"/>
                      <w:marBottom w:val="0"/>
                      <w:divBdr>
                        <w:top w:val="none" w:sz="0" w:space="0" w:color="auto"/>
                        <w:left w:val="none" w:sz="0" w:space="0" w:color="auto"/>
                        <w:bottom w:val="none" w:sz="0" w:space="0" w:color="auto"/>
                        <w:right w:val="none" w:sz="0" w:space="0" w:color="auto"/>
                      </w:divBdr>
                      <w:divsChild>
                        <w:div w:id="774322890">
                          <w:marLeft w:val="0"/>
                          <w:marRight w:val="0"/>
                          <w:marTop w:val="0"/>
                          <w:marBottom w:val="0"/>
                          <w:divBdr>
                            <w:top w:val="none" w:sz="0" w:space="0" w:color="auto"/>
                            <w:left w:val="none" w:sz="0" w:space="0" w:color="auto"/>
                            <w:bottom w:val="none" w:sz="0" w:space="0" w:color="auto"/>
                            <w:right w:val="none" w:sz="0" w:space="0" w:color="auto"/>
                          </w:divBdr>
                          <w:divsChild>
                            <w:div w:id="1159536810">
                              <w:marLeft w:val="0"/>
                              <w:marRight w:val="0"/>
                              <w:marTop w:val="0"/>
                              <w:marBottom w:val="0"/>
                              <w:divBdr>
                                <w:top w:val="none" w:sz="0" w:space="0" w:color="auto"/>
                                <w:left w:val="none" w:sz="0" w:space="0" w:color="auto"/>
                                <w:bottom w:val="none" w:sz="0" w:space="0" w:color="auto"/>
                                <w:right w:val="none" w:sz="0" w:space="0" w:color="auto"/>
                              </w:divBdr>
                              <w:divsChild>
                                <w:div w:id="74017141">
                                  <w:marLeft w:val="0"/>
                                  <w:marRight w:val="0"/>
                                  <w:marTop w:val="0"/>
                                  <w:marBottom w:val="0"/>
                                  <w:divBdr>
                                    <w:top w:val="none" w:sz="0" w:space="0" w:color="auto"/>
                                    <w:left w:val="none" w:sz="0" w:space="0" w:color="auto"/>
                                    <w:bottom w:val="none" w:sz="0" w:space="0" w:color="auto"/>
                                    <w:right w:val="none" w:sz="0" w:space="0" w:color="auto"/>
                                  </w:divBdr>
                                  <w:divsChild>
                                    <w:div w:id="2012441471">
                                      <w:marLeft w:val="0"/>
                                      <w:marRight w:val="0"/>
                                      <w:marTop w:val="0"/>
                                      <w:marBottom w:val="0"/>
                                      <w:divBdr>
                                        <w:top w:val="none" w:sz="0" w:space="0" w:color="auto"/>
                                        <w:left w:val="none" w:sz="0" w:space="0" w:color="auto"/>
                                        <w:bottom w:val="none" w:sz="0" w:space="0" w:color="auto"/>
                                        <w:right w:val="none" w:sz="0" w:space="0" w:color="auto"/>
                                      </w:divBdr>
                                      <w:divsChild>
                                        <w:div w:id="1220625953">
                                          <w:marLeft w:val="0"/>
                                          <w:marRight w:val="0"/>
                                          <w:marTop w:val="0"/>
                                          <w:marBottom w:val="0"/>
                                          <w:divBdr>
                                            <w:top w:val="none" w:sz="0" w:space="0" w:color="auto"/>
                                            <w:left w:val="none" w:sz="0" w:space="0" w:color="auto"/>
                                            <w:bottom w:val="none" w:sz="0" w:space="0" w:color="auto"/>
                                            <w:right w:val="none" w:sz="0" w:space="0" w:color="auto"/>
                                          </w:divBdr>
                                          <w:divsChild>
                                            <w:div w:id="2091154656">
                                              <w:marLeft w:val="0"/>
                                              <w:marRight w:val="0"/>
                                              <w:marTop w:val="0"/>
                                              <w:marBottom w:val="0"/>
                                              <w:divBdr>
                                                <w:top w:val="none" w:sz="0" w:space="0" w:color="auto"/>
                                                <w:left w:val="none" w:sz="0" w:space="0" w:color="auto"/>
                                                <w:bottom w:val="none" w:sz="0" w:space="0" w:color="auto"/>
                                                <w:right w:val="none" w:sz="0" w:space="0" w:color="auto"/>
                                              </w:divBdr>
                                              <w:divsChild>
                                                <w:div w:id="1473324405">
                                                  <w:marLeft w:val="0"/>
                                                  <w:marRight w:val="0"/>
                                                  <w:marTop w:val="0"/>
                                                  <w:marBottom w:val="0"/>
                                                  <w:divBdr>
                                                    <w:top w:val="none" w:sz="0" w:space="0" w:color="auto"/>
                                                    <w:left w:val="none" w:sz="0" w:space="0" w:color="auto"/>
                                                    <w:bottom w:val="none" w:sz="0" w:space="0" w:color="auto"/>
                                                    <w:right w:val="none" w:sz="0" w:space="0" w:color="auto"/>
                                                  </w:divBdr>
                                                  <w:divsChild>
                                                    <w:div w:id="3206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0508069">
      <w:bodyDiv w:val="1"/>
      <w:marLeft w:val="0"/>
      <w:marRight w:val="0"/>
      <w:marTop w:val="0"/>
      <w:marBottom w:val="0"/>
      <w:divBdr>
        <w:top w:val="none" w:sz="0" w:space="0" w:color="auto"/>
        <w:left w:val="none" w:sz="0" w:space="0" w:color="auto"/>
        <w:bottom w:val="none" w:sz="0" w:space="0" w:color="auto"/>
        <w:right w:val="none" w:sz="0" w:space="0" w:color="auto"/>
      </w:divBdr>
    </w:div>
    <w:div w:id="1868444716">
      <w:bodyDiv w:val="1"/>
      <w:marLeft w:val="0"/>
      <w:marRight w:val="0"/>
      <w:marTop w:val="0"/>
      <w:marBottom w:val="0"/>
      <w:divBdr>
        <w:top w:val="none" w:sz="0" w:space="0" w:color="auto"/>
        <w:left w:val="none" w:sz="0" w:space="0" w:color="auto"/>
        <w:bottom w:val="none" w:sz="0" w:space="0" w:color="auto"/>
        <w:right w:val="none" w:sz="0" w:space="0" w:color="auto"/>
      </w:divBdr>
    </w:div>
    <w:div w:id="1884173671">
      <w:bodyDiv w:val="1"/>
      <w:marLeft w:val="0"/>
      <w:marRight w:val="0"/>
      <w:marTop w:val="0"/>
      <w:marBottom w:val="0"/>
      <w:divBdr>
        <w:top w:val="none" w:sz="0" w:space="0" w:color="auto"/>
        <w:left w:val="none" w:sz="0" w:space="0" w:color="auto"/>
        <w:bottom w:val="none" w:sz="0" w:space="0" w:color="auto"/>
        <w:right w:val="none" w:sz="0" w:space="0" w:color="auto"/>
      </w:divBdr>
    </w:div>
    <w:div w:id="1920365170">
      <w:bodyDiv w:val="1"/>
      <w:marLeft w:val="0"/>
      <w:marRight w:val="0"/>
      <w:marTop w:val="0"/>
      <w:marBottom w:val="0"/>
      <w:divBdr>
        <w:top w:val="none" w:sz="0" w:space="0" w:color="auto"/>
        <w:left w:val="none" w:sz="0" w:space="0" w:color="auto"/>
        <w:bottom w:val="none" w:sz="0" w:space="0" w:color="auto"/>
        <w:right w:val="none" w:sz="0" w:space="0" w:color="auto"/>
      </w:divBdr>
    </w:div>
    <w:div w:id="1957171591">
      <w:bodyDiv w:val="1"/>
      <w:marLeft w:val="0"/>
      <w:marRight w:val="0"/>
      <w:marTop w:val="0"/>
      <w:marBottom w:val="0"/>
      <w:divBdr>
        <w:top w:val="none" w:sz="0" w:space="0" w:color="auto"/>
        <w:left w:val="none" w:sz="0" w:space="0" w:color="auto"/>
        <w:bottom w:val="none" w:sz="0" w:space="0" w:color="auto"/>
        <w:right w:val="none" w:sz="0" w:space="0" w:color="auto"/>
      </w:divBdr>
      <w:divsChild>
        <w:div w:id="1267738259">
          <w:marLeft w:val="0"/>
          <w:marRight w:val="0"/>
          <w:marTop w:val="0"/>
          <w:marBottom w:val="0"/>
          <w:divBdr>
            <w:top w:val="none" w:sz="0" w:space="0" w:color="auto"/>
            <w:left w:val="none" w:sz="0" w:space="0" w:color="auto"/>
            <w:bottom w:val="none" w:sz="0" w:space="0" w:color="auto"/>
            <w:right w:val="none" w:sz="0" w:space="0" w:color="auto"/>
          </w:divBdr>
          <w:divsChild>
            <w:div w:id="1774470991">
              <w:marLeft w:val="0"/>
              <w:marRight w:val="0"/>
              <w:marTop w:val="0"/>
              <w:marBottom w:val="0"/>
              <w:divBdr>
                <w:top w:val="none" w:sz="0" w:space="0" w:color="auto"/>
                <w:left w:val="none" w:sz="0" w:space="0" w:color="auto"/>
                <w:bottom w:val="none" w:sz="0" w:space="0" w:color="auto"/>
                <w:right w:val="none" w:sz="0" w:space="0" w:color="auto"/>
              </w:divBdr>
              <w:divsChild>
                <w:div w:id="1825124278">
                  <w:marLeft w:val="0"/>
                  <w:marRight w:val="0"/>
                  <w:marTop w:val="0"/>
                  <w:marBottom w:val="0"/>
                  <w:divBdr>
                    <w:top w:val="none" w:sz="0" w:space="0" w:color="auto"/>
                    <w:left w:val="none" w:sz="0" w:space="0" w:color="auto"/>
                    <w:bottom w:val="none" w:sz="0" w:space="0" w:color="auto"/>
                    <w:right w:val="none" w:sz="0" w:space="0" w:color="auto"/>
                  </w:divBdr>
                  <w:divsChild>
                    <w:div w:id="1635671156">
                      <w:marLeft w:val="0"/>
                      <w:marRight w:val="0"/>
                      <w:marTop w:val="0"/>
                      <w:marBottom w:val="0"/>
                      <w:divBdr>
                        <w:top w:val="none" w:sz="0" w:space="0" w:color="auto"/>
                        <w:left w:val="none" w:sz="0" w:space="0" w:color="auto"/>
                        <w:bottom w:val="none" w:sz="0" w:space="0" w:color="auto"/>
                        <w:right w:val="none" w:sz="0" w:space="0" w:color="auto"/>
                      </w:divBdr>
                      <w:divsChild>
                        <w:div w:id="465902219">
                          <w:marLeft w:val="0"/>
                          <w:marRight w:val="0"/>
                          <w:marTop w:val="0"/>
                          <w:marBottom w:val="0"/>
                          <w:divBdr>
                            <w:top w:val="none" w:sz="0" w:space="0" w:color="auto"/>
                            <w:left w:val="none" w:sz="0" w:space="0" w:color="auto"/>
                            <w:bottom w:val="none" w:sz="0" w:space="0" w:color="auto"/>
                            <w:right w:val="none" w:sz="0" w:space="0" w:color="auto"/>
                          </w:divBdr>
                          <w:divsChild>
                            <w:div w:id="949315161">
                              <w:marLeft w:val="0"/>
                              <w:marRight w:val="0"/>
                              <w:marTop w:val="0"/>
                              <w:marBottom w:val="0"/>
                              <w:divBdr>
                                <w:top w:val="none" w:sz="0" w:space="0" w:color="auto"/>
                                <w:left w:val="none" w:sz="0" w:space="0" w:color="auto"/>
                                <w:bottom w:val="none" w:sz="0" w:space="0" w:color="auto"/>
                                <w:right w:val="none" w:sz="0" w:space="0" w:color="auto"/>
                              </w:divBdr>
                              <w:divsChild>
                                <w:div w:id="515729744">
                                  <w:marLeft w:val="0"/>
                                  <w:marRight w:val="0"/>
                                  <w:marTop w:val="0"/>
                                  <w:marBottom w:val="0"/>
                                  <w:divBdr>
                                    <w:top w:val="none" w:sz="0" w:space="0" w:color="auto"/>
                                    <w:left w:val="none" w:sz="0" w:space="0" w:color="auto"/>
                                    <w:bottom w:val="none" w:sz="0" w:space="0" w:color="auto"/>
                                    <w:right w:val="none" w:sz="0" w:space="0" w:color="auto"/>
                                  </w:divBdr>
                                  <w:divsChild>
                                    <w:div w:id="409741883">
                                      <w:marLeft w:val="0"/>
                                      <w:marRight w:val="0"/>
                                      <w:marTop w:val="0"/>
                                      <w:marBottom w:val="0"/>
                                      <w:divBdr>
                                        <w:top w:val="none" w:sz="0" w:space="0" w:color="auto"/>
                                        <w:left w:val="none" w:sz="0" w:space="0" w:color="auto"/>
                                        <w:bottom w:val="none" w:sz="0" w:space="0" w:color="auto"/>
                                        <w:right w:val="none" w:sz="0" w:space="0" w:color="auto"/>
                                      </w:divBdr>
                                      <w:divsChild>
                                        <w:div w:id="105777294">
                                          <w:marLeft w:val="0"/>
                                          <w:marRight w:val="0"/>
                                          <w:marTop w:val="0"/>
                                          <w:marBottom w:val="0"/>
                                          <w:divBdr>
                                            <w:top w:val="none" w:sz="0" w:space="0" w:color="auto"/>
                                            <w:left w:val="none" w:sz="0" w:space="0" w:color="auto"/>
                                            <w:bottom w:val="none" w:sz="0" w:space="0" w:color="auto"/>
                                            <w:right w:val="none" w:sz="0" w:space="0" w:color="auto"/>
                                          </w:divBdr>
                                        </w:div>
                                        <w:div w:id="664238830">
                                          <w:marLeft w:val="0"/>
                                          <w:marRight w:val="0"/>
                                          <w:marTop w:val="0"/>
                                          <w:marBottom w:val="0"/>
                                          <w:divBdr>
                                            <w:top w:val="none" w:sz="0" w:space="0" w:color="auto"/>
                                            <w:left w:val="none" w:sz="0" w:space="0" w:color="auto"/>
                                            <w:bottom w:val="none" w:sz="0" w:space="0" w:color="auto"/>
                                            <w:right w:val="none" w:sz="0" w:space="0" w:color="auto"/>
                                          </w:divBdr>
                                        </w:div>
                                        <w:div w:id="812871341">
                                          <w:marLeft w:val="0"/>
                                          <w:marRight w:val="0"/>
                                          <w:marTop w:val="0"/>
                                          <w:marBottom w:val="0"/>
                                          <w:divBdr>
                                            <w:top w:val="none" w:sz="0" w:space="0" w:color="auto"/>
                                            <w:left w:val="none" w:sz="0" w:space="0" w:color="auto"/>
                                            <w:bottom w:val="none" w:sz="0" w:space="0" w:color="auto"/>
                                            <w:right w:val="none" w:sz="0" w:space="0" w:color="auto"/>
                                          </w:divBdr>
                                        </w:div>
                                        <w:div w:id="1245262242">
                                          <w:marLeft w:val="0"/>
                                          <w:marRight w:val="0"/>
                                          <w:marTop w:val="0"/>
                                          <w:marBottom w:val="0"/>
                                          <w:divBdr>
                                            <w:top w:val="none" w:sz="0" w:space="0" w:color="auto"/>
                                            <w:left w:val="none" w:sz="0" w:space="0" w:color="auto"/>
                                            <w:bottom w:val="none" w:sz="0" w:space="0" w:color="auto"/>
                                            <w:right w:val="none" w:sz="0" w:space="0" w:color="auto"/>
                                          </w:divBdr>
                                        </w:div>
                                        <w:div w:id="126422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7658897">
      <w:bodyDiv w:val="1"/>
      <w:marLeft w:val="0"/>
      <w:marRight w:val="0"/>
      <w:marTop w:val="0"/>
      <w:marBottom w:val="0"/>
      <w:divBdr>
        <w:top w:val="none" w:sz="0" w:space="0" w:color="auto"/>
        <w:left w:val="none" w:sz="0" w:space="0" w:color="auto"/>
        <w:bottom w:val="none" w:sz="0" w:space="0" w:color="auto"/>
        <w:right w:val="none" w:sz="0" w:space="0" w:color="auto"/>
      </w:divBdr>
      <w:divsChild>
        <w:div w:id="2045401521">
          <w:marLeft w:val="0"/>
          <w:marRight w:val="0"/>
          <w:marTop w:val="0"/>
          <w:marBottom w:val="0"/>
          <w:divBdr>
            <w:top w:val="none" w:sz="0" w:space="0" w:color="auto"/>
            <w:left w:val="none" w:sz="0" w:space="0" w:color="auto"/>
            <w:bottom w:val="none" w:sz="0" w:space="0" w:color="auto"/>
            <w:right w:val="none" w:sz="0" w:space="0" w:color="auto"/>
          </w:divBdr>
          <w:divsChild>
            <w:div w:id="288442233">
              <w:marLeft w:val="0"/>
              <w:marRight w:val="0"/>
              <w:marTop w:val="0"/>
              <w:marBottom w:val="0"/>
              <w:divBdr>
                <w:top w:val="none" w:sz="0" w:space="0" w:color="auto"/>
                <w:left w:val="none" w:sz="0" w:space="0" w:color="auto"/>
                <w:bottom w:val="none" w:sz="0" w:space="0" w:color="auto"/>
                <w:right w:val="none" w:sz="0" w:space="0" w:color="auto"/>
              </w:divBdr>
              <w:divsChild>
                <w:div w:id="1042250698">
                  <w:marLeft w:val="0"/>
                  <w:marRight w:val="0"/>
                  <w:marTop w:val="0"/>
                  <w:marBottom w:val="0"/>
                  <w:divBdr>
                    <w:top w:val="none" w:sz="0" w:space="0" w:color="auto"/>
                    <w:left w:val="none" w:sz="0" w:space="0" w:color="auto"/>
                    <w:bottom w:val="none" w:sz="0" w:space="0" w:color="auto"/>
                    <w:right w:val="none" w:sz="0" w:space="0" w:color="auto"/>
                  </w:divBdr>
                  <w:divsChild>
                    <w:div w:id="1071779359">
                      <w:marLeft w:val="0"/>
                      <w:marRight w:val="0"/>
                      <w:marTop w:val="0"/>
                      <w:marBottom w:val="0"/>
                      <w:divBdr>
                        <w:top w:val="none" w:sz="0" w:space="0" w:color="auto"/>
                        <w:left w:val="none" w:sz="0" w:space="0" w:color="auto"/>
                        <w:bottom w:val="none" w:sz="0" w:space="0" w:color="auto"/>
                        <w:right w:val="none" w:sz="0" w:space="0" w:color="auto"/>
                      </w:divBdr>
                      <w:divsChild>
                        <w:div w:id="154952746">
                          <w:marLeft w:val="0"/>
                          <w:marRight w:val="0"/>
                          <w:marTop w:val="0"/>
                          <w:marBottom w:val="0"/>
                          <w:divBdr>
                            <w:top w:val="none" w:sz="0" w:space="0" w:color="auto"/>
                            <w:left w:val="none" w:sz="0" w:space="0" w:color="auto"/>
                            <w:bottom w:val="none" w:sz="0" w:space="0" w:color="auto"/>
                            <w:right w:val="none" w:sz="0" w:space="0" w:color="auto"/>
                          </w:divBdr>
                          <w:divsChild>
                            <w:div w:id="1458571628">
                              <w:marLeft w:val="0"/>
                              <w:marRight w:val="0"/>
                              <w:marTop w:val="0"/>
                              <w:marBottom w:val="0"/>
                              <w:divBdr>
                                <w:top w:val="none" w:sz="0" w:space="0" w:color="auto"/>
                                <w:left w:val="none" w:sz="0" w:space="0" w:color="auto"/>
                                <w:bottom w:val="none" w:sz="0" w:space="0" w:color="auto"/>
                                <w:right w:val="none" w:sz="0" w:space="0" w:color="auto"/>
                              </w:divBdr>
                              <w:divsChild>
                                <w:div w:id="1440103017">
                                  <w:marLeft w:val="0"/>
                                  <w:marRight w:val="0"/>
                                  <w:marTop w:val="0"/>
                                  <w:marBottom w:val="0"/>
                                  <w:divBdr>
                                    <w:top w:val="none" w:sz="0" w:space="0" w:color="auto"/>
                                    <w:left w:val="none" w:sz="0" w:space="0" w:color="auto"/>
                                    <w:bottom w:val="none" w:sz="0" w:space="0" w:color="auto"/>
                                    <w:right w:val="none" w:sz="0" w:space="0" w:color="auto"/>
                                  </w:divBdr>
                                  <w:divsChild>
                                    <w:div w:id="173570501">
                                      <w:marLeft w:val="0"/>
                                      <w:marRight w:val="0"/>
                                      <w:marTop w:val="0"/>
                                      <w:marBottom w:val="0"/>
                                      <w:divBdr>
                                        <w:top w:val="none" w:sz="0" w:space="0" w:color="auto"/>
                                        <w:left w:val="none" w:sz="0" w:space="0" w:color="auto"/>
                                        <w:bottom w:val="none" w:sz="0" w:space="0" w:color="auto"/>
                                        <w:right w:val="none" w:sz="0" w:space="0" w:color="auto"/>
                                      </w:divBdr>
                                      <w:divsChild>
                                        <w:div w:id="1940485662">
                                          <w:marLeft w:val="0"/>
                                          <w:marRight w:val="0"/>
                                          <w:marTop w:val="0"/>
                                          <w:marBottom w:val="0"/>
                                          <w:divBdr>
                                            <w:top w:val="none" w:sz="0" w:space="0" w:color="auto"/>
                                            <w:left w:val="none" w:sz="0" w:space="0" w:color="auto"/>
                                            <w:bottom w:val="none" w:sz="0" w:space="0" w:color="auto"/>
                                            <w:right w:val="none" w:sz="0" w:space="0" w:color="auto"/>
                                          </w:divBdr>
                                        </w:div>
                                      </w:divsChild>
                                    </w:div>
                                    <w:div w:id="377819788">
                                      <w:marLeft w:val="0"/>
                                      <w:marRight w:val="0"/>
                                      <w:marTop w:val="0"/>
                                      <w:marBottom w:val="0"/>
                                      <w:divBdr>
                                        <w:top w:val="none" w:sz="0" w:space="0" w:color="auto"/>
                                        <w:left w:val="none" w:sz="0" w:space="0" w:color="auto"/>
                                        <w:bottom w:val="none" w:sz="0" w:space="0" w:color="auto"/>
                                        <w:right w:val="none" w:sz="0" w:space="0" w:color="auto"/>
                                      </w:divBdr>
                                    </w:div>
                                    <w:div w:id="474832141">
                                      <w:marLeft w:val="0"/>
                                      <w:marRight w:val="0"/>
                                      <w:marTop w:val="0"/>
                                      <w:marBottom w:val="0"/>
                                      <w:divBdr>
                                        <w:top w:val="none" w:sz="0" w:space="0" w:color="auto"/>
                                        <w:left w:val="none" w:sz="0" w:space="0" w:color="auto"/>
                                        <w:bottom w:val="none" w:sz="0" w:space="0" w:color="auto"/>
                                        <w:right w:val="none" w:sz="0" w:space="0" w:color="auto"/>
                                      </w:divBdr>
                                      <w:divsChild>
                                        <w:div w:id="808741696">
                                          <w:marLeft w:val="0"/>
                                          <w:marRight w:val="0"/>
                                          <w:marTop w:val="0"/>
                                          <w:marBottom w:val="0"/>
                                          <w:divBdr>
                                            <w:top w:val="none" w:sz="0" w:space="0" w:color="auto"/>
                                            <w:left w:val="none" w:sz="0" w:space="0" w:color="auto"/>
                                            <w:bottom w:val="none" w:sz="0" w:space="0" w:color="auto"/>
                                            <w:right w:val="none" w:sz="0" w:space="0" w:color="auto"/>
                                          </w:divBdr>
                                        </w:div>
                                        <w:div w:id="1154488169">
                                          <w:marLeft w:val="0"/>
                                          <w:marRight w:val="0"/>
                                          <w:marTop w:val="0"/>
                                          <w:marBottom w:val="0"/>
                                          <w:divBdr>
                                            <w:top w:val="none" w:sz="0" w:space="0" w:color="auto"/>
                                            <w:left w:val="none" w:sz="0" w:space="0" w:color="auto"/>
                                            <w:bottom w:val="none" w:sz="0" w:space="0" w:color="auto"/>
                                            <w:right w:val="none" w:sz="0" w:space="0" w:color="auto"/>
                                          </w:divBdr>
                                        </w:div>
                                      </w:divsChild>
                                    </w:div>
                                    <w:div w:id="738290535">
                                      <w:marLeft w:val="0"/>
                                      <w:marRight w:val="0"/>
                                      <w:marTop w:val="0"/>
                                      <w:marBottom w:val="0"/>
                                      <w:divBdr>
                                        <w:top w:val="none" w:sz="0" w:space="0" w:color="auto"/>
                                        <w:left w:val="none" w:sz="0" w:space="0" w:color="auto"/>
                                        <w:bottom w:val="none" w:sz="0" w:space="0" w:color="auto"/>
                                        <w:right w:val="none" w:sz="0" w:space="0" w:color="auto"/>
                                      </w:divBdr>
                                    </w:div>
                                    <w:div w:id="1285772553">
                                      <w:marLeft w:val="0"/>
                                      <w:marRight w:val="0"/>
                                      <w:marTop w:val="0"/>
                                      <w:marBottom w:val="0"/>
                                      <w:divBdr>
                                        <w:top w:val="none" w:sz="0" w:space="0" w:color="auto"/>
                                        <w:left w:val="none" w:sz="0" w:space="0" w:color="auto"/>
                                        <w:bottom w:val="none" w:sz="0" w:space="0" w:color="auto"/>
                                        <w:right w:val="none" w:sz="0" w:space="0" w:color="auto"/>
                                      </w:divBdr>
                                    </w:div>
                                    <w:div w:id="1369456714">
                                      <w:marLeft w:val="0"/>
                                      <w:marRight w:val="0"/>
                                      <w:marTop w:val="0"/>
                                      <w:marBottom w:val="0"/>
                                      <w:divBdr>
                                        <w:top w:val="none" w:sz="0" w:space="0" w:color="auto"/>
                                        <w:left w:val="none" w:sz="0" w:space="0" w:color="auto"/>
                                        <w:bottom w:val="none" w:sz="0" w:space="0" w:color="auto"/>
                                        <w:right w:val="none" w:sz="0" w:space="0" w:color="auto"/>
                                      </w:divBdr>
                                    </w:div>
                                    <w:div w:id="1798141655">
                                      <w:marLeft w:val="0"/>
                                      <w:marRight w:val="0"/>
                                      <w:marTop w:val="0"/>
                                      <w:marBottom w:val="0"/>
                                      <w:divBdr>
                                        <w:top w:val="none" w:sz="0" w:space="0" w:color="auto"/>
                                        <w:left w:val="none" w:sz="0" w:space="0" w:color="auto"/>
                                        <w:bottom w:val="none" w:sz="0" w:space="0" w:color="auto"/>
                                        <w:right w:val="none" w:sz="0" w:space="0" w:color="auto"/>
                                      </w:divBdr>
                                      <w:divsChild>
                                        <w:div w:id="195821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4113846">
      <w:bodyDiv w:val="1"/>
      <w:marLeft w:val="0"/>
      <w:marRight w:val="0"/>
      <w:marTop w:val="0"/>
      <w:marBottom w:val="0"/>
      <w:divBdr>
        <w:top w:val="none" w:sz="0" w:space="0" w:color="auto"/>
        <w:left w:val="none" w:sz="0" w:space="0" w:color="auto"/>
        <w:bottom w:val="none" w:sz="0" w:space="0" w:color="auto"/>
        <w:right w:val="none" w:sz="0" w:space="0" w:color="auto"/>
      </w:divBdr>
      <w:divsChild>
        <w:div w:id="554315305">
          <w:marLeft w:val="0"/>
          <w:marRight w:val="0"/>
          <w:marTop w:val="0"/>
          <w:marBottom w:val="0"/>
          <w:divBdr>
            <w:top w:val="none" w:sz="0" w:space="0" w:color="auto"/>
            <w:left w:val="none" w:sz="0" w:space="0" w:color="auto"/>
            <w:bottom w:val="none" w:sz="0" w:space="0" w:color="auto"/>
            <w:right w:val="none" w:sz="0" w:space="0" w:color="auto"/>
          </w:divBdr>
          <w:divsChild>
            <w:div w:id="922181806">
              <w:marLeft w:val="0"/>
              <w:marRight w:val="0"/>
              <w:marTop w:val="0"/>
              <w:marBottom w:val="0"/>
              <w:divBdr>
                <w:top w:val="none" w:sz="0" w:space="0" w:color="auto"/>
                <w:left w:val="none" w:sz="0" w:space="0" w:color="auto"/>
                <w:bottom w:val="none" w:sz="0" w:space="0" w:color="auto"/>
                <w:right w:val="none" w:sz="0" w:space="0" w:color="auto"/>
              </w:divBdr>
              <w:divsChild>
                <w:div w:id="589169088">
                  <w:marLeft w:val="0"/>
                  <w:marRight w:val="0"/>
                  <w:marTop w:val="0"/>
                  <w:marBottom w:val="0"/>
                  <w:divBdr>
                    <w:top w:val="none" w:sz="0" w:space="0" w:color="auto"/>
                    <w:left w:val="none" w:sz="0" w:space="0" w:color="auto"/>
                    <w:bottom w:val="none" w:sz="0" w:space="0" w:color="auto"/>
                    <w:right w:val="none" w:sz="0" w:space="0" w:color="auto"/>
                  </w:divBdr>
                  <w:divsChild>
                    <w:div w:id="2006469218">
                      <w:marLeft w:val="0"/>
                      <w:marRight w:val="0"/>
                      <w:marTop w:val="0"/>
                      <w:marBottom w:val="0"/>
                      <w:divBdr>
                        <w:top w:val="none" w:sz="0" w:space="0" w:color="auto"/>
                        <w:left w:val="none" w:sz="0" w:space="0" w:color="auto"/>
                        <w:bottom w:val="none" w:sz="0" w:space="0" w:color="auto"/>
                        <w:right w:val="none" w:sz="0" w:space="0" w:color="auto"/>
                      </w:divBdr>
                      <w:divsChild>
                        <w:div w:id="544564294">
                          <w:marLeft w:val="0"/>
                          <w:marRight w:val="0"/>
                          <w:marTop w:val="0"/>
                          <w:marBottom w:val="0"/>
                          <w:divBdr>
                            <w:top w:val="none" w:sz="0" w:space="0" w:color="auto"/>
                            <w:left w:val="none" w:sz="0" w:space="0" w:color="auto"/>
                            <w:bottom w:val="none" w:sz="0" w:space="0" w:color="auto"/>
                            <w:right w:val="none" w:sz="0" w:space="0" w:color="auto"/>
                          </w:divBdr>
                          <w:divsChild>
                            <w:div w:id="784887710">
                              <w:marLeft w:val="0"/>
                              <w:marRight w:val="0"/>
                              <w:marTop w:val="0"/>
                              <w:marBottom w:val="0"/>
                              <w:divBdr>
                                <w:top w:val="none" w:sz="0" w:space="0" w:color="auto"/>
                                <w:left w:val="none" w:sz="0" w:space="0" w:color="auto"/>
                                <w:bottom w:val="none" w:sz="0" w:space="0" w:color="auto"/>
                                <w:right w:val="none" w:sz="0" w:space="0" w:color="auto"/>
                              </w:divBdr>
                              <w:divsChild>
                                <w:div w:id="2033874493">
                                  <w:marLeft w:val="0"/>
                                  <w:marRight w:val="0"/>
                                  <w:marTop w:val="0"/>
                                  <w:marBottom w:val="0"/>
                                  <w:divBdr>
                                    <w:top w:val="none" w:sz="0" w:space="0" w:color="auto"/>
                                    <w:left w:val="none" w:sz="0" w:space="0" w:color="auto"/>
                                    <w:bottom w:val="none" w:sz="0" w:space="0" w:color="auto"/>
                                    <w:right w:val="none" w:sz="0" w:space="0" w:color="auto"/>
                                  </w:divBdr>
                                  <w:divsChild>
                                    <w:div w:id="17777295">
                                      <w:marLeft w:val="0"/>
                                      <w:marRight w:val="0"/>
                                      <w:marTop w:val="0"/>
                                      <w:marBottom w:val="0"/>
                                      <w:divBdr>
                                        <w:top w:val="none" w:sz="0" w:space="0" w:color="auto"/>
                                        <w:left w:val="none" w:sz="0" w:space="0" w:color="auto"/>
                                        <w:bottom w:val="none" w:sz="0" w:space="0" w:color="auto"/>
                                        <w:right w:val="none" w:sz="0" w:space="0" w:color="auto"/>
                                      </w:divBdr>
                                      <w:divsChild>
                                        <w:div w:id="10906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england.nhs.uk/nhs-standard-contract/cquin/2022-23-cquin/" TargetMode="External"/><Relationship Id="rId21" Type="http://schemas.openxmlformats.org/officeDocument/2006/relationships/hyperlink" Target="https://www.thelancet.com/journals/eclinm/article/PIIS2589-5370(19)30120-8/" TargetMode="External"/><Relationship Id="rId42" Type="http://schemas.openxmlformats.org/officeDocument/2006/relationships/hyperlink" Target="https://www.clinicalmicrobiologyandinfection.com/article/S1198-743X(17)30209-4/fulltext" TargetMode="External"/><Relationship Id="rId63" Type="http://schemas.openxmlformats.org/officeDocument/2006/relationships/hyperlink" Target="https://www.gov.uk/government/publications/urinary-tract-infection-diagnosis" TargetMode="External"/><Relationship Id="rId84" Type="http://schemas.openxmlformats.org/officeDocument/2006/relationships/hyperlink" Target="https://www.bmj.com/content/364/bmj.l922" TargetMode="External"/><Relationship Id="rId138" Type="http://schemas.openxmlformats.org/officeDocument/2006/relationships/fontTable" Target="fontTable.xml"/><Relationship Id="rId16" Type="http://schemas.openxmlformats.org/officeDocument/2006/relationships/hyperlink" Target="https://www.nice.org.uk/guidance/cg139" TargetMode="External"/><Relationship Id="rId107" Type="http://schemas.openxmlformats.org/officeDocument/2006/relationships/hyperlink" Target="https://www.nice.org.uk/guidance/ng15/resources/antimicrobial-stewardship-systems-and-processes-for-effective-antimicrobial-medicine-use-pdf-1837273110469" TargetMode="External"/><Relationship Id="rId11" Type="http://schemas.openxmlformats.org/officeDocument/2006/relationships/hyperlink" Target="https://www.nice.org.uk/guidance/ng111" TargetMode="External"/><Relationship Id="rId32" Type="http://schemas.openxmlformats.org/officeDocument/2006/relationships/hyperlink" Target="https://cks.nice.org.uk/topics/urinary-tract-infection-lower-women/references/" TargetMode="External"/><Relationship Id="rId37" Type="http://schemas.openxmlformats.org/officeDocument/2006/relationships/hyperlink" Target="https://cks.nice.org.uk/topics/urinary-tract-infection-lower-women/references/" TargetMode="External"/><Relationship Id="rId53" Type="http://schemas.openxmlformats.org/officeDocument/2006/relationships/hyperlink" Target="https://assets.publishing.service.gov.uk/government/uploads/system/uploads/attachment_data/file/927195/UTI_diagnostic_flowchart_NICE-October_2020-FINAL.pdf" TargetMode="External"/><Relationship Id="rId58" Type="http://schemas.openxmlformats.org/officeDocument/2006/relationships/hyperlink" Target="https://doi.org/10.1016/j.juro.2010.01.008" TargetMode="External"/><Relationship Id="rId74" Type="http://schemas.openxmlformats.org/officeDocument/2006/relationships/hyperlink" Target="https://www.ibms.org/resources/documents/patient-sample-and-request-form-identification-criteria/" TargetMode="External"/><Relationship Id="rId79" Type="http://schemas.openxmlformats.org/officeDocument/2006/relationships/hyperlink" Target="https://aricjournal.biomedcentral.com/articles/10.1186/s13756-019-0519-1" TargetMode="External"/><Relationship Id="rId102" Type="http://schemas.openxmlformats.org/officeDocument/2006/relationships/hyperlink" Target="https://www.nice.org.uk/guidance/ng109" TargetMode="External"/><Relationship Id="rId123" Type="http://schemas.openxmlformats.org/officeDocument/2006/relationships/hyperlink" Target="https://www.sign.ac.uk/media/1766/sign-160-uti-0-1_web-version.pdf" TargetMode="External"/><Relationship Id="rId128" Type="http://schemas.openxmlformats.org/officeDocument/2006/relationships/hyperlink" Target="https://doi.org/10.1136/bmj-2021-0068229" TargetMode="External"/><Relationship Id="rId5" Type="http://schemas.openxmlformats.org/officeDocument/2006/relationships/webSettings" Target="webSettings.xml"/><Relationship Id="rId90" Type="http://schemas.openxmlformats.org/officeDocument/2006/relationships/hyperlink" Target="https://www.bmj.com/content/364/bmj.l525" TargetMode="External"/><Relationship Id="rId95" Type="http://schemas.openxmlformats.org/officeDocument/2006/relationships/hyperlink" Target="https://eur03.safelinks.protection.outlook.com/?url=https%3A%2F%2Fwww.bmj.com%2Fcontent%2F364%2Fbmj.l440&amp;data=05%7C01%7CHughesKA6%40cardiff.ac.uk%7C8e57bcc6ad1d46a2fe7b08da47b305a8%7Cbdb74b3095684856bdbf06759778fcbc%7C1%7C0%7C637901131452880894%7CUnknown%7CTWFpbGZsb3d8eyJWIjoiMC4wLjAwMDAiLCJQIjoiV2luMzIiLCJBTiI6Ik1haWwiLCJXVCI6Mn0%3D%7C3000%7C%7C%7C&amp;sdata=22OfP8JlRKtO0JIf4kH2dU3PYi7ShX5NhTIEy%2BQVBKE%3D&amp;reserved=0" TargetMode="External"/><Relationship Id="rId22" Type="http://schemas.openxmlformats.org/officeDocument/2006/relationships/hyperlink" Target="https://www.bmj.com/content/364/bmj.l525" TargetMode="External"/><Relationship Id="rId27" Type="http://schemas.openxmlformats.org/officeDocument/2006/relationships/hyperlink" Target="https://www.bmj.com/content/364/bmj.l440" TargetMode="External"/><Relationship Id="rId43" Type="http://schemas.openxmlformats.org/officeDocument/2006/relationships/hyperlink" Target="https://www.sign.ac.uk/media/1766/sign-160-uti-0-1_web-version.pdf" TargetMode="External"/><Relationship Id="rId48" Type="http://schemas.openxmlformats.org/officeDocument/2006/relationships/hyperlink" Target="https://www.ncbi.nlm.nih.gov/pmc/articles/PMC8210311/" TargetMode="External"/><Relationship Id="rId64" Type="http://schemas.openxmlformats.org/officeDocument/2006/relationships/hyperlink" Target="https://www.england.nhs.uk/nhs-standard-contract/cquin/2022-23-cquin/" TargetMode="External"/><Relationship Id="rId69" Type="http://schemas.openxmlformats.org/officeDocument/2006/relationships/hyperlink" Target="https://www.healthline.com/health/urine-culture-clean-catch" TargetMode="External"/><Relationship Id="rId113" Type="http://schemas.openxmlformats.org/officeDocument/2006/relationships/hyperlink" Target="file:///C:\Users\MatthewSpencer\OneDrive%20-%20Healthcomms%20Consulting\IPS%20CCaMa%20Study%20Protocol.pdf" TargetMode="External"/><Relationship Id="rId118" Type="http://schemas.openxmlformats.org/officeDocument/2006/relationships/hyperlink" Target="https://uroweb.org/guidelines/urological-infections/chapter/introduction" TargetMode="External"/><Relationship Id="rId134" Type="http://schemas.openxmlformats.org/officeDocument/2006/relationships/hyperlink" Target="https://doi.org/10.1002/14651858.CD003265.pub3" TargetMode="External"/><Relationship Id="rId139" Type="http://schemas.openxmlformats.org/officeDocument/2006/relationships/theme" Target="theme/theme1.xml"/><Relationship Id="rId80" Type="http://schemas.openxmlformats.org/officeDocument/2006/relationships/hyperlink" Target="https://target-webinars.com/webinars/managing-patient-expectations/" TargetMode="External"/><Relationship Id="rId85" Type="http://schemas.openxmlformats.org/officeDocument/2006/relationships/hyperlink" Target="https://elearning.rcgp.org.uk/mod/book/view.php?id=12650" TargetMode="External"/><Relationship Id="rId12" Type="http://schemas.openxmlformats.org/officeDocument/2006/relationships/hyperlink" Target="https://www.nice.org.uk/guidance/ng109" TargetMode="External"/><Relationship Id="rId17" Type="http://schemas.openxmlformats.org/officeDocument/2006/relationships/hyperlink" Target="https://www.nice.org.uk/guidance/qs90" TargetMode="External"/><Relationship Id="rId33" Type="http://schemas.openxmlformats.org/officeDocument/2006/relationships/hyperlink" Target="https://cks.nice.org.uk/topics/urinary-tract-infection-lower-women/references/" TargetMode="External"/><Relationship Id="rId38" Type="http://schemas.openxmlformats.org/officeDocument/2006/relationships/footer" Target="footer1.xml"/><Relationship Id="rId59" Type="http://schemas.openxmlformats.org/officeDocument/2006/relationships/hyperlink" Target="https://doi.org/10.1128/jcm.02876-13" TargetMode="External"/><Relationship Id="rId103" Type="http://schemas.openxmlformats.org/officeDocument/2006/relationships/hyperlink" Target="https://doi.org/10.1002/14651858.cd004682.pub2" TargetMode="External"/><Relationship Id="rId108" Type="http://schemas.openxmlformats.org/officeDocument/2006/relationships/hyperlink" Target="https://www.ncbi.nlm.nih.gov/pmc/articles/PMC8366179/" TargetMode="External"/><Relationship Id="rId124" Type="http://schemas.openxmlformats.org/officeDocument/2006/relationships/hyperlink" Target="https://uroweb.org/guidelines/urological-infections/chapter/the-guideline" TargetMode="External"/><Relationship Id="rId129" Type="http://schemas.openxmlformats.org/officeDocument/2006/relationships/hyperlink" Target="https://www.nice.org.uk/guidance/ng112" TargetMode="External"/><Relationship Id="rId54" Type="http://schemas.openxmlformats.org/officeDocument/2006/relationships/hyperlink" Target="https://www.gov.uk/government/publications/urinary-tract-infection-diagnosis" TargetMode="External"/><Relationship Id="rId70" Type="http://schemas.openxmlformats.org/officeDocument/2006/relationships/hyperlink" Target="https://assets.publishing.service.gov.uk/government/uploads/system/uploads/attachment_data/file/927195/UTI_diagnostic_flowchart_NICE-October_2020-FINAL.pdf" TargetMode="External"/><Relationship Id="rId75" Type="http://schemas.openxmlformats.org/officeDocument/2006/relationships/hyperlink" Target="https://www.kidney.org/news/kidneyCare/spring10/UrineSamples" TargetMode="External"/><Relationship Id="rId91" Type="http://schemas.openxmlformats.org/officeDocument/2006/relationships/hyperlink" Target="https://www.bmj.com/content/371/bmj.m4502" TargetMode="External"/><Relationship Id="rId96" Type="http://schemas.openxmlformats.org/officeDocument/2006/relationships/hyperlink" Target="https://www.ncbi.nlm.nih.gov/pmc/articles/PMC5755802/"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nice.org.uk/guidance/ng109/chapter/Recommendations" TargetMode="External"/><Relationship Id="rId28" Type="http://schemas.openxmlformats.org/officeDocument/2006/relationships/hyperlink" Target="https://www.ncbi.nlm.nih.gov/pmc/articles/PMC5755802/" TargetMode="External"/><Relationship Id="rId49" Type="http://schemas.openxmlformats.org/officeDocument/2006/relationships/hyperlink" Target="https://emahsn.org.uk/images/Digital_UTI_Pathway_Evaluation_-_Final_v270720.pdf" TargetMode="External"/><Relationship Id="rId114" Type="http://schemas.openxmlformats.org/officeDocument/2006/relationships/hyperlink" Target="https://www.england.nhs.uk/patient-safety/urinary-catheter-tools/" TargetMode="External"/><Relationship Id="rId119" Type="http://schemas.openxmlformats.org/officeDocument/2006/relationships/hyperlink" Target="https://pubmed.ncbi.nlm.nih.gov/31133219/" TargetMode="External"/><Relationship Id="rId44" Type="http://schemas.openxmlformats.org/officeDocument/2006/relationships/hyperlink" Target="https://richtlijnen.nhg.org/standaarden/urineweginfecties" TargetMode="External"/><Relationship Id="rId60" Type="http://schemas.openxmlformats.org/officeDocument/2006/relationships/hyperlink" Target="https://pubmed.ncbi.nlm.nih.gov/26962083/" TargetMode="External"/><Relationship Id="rId65" Type="http://schemas.openxmlformats.org/officeDocument/2006/relationships/hyperlink" Target="https://www.nice.org.uk/guidance/ng111" TargetMode="External"/><Relationship Id="rId81" Type="http://schemas.openxmlformats.org/officeDocument/2006/relationships/hyperlink" Target="https://www.nice.org.uk/guidance/ng112" TargetMode="External"/><Relationship Id="rId86" Type="http://schemas.openxmlformats.org/officeDocument/2006/relationships/hyperlink" Target="https://doi.org/10.1001/jama.2016.16141" TargetMode="External"/><Relationship Id="rId130" Type="http://schemas.openxmlformats.org/officeDocument/2006/relationships/hyperlink" Target="https://www.sign.ac.uk/our-guidelines/management-of-suspected-bacterial-lower-urinary-tract-infection-in-adult-women/" TargetMode="External"/><Relationship Id="rId135" Type="http://schemas.openxmlformats.org/officeDocument/2006/relationships/hyperlink" Target="https://doi.org/10.3310/hta22440" TargetMode="External"/><Relationship Id="rId13" Type="http://schemas.openxmlformats.org/officeDocument/2006/relationships/hyperlink" Target="https://cks.nice.org.uk/topics/pyelonephritis-acute/" TargetMode="External"/><Relationship Id="rId18" Type="http://schemas.openxmlformats.org/officeDocument/2006/relationships/hyperlink" Target="https://www.gov.uk/government/publications/urinary-tract-infection-diagnosis" TargetMode="External"/><Relationship Id="rId39" Type="http://schemas.openxmlformats.org/officeDocument/2006/relationships/footer" Target="footer2.xml"/><Relationship Id="rId109" Type="http://schemas.openxmlformats.org/officeDocument/2006/relationships/hyperlink" Target="https://bjuijournals.onlinelibrary.wiley.com/doi/10.1111/bju.15756%20" TargetMode="External"/><Relationship Id="rId34" Type="http://schemas.openxmlformats.org/officeDocument/2006/relationships/hyperlink" Target="https://cks.nice.org.uk/topics/urinary-tract-infection-lower-women/diagnosis/assessment/" TargetMode="External"/><Relationship Id="rId50" Type="http://schemas.openxmlformats.org/officeDocument/2006/relationships/hyperlink" Target="https://www.sepsis.org/sepsisand/urinary-tract-infections/" TargetMode="External"/><Relationship Id="rId55" Type="http://schemas.openxmlformats.org/officeDocument/2006/relationships/hyperlink" Target="https://doi.org/10.1007/s00192-017-3472-7" TargetMode="External"/><Relationship Id="rId76" Type="http://schemas.openxmlformats.org/officeDocument/2006/relationships/hyperlink" Target="https://www.nice.org.uk/guidance/qs90/chapter/Quality-statement-4-Urine-culture-for-adults-with-a-urinary-tract-infection-that-does-not-respond-to-initial-antibiotic-treatment" TargetMode="External"/><Relationship Id="rId97" Type="http://schemas.openxmlformats.org/officeDocument/2006/relationships/hyperlink" Target="https://www.nice.org.uk/guidance/ng109" TargetMode="External"/><Relationship Id="rId104" Type="http://schemas.openxmlformats.org/officeDocument/2006/relationships/hyperlink" Target="https://doi.org/10.1111/j.1442-2042.2010.02500.x" TargetMode="External"/><Relationship Id="rId120" Type="http://schemas.openxmlformats.org/officeDocument/2006/relationships/hyperlink" Target="https://www.imsociety.org/2021/03/15/pelvic-floor-muscle-training-as-a-treatment-for-genitourinary-syndrome-of-menopause/" TargetMode="External"/><Relationship Id="rId125" Type="http://schemas.openxmlformats.org/officeDocument/2006/relationships/hyperlink" Target="https://www.bmj.com/content/376/bmj-2021-0068229" TargetMode="External"/><Relationship Id="rId7" Type="http://schemas.openxmlformats.org/officeDocument/2006/relationships/endnotes" Target="endnotes.xml"/><Relationship Id="rId71" Type="http://schemas.openxmlformats.org/officeDocument/2006/relationships/hyperlink" Target="https://future.nhs.uk/connect.ti/GIRFTNational/view?objectId=112161637" TargetMode="External"/><Relationship Id="rId92" Type="http://schemas.openxmlformats.org/officeDocument/2006/relationships/hyperlink" Target="https://pubmed.ncbi.nlm.nih.gov/22278835/" TargetMode="External"/><Relationship Id="rId2" Type="http://schemas.openxmlformats.org/officeDocument/2006/relationships/numbering" Target="numbering.xml"/><Relationship Id="rId29" Type="http://schemas.openxmlformats.org/officeDocument/2006/relationships/hyperlink" Target="https://www.nice.org.uk/terms-and-conditions" TargetMode="External"/><Relationship Id="rId24" Type="http://schemas.openxmlformats.org/officeDocument/2006/relationships/hyperlink" Target="https://www.nice.org.uk/guidance/ng111/chapter/Recommendations" TargetMode="External"/><Relationship Id="rId40" Type="http://schemas.openxmlformats.org/officeDocument/2006/relationships/hyperlink" Target="https://www.cambridge.org/core/journals/infection-control-and-hospital-epidemiology/article/misdiagnosis-of-urinary-tract-infection-linked-to-misdiagnosis-of-pneumonia-a-multihospital-cohort-study/77F093EA78E75FCF05AD29D6C02F7984" TargetMode="External"/><Relationship Id="rId45" Type="http://schemas.openxmlformats.org/officeDocument/2006/relationships/hyperlink" Target="https://openprescribing.net/analyse/" TargetMode="External"/><Relationship Id="rId66" Type="http://schemas.openxmlformats.org/officeDocument/2006/relationships/hyperlink" Target="https://www.gov.uk/government/publications/urinary-tract-infection-diagnosis" TargetMode="External"/><Relationship Id="rId87" Type="http://schemas.openxmlformats.org/officeDocument/2006/relationships/hyperlink" Target="https://doi.org/10.1002/14651858.CD001321.pub5" TargetMode="External"/><Relationship Id="rId110" Type="http://schemas.openxmlformats.org/officeDocument/2006/relationships/hyperlink" Target="file:///C:\Users\MatthewSpencer\OneDrive%20-%20Healthcomms%20Consulting\U-decide%20audit%20tool%20Infection%20Prevention%20Society%20Tool.pdf" TargetMode="External"/><Relationship Id="rId115" Type="http://schemas.openxmlformats.org/officeDocument/2006/relationships/hyperlink" Target="https://www.nice.org.uk/guidance/ng113" TargetMode="External"/><Relationship Id="rId131" Type="http://schemas.openxmlformats.org/officeDocument/2006/relationships/hyperlink" Target="https://phw.nhs.wales/services-and-teams/harp/urinary-tract-infection-uti-resources-and-tools/" TargetMode="External"/><Relationship Id="rId136" Type="http://schemas.openxmlformats.org/officeDocument/2006/relationships/hyperlink" Target="https://www.bmj.com/content/376/bmj-2021-0068229" TargetMode="External"/><Relationship Id="rId61" Type="http://schemas.openxmlformats.org/officeDocument/2006/relationships/hyperlink" Target="https://pubmed.ncbi.nlm.nih.gov/30541935/" TargetMode="External"/><Relationship Id="rId82" Type="http://schemas.openxmlformats.org/officeDocument/2006/relationships/hyperlink" Target="https://bjgp.org/content/72/717/e252" TargetMode="External"/><Relationship Id="rId19" Type="http://schemas.openxmlformats.org/officeDocument/2006/relationships/hyperlink" Target="https://www.gettingitrightfirsttime.co.uk/clinical-work-stream/pathology" TargetMode="External"/><Relationship Id="rId14" Type="http://schemas.openxmlformats.org/officeDocument/2006/relationships/hyperlink" Target="https://cks.nice.org.uk/topics/urinary-tract-infection-lower-women/" TargetMode="External"/><Relationship Id="rId30" Type="http://schemas.openxmlformats.org/officeDocument/2006/relationships/hyperlink" Target="https://www.sciencedirect.com/science/article/pii/S1198743X1830449X" TargetMode="External"/><Relationship Id="rId35" Type="http://schemas.openxmlformats.org/officeDocument/2006/relationships/hyperlink" Target="https://cks.nice.org.uk/topics/urinary-tract-infection-lower-women/references/" TargetMode="External"/><Relationship Id="rId56" Type="http://schemas.openxmlformats.org/officeDocument/2006/relationships/hyperlink" Target="https://doi.org/10.1186/1471-2490-4-4" TargetMode="External"/><Relationship Id="rId77" Type="http://schemas.openxmlformats.org/officeDocument/2006/relationships/hyperlink" Target="https://www.ncbi.nlm.nih.gov/pmc/articles/PMC6628711/" TargetMode="External"/><Relationship Id="rId100" Type="http://schemas.openxmlformats.org/officeDocument/2006/relationships/hyperlink" Target="https://awttc.nhs.wales/medicines-optimisation-and-safety/medicines-optimisation-guidance-resources-and-data/prescribing-guidance/best-practice-reminder-avoid-nitrofurantoin-in-the-treatment-of-pyelonephritis/" TargetMode="External"/><Relationship Id="rId105" Type="http://schemas.openxmlformats.org/officeDocument/2006/relationships/hyperlink" Target="https://doi.org/10.1111/iju.12309" TargetMode="External"/><Relationship Id="rId126" Type="http://schemas.openxmlformats.org/officeDocument/2006/relationships/hyperlink" Target="https://pubmed.ncbi.nlm.nih.gov/23633128/" TargetMode="External"/><Relationship Id="rId8" Type="http://schemas.openxmlformats.org/officeDocument/2006/relationships/hyperlink" Target="https://www.sign.ac.uk/our-guidelines/management-of-suspected-bacterial-lower-urinary-tract-infection-in-adult-women/" TargetMode="External"/><Relationship Id="rId51" Type="http://schemas.openxmlformats.org/officeDocument/2006/relationships/hyperlink" Target="https://www.nice.org.uk/guidance/ng111" TargetMode="External"/><Relationship Id="rId72" Type="http://schemas.openxmlformats.org/officeDocument/2006/relationships/hyperlink" Target="https://www.england.nhs.uk/wp-content/uploads/2020/08/Taking_a_urine_sample.pdf" TargetMode="External"/><Relationship Id="rId93" Type="http://schemas.openxmlformats.org/officeDocument/2006/relationships/hyperlink" Target="https://www.ncbi.nlm.nih.gov/pmc/articles/PMC6394536/" TargetMode="External"/><Relationship Id="rId98" Type="http://schemas.openxmlformats.org/officeDocument/2006/relationships/hyperlink" Target="https://www.england.nhs.uk/nhs-standard-contract/cquin/2022-23-cquin/" TargetMode="External"/><Relationship Id="rId121" Type="http://schemas.openxmlformats.org/officeDocument/2006/relationships/hyperlink" Target="https://thebms.org.uk/wp-content/uploads/_pda/2021/07/09-BMS-ConsensusStatement-Urogenital-atrophy-JUNE2021-01B.pdf?t=60dd9d660724f" TargetMode="External"/><Relationship Id="rId3" Type="http://schemas.openxmlformats.org/officeDocument/2006/relationships/styles" Target="styles.xml"/><Relationship Id="rId25" Type="http://schemas.openxmlformats.org/officeDocument/2006/relationships/hyperlink" Target="https://www.thelancet.com/journals/eclinm/article/PIIS2589-5370(19)30120-8/" TargetMode="External"/><Relationship Id="rId46" Type="http://schemas.openxmlformats.org/officeDocument/2006/relationships/hyperlink" Target="https://www.england.nhs.uk/wp-content/uploads/2020/11/diagnostics-recovery-and-renewal-independent-review-of-diagnostic-services-for-nhs-england-2.pdf" TargetMode="External"/><Relationship Id="rId67" Type="http://schemas.openxmlformats.org/officeDocument/2006/relationships/hyperlink" Target="https://www.gov.uk/government/publications/antimicrobial-stewardship-start-smart-then-focus" TargetMode="External"/><Relationship Id="rId116" Type="http://schemas.openxmlformats.org/officeDocument/2006/relationships/hyperlink" Target="https://www.gov.uk/government/publications/urinary-tract-infection-diagnosis" TargetMode="External"/><Relationship Id="rId137" Type="http://schemas.openxmlformats.org/officeDocument/2006/relationships/hyperlink" Target="https://phw.nhs.wales/services-and-teams/harp/urinary-tract-infection-uti-resources-and-tools/uti-downloads/wales-qi-uti-indication-2/" TargetMode="External"/><Relationship Id="rId20" Type="http://schemas.openxmlformats.org/officeDocument/2006/relationships/hyperlink" Target="https://www.thelancet.com/journals/eclinm/article/PIIS2589-5370(19)30120-8/" TargetMode="External"/><Relationship Id="rId41" Type="http://schemas.openxmlformats.org/officeDocument/2006/relationships/hyperlink" Target="https://pubmed.ncbi.nlm.nih.gov/15972728/" TargetMode="External"/><Relationship Id="rId62" Type="http://schemas.openxmlformats.org/officeDocument/2006/relationships/hyperlink" Target="https://www.gettingitrightfirsttime.co.uk/clinical-work-stream/pathology/" TargetMode="External"/><Relationship Id="rId83" Type="http://schemas.openxmlformats.org/officeDocument/2006/relationships/hyperlink" Target="https://elearning.rcgp.org.uk/mod/book/view.php?id=12652" TargetMode="External"/><Relationship Id="rId88" Type="http://schemas.openxmlformats.org/officeDocument/2006/relationships/hyperlink" Target="https://www.sign.ac.uk/our-guidelines/management-of-suspected-bacterial-lower-urinary-tract-infection-in-adult-women/" TargetMode="External"/><Relationship Id="rId111" Type="http://schemas.openxmlformats.org/officeDocument/2006/relationships/hyperlink" Target="file:///C:\Users\MatthewSpencer\OneDrive%20-%20Healthcomms%20Consulting\U-decide%20audit%20tool%20Infection%20Prevention%20Society%20Tool.pdf" TargetMode="External"/><Relationship Id="rId132" Type="http://schemas.openxmlformats.org/officeDocument/2006/relationships/hyperlink" Target="https://www.bmj.com/content/376/bmj-2021-0068229/rr" TargetMode="External"/><Relationship Id="rId15" Type="http://schemas.openxmlformats.org/officeDocument/2006/relationships/hyperlink" Target="https://cks.nice.org.uk/topics/urinary-tract-infection-lower-men/" TargetMode="External"/><Relationship Id="rId36" Type="http://schemas.openxmlformats.org/officeDocument/2006/relationships/hyperlink" Target="https://cks.nice.org.uk/topics/urinary-tract-infection-lower-women/references/" TargetMode="External"/><Relationship Id="rId57" Type="http://schemas.openxmlformats.org/officeDocument/2006/relationships/hyperlink" Target="https://doi.org/10.1007/s00192-020-04272-x" TargetMode="External"/><Relationship Id="rId106" Type="http://schemas.openxmlformats.org/officeDocument/2006/relationships/hyperlink" Target="https://www.nice.org.uk/guidance/qs121" TargetMode="External"/><Relationship Id="rId127" Type="http://schemas.openxmlformats.org/officeDocument/2006/relationships/hyperlink" Target="https://www.ncbi.nlm.nih.gov/pmc/articles/PMC7395894/" TargetMode="External"/><Relationship Id="rId10" Type="http://schemas.openxmlformats.org/officeDocument/2006/relationships/hyperlink" Target="https://www.nice.org.uk/guidance/ng112" TargetMode="External"/><Relationship Id="rId31" Type="http://schemas.openxmlformats.org/officeDocument/2006/relationships/hyperlink" Target="https://cks.nice.org.uk/topics/urinary-tract-infection-lower-women/references/" TargetMode="External"/><Relationship Id="rId52" Type="http://schemas.openxmlformats.org/officeDocument/2006/relationships/hyperlink" Target="https://cks.nice.org.uk/topics/pyelonephritis-acute/" TargetMode="External"/><Relationship Id="rId73" Type="http://schemas.openxmlformats.org/officeDocument/2006/relationships/hyperlink" Target="https://www.nhs.uk/common-health-questions/infections/how-should-i-collect-and-store-a-urine-sample/" TargetMode="External"/><Relationship Id="rId78" Type="http://schemas.openxmlformats.org/officeDocument/2006/relationships/hyperlink" Target="https://bjgp.org/content/early/2022/05/05/BJGP.2022.0059" TargetMode="External"/><Relationship Id="rId94" Type="http://schemas.openxmlformats.org/officeDocument/2006/relationships/hyperlink" Target="https://www.sapg.scot/media/5844/decision-aid-for-diagnosis-and-management-of-suspected-uti-in-people-over-65-years.pdf" TargetMode="External"/><Relationship Id="rId99" Type="http://schemas.openxmlformats.org/officeDocument/2006/relationships/hyperlink" Target="https://pubmed.ncbi.nlm.nih.gov/31229671/" TargetMode="External"/><Relationship Id="rId101" Type="http://schemas.openxmlformats.org/officeDocument/2006/relationships/hyperlink" Target="https://www.nice.org.uk/guidance/ng111" TargetMode="External"/><Relationship Id="rId122" Type="http://schemas.openxmlformats.org/officeDocument/2006/relationships/hyperlink" Target="https://www.ncbi.nlm.nih.gov/pmc/articles/PMC6629580/" TargetMode="External"/><Relationship Id="rId4" Type="http://schemas.openxmlformats.org/officeDocument/2006/relationships/settings" Target="settings.xml"/><Relationship Id="rId9" Type="http://schemas.openxmlformats.org/officeDocument/2006/relationships/hyperlink" Target="https://www.nice.org.uk/guidance/ng113" TargetMode="External"/><Relationship Id="rId26" Type="http://schemas.openxmlformats.org/officeDocument/2006/relationships/hyperlink" Target="https://www.bmj.com/content/364/bmj.l525" TargetMode="External"/><Relationship Id="rId47" Type="http://schemas.openxmlformats.org/officeDocument/2006/relationships/hyperlink" Target="https://www.england.nhs.uk/wp-content/uploads/2022/01/B0722-Point-of-Care-Testing-in-Community-Pharmacies-Guide_January-2022.pdf" TargetMode="External"/><Relationship Id="rId68" Type="http://schemas.openxmlformats.org/officeDocument/2006/relationships/hyperlink" Target="https://www.england.nhs.uk/nhs-standard-contract/cquin/2022-23-cquin/" TargetMode="External"/><Relationship Id="rId89" Type="http://schemas.openxmlformats.org/officeDocument/2006/relationships/hyperlink" Target="https://www.thelancet.com/journals/eclinm/article/PIIS2589-5370(19)30120-8/fulltext%23%20" TargetMode="External"/><Relationship Id="rId112" Type="http://schemas.openxmlformats.org/officeDocument/2006/relationships/hyperlink" Target="file:///C:\Users\MatthewSpencer\OneDrive%20-%20Healthcomms%20Consulting\U-decide%20audit%20tool%20Infection%20Prevention%20Society%20Tool.pdf" TargetMode="External"/><Relationship Id="rId133" Type="http://schemas.openxmlformats.org/officeDocument/2006/relationships/hyperlink" Target="https://doi.org/10.1136/bmj-2021-0068229"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smi-b-41-investigation-of-urine" TargetMode="External"/><Relationship Id="rId2" Type="http://schemas.openxmlformats.org/officeDocument/2006/relationships/hyperlink" Target="https://uroweb.org/guidelines/urological-infections/chapter/introduction" TargetMode="External"/><Relationship Id="rId1" Type="http://schemas.openxmlformats.org/officeDocument/2006/relationships/hyperlink" Target="https://www.gov.uk/government/publications/smi-b-41-investigation-of-urine" TargetMode="External"/><Relationship Id="rId6" Type="http://schemas.openxmlformats.org/officeDocument/2006/relationships/hyperlink" Target="https://cks.nice.org.uk/topics/urinary-tract-infection-lower-women/" TargetMode="External"/><Relationship Id="rId5" Type="http://schemas.openxmlformats.org/officeDocument/2006/relationships/hyperlink" Target="https://uroweb.org/guidelines/urological-infections/chapter/introduction" TargetMode="External"/><Relationship Id="rId4" Type="http://schemas.openxmlformats.org/officeDocument/2006/relationships/hyperlink" Target="https://www.sign.ac.uk/our-guidelines/management-of-suspected-bacterial-lower-urinary-tract-infection-in-adult-w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2A03A-0315-4060-9AD9-4074FA85B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17332</Words>
  <Characters>116661</Characters>
  <Application>Microsoft Office Word</Application>
  <DocSecurity>0</DocSecurity>
  <Lines>972</Lines>
  <Paragraphs>267</Paragraphs>
  <ScaleCrop>false</ScaleCrop>
  <Company/>
  <LinksUpToDate>false</LinksUpToDate>
  <CharactersWithSpaces>133726</CharactersWithSpaces>
  <SharedDoc>false</SharedDoc>
  <HLinks>
    <vt:vector size="102" baseType="variant">
      <vt:variant>
        <vt:i4>3014777</vt:i4>
      </vt:variant>
      <vt:variant>
        <vt:i4>189</vt:i4>
      </vt:variant>
      <vt:variant>
        <vt:i4>0</vt:i4>
      </vt:variant>
      <vt:variant>
        <vt:i4>5</vt:i4>
      </vt:variant>
      <vt:variant>
        <vt:lpwstr>http://publications.nice.org.uk/headaches-cg150/guidance</vt:lpwstr>
      </vt:variant>
      <vt:variant>
        <vt:lpwstr>diagnosis-2</vt:lpwstr>
      </vt:variant>
      <vt:variant>
        <vt:i4>1048592</vt:i4>
      </vt:variant>
      <vt:variant>
        <vt:i4>150</vt:i4>
      </vt:variant>
      <vt:variant>
        <vt:i4>0</vt:i4>
      </vt:variant>
      <vt:variant>
        <vt:i4>5</vt:i4>
      </vt:variant>
      <vt:variant>
        <vt:lpwstr>http://www.rcog.org.uk/orca/audit</vt:lpwstr>
      </vt:variant>
      <vt:variant>
        <vt:lpwstr/>
      </vt:variant>
      <vt:variant>
        <vt:i4>8192098</vt:i4>
      </vt:variant>
      <vt:variant>
        <vt:i4>108</vt:i4>
      </vt:variant>
      <vt:variant>
        <vt:i4>0</vt:i4>
      </vt:variant>
      <vt:variant>
        <vt:i4>5</vt:i4>
      </vt:variant>
      <vt:variant>
        <vt:lpwstr>https://www.gov.uk/government/publications/healthy-lives-healthy-people-improving-outcomes-and-supporting-transparency</vt:lpwstr>
      </vt:variant>
      <vt:variant>
        <vt:lpwstr/>
      </vt:variant>
      <vt:variant>
        <vt:i4>7798821</vt:i4>
      </vt:variant>
      <vt:variant>
        <vt:i4>102</vt:i4>
      </vt:variant>
      <vt:variant>
        <vt:i4>0</vt:i4>
      </vt:variant>
      <vt:variant>
        <vt:i4>5</vt:i4>
      </vt:variant>
      <vt:variant>
        <vt:lpwstr>https://www.gov.uk/government/publications/nhs-outcomes-framework-2013-to-2014</vt:lpwstr>
      </vt:variant>
      <vt:variant>
        <vt:lpwstr/>
      </vt:variant>
      <vt:variant>
        <vt:i4>4390998</vt:i4>
      </vt:variant>
      <vt:variant>
        <vt:i4>96</vt:i4>
      </vt:variant>
      <vt:variant>
        <vt:i4>0</vt:i4>
      </vt:variant>
      <vt:variant>
        <vt:i4>5</vt:i4>
      </vt:variant>
      <vt:variant>
        <vt:lpwstr>https://www.gov.uk/government/publications/the-adult-social-care-outcomes-framework-2013-to-2014</vt:lpwstr>
      </vt:variant>
      <vt:variant>
        <vt:lpwstr/>
      </vt:variant>
      <vt:variant>
        <vt:i4>7798821</vt:i4>
      </vt:variant>
      <vt:variant>
        <vt:i4>90</vt:i4>
      </vt:variant>
      <vt:variant>
        <vt:i4>0</vt:i4>
      </vt:variant>
      <vt:variant>
        <vt:i4>5</vt:i4>
      </vt:variant>
      <vt:variant>
        <vt:lpwstr>https://www.gov.uk/government/publications/nhs-outcomes-framework-2013-to-2014</vt:lpwstr>
      </vt:variant>
      <vt:variant>
        <vt:lpwstr/>
      </vt:variant>
      <vt:variant>
        <vt:i4>5111887</vt:i4>
      </vt:variant>
      <vt:variant>
        <vt:i4>63</vt:i4>
      </vt:variant>
      <vt:variant>
        <vt:i4>0</vt:i4>
      </vt:variant>
      <vt:variant>
        <vt:i4>5</vt:i4>
      </vt:variant>
      <vt:variant>
        <vt:lpwstr>http://www.nice.org.uk/guidance/CG85</vt:lpwstr>
      </vt:variant>
      <vt:variant>
        <vt:lpwstr/>
      </vt:variant>
      <vt:variant>
        <vt:i4>1048625</vt:i4>
      </vt:variant>
      <vt:variant>
        <vt:i4>53</vt:i4>
      </vt:variant>
      <vt:variant>
        <vt:i4>0</vt:i4>
      </vt:variant>
      <vt:variant>
        <vt:i4>5</vt:i4>
      </vt:variant>
      <vt:variant>
        <vt:lpwstr/>
      </vt:variant>
      <vt:variant>
        <vt:lpwstr>_Toc362005047</vt:lpwstr>
      </vt:variant>
      <vt:variant>
        <vt:i4>1048625</vt:i4>
      </vt:variant>
      <vt:variant>
        <vt:i4>47</vt:i4>
      </vt:variant>
      <vt:variant>
        <vt:i4>0</vt:i4>
      </vt:variant>
      <vt:variant>
        <vt:i4>5</vt:i4>
      </vt:variant>
      <vt:variant>
        <vt:lpwstr/>
      </vt:variant>
      <vt:variant>
        <vt:lpwstr>_Toc362005046</vt:lpwstr>
      </vt:variant>
      <vt:variant>
        <vt:i4>1048625</vt:i4>
      </vt:variant>
      <vt:variant>
        <vt:i4>41</vt:i4>
      </vt:variant>
      <vt:variant>
        <vt:i4>0</vt:i4>
      </vt:variant>
      <vt:variant>
        <vt:i4>5</vt:i4>
      </vt:variant>
      <vt:variant>
        <vt:lpwstr/>
      </vt:variant>
      <vt:variant>
        <vt:lpwstr>_Toc362005045</vt:lpwstr>
      </vt:variant>
      <vt:variant>
        <vt:i4>1048625</vt:i4>
      </vt:variant>
      <vt:variant>
        <vt:i4>35</vt:i4>
      </vt:variant>
      <vt:variant>
        <vt:i4>0</vt:i4>
      </vt:variant>
      <vt:variant>
        <vt:i4>5</vt:i4>
      </vt:variant>
      <vt:variant>
        <vt:lpwstr/>
      </vt:variant>
      <vt:variant>
        <vt:lpwstr>_Toc362005044</vt:lpwstr>
      </vt:variant>
      <vt:variant>
        <vt:i4>1048625</vt:i4>
      </vt:variant>
      <vt:variant>
        <vt:i4>29</vt:i4>
      </vt:variant>
      <vt:variant>
        <vt:i4>0</vt:i4>
      </vt:variant>
      <vt:variant>
        <vt:i4>5</vt:i4>
      </vt:variant>
      <vt:variant>
        <vt:lpwstr/>
      </vt:variant>
      <vt:variant>
        <vt:lpwstr>_Toc362005043</vt:lpwstr>
      </vt:variant>
      <vt:variant>
        <vt:i4>1048625</vt:i4>
      </vt:variant>
      <vt:variant>
        <vt:i4>23</vt:i4>
      </vt:variant>
      <vt:variant>
        <vt:i4>0</vt:i4>
      </vt:variant>
      <vt:variant>
        <vt:i4>5</vt:i4>
      </vt:variant>
      <vt:variant>
        <vt:lpwstr/>
      </vt:variant>
      <vt:variant>
        <vt:lpwstr>_Toc362005042</vt:lpwstr>
      </vt:variant>
      <vt:variant>
        <vt:i4>1048625</vt:i4>
      </vt:variant>
      <vt:variant>
        <vt:i4>17</vt:i4>
      </vt:variant>
      <vt:variant>
        <vt:i4>0</vt:i4>
      </vt:variant>
      <vt:variant>
        <vt:i4>5</vt:i4>
      </vt:variant>
      <vt:variant>
        <vt:lpwstr/>
      </vt:variant>
      <vt:variant>
        <vt:lpwstr>_Toc362005041</vt:lpwstr>
      </vt:variant>
      <vt:variant>
        <vt:i4>1048625</vt:i4>
      </vt:variant>
      <vt:variant>
        <vt:i4>11</vt:i4>
      </vt:variant>
      <vt:variant>
        <vt:i4>0</vt:i4>
      </vt:variant>
      <vt:variant>
        <vt:i4>5</vt:i4>
      </vt:variant>
      <vt:variant>
        <vt:lpwstr/>
      </vt:variant>
      <vt:variant>
        <vt:lpwstr>_Toc362005040</vt:lpwstr>
      </vt:variant>
      <vt:variant>
        <vt:i4>3801214</vt:i4>
      </vt:variant>
      <vt:variant>
        <vt:i4>0</vt:i4>
      </vt:variant>
      <vt:variant>
        <vt:i4>0</vt:i4>
      </vt:variant>
      <vt:variant>
        <vt:i4>5</vt:i4>
      </vt:variant>
      <vt:variant>
        <vt:lpwstr>http://intranet.nice.org.uk/NICEAndNicePeople/writingguides.cfm</vt:lpwstr>
      </vt:variant>
      <vt:variant>
        <vt:lpwstr/>
      </vt:variant>
      <vt:variant>
        <vt:i4>3342435</vt:i4>
      </vt:variant>
      <vt:variant>
        <vt:i4>0</vt:i4>
      </vt:variant>
      <vt:variant>
        <vt:i4>0</vt:i4>
      </vt:variant>
      <vt:variant>
        <vt:i4>5</vt:i4>
      </vt:variant>
      <vt:variant>
        <vt:lpwstr>http://www.rcpsych.ac.uk/quality/quality,accreditationaudit/communitycamhs.aspx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2022-09-02T15:47:00Z</dcterms:created>
  <dcterms:modified xsi:type="dcterms:W3CDTF">2022-09-02T15:47:00Z</dcterms:modified>
</cp:coreProperties>
</file>