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F676A" w14:textId="4BFEAC87" w:rsidR="00052675" w:rsidRDefault="00702D0F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2019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="00BB0CCC" w:rsidRPr="00BB0CCC">
          <w:rPr>
            <w:rStyle w:val="Hyperlink"/>
            <w:rFonts w:cs="Arial"/>
            <w:b/>
            <w:bCs/>
            <w:sz w:val="28"/>
            <w:szCs w:val="28"/>
          </w:rPr>
          <w:t>Alcohol-use disorders: diagnosis, assessment and management of harmful drinking and alcohol dependence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</w:t>
      </w:r>
      <w:r w:rsidR="00BB0CCC">
        <w:rPr>
          <w:rFonts w:cs="Arial"/>
          <w:b/>
          <w:bCs/>
          <w:sz w:val="28"/>
          <w:szCs w:val="28"/>
        </w:rPr>
        <w:t>1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 w:rsidR="00BB0CCC">
        <w:rPr>
          <w:rFonts w:cs="Arial"/>
          <w:b/>
          <w:bCs/>
          <w:sz w:val="28"/>
          <w:szCs w:val="28"/>
        </w:rPr>
        <w:t>CG115</w:t>
      </w:r>
      <w:r>
        <w:rPr>
          <w:rFonts w:cs="Arial"/>
          <w:b/>
          <w:bCs/>
          <w:sz w:val="28"/>
          <w:szCs w:val="28"/>
        </w:rPr>
        <w:t xml:space="preserve"> </w:t>
      </w:r>
    </w:p>
    <w:p w14:paraId="0ABEFA78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5B9B8078" w14:textId="2B189BBB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3F4392">
        <w:rPr>
          <w:b/>
          <w:bCs/>
          <w:sz w:val="24"/>
          <w:szCs w:val="24"/>
        </w:rPr>
        <w:t>no</w:t>
      </w:r>
      <w:r w:rsidR="00B956A3">
        <w:rPr>
          <w:b/>
          <w:bCs/>
          <w:sz w:val="24"/>
          <w:szCs w:val="24"/>
        </w:rPr>
        <w:t xml:space="preserve"> update</w:t>
      </w:r>
      <w:r w:rsidR="00D85FF6">
        <w:rPr>
          <w:b/>
          <w:bCs/>
          <w:sz w:val="24"/>
          <w:szCs w:val="24"/>
        </w:rPr>
        <w:t>’</w:t>
      </w:r>
    </w:p>
    <w:p w14:paraId="779C623E" w14:textId="77777777" w:rsidR="009968C8" w:rsidRDefault="009968C8" w:rsidP="00730953"/>
    <w:p w14:paraId="4571DEE2" w14:textId="77777777" w:rsidR="009968C8" w:rsidRDefault="009968C8" w:rsidP="00730953"/>
    <w:p w14:paraId="3C804F68" w14:textId="1606A545" w:rsidR="00730953" w:rsidRDefault="00730953" w:rsidP="00730953">
      <w:r>
        <w:t>Consultation on the p</w:t>
      </w:r>
      <w:r w:rsidR="00DF6EF2">
        <w:t>roposal ‘</w:t>
      </w:r>
      <w:r w:rsidR="00E65EE8">
        <w:rPr>
          <w:bCs/>
          <w:szCs w:val="22"/>
        </w:rPr>
        <w:t>no</w:t>
      </w:r>
      <w:r w:rsidR="003F4392">
        <w:rPr>
          <w:bCs/>
          <w:szCs w:val="22"/>
        </w:rPr>
        <w:t xml:space="preserve"> </w:t>
      </w:r>
      <w:r w:rsidR="00B956A3">
        <w:rPr>
          <w:bCs/>
          <w:szCs w:val="22"/>
        </w:rPr>
        <w:t>update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B956A3">
        <w:t>9am</w:t>
      </w:r>
      <w:r w:rsidR="001271EB">
        <w:t xml:space="preserve"> on</w:t>
      </w:r>
      <w:r w:rsidR="00B956A3">
        <w:t xml:space="preserve"> Thursday</w:t>
      </w:r>
      <w:r w:rsidR="001271EB">
        <w:t>,</w:t>
      </w:r>
      <w:r w:rsidR="00B956A3">
        <w:t xml:space="preserve"> 25 April 2019</w:t>
      </w:r>
    </w:p>
    <w:p w14:paraId="21731150" w14:textId="77777777" w:rsidR="00730953" w:rsidRDefault="00742302" w:rsidP="00742302">
      <w:pPr>
        <w:tabs>
          <w:tab w:val="left" w:pos="10695"/>
        </w:tabs>
      </w:pPr>
      <w:r>
        <w:tab/>
      </w:r>
    </w:p>
    <w:p w14:paraId="566BFD4F" w14:textId="1CA74C0F" w:rsidR="00730953" w:rsidRDefault="00730953" w:rsidP="00BC3435">
      <w:r>
        <w:t>Comments on proposal to be submitted: no later than</w:t>
      </w:r>
      <w:r w:rsidR="00331D5B">
        <w:t xml:space="preserve"> </w:t>
      </w:r>
      <w:r w:rsidR="00B956A3">
        <w:t>5pm</w:t>
      </w:r>
      <w:r w:rsidR="001271EB">
        <w:t xml:space="preserve"> on </w:t>
      </w:r>
      <w:r w:rsidR="00B956A3">
        <w:t>Wednesday</w:t>
      </w:r>
      <w:r w:rsidR="001271EB">
        <w:t>,</w:t>
      </w:r>
      <w:r w:rsidR="00B956A3">
        <w:t xml:space="preserve"> 8 May 2019</w:t>
      </w:r>
    </w:p>
    <w:p w14:paraId="07E191F9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5BE21DC3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73A9C1DD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527F3545" w14:textId="77777777" w:rsidR="00CA6BC7" w:rsidRPr="00742302" w:rsidRDefault="00CA6BC7" w:rsidP="00742302">
            <w:pPr>
              <w:rPr>
                <w:szCs w:val="22"/>
              </w:rPr>
            </w:pPr>
          </w:p>
          <w:p w14:paraId="752B66D0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1D143619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2B6C0C5D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6B2316DC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3C30F646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3D64BB1D" w14:textId="0802C1A1"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9661BD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 xml:space="preserve">registered stakeholder </w:t>
              </w:r>
              <w:proofErr w:type="spellStart"/>
              <w:r w:rsidRPr="009661BD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organisation</w:t>
              </w:r>
              <w:proofErr w:type="spellEnd"/>
            </w:hyperlink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5C6B1FA6" w14:textId="77777777"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14AA1486" w14:textId="77777777" w:rsidR="00495C38" w:rsidRPr="00BC3435" w:rsidRDefault="00495C38" w:rsidP="00BC3435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4FA0E0EB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0C9CADD1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71C4D495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271C5809" w14:textId="77777777" w:rsidR="00590FD2" w:rsidRPr="00742302" w:rsidRDefault="00590FD2" w:rsidP="00742302">
            <w:pPr>
              <w:rPr>
                <w:szCs w:val="22"/>
              </w:rPr>
            </w:pPr>
          </w:p>
          <w:p w14:paraId="056A0726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0198FAD7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69E18656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0BEB91D3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6745F370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0D5A695E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64DBB3D7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5B8F1F9D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1CBCAD8B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6088F3A5" w14:textId="77777777" w:rsidR="00590FD2" w:rsidRDefault="00590FD2" w:rsidP="00590FD2"/>
    <w:p w14:paraId="00F7D923" w14:textId="77777777" w:rsidR="009968C8" w:rsidRDefault="00021CA9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3F51BF2C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767"/>
        <w:gridCol w:w="4522"/>
        <w:gridCol w:w="2430"/>
        <w:gridCol w:w="6229"/>
      </w:tblGrid>
      <w:tr w:rsidR="007D33D0" w:rsidRPr="00D204C9" w14:paraId="1F2E5957" w14:textId="77777777" w:rsidTr="00BA5AA1">
        <w:trPr>
          <w:tblHeader/>
        </w:trPr>
        <w:tc>
          <w:tcPr>
            <w:tcW w:w="275" w:type="pct"/>
            <w:shd w:val="clear" w:color="auto" w:fill="E6E6E6"/>
          </w:tcPr>
          <w:p w14:paraId="3E1FE250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21" w:type="pct"/>
            <w:shd w:val="clear" w:color="auto" w:fill="E6E6E6"/>
          </w:tcPr>
          <w:p w14:paraId="6839E882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871" w:type="pct"/>
            <w:shd w:val="clear" w:color="auto" w:fill="E6E6E6"/>
          </w:tcPr>
          <w:p w14:paraId="1099AE14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72B7E97D" w14:textId="77777777" w:rsidR="007D33D0" w:rsidRPr="00D204C9" w:rsidRDefault="007D33D0" w:rsidP="00D204C9">
            <w:r>
              <w:t>yes / no</w:t>
            </w:r>
          </w:p>
        </w:tc>
        <w:tc>
          <w:tcPr>
            <w:tcW w:w="2233" w:type="pct"/>
            <w:shd w:val="clear" w:color="auto" w:fill="E6E6E6"/>
          </w:tcPr>
          <w:p w14:paraId="14855168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5990B2F5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1FC36E0C" w14:textId="77777777" w:rsidTr="00BA5AA1">
        <w:tc>
          <w:tcPr>
            <w:tcW w:w="275" w:type="pct"/>
          </w:tcPr>
          <w:p w14:paraId="50262D81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21" w:type="pct"/>
          </w:tcPr>
          <w:p w14:paraId="63AC91F7" w14:textId="545541BD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AD3CE8">
              <w:rPr>
                <w:rFonts w:cs="Arial"/>
                <w:szCs w:val="22"/>
              </w:rPr>
              <w:t xml:space="preserve">not </w:t>
            </w:r>
            <w:r w:rsidR="00B956A3">
              <w:rPr>
                <w:rFonts w:cs="Arial"/>
                <w:szCs w:val="22"/>
              </w:rPr>
              <w:t>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871" w:type="pct"/>
          </w:tcPr>
          <w:p w14:paraId="6E68A458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33" w:type="pct"/>
          </w:tcPr>
          <w:p w14:paraId="3F75A839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0831D4C1" w14:textId="77777777" w:rsidTr="00BA5AA1">
        <w:tc>
          <w:tcPr>
            <w:tcW w:w="275" w:type="pct"/>
          </w:tcPr>
          <w:p w14:paraId="0D42DE95" w14:textId="71D3AAC1" w:rsidR="007D33D0" w:rsidRPr="00590FD2" w:rsidRDefault="00B956A3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21" w:type="pct"/>
          </w:tcPr>
          <w:p w14:paraId="5961A0B7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871" w:type="pct"/>
          </w:tcPr>
          <w:p w14:paraId="115F7B3A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33" w:type="pct"/>
          </w:tcPr>
          <w:p w14:paraId="17072562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2CF92976" w14:textId="77777777" w:rsidTr="00BA5AA1">
        <w:tc>
          <w:tcPr>
            <w:tcW w:w="275" w:type="pct"/>
          </w:tcPr>
          <w:p w14:paraId="7ABBB3C5" w14:textId="28B871A9" w:rsidR="007D33D0" w:rsidRPr="00590FD2" w:rsidRDefault="00B956A3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21" w:type="pct"/>
          </w:tcPr>
          <w:p w14:paraId="0DEC8D99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871" w:type="pct"/>
          </w:tcPr>
          <w:p w14:paraId="4700D1F7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33" w:type="pct"/>
          </w:tcPr>
          <w:p w14:paraId="0583D118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8D0" w:rsidRPr="00590FD2" w14:paraId="5AD6AC64" w14:textId="77777777" w:rsidTr="00BA5AA1">
        <w:tc>
          <w:tcPr>
            <w:tcW w:w="275" w:type="pct"/>
            <w:shd w:val="clear" w:color="auto" w:fill="auto"/>
          </w:tcPr>
          <w:p w14:paraId="5586BC62" w14:textId="46BE9E7F" w:rsidR="00E018D0" w:rsidRDefault="00E018D0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1621" w:type="pct"/>
            <w:shd w:val="clear" w:color="auto" w:fill="auto"/>
          </w:tcPr>
          <w:p w14:paraId="7A774C19" w14:textId="6A1B166B" w:rsidR="00E018D0" w:rsidRDefault="00E018D0" w:rsidP="00E018D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 topic expert highlighted that behavioural couples therapy should not be offered w</w:t>
            </w:r>
            <w:r w:rsidR="006053C4">
              <w:rPr>
                <w:rFonts w:cs="Arial"/>
                <w:szCs w:val="22"/>
              </w:rPr>
              <w:t>h</w:t>
            </w:r>
            <w:r>
              <w:rPr>
                <w:rFonts w:cs="Arial"/>
                <w:szCs w:val="22"/>
              </w:rPr>
              <w:t xml:space="preserve">ere domestic violence is a concern, </w:t>
            </w:r>
            <w:r w:rsidR="006053C4">
              <w:rPr>
                <w:rFonts w:cs="Arial"/>
                <w:szCs w:val="22"/>
              </w:rPr>
              <w:t xml:space="preserve">and this </w:t>
            </w:r>
            <w:r>
              <w:rPr>
                <w:rFonts w:cs="Arial"/>
                <w:szCs w:val="22"/>
              </w:rPr>
              <w:t xml:space="preserve">is not currently mentioned within </w:t>
            </w:r>
            <w:hyperlink r:id="rId11" w:history="1">
              <w:r w:rsidRPr="00BA5AA1">
                <w:rPr>
                  <w:rStyle w:val="Hyperlink"/>
                  <w:rFonts w:cs="Arial"/>
                  <w:szCs w:val="22"/>
                </w:rPr>
                <w:t>recommendation 1.3.3.2.</w:t>
              </w:r>
            </w:hyperlink>
          </w:p>
          <w:p w14:paraId="594DD6AB" w14:textId="2C37FDA2" w:rsidR="00E018D0" w:rsidRDefault="00E018D0" w:rsidP="00E018D0">
            <w:pPr>
              <w:rPr>
                <w:szCs w:val="24"/>
              </w:rPr>
            </w:pPr>
            <w:r>
              <w:rPr>
                <w:rFonts w:cs="Arial"/>
                <w:szCs w:val="22"/>
              </w:rPr>
              <w:t>To address this issue we are proposing to make an editorial amendment to r</w:t>
            </w:r>
            <w:r w:rsidRPr="00E018D0">
              <w:rPr>
                <w:szCs w:val="24"/>
              </w:rPr>
              <w:t xml:space="preserve">ecommendation 1.3.3.2 to say: ‘Offer behavioural couples therapy for harmful drinkers and people with mild alcohol dependence who have a regular partner who is willing to participate in treatment, unless </w:t>
            </w:r>
            <w:r w:rsidRPr="00E018D0">
              <w:rPr>
                <w:szCs w:val="24"/>
                <w:lang w:val="en-US"/>
              </w:rPr>
              <w:t>there are indicators that a person has experienced, or is a perpetrator of, domestic abuse</w:t>
            </w:r>
            <w:r w:rsidRPr="00E018D0">
              <w:rPr>
                <w:szCs w:val="24"/>
              </w:rPr>
              <w:t xml:space="preserve">.’ </w:t>
            </w:r>
          </w:p>
          <w:p w14:paraId="1FD08D7E" w14:textId="77777777" w:rsidR="00FA2381" w:rsidRDefault="00FA2381" w:rsidP="00E018D0">
            <w:pPr>
              <w:rPr>
                <w:szCs w:val="24"/>
              </w:rPr>
            </w:pPr>
          </w:p>
          <w:p w14:paraId="32527C0D" w14:textId="6F52D3B9" w:rsidR="00E018D0" w:rsidRPr="00E018D0" w:rsidRDefault="00E018D0" w:rsidP="00E018D0">
            <w:pPr>
              <w:rPr>
                <w:szCs w:val="24"/>
              </w:rPr>
            </w:pPr>
            <w:r>
              <w:rPr>
                <w:szCs w:val="24"/>
              </w:rPr>
              <w:t xml:space="preserve">Do you agree this change is necessary? </w:t>
            </w:r>
          </w:p>
          <w:p w14:paraId="2CF5DA76" w14:textId="31E73198" w:rsidR="00E018D0" w:rsidRPr="00A21BBC" w:rsidRDefault="00E018D0" w:rsidP="00D011FE">
            <w:pPr>
              <w:rPr>
                <w:rFonts w:cs="Arial"/>
                <w:szCs w:val="22"/>
              </w:rPr>
            </w:pPr>
          </w:p>
        </w:tc>
        <w:tc>
          <w:tcPr>
            <w:tcW w:w="871" w:type="pct"/>
            <w:shd w:val="clear" w:color="auto" w:fill="auto"/>
          </w:tcPr>
          <w:p w14:paraId="6ECAB90E" w14:textId="77777777" w:rsidR="00E018D0" w:rsidRPr="00590FD2" w:rsidRDefault="00E018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33" w:type="pct"/>
            <w:shd w:val="clear" w:color="auto" w:fill="auto"/>
          </w:tcPr>
          <w:p w14:paraId="722A4645" w14:textId="77777777" w:rsidR="00E018D0" w:rsidRPr="00590FD2" w:rsidRDefault="00E018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AA1" w:rsidRPr="00590FD2" w14:paraId="099F3F7B" w14:textId="77777777" w:rsidTr="00BA5AA1">
        <w:tc>
          <w:tcPr>
            <w:tcW w:w="275" w:type="pct"/>
            <w:shd w:val="clear" w:color="auto" w:fill="auto"/>
          </w:tcPr>
          <w:p w14:paraId="63DE3757" w14:textId="6D35EE03" w:rsidR="00BA5AA1" w:rsidRDefault="0054030A" w:rsidP="00BA5AA1">
            <w:pPr>
              <w:rPr>
                <w:rFonts w:cs="Arial"/>
                <w:szCs w:val="22"/>
              </w:rPr>
            </w:pPr>
            <w:bookmarkStart w:id="0" w:name="_Hlk7081665"/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1621" w:type="pct"/>
            <w:shd w:val="clear" w:color="auto" w:fill="auto"/>
          </w:tcPr>
          <w:p w14:paraId="40915710" w14:textId="77777777" w:rsidR="00021CA9" w:rsidRDefault="00021CA9" w:rsidP="00021CA9">
            <w:pPr>
              <w:rPr>
                <w:rFonts w:cs="Arial"/>
                <w:lang w:eastAsia="en-GB"/>
              </w:rPr>
            </w:pPr>
            <w:r>
              <w:t xml:space="preserve">We are not proposing to update pharmacological interventions for harmful drinking and for mild alcohol dependence (drugs mentioned in </w:t>
            </w:r>
            <w:hyperlink r:id="rId12" w:history="1">
              <w:r>
                <w:rPr>
                  <w:rStyle w:val="Hyperlink"/>
                </w:rPr>
                <w:t>section 1.3.3</w:t>
              </w:r>
            </w:hyperlink>
            <w:r>
              <w:t xml:space="preserve">), as the new published evidence identified by the current surveillance review was not deemed </w:t>
            </w:r>
            <w:r>
              <w:lastRenderedPageBreak/>
              <w:t xml:space="preserve">to be sufficient to change guideline recommendations. </w:t>
            </w:r>
          </w:p>
          <w:p w14:paraId="22C5E093" w14:textId="77777777" w:rsidR="00021CA9" w:rsidRDefault="00021CA9" w:rsidP="00021CA9">
            <w:pPr>
              <w:rPr>
                <w:rFonts w:ascii="Calibri" w:hAnsi="Calibri" w:cs="Calibri"/>
              </w:rPr>
            </w:pPr>
          </w:p>
          <w:p w14:paraId="1C452020" w14:textId="77777777" w:rsidR="00021CA9" w:rsidRDefault="00021CA9" w:rsidP="00021CA9">
            <w:r>
              <w:t xml:space="preserve">Are you aware of new evidence, which was not identified by the current surveillance review, on drug regimens for harmful drinking or mild dependence that would change the recommendation?  </w:t>
            </w:r>
          </w:p>
          <w:p w14:paraId="5EFE004F" w14:textId="24CBFC0D" w:rsidR="00BA5AA1" w:rsidRDefault="00BA5AA1" w:rsidP="0054030A">
            <w:pPr>
              <w:rPr>
                <w:rFonts w:cs="Arial"/>
                <w:szCs w:val="22"/>
              </w:rPr>
            </w:pPr>
            <w:bookmarkStart w:id="1" w:name="_GoBack"/>
            <w:bookmarkEnd w:id="1"/>
          </w:p>
        </w:tc>
        <w:tc>
          <w:tcPr>
            <w:tcW w:w="871" w:type="pct"/>
            <w:shd w:val="clear" w:color="auto" w:fill="auto"/>
          </w:tcPr>
          <w:p w14:paraId="515ED2A1" w14:textId="77777777" w:rsidR="00BA5AA1" w:rsidRPr="00590FD2" w:rsidRDefault="00BA5AA1" w:rsidP="00BA5AA1">
            <w:pPr>
              <w:rPr>
                <w:rFonts w:cs="Arial"/>
                <w:szCs w:val="22"/>
              </w:rPr>
            </w:pPr>
          </w:p>
        </w:tc>
        <w:tc>
          <w:tcPr>
            <w:tcW w:w="2233" w:type="pct"/>
            <w:shd w:val="clear" w:color="auto" w:fill="auto"/>
          </w:tcPr>
          <w:p w14:paraId="3DC354F6" w14:textId="77777777" w:rsidR="00BA5AA1" w:rsidRPr="00590FD2" w:rsidRDefault="00BA5AA1" w:rsidP="00BA5AA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BA5AA1" w:rsidRPr="00590FD2" w14:paraId="47842818" w14:textId="77777777" w:rsidTr="00BA5AA1">
        <w:tc>
          <w:tcPr>
            <w:tcW w:w="275" w:type="pct"/>
            <w:shd w:val="clear" w:color="auto" w:fill="auto"/>
          </w:tcPr>
          <w:p w14:paraId="78A064BF" w14:textId="77EC3A1B" w:rsidR="00BA5AA1" w:rsidRDefault="0054030A" w:rsidP="00BA5A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1621" w:type="pct"/>
            <w:shd w:val="clear" w:color="auto" w:fill="auto"/>
          </w:tcPr>
          <w:p w14:paraId="57F65E0C" w14:textId="25C1F79F" w:rsidR="00BA5AA1" w:rsidRDefault="00BA5AA1" w:rsidP="00BA5A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We are not proposing to update </w:t>
            </w:r>
            <w:r w:rsidR="0054030A">
              <w:rPr>
                <w:rFonts w:cs="Arial"/>
                <w:szCs w:val="22"/>
              </w:rPr>
              <w:t>drug regimens for assisted withdrawal</w:t>
            </w:r>
            <w:r>
              <w:rPr>
                <w:rFonts w:cs="Arial"/>
                <w:szCs w:val="22"/>
              </w:rPr>
              <w:t xml:space="preserve"> (</w:t>
            </w:r>
            <w:hyperlink r:id="rId13" w:history="1">
              <w:r w:rsidRPr="00BA5AA1">
                <w:rPr>
                  <w:rStyle w:val="Hyperlink"/>
                  <w:rFonts w:cs="Arial"/>
                  <w:szCs w:val="22"/>
                </w:rPr>
                <w:t>recommendation 1.3.5),</w:t>
              </w:r>
            </w:hyperlink>
            <w:r>
              <w:rPr>
                <w:rFonts w:cs="Arial"/>
                <w:szCs w:val="22"/>
              </w:rPr>
              <w:t xml:space="preserve"> as the new published evidence </w:t>
            </w:r>
            <w:r w:rsidR="006053C4">
              <w:rPr>
                <w:rFonts w:cs="Arial"/>
                <w:szCs w:val="22"/>
              </w:rPr>
              <w:t>identified by the current surveillance review</w:t>
            </w:r>
            <w:r>
              <w:rPr>
                <w:rFonts w:cs="Arial"/>
                <w:szCs w:val="22"/>
              </w:rPr>
              <w:t xml:space="preserve"> was not deemed to be sufficient to change guideline recommendations. </w:t>
            </w:r>
          </w:p>
          <w:p w14:paraId="553A9E72" w14:textId="77777777" w:rsidR="00FA2381" w:rsidRDefault="00FA2381" w:rsidP="00BA5AA1">
            <w:pPr>
              <w:rPr>
                <w:rFonts w:cs="Arial"/>
                <w:szCs w:val="22"/>
              </w:rPr>
            </w:pPr>
          </w:p>
          <w:p w14:paraId="3C45ED38" w14:textId="6FC918F7" w:rsidR="00BA5AA1" w:rsidRPr="00A21BBC" w:rsidRDefault="00515136" w:rsidP="00BA5A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Are you aware of new evidence, which was not identified by the current surveillance review, on </w:t>
            </w:r>
            <w:r w:rsidR="00BA5AA1">
              <w:rPr>
                <w:rFonts w:cs="Arial"/>
                <w:szCs w:val="22"/>
              </w:rPr>
              <w:t>drug</w:t>
            </w:r>
            <w:r>
              <w:rPr>
                <w:rFonts w:cs="Arial"/>
                <w:szCs w:val="22"/>
              </w:rPr>
              <w:t xml:space="preserve"> regimen</w:t>
            </w:r>
            <w:r w:rsidR="00BA5AA1">
              <w:rPr>
                <w:rFonts w:cs="Arial"/>
                <w:szCs w:val="22"/>
              </w:rPr>
              <w:t xml:space="preserve">s </w:t>
            </w:r>
            <w:r w:rsidR="0054030A">
              <w:rPr>
                <w:rFonts w:cs="Arial"/>
                <w:szCs w:val="22"/>
              </w:rPr>
              <w:t>for assisted withdrawal</w:t>
            </w:r>
            <w:r w:rsidR="00BA5AA1">
              <w:rPr>
                <w:rFonts w:cs="Arial"/>
                <w:szCs w:val="22"/>
              </w:rPr>
              <w:t xml:space="preserve"> that </w:t>
            </w:r>
            <w:r w:rsidR="006053C4">
              <w:rPr>
                <w:rFonts w:cs="Arial"/>
                <w:szCs w:val="22"/>
              </w:rPr>
              <w:t>would change the recommendation</w:t>
            </w:r>
            <w:r w:rsidR="00BA5AA1">
              <w:rPr>
                <w:rFonts w:cs="Arial"/>
                <w:szCs w:val="22"/>
              </w:rPr>
              <w:t xml:space="preserve">?  </w:t>
            </w:r>
          </w:p>
        </w:tc>
        <w:tc>
          <w:tcPr>
            <w:tcW w:w="871" w:type="pct"/>
            <w:shd w:val="clear" w:color="auto" w:fill="auto"/>
          </w:tcPr>
          <w:p w14:paraId="61AA64AB" w14:textId="77777777" w:rsidR="00BA5AA1" w:rsidRPr="00590FD2" w:rsidRDefault="00BA5AA1" w:rsidP="00BA5AA1">
            <w:pPr>
              <w:rPr>
                <w:rFonts w:cs="Arial"/>
                <w:szCs w:val="22"/>
              </w:rPr>
            </w:pPr>
          </w:p>
        </w:tc>
        <w:tc>
          <w:tcPr>
            <w:tcW w:w="2233" w:type="pct"/>
            <w:shd w:val="clear" w:color="auto" w:fill="auto"/>
          </w:tcPr>
          <w:p w14:paraId="60E4E077" w14:textId="77777777" w:rsidR="00BA5AA1" w:rsidRPr="00590FD2" w:rsidRDefault="00BA5AA1" w:rsidP="00BA5AA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AA1" w:rsidRPr="00590FD2" w14:paraId="645CA5AB" w14:textId="77777777" w:rsidTr="00BA5AA1">
        <w:tc>
          <w:tcPr>
            <w:tcW w:w="275" w:type="pct"/>
            <w:shd w:val="clear" w:color="auto" w:fill="auto"/>
          </w:tcPr>
          <w:p w14:paraId="41667F89" w14:textId="3C7E1864" w:rsidR="00BA5AA1" w:rsidRDefault="0054030A" w:rsidP="00BA5A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</w:p>
        </w:tc>
        <w:tc>
          <w:tcPr>
            <w:tcW w:w="1621" w:type="pct"/>
            <w:shd w:val="clear" w:color="auto" w:fill="auto"/>
          </w:tcPr>
          <w:p w14:paraId="05497985" w14:textId="56A010E8" w:rsidR="00BA5AA1" w:rsidRDefault="00BA5AA1" w:rsidP="00BA5A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We are not proposing to update pharmacological </w:t>
            </w:r>
            <w:r w:rsidR="0054030A">
              <w:rPr>
                <w:rFonts w:cs="Arial"/>
                <w:szCs w:val="22"/>
              </w:rPr>
              <w:t xml:space="preserve">interventions </w:t>
            </w:r>
            <w:r>
              <w:rPr>
                <w:rFonts w:cs="Arial"/>
                <w:szCs w:val="22"/>
              </w:rPr>
              <w:t>after successful withdrawal (</w:t>
            </w:r>
            <w:hyperlink r:id="rId14" w:history="1">
              <w:r w:rsidRPr="00BA5AA1">
                <w:rPr>
                  <w:rStyle w:val="Hyperlink"/>
                  <w:rFonts w:cs="Arial"/>
                  <w:szCs w:val="22"/>
                </w:rPr>
                <w:t>recommendation</w:t>
              </w:r>
              <w:r w:rsidR="0054030A">
                <w:rPr>
                  <w:rStyle w:val="Hyperlink"/>
                  <w:rFonts w:cs="Arial"/>
                  <w:szCs w:val="22"/>
                </w:rPr>
                <w:t>s</w:t>
              </w:r>
              <w:r w:rsidRPr="00BA5AA1">
                <w:rPr>
                  <w:rStyle w:val="Hyperlink"/>
                  <w:rFonts w:cs="Arial"/>
                  <w:szCs w:val="22"/>
                </w:rPr>
                <w:t xml:space="preserve"> 1.3.</w:t>
              </w:r>
              <w:r w:rsidR="0054030A">
                <w:rPr>
                  <w:rStyle w:val="Hyperlink"/>
                  <w:rFonts w:cs="Arial"/>
                  <w:szCs w:val="22"/>
                </w:rPr>
                <w:t>6</w:t>
              </w:r>
              <w:r w:rsidR="0054030A">
                <w:rPr>
                  <w:rStyle w:val="Hyperlink"/>
                </w:rPr>
                <w:t>.4 to 1.3.6.15</w:t>
              </w:r>
            </w:hyperlink>
            <w:r>
              <w:rPr>
                <w:rFonts w:cs="Arial"/>
                <w:szCs w:val="22"/>
              </w:rPr>
              <w:t xml:space="preserve">) as the new published evidence </w:t>
            </w:r>
            <w:r w:rsidR="00CF1103">
              <w:rPr>
                <w:rFonts w:cs="Arial"/>
                <w:szCs w:val="22"/>
              </w:rPr>
              <w:t xml:space="preserve">identified by the current surveillance review </w:t>
            </w:r>
            <w:r>
              <w:rPr>
                <w:rFonts w:cs="Arial"/>
                <w:szCs w:val="22"/>
              </w:rPr>
              <w:t xml:space="preserve">was not deemed to be sufficient to change guideline recommendations. </w:t>
            </w:r>
          </w:p>
          <w:p w14:paraId="7986F702" w14:textId="77777777" w:rsidR="00FA2381" w:rsidRDefault="00FA2381" w:rsidP="00BA5AA1">
            <w:pPr>
              <w:rPr>
                <w:rFonts w:cs="Arial"/>
                <w:szCs w:val="22"/>
              </w:rPr>
            </w:pPr>
          </w:p>
          <w:p w14:paraId="14377FD1" w14:textId="3710B1C8" w:rsidR="00BA5AA1" w:rsidRDefault="00515136" w:rsidP="00BA5A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Are you aware of new evidence, which was not identified by the current surveillance review, on </w:t>
            </w:r>
            <w:r w:rsidR="0054030A">
              <w:rPr>
                <w:rFonts w:cs="Arial"/>
                <w:szCs w:val="22"/>
              </w:rPr>
              <w:t>drug</w:t>
            </w:r>
            <w:r>
              <w:rPr>
                <w:rFonts w:cs="Arial"/>
                <w:szCs w:val="22"/>
              </w:rPr>
              <w:t xml:space="preserve"> regimen</w:t>
            </w:r>
            <w:r w:rsidR="0054030A">
              <w:rPr>
                <w:rFonts w:cs="Arial"/>
                <w:szCs w:val="22"/>
              </w:rPr>
              <w:t>s</w:t>
            </w:r>
            <w:r w:rsidR="00BA5AA1">
              <w:rPr>
                <w:rFonts w:cs="Arial"/>
                <w:szCs w:val="22"/>
              </w:rPr>
              <w:t xml:space="preserve"> </w:t>
            </w:r>
            <w:r w:rsidR="0054030A">
              <w:rPr>
                <w:rFonts w:cs="Arial"/>
                <w:szCs w:val="22"/>
              </w:rPr>
              <w:t xml:space="preserve">after successful </w:t>
            </w:r>
            <w:r w:rsidR="0054030A">
              <w:rPr>
                <w:rFonts w:cs="Arial"/>
                <w:szCs w:val="22"/>
              </w:rPr>
              <w:lastRenderedPageBreak/>
              <w:t>withdrawal</w:t>
            </w:r>
            <w:r w:rsidR="00BA5AA1">
              <w:rPr>
                <w:rFonts w:cs="Arial"/>
                <w:szCs w:val="22"/>
              </w:rPr>
              <w:t xml:space="preserve"> </w:t>
            </w:r>
            <w:r w:rsidR="00CF1103">
              <w:rPr>
                <w:rFonts w:cs="Arial"/>
                <w:szCs w:val="22"/>
              </w:rPr>
              <w:t>that would change the recommendations</w:t>
            </w:r>
            <w:r w:rsidR="00BA5AA1">
              <w:rPr>
                <w:rFonts w:cs="Arial"/>
                <w:szCs w:val="22"/>
              </w:rPr>
              <w:t xml:space="preserve">?  </w:t>
            </w:r>
          </w:p>
        </w:tc>
        <w:tc>
          <w:tcPr>
            <w:tcW w:w="871" w:type="pct"/>
            <w:shd w:val="clear" w:color="auto" w:fill="auto"/>
          </w:tcPr>
          <w:p w14:paraId="302F2E9F" w14:textId="77777777" w:rsidR="00BA5AA1" w:rsidRPr="00590FD2" w:rsidRDefault="00BA5AA1" w:rsidP="00BA5AA1">
            <w:pPr>
              <w:rPr>
                <w:rFonts w:cs="Arial"/>
                <w:szCs w:val="22"/>
              </w:rPr>
            </w:pPr>
          </w:p>
        </w:tc>
        <w:tc>
          <w:tcPr>
            <w:tcW w:w="2233" w:type="pct"/>
            <w:shd w:val="clear" w:color="auto" w:fill="auto"/>
          </w:tcPr>
          <w:p w14:paraId="1D1C5E5C" w14:textId="77777777" w:rsidR="00BA5AA1" w:rsidRPr="00590FD2" w:rsidRDefault="00BA5AA1" w:rsidP="00BA5AA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B85FFE" w14:textId="77777777" w:rsidR="00590FD2" w:rsidRDefault="00590FD2" w:rsidP="00590FD2">
      <w:pPr>
        <w:rPr>
          <w:sz w:val="18"/>
        </w:rPr>
      </w:pPr>
    </w:p>
    <w:p w14:paraId="55478217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5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33569F12" w14:textId="77777777" w:rsidR="00590FD2" w:rsidRDefault="00590FD2" w:rsidP="00590FD2"/>
    <w:p w14:paraId="1D2152E7" w14:textId="0DBEEB83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B956A3">
        <w:rPr>
          <w:b/>
          <w:sz w:val="24"/>
          <w:szCs w:val="24"/>
        </w:rPr>
        <w:t>5pm</w:t>
      </w:r>
      <w:r w:rsidR="001271EB">
        <w:rPr>
          <w:b/>
          <w:sz w:val="24"/>
          <w:szCs w:val="24"/>
        </w:rPr>
        <w:t xml:space="preserve"> on</w:t>
      </w:r>
      <w:r w:rsidR="00B956A3">
        <w:rPr>
          <w:b/>
          <w:sz w:val="24"/>
          <w:szCs w:val="24"/>
        </w:rPr>
        <w:t xml:space="preserve"> Wednesday</w:t>
      </w:r>
      <w:r w:rsidR="001271EB">
        <w:rPr>
          <w:b/>
          <w:sz w:val="24"/>
          <w:szCs w:val="24"/>
        </w:rPr>
        <w:t>,</w:t>
      </w:r>
      <w:r w:rsidR="00B956A3">
        <w:rPr>
          <w:b/>
          <w:sz w:val="24"/>
          <w:szCs w:val="24"/>
        </w:rPr>
        <w:t xml:space="preserve"> 8 May 2019</w:t>
      </w:r>
    </w:p>
    <w:p w14:paraId="227627D5" w14:textId="77777777" w:rsidR="001E1F8F" w:rsidRDefault="001E1F8F" w:rsidP="00A21BBC">
      <w:pPr>
        <w:rPr>
          <w:b/>
          <w:sz w:val="20"/>
        </w:rPr>
      </w:pPr>
    </w:p>
    <w:p w14:paraId="29E2EDE6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01CD4A07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3B9DAE3C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6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EBF76" w14:textId="77777777" w:rsidR="00702D0F" w:rsidRDefault="00702D0F" w:rsidP="0065467A">
      <w:r>
        <w:separator/>
      </w:r>
    </w:p>
  </w:endnote>
  <w:endnote w:type="continuationSeparator" w:id="0">
    <w:p w14:paraId="3E5BA898" w14:textId="77777777" w:rsidR="00702D0F" w:rsidRDefault="00702D0F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FFA00" w14:textId="77777777" w:rsidR="00702D0F" w:rsidRDefault="00702D0F" w:rsidP="0065467A">
      <w:r>
        <w:separator/>
      </w:r>
    </w:p>
  </w:footnote>
  <w:footnote w:type="continuationSeparator" w:id="0">
    <w:p w14:paraId="3D4D09BD" w14:textId="77777777" w:rsidR="00702D0F" w:rsidRDefault="00702D0F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5BC97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24432FD" wp14:editId="4D64E67B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30AE1F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4B9496C1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0F"/>
    <w:rsid w:val="00021CA9"/>
    <w:rsid w:val="00051391"/>
    <w:rsid w:val="00052675"/>
    <w:rsid w:val="000667DA"/>
    <w:rsid w:val="000A0BA1"/>
    <w:rsid w:val="000C3033"/>
    <w:rsid w:val="0012043E"/>
    <w:rsid w:val="001271EB"/>
    <w:rsid w:val="00127C3F"/>
    <w:rsid w:val="00164DB4"/>
    <w:rsid w:val="001757FD"/>
    <w:rsid w:val="00183008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3F4392"/>
    <w:rsid w:val="004401A2"/>
    <w:rsid w:val="00466FB3"/>
    <w:rsid w:val="00495C38"/>
    <w:rsid w:val="004A558D"/>
    <w:rsid w:val="004D5990"/>
    <w:rsid w:val="00515136"/>
    <w:rsid w:val="0054030A"/>
    <w:rsid w:val="00547B76"/>
    <w:rsid w:val="00576811"/>
    <w:rsid w:val="0058778C"/>
    <w:rsid w:val="00590FD2"/>
    <w:rsid w:val="005E4745"/>
    <w:rsid w:val="006040E9"/>
    <w:rsid w:val="006053C4"/>
    <w:rsid w:val="0065467A"/>
    <w:rsid w:val="006C05C9"/>
    <w:rsid w:val="006D433E"/>
    <w:rsid w:val="00702D0F"/>
    <w:rsid w:val="00706B7B"/>
    <w:rsid w:val="00730953"/>
    <w:rsid w:val="00742302"/>
    <w:rsid w:val="00760E7A"/>
    <w:rsid w:val="007723A3"/>
    <w:rsid w:val="00777C3E"/>
    <w:rsid w:val="007D33D0"/>
    <w:rsid w:val="007E30DB"/>
    <w:rsid w:val="0086367E"/>
    <w:rsid w:val="008C5238"/>
    <w:rsid w:val="008E18FE"/>
    <w:rsid w:val="009269BF"/>
    <w:rsid w:val="009661BD"/>
    <w:rsid w:val="009968C8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D3CE8"/>
    <w:rsid w:val="00AE3E62"/>
    <w:rsid w:val="00B356ED"/>
    <w:rsid w:val="00B65621"/>
    <w:rsid w:val="00B956A3"/>
    <w:rsid w:val="00BA5AA1"/>
    <w:rsid w:val="00BB0CCC"/>
    <w:rsid w:val="00BC3435"/>
    <w:rsid w:val="00C04FD2"/>
    <w:rsid w:val="00C30A4E"/>
    <w:rsid w:val="00C42103"/>
    <w:rsid w:val="00CA6BC7"/>
    <w:rsid w:val="00CF1103"/>
    <w:rsid w:val="00CF3EB7"/>
    <w:rsid w:val="00D0414E"/>
    <w:rsid w:val="00D204C9"/>
    <w:rsid w:val="00D85FF6"/>
    <w:rsid w:val="00D93712"/>
    <w:rsid w:val="00DF6EF2"/>
    <w:rsid w:val="00E018D0"/>
    <w:rsid w:val="00E510BA"/>
    <w:rsid w:val="00E61976"/>
    <w:rsid w:val="00E65EE8"/>
    <w:rsid w:val="00E97921"/>
    <w:rsid w:val="00EE1C2B"/>
    <w:rsid w:val="00EF7DE3"/>
    <w:rsid w:val="00F02CF4"/>
    <w:rsid w:val="00F872D5"/>
    <w:rsid w:val="00F96A0F"/>
    <w:rsid w:val="00FA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72BD93A"/>
  <w15:docId w15:val="{78FDDEC3-14DC-4A37-8E29-DB0B3BFF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B0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hyperlink" Target="https://www.nice.org.uk/guidance/cg115/chapter/1-Guidanc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115" TargetMode="External"/><Relationship Id="rId12" Type="http://schemas.openxmlformats.org/officeDocument/2006/relationships/hyperlink" Target="https://www.nice.org.uk/guidance/cg115/chapter/1-Guidanc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e.org.uk/guidance/cg115/chapter/1-Guidanc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urveillance@nice.org.uk" TargetMode="Externa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cg115/documents/stakeholder-list-2" TargetMode="External"/><Relationship Id="rId14" Type="http://schemas.openxmlformats.org/officeDocument/2006/relationships/hyperlink" Target="https://www.nice.org.uk/guidance/cg115/chapter/1-Guida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79</TotalTime>
  <Pages>4</Pages>
  <Words>691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Whittaker</dc:creator>
  <cp:lastModifiedBy>Michelle Whittaker</cp:lastModifiedBy>
  <cp:revision>20</cp:revision>
  <cp:lastPrinted>2016-08-02T11:05:00Z</cp:lastPrinted>
  <dcterms:created xsi:type="dcterms:W3CDTF">2019-04-09T14:53:00Z</dcterms:created>
  <dcterms:modified xsi:type="dcterms:W3CDTF">2019-04-25T10:09:00Z</dcterms:modified>
</cp:coreProperties>
</file>