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A4531" w:rsidRDefault="00875EE6" w14:paraId="672A6659" w14:textId="77777777">
      <w:pPr>
        <w:pStyle w:val="BodyText"/>
        <w:ind w:left="192"/>
        <w:rPr>
          <w:rFonts w:ascii="Times New Roman"/>
          <w:sz w:val="20"/>
        </w:rPr>
      </w:pPr>
      <w:r>
        <w:rPr>
          <w:rFonts w:ascii="Times New Roman"/>
          <w:noProof/>
          <w:sz w:val="20"/>
        </w:rPr>
        <w:drawing>
          <wp:inline distT="0" distB="0" distL="0" distR="0" wp14:anchorId="4AC78DE8" wp14:editId="07777777">
            <wp:extent cx="5688591" cy="8281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5688591" cy="828103"/>
                    </a:xfrm>
                    <a:prstGeom prst="rect">
                      <a:avLst/>
                    </a:prstGeom>
                  </pic:spPr>
                </pic:pic>
              </a:graphicData>
            </a:graphic>
          </wp:inline>
        </w:drawing>
      </w:r>
    </w:p>
    <w:p w:rsidR="009A4531" w:rsidRDefault="009A4531" w14:paraId="0A37501D" w14:textId="77777777">
      <w:pPr>
        <w:pStyle w:val="BodyText"/>
        <w:spacing w:before="51"/>
        <w:rPr>
          <w:rFonts w:ascii="Times New Roman"/>
        </w:rPr>
      </w:pPr>
    </w:p>
    <w:p w:rsidR="009A4531" w:rsidRDefault="00875EE6" w14:paraId="468475D0" w14:textId="77777777">
      <w:pPr>
        <w:pStyle w:val="BodyText"/>
        <w:spacing w:before="1"/>
        <w:ind w:left="106"/>
      </w:pPr>
      <w:r>
        <w:t>18</w:t>
      </w:r>
      <w:r>
        <w:rPr>
          <w:spacing w:val="-4"/>
        </w:rPr>
        <w:t xml:space="preserve"> </w:t>
      </w:r>
      <w:r>
        <w:t>March</w:t>
      </w:r>
      <w:r>
        <w:rPr>
          <w:spacing w:val="-3"/>
        </w:rPr>
        <w:t xml:space="preserve"> </w:t>
      </w:r>
      <w:r>
        <w:rPr>
          <w:spacing w:val="-4"/>
        </w:rPr>
        <w:t>2024</w:t>
      </w:r>
    </w:p>
    <w:p w:rsidR="009A4531" w:rsidRDefault="009A4531" w14:paraId="5DAB6C7B" w14:textId="77777777">
      <w:pPr>
        <w:pStyle w:val="BodyText"/>
        <w:spacing w:before="33"/>
      </w:pPr>
    </w:p>
    <w:p w:rsidR="009A4531" w:rsidRDefault="00875EE6" w14:paraId="422D2F5E" w14:textId="77777777">
      <w:pPr>
        <w:pStyle w:val="BodyText"/>
        <w:ind w:left="106"/>
      </w:pPr>
      <w:r>
        <w:t>Dr</w:t>
      </w:r>
      <w:r>
        <w:rPr>
          <w:spacing w:val="-3"/>
        </w:rPr>
        <w:t xml:space="preserve"> </w:t>
      </w:r>
      <w:r>
        <w:t xml:space="preserve">Mark </w:t>
      </w:r>
      <w:r>
        <w:rPr>
          <w:spacing w:val="-2"/>
        </w:rPr>
        <w:t>Chakravarty</w:t>
      </w:r>
    </w:p>
    <w:p w:rsidR="009A4531" w:rsidRDefault="00875EE6" w14:paraId="0FAC8EBD" w14:textId="77777777">
      <w:pPr>
        <w:pStyle w:val="BodyText"/>
        <w:spacing w:before="12" w:line="247" w:lineRule="auto"/>
        <w:ind w:left="115" w:hanging="10"/>
      </w:pPr>
      <w:r>
        <w:t>Lead</w:t>
      </w:r>
      <w:r>
        <w:rPr>
          <w:spacing w:val="-10"/>
        </w:rPr>
        <w:t xml:space="preserve"> </w:t>
      </w:r>
      <w:r>
        <w:t>Non-executive</w:t>
      </w:r>
      <w:r>
        <w:rPr>
          <w:spacing w:val="-8"/>
        </w:rPr>
        <w:t xml:space="preserve"> </w:t>
      </w:r>
      <w:r>
        <w:t>Director</w:t>
      </w:r>
      <w:r>
        <w:rPr>
          <w:spacing w:val="-6"/>
        </w:rPr>
        <w:t xml:space="preserve"> </w:t>
      </w:r>
      <w:r>
        <w:t>NICE</w:t>
      </w:r>
      <w:r>
        <w:rPr>
          <w:spacing w:val="-17"/>
        </w:rPr>
        <w:t xml:space="preserve"> </w:t>
      </w:r>
      <w:r>
        <w:t>Appeals</w:t>
      </w:r>
      <w:r>
        <w:rPr>
          <w:spacing w:val="-5"/>
        </w:rPr>
        <w:t xml:space="preserve"> </w:t>
      </w:r>
      <w:r>
        <w:t>–</w:t>
      </w:r>
      <w:r>
        <w:rPr>
          <w:spacing w:val="-12"/>
        </w:rPr>
        <w:t xml:space="preserve"> </w:t>
      </w:r>
      <w:r>
        <w:t>Technology</w:t>
      </w:r>
      <w:r>
        <w:rPr>
          <w:spacing w:val="-17"/>
        </w:rPr>
        <w:t xml:space="preserve"> </w:t>
      </w:r>
      <w:r>
        <w:t>Appraisals</w:t>
      </w:r>
      <w:r>
        <w:rPr>
          <w:spacing w:val="-9"/>
        </w:rPr>
        <w:t xml:space="preserve"> </w:t>
      </w:r>
      <w:r>
        <w:t>and</w:t>
      </w:r>
      <w:r>
        <w:rPr>
          <w:spacing w:val="-6"/>
        </w:rPr>
        <w:t xml:space="preserve"> </w:t>
      </w:r>
      <w:r>
        <w:t>Highly Specialised Technologies</w:t>
      </w:r>
    </w:p>
    <w:p w:rsidR="009A4531" w:rsidRDefault="009A4531" w14:paraId="02EB378F" w14:textId="77777777">
      <w:pPr>
        <w:pStyle w:val="BodyText"/>
        <w:spacing w:before="27"/>
      </w:pPr>
    </w:p>
    <w:p w:rsidR="009A4531" w:rsidRDefault="00875EE6" w14:paraId="23758FE1" w14:textId="77777777">
      <w:pPr>
        <w:pStyle w:val="BodyText"/>
        <w:spacing w:line="247" w:lineRule="auto"/>
        <w:ind w:left="106" w:right="3798"/>
      </w:pPr>
      <w:r>
        <w:t>National</w:t>
      </w:r>
      <w:r>
        <w:rPr>
          <w:spacing w:val="-9"/>
        </w:rPr>
        <w:t xml:space="preserve"> </w:t>
      </w:r>
      <w:r>
        <w:t>Institute</w:t>
      </w:r>
      <w:r>
        <w:rPr>
          <w:spacing w:val="-5"/>
        </w:rPr>
        <w:t xml:space="preserve"> </w:t>
      </w:r>
      <w:r>
        <w:t>for</w:t>
      </w:r>
      <w:r>
        <w:rPr>
          <w:spacing w:val="-6"/>
        </w:rPr>
        <w:t xml:space="preserve"> </w:t>
      </w:r>
      <w:r>
        <w:t>Health</w:t>
      </w:r>
      <w:r>
        <w:rPr>
          <w:spacing w:val="-8"/>
        </w:rPr>
        <w:t xml:space="preserve"> </w:t>
      </w:r>
      <w:r>
        <w:t>and</w:t>
      </w:r>
      <w:r>
        <w:rPr>
          <w:spacing w:val="-8"/>
        </w:rPr>
        <w:t xml:space="preserve"> </w:t>
      </w:r>
      <w:r>
        <w:t>Care</w:t>
      </w:r>
      <w:r>
        <w:rPr>
          <w:spacing w:val="-6"/>
        </w:rPr>
        <w:t xml:space="preserve"> </w:t>
      </w:r>
      <w:r>
        <w:t>Excellence 2</w:t>
      </w:r>
      <w:r>
        <w:rPr>
          <w:position w:val="8"/>
          <w:sz w:val="16"/>
        </w:rPr>
        <w:t xml:space="preserve">nd </w:t>
      </w:r>
      <w:r>
        <w:t>Floor</w:t>
      </w:r>
    </w:p>
    <w:p w:rsidR="009A4531" w:rsidRDefault="00875EE6" w14:paraId="2409B795" w14:textId="77777777">
      <w:pPr>
        <w:pStyle w:val="BodyText"/>
        <w:spacing w:before="1" w:line="249" w:lineRule="auto"/>
        <w:ind w:left="106" w:right="6672"/>
      </w:pPr>
      <w:r>
        <w:t>2</w:t>
      </w:r>
      <w:r>
        <w:rPr>
          <w:spacing w:val="-2"/>
        </w:rPr>
        <w:t xml:space="preserve"> </w:t>
      </w:r>
      <w:r>
        <w:t>Redman</w:t>
      </w:r>
      <w:r>
        <w:rPr>
          <w:spacing w:val="-2"/>
        </w:rPr>
        <w:t xml:space="preserve"> </w:t>
      </w:r>
      <w:r>
        <w:t>Place London</w:t>
      </w:r>
      <w:r>
        <w:rPr>
          <w:spacing w:val="-6"/>
        </w:rPr>
        <w:t xml:space="preserve"> </w:t>
      </w:r>
      <w:r>
        <w:t>E20</w:t>
      </w:r>
      <w:r>
        <w:rPr>
          <w:spacing w:val="-2"/>
        </w:rPr>
        <w:t xml:space="preserve"> </w:t>
      </w:r>
      <w:r>
        <w:rPr>
          <w:spacing w:val="-5"/>
        </w:rPr>
        <w:t>1JQ</w:t>
      </w:r>
    </w:p>
    <w:p w:rsidR="009A4531" w:rsidRDefault="009A4531" w14:paraId="6A05A809" w14:textId="77777777">
      <w:pPr>
        <w:pStyle w:val="BodyText"/>
        <w:spacing w:before="23"/>
      </w:pPr>
    </w:p>
    <w:p w:rsidR="009A4531" w:rsidRDefault="00875EE6" w14:paraId="3B17349A" w14:textId="77777777">
      <w:pPr>
        <w:pStyle w:val="BodyText"/>
        <w:ind w:left="106"/>
      </w:pPr>
      <w:r>
        <w:t>Dear</w:t>
      </w:r>
      <w:r>
        <w:rPr>
          <w:spacing w:val="-1"/>
        </w:rPr>
        <w:t xml:space="preserve"> </w:t>
      </w:r>
      <w:r>
        <w:t>Dr</w:t>
      </w:r>
      <w:r>
        <w:rPr>
          <w:spacing w:val="-1"/>
        </w:rPr>
        <w:t xml:space="preserve"> </w:t>
      </w:r>
      <w:r>
        <w:rPr>
          <w:spacing w:val="-2"/>
        </w:rPr>
        <w:t>Chakravarty,</w:t>
      </w:r>
    </w:p>
    <w:p w:rsidR="009A4531" w:rsidRDefault="009A4531" w14:paraId="5A39BBE3" w14:textId="77777777">
      <w:pPr>
        <w:pStyle w:val="BodyText"/>
        <w:spacing w:before="34"/>
      </w:pPr>
    </w:p>
    <w:p w:rsidR="009A4531" w:rsidRDefault="00875EE6" w14:paraId="0ED82D47" w14:textId="77777777">
      <w:pPr>
        <w:spacing w:line="247" w:lineRule="auto"/>
        <w:ind w:left="115" w:right="199" w:hanging="10"/>
        <w:rPr>
          <w:sz w:val="24"/>
        </w:rPr>
      </w:pPr>
      <w:r>
        <w:rPr>
          <w:b/>
          <w:sz w:val="24"/>
        </w:rPr>
        <w:t>Re:</w:t>
      </w:r>
      <w:r>
        <w:rPr>
          <w:b/>
          <w:spacing w:val="-4"/>
          <w:sz w:val="24"/>
        </w:rPr>
        <w:t xml:space="preserve"> </w:t>
      </w:r>
      <w:r>
        <w:rPr>
          <w:b/>
          <w:sz w:val="24"/>
        </w:rPr>
        <w:t>Final</w:t>
      </w:r>
      <w:r>
        <w:rPr>
          <w:b/>
          <w:spacing w:val="-12"/>
          <w:sz w:val="24"/>
        </w:rPr>
        <w:t xml:space="preserve"> </w:t>
      </w:r>
      <w:r>
        <w:rPr>
          <w:b/>
          <w:sz w:val="24"/>
        </w:rPr>
        <w:t>Appraisal</w:t>
      </w:r>
      <w:r>
        <w:rPr>
          <w:b/>
          <w:spacing w:val="-4"/>
          <w:sz w:val="24"/>
        </w:rPr>
        <w:t xml:space="preserve"> </w:t>
      </w:r>
      <w:r>
        <w:rPr>
          <w:b/>
          <w:sz w:val="24"/>
        </w:rPr>
        <w:t>Determination</w:t>
      </w:r>
      <w:r>
        <w:rPr>
          <w:b/>
          <w:spacing w:val="-2"/>
          <w:sz w:val="24"/>
        </w:rPr>
        <w:t xml:space="preserve"> </w:t>
      </w:r>
      <w:r>
        <w:rPr>
          <w:b/>
          <w:sz w:val="24"/>
        </w:rPr>
        <w:t>–</w:t>
      </w:r>
      <w:r>
        <w:rPr>
          <w:b/>
          <w:spacing w:val="-5"/>
          <w:sz w:val="24"/>
        </w:rPr>
        <w:t xml:space="preserve"> </w:t>
      </w:r>
      <w:r>
        <w:rPr>
          <w:sz w:val="24"/>
        </w:rPr>
        <w:t>Olipudase</w:t>
      </w:r>
      <w:r>
        <w:rPr>
          <w:spacing w:val="-4"/>
          <w:sz w:val="24"/>
        </w:rPr>
        <w:t xml:space="preserve"> </w:t>
      </w:r>
      <w:r>
        <w:rPr>
          <w:sz w:val="24"/>
        </w:rPr>
        <w:t>alfa</w:t>
      </w:r>
      <w:r>
        <w:rPr>
          <w:spacing w:val="-4"/>
          <w:sz w:val="24"/>
        </w:rPr>
        <w:t xml:space="preserve"> </w:t>
      </w:r>
      <w:r>
        <w:rPr>
          <w:sz w:val="24"/>
        </w:rPr>
        <w:t>for</w:t>
      </w:r>
      <w:r>
        <w:rPr>
          <w:spacing w:val="-4"/>
          <w:sz w:val="24"/>
        </w:rPr>
        <w:t xml:space="preserve"> </w:t>
      </w:r>
      <w:r>
        <w:rPr>
          <w:sz w:val="24"/>
        </w:rPr>
        <w:t>treating</w:t>
      </w:r>
      <w:r>
        <w:rPr>
          <w:spacing w:val="-4"/>
          <w:sz w:val="24"/>
        </w:rPr>
        <w:t xml:space="preserve"> </w:t>
      </w:r>
      <w:r>
        <w:rPr>
          <w:sz w:val="24"/>
        </w:rPr>
        <w:t>Niemann-Pick disease types A and B [ID3913]</w:t>
      </w:r>
    </w:p>
    <w:p w:rsidR="009A4531" w:rsidRDefault="009A4531" w14:paraId="41C8F396" w14:textId="77777777">
      <w:pPr>
        <w:pStyle w:val="BodyText"/>
        <w:spacing w:before="26"/>
      </w:pPr>
    </w:p>
    <w:p w:rsidR="009A4531" w:rsidRDefault="00875EE6" w14:paraId="04C940F5" w14:textId="77777777">
      <w:pPr>
        <w:pStyle w:val="BodyText"/>
        <w:spacing w:before="1" w:line="247" w:lineRule="auto"/>
        <w:ind w:left="115" w:right="215" w:hanging="10"/>
        <w:jc w:val="both"/>
      </w:pPr>
      <w:r>
        <w:t>We</w:t>
      </w:r>
      <w:r>
        <w:rPr>
          <w:spacing w:val="-1"/>
        </w:rPr>
        <w:t xml:space="preserve"> </w:t>
      </w:r>
      <w:r>
        <w:t>are</w:t>
      </w:r>
      <w:r>
        <w:rPr>
          <w:spacing w:val="-4"/>
        </w:rPr>
        <w:t xml:space="preserve"> </w:t>
      </w:r>
      <w:r>
        <w:t>writing</w:t>
      </w:r>
      <w:r>
        <w:rPr>
          <w:spacing w:val="-1"/>
        </w:rPr>
        <w:t xml:space="preserve"> </w:t>
      </w:r>
      <w:r>
        <w:t>this</w:t>
      </w:r>
      <w:r>
        <w:rPr>
          <w:spacing w:val="-1"/>
        </w:rPr>
        <w:t xml:space="preserve"> </w:t>
      </w:r>
      <w:r>
        <w:t>letter</w:t>
      </w:r>
      <w:r>
        <w:rPr>
          <w:spacing w:val="-1"/>
        </w:rPr>
        <w:t xml:space="preserve"> </w:t>
      </w:r>
      <w:r>
        <w:t>to</w:t>
      </w:r>
      <w:r>
        <w:rPr>
          <w:spacing w:val="-1"/>
        </w:rPr>
        <w:t xml:space="preserve"> </w:t>
      </w:r>
      <w:r>
        <w:t>appeal</w:t>
      </w:r>
      <w:r>
        <w:rPr>
          <w:spacing w:val="-1"/>
        </w:rPr>
        <w:t xml:space="preserve"> </w:t>
      </w:r>
      <w:r>
        <w:t>the</w:t>
      </w:r>
      <w:r>
        <w:rPr>
          <w:spacing w:val="-1"/>
        </w:rPr>
        <w:t xml:space="preserve"> </w:t>
      </w:r>
      <w:r>
        <w:t>NICE</w:t>
      </w:r>
      <w:r>
        <w:rPr>
          <w:spacing w:val="-3"/>
        </w:rPr>
        <w:t xml:space="preserve"> </w:t>
      </w:r>
      <w:r>
        <w:t>final</w:t>
      </w:r>
      <w:r>
        <w:rPr>
          <w:spacing w:val="-1"/>
        </w:rPr>
        <w:t xml:space="preserve"> </w:t>
      </w:r>
      <w:r>
        <w:t>draft</w:t>
      </w:r>
      <w:r>
        <w:rPr>
          <w:spacing w:val="-3"/>
        </w:rPr>
        <w:t xml:space="preserve"> </w:t>
      </w:r>
      <w:r>
        <w:t>guidance</w:t>
      </w:r>
      <w:r>
        <w:rPr>
          <w:spacing w:val="-1"/>
        </w:rPr>
        <w:t xml:space="preserve"> </w:t>
      </w:r>
      <w:r>
        <w:t>on</w:t>
      </w:r>
      <w:r>
        <w:rPr>
          <w:spacing w:val="-3"/>
        </w:rPr>
        <w:t xml:space="preserve"> </w:t>
      </w:r>
      <w:r>
        <w:t>olipudase</w:t>
      </w:r>
      <w:r>
        <w:rPr>
          <w:spacing w:val="-1"/>
        </w:rPr>
        <w:t xml:space="preserve"> </w:t>
      </w:r>
      <w:r>
        <w:t>alfa</w:t>
      </w:r>
      <w:r>
        <w:rPr>
          <w:spacing w:val="-1"/>
        </w:rPr>
        <w:t xml:space="preserve"> </w:t>
      </w:r>
      <w:r>
        <w:t>for treating</w:t>
      </w:r>
      <w:r>
        <w:rPr>
          <w:spacing w:val="-4"/>
        </w:rPr>
        <w:t xml:space="preserve"> </w:t>
      </w:r>
      <w:r>
        <w:t>Niemann-Pick</w:t>
      </w:r>
      <w:r>
        <w:rPr>
          <w:spacing w:val="-4"/>
        </w:rPr>
        <w:t xml:space="preserve"> </w:t>
      </w:r>
      <w:r>
        <w:t>disease</w:t>
      </w:r>
      <w:r>
        <w:rPr>
          <w:spacing w:val="-3"/>
        </w:rPr>
        <w:t xml:space="preserve"> </w:t>
      </w:r>
      <w:r>
        <w:t>types</w:t>
      </w:r>
      <w:r>
        <w:rPr>
          <w:spacing w:val="-15"/>
        </w:rPr>
        <w:t xml:space="preserve"> </w:t>
      </w:r>
      <w:r>
        <w:t>A</w:t>
      </w:r>
      <w:r>
        <w:rPr>
          <w:spacing w:val="-17"/>
        </w:rPr>
        <w:t xml:space="preserve"> </w:t>
      </w:r>
      <w:r>
        <w:t>and</w:t>
      </w:r>
      <w:r>
        <w:rPr>
          <w:spacing w:val="-3"/>
        </w:rPr>
        <w:t xml:space="preserve"> </w:t>
      </w:r>
      <w:r>
        <w:t>B</w:t>
      </w:r>
      <w:r>
        <w:rPr>
          <w:spacing w:val="-2"/>
        </w:rPr>
        <w:t xml:space="preserve"> </w:t>
      </w:r>
      <w:r>
        <w:t>[ID3913]</w:t>
      </w:r>
      <w:r>
        <w:rPr>
          <w:spacing w:val="-3"/>
        </w:rPr>
        <w:t xml:space="preserve"> </w:t>
      </w:r>
      <w:r>
        <w:t>on</w:t>
      </w:r>
      <w:r>
        <w:rPr>
          <w:spacing w:val="-2"/>
        </w:rPr>
        <w:t xml:space="preserve"> </w:t>
      </w:r>
      <w:r>
        <w:t>the</w:t>
      </w:r>
      <w:r>
        <w:rPr>
          <w:spacing w:val="-3"/>
        </w:rPr>
        <w:t xml:space="preserve"> </w:t>
      </w:r>
      <w:r>
        <w:t>grounds</w:t>
      </w:r>
      <w:r>
        <w:rPr>
          <w:spacing w:val="-2"/>
        </w:rPr>
        <w:t xml:space="preserve"> </w:t>
      </w:r>
      <w:r>
        <w:t>that</w:t>
      </w:r>
      <w:r>
        <w:rPr>
          <w:spacing w:val="-3"/>
        </w:rPr>
        <w:t xml:space="preserve"> </w:t>
      </w:r>
      <w:r>
        <w:t>NICE</w:t>
      </w:r>
      <w:r>
        <w:rPr>
          <w:spacing w:val="-2"/>
        </w:rPr>
        <w:t xml:space="preserve"> </w:t>
      </w:r>
      <w:r>
        <w:t>has failed to act fairly. We set out our points of appeal below.</w:t>
      </w:r>
    </w:p>
    <w:p w:rsidR="009A4531" w:rsidRDefault="009A4531" w14:paraId="72A3D3EC" w14:textId="77777777">
      <w:pPr>
        <w:pStyle w:val="BodyText"/>
        <w:spacing w:before="27"/>
      </w:pPr>
    </w:p>
    <w:p w:rsidR="009A4531" w:rsidRDefault="00875EE6" w14:paraId="14EC08B4" w14:textId="77777777">
      <w:pPr>
        <w:pStyle w:val="Title"/>
        <w:spacing w:before="1"/>
        <w:ind w:right="304"/>
      </w:pPr>
      <w:r>
        <w:t>Ground 1 (a): the decision not to recommend treatment with olipudase alfa is unfair on patients with Niemann-Pick disease type B because similar enzyme replacement therapies for other lysosomal storage disorders which are less cost</w:t>
      </w:r>
      <w:r>
        <w:rPr>
          <w:spacing w:val="-4"/>
        </w:rPr>
        <w:t xml:space="preserve"> </w:t>
      </w:r>
      <w:r>
        <w:t>effective</w:t>
      </w:r>
      <w:r>
        <w:rPr>
          <w:spacing w:val="-4"/>
        </w:rPr>
        <w:t xml:space="preserve"> </w:t>
      </w:r>
      <w:r>
        <w:t>have</w:t>
      </w:r>
      <w:r>
        <w:rPr>
          <w:spacing w:val="-4"/>
        </w:rPr>
        <w:t xml:space="preserve"> </w:t>
      </w:r>
      <w:r>
        <w:t>received</w:t>
      </w:r>
      <w:r>
        <w:rPr>
          <w:spacing w:val="-4"/>
        </w:rPr>
        <w:t xml:space="preserve"> </w:t>
      </w:r>
      <w:r>
        <w:t>positive</w:t>
      </w:r>
      <w:r>
        <w:rPr>
          <w:spacing w:val="-4"/>
        </w:rPr>
        <w:t xml:space="preserve"> </w:t>
      </w:r>
      <w:r>
        <w:t>recommendations.</w:t>
      </w:r>
      <w:r>
        <w:rPr>
          <w:spacing w:val="40"/>
        </w:rPr>
        <w:t xml:space="preserve"> </w:t>
      </w:r>
      <w:r>
        <w:rPr>
          <w:color w:val="202020"/>
        </w:rPr>
        <w:t>We</w:t>
      </w:r>
      <w:r>
        <w:rPr>
          <w:color w:val="202020"/>
          <w:spacing w:val="-6"/>
        </w:rPr>
        <w:t xml:space="preserve"> </w:t>
      </w:r>
      <w:r>
        <w:rPr>
          <w:color w:val="202020"/>
        </w:rPr>
        <w:t>believe</w:t>
      </w:r>
      <w:r>
        <w:rPr>
          <w:color w:val="202020"/>
          <w:spacing w:val="-4"/>
        </w:rPr>
        <w:t xml:space="preserve"> </w:t>
      </w:r>
      <w:r>
        <w:rPr>
          <w:color w:val="202020"/>
        </w:rPr>
        <w:t>that</w:t>
      </w:r>
      <w:r>
        <w:rPr>
          <w:color w:val="202020"/>
          <w:spacing w:val="-4"/>
        </w:rPr>
        <w:t xml:space="preserve"> </w:t>
      </w:r>
      <w:r>
        <w:rPr>
          <w:color w:val="202020"/>
        </w:rPr>
        <w:t>NICE is using entirely different criteria to assess novel treatments for diseases where no disease modifying therapy is available, to those criteria they are</w:t>
      </w:r>
    </w:p>
    <w:p w:rsidR="009A4531" w:rsidRDefault="00875EE6" w14:paraId="482F9C3E" w14:textId="77777777">
      <w:pPr>
        <w:pStyle w:val="Title"/>
      </w:pPr>
      <w:r>
        <w:rPr>
          <w:color w:val="202020"/>
        </w:rPr>
        <w:t>using</w:t>
      </w:r>
      <w:r>
        <w:rPr>
          <w:color w:val="202020"/>
          <w:spacing w:val="-3"/>
        </w:rPr>
        <w:t xml:space="preserve"> </w:t>
      </w:r>
      <w:r>
        <w:rPr>
          <w:color w:val="202020"/>
        </w:rPr>
        <w:t>to</w:t>
      </w:r>
      <w:r>
        <w:rPr>
          <w:color w:val="202020"/>
          <w:spacing w:val="-3"/>
        </w:rPr>
        <w:t xml:space="preserve"> </w:t>
      </w:r>
      <w:r>
        <w:rPr>
          <w:color w:val="202020"/>
        </w:rPr>
        <w:t>assess</w:t>
      </w:r>
      <w:r>
        <w:rPr>
          <w:color w:val="202020"/>
          <w:spacing w:val="-3"/>
        </w:rPr>
        <w:t xml:space="preserve"> </w:t>
      </w:r>
      <w:r>
        <w:rPr>
          <w:color w:val="202020"/>
        </w:rPr>
        <w:t>new</w:t>
      </w:r>
      <w:r>
        <w:rPr>
          <w:color w:val="202020"/>
          <w:spacing w:val="-7"/>
        </w:rPr>
        <w:t xml:space="preserve"> </w:t>
      </w:r>
      <w:r>
        <w:rPr>
          <w:color w:val="202020"/>
        </w:rPr>
        <w:t>therapies</w:t>
      </w:r>
      <w:r>
        <w:rPr>
          <w:color w:val="202020"/>
          <w:spacing w:val="-5"/>
        </w:rPr>
        <w:t xml:space="preserve"> </w:t>
      </w:r>
      <w:r>
        <w:rPr>
          <w:color w:val="202020"/>
        </w:rPr>
        <w:t>for</w:t>
      </w:r>
      <w:r>
        <w:rPr>
          <w:color w:val="202020"/>
          <w:spacing w:val="-3"/>
        </w:rPr>
        <w:t xml:space="preserve"> </w:t>
      </w:r>
      <w:r>
        <w:rPr>
          <w:color w:val="202020"/>
        </w:rPr>
        <w:t>diseases</w:t>
      </w:r>
      <w:r>
        <w:rPr>
          <w:color w:val="202020"/>
          <w:spacing w:val="-3"/>
        </w:rPr>
        <w:t xml:space="preserve"> </w:t>
      </w:r>
      <w:r>
        <w:rPr>
          <w:color w:val="202020"/>
        </w:rPr>
        <w:t>where</w:t>
      </w:r>
      <w:r>
        <w:rPr>
          <w:color w:val="202020"/>
          <w:spacing w:val="-3"/>
        </w:rPr>
        <w:t xml:space="preserve"> </w:t>
      </w:r>
      <w:r>
        <w:rPr>
          <w:color w:val="202020"/>
        </w:rPr>
        <w:t>other</w:t>
      </w:r>
      <w:r>
        <w:rPr>
          <w:color w:val="202020"/>
          <w:spacing w:val="-3"/>
        </w:rPr>
        <w:t xml:space="preserve"> </w:t>
      </w:r>
      <w:r>
        <w:rPr>
          <w:color w:val="202020"/>
        </w:rPr>
        <w:t>licensed</w:t>
      </w:r>
      <w:r>
        <w:rPr>
          <w:color w:val="202020"/>
          <w:spacing w:val="-3"/>
        </w:rPr>
        <w:t xml:space="preserve"> </w:t>
      </w:r>
      <w:r>
        <w:rPr>
          <w:color w:val="202020"/>
        </w:rPr>
        <w:t>treatment options already exist.</w:t>
      </w:r>
    </w:p>
    <w:p w:rsidR="009A4531" w:rsidRDefault="009A4531" w14:paraId="0D0B940D" w14:textId="77777777">
      <w:pPr>
        <w:pStyle w:val="BodyText"/>
        <w:spacing w:before="22"/>
        <w:rPr>
          <w:b/>
        </w:rPr>
      </w:pPr>
    </w:p>
    <w:p w:rsidR="009A4531" w:rsidRDefault="00875EE6" w14:paraId="48F7E521" w14:textId="77777777">
      <w:pPr>
        <w:pStyle w:val="BodyText"/>
        <w:spacing w:line="249" w:lineRule="auto"/>
        <w:ind w:left="115" w:right="199" w:hanging="10"/>
      </w:pPr>
      <w:r>
        <w:t>The</w:t>
      </w:r>
      <w:r>
        <w:rPr>
          <w:spacing w:val="-7"/>
        </w:rPr>
        <w:t xml:space="preserve"> </w:t>
      </w:r>
      <w:r>
        <w:t>Highly</w:t>
      </w:r>
      <w:r>
        <w:rPr>
          <w:spacing w:val="-7"/>
        </w:rPr>
        <w:t xml:space="preserve"> </w:t>
      </w:r>
      <w:r>
        <w:t>Specialised</w:t>
      </w:r>
      <w:r>
        <w:rPr>
          <w:spacing w:val="-12"/>
        </w:rPr>
        <w:t xml:space="preserve"> </w:t>
      </w:r>
      <w:r>
        <w:t>Technology</w:t>
      </w:r>
      <w:r>
        <w:rPr>
          <w:spacing w:val="-7"/>
        </w:rPr>
        <w:t xml:space="preserve"> </w:t>
      </w:r>
      <w:r>
        <w:t>committee</w:t>
      </w:r>
      <w:r>
        <w:rPr>
          <w:spacing w:val="-8"/>
        </w:rPr>
        <w:t xml:space="preserve"> </w:t>
      </w:r>
      <w:r>
        <w:t>which</w:t>
      </w:r>
      <w:r>
        <w:rPr>
          <w:spacing w:val="-7"/>
        </w:rPr>
        <w:t xml:space="preserve"> </w:t>
      </w:r>
      <w:r>
        <w:t>assessed</w:t>
      </w:r>
      <w:r>
        <w:rPr>
          <w:spacing w:val="-8"/>
        </w:rPr>
        <w:t xml:space="preserve"> </w:t>
      </w:r>
      <w:r>
        <w:t>olipudase</w:t>
      </w:r>
      <w:r>
        <w:rPr>
          <w:spacing w:val="-8"/>
        </w:rPr>
        <w:t xml:space="preserve"> </w:t>
      </w:r>
      <w:r>
        <w:t>alfa</w:t>
      </w:r>
      <w:r>
        <w:rPr>
          <w:spacing w:val="-8"/>
        </w:rPr>
        <w:t xml:space="preserve"> </w:t>
      </w:r>
      <w:r>
        <w:t>agreed that this is a highly effective therapy for Niemann-Pick disease type B (NPB).</w:t>
      </w:r>
      <w:r>
        <w:rPr>
          <w:spacing w:val="40"/>
        </w:rPr>
        <w:t xml:space="preserve"> </w:t>
      </w:r>
      <w:r>
        <w:t>They agreed that the technology met the criteria for a 1.5% discount rate to be applied rather than the preferred 3.5% rate.</w:t>
      </w:r>
      <w:r>
        <w:rPr>
          <w:spacing w:val="40"/>
        </w:rPr>
        <w:t xml:space="preserve"> </w:t>
      </w:r>
      <w:r>
        <w:t>They determined that treatment would lead to a substantial gain of 27.6 QALYs and applied a full QALY weighting of 2.7.</w:t>
      </w:r>
    </w:p>
    <w:p w:rsidR="009A4531" w:rsidRDefault="009A4531" w14:paraId="0E27B00A" w14:textId="77777777">
      <w:pPr>
        <w:pStyle w:val="BodyText"/>
        <w:spacing w:before="20"/>
      </w:pPr>
    </w:p>
    <w:p w:rsidR="009A4531" w:rsidRDefault="00875EE6" w14:paraId="1D17489B" w14:textId="77777777">
      <w:pPr>
        <w:pStyle w:val="BodyText"/>
        <w:spacing w:line="249" w:lineRule="auto"/>
        <w:ind w:left="115" w:right="199" w:hanging="10"/>
      </w:pPr>
      <w:r>
        <w:t>Despite</w:t>
      </w:r>
      <w:r>
        <w:rPr>
          <w:spacing w:val="-3"/>
        </w:rPr>
        <w:t xml:space="preserve"> </w:t>
      </w:r>
      <w:r>
        <w:t>this</w:t>
      </w:r>
      <w:r>
        <w:rPr>
          <w:spacing w:val="-3"/>
        </w:rPr>
        <w:t xml:space="preserve"> </w:t>
      </w:r>
      <w:r>
        <w:t>favourable</w:t>
      </w:r>
      <w:r>
        <w:rPr>
          <w:spacing w:val="-5"/>
        </w:rPr>
        <w:t xml:space="preserve"> </w:t>
      </w:r>
      <w:r>
        <w:t>treatment,</w:t>
      </w:r>
      <w:r>
        <w:rPr>
          <w:spacing w:val="-3"/>
        </w:rPr>
        <w:t xml:space="preserve"> </w:t>
      </w:r>
      <w:r>
        <w:t>the</w:t>
      </w:r>
      <w:r>
        <w:rPr>
          <w:spacing w:val="-3"/>
        </w:rPr>
        <w:t xml:space="preserve"> </w:t>
      </w:r>
      <w:r>
        <w:t>company</w:t>
      </w:r>
      <w:r>
        <w:rPr>
          <w:spacing w:val="-3"/>
        </w:rPr>
        <w:t xml:space="preserve"> </w:t>
      </w:r>
      <w:r>
        <w:t>and</w:t>
      </w:r>
      <w:r>
        <w:rPr>
          <w:spacing w:val="-3"/>
        </w:rPr>
        <w:t xml:space="preserve"> </w:t>
      </w:r>
      <w:r>
        <w:t>NHS</w:t>
      </w:r>
      <w:r>
        <w:rPr>
          <w:spacing w:val="-3"/>
        </w:rPr>
        <w:t xml:space="preserve"> </w:t>
      </w:r>
      <w:r>
        <w:t>England</w:t>
      </w:r>
      <w:r>
        <w:rPr>
          <w:spacing w:val="-5"/>
        </w:rPr>
        <w:t xml:space="preserve"> </w:t>
      </w:r>
      <w:r>
        <w:t>were</w:t>
      </w:r>
      <w:r>
        <w:rPr>
          <w:spacing w:val="-3"/>
        </w:rPr>
        <w:t xml:space="preserve"> </w:t>
      </w:r>
      <w:r>
        <w:t>unable</w:t>
      </w:r>
      <w:r>
        <w:rPr>
          <w:spacing w:val="-5"/>
        </w:rPr>
        <w:t xml:space="preserve"> </w:t>
      </w:r>
      <w:r>
        <w:t>to agree on a price for olipudase alfa which would produce an ICER of less than</w:t>
      </w:r>
    </w:p>
    <w:p w:rsidR="009A4531" w:rsidRDefault="00875EE6" w14:paraId="118F70BE" w14:textId="77777777">
      <w:pPr>
        <w:pStyle w:val="BodyText"/>
        <w:spacing w:line="247" w:lineRule="auto"/>
        <w:ind w:left="115"/>
      </w:pPr>
      <w:r>
        <w:t>£300,000</w:t>
      </w:r>
      <w:r>
        <w:rPr>
          <w:spacing w:val="-4"/>
        </w:rPr>
        <w:t xml:space="preserve"> </w:t>
      </w:r>
      <w:r>
        <w:t>per</w:t>
      </w:r>
      <w:r>
        <w:rPr>
          <w:spacing w:val="-4"/>
        </w:rPr>
        <w:t xml:space="preserve"> </w:t>
      </w:r>
      <w:r>
        <w:t>QALY</w:t>
      </w:r>
      <w:r>
        <w:rPr>
          <w:spacing w:val="-10"/>
        </w:rPr>
        <w:t xml:space="preserve"> </w:t>
      </w:r>
      <w:r>
        <w:t>gained,</w:t>
      </w:r>
      <w:r>
        <w:rPr>
          <w:spacing w:val="-6"/>
        </w:rPr>
        <w:t xml:space="preserve"> </w:t>
      </w:r>
      <w:r>
        <w:t>and</w:t>
      </w:r>
      <w:r>
        <w:rPr>
          <w:spacing w:val="-6"/>
        </w:rPr>
        <w:t xml:space="preserve"> </w:t>
      </w:r>
      <w:r>
        <w:t>therefore</w:t>
      </w:r>
      <w:r>
        <w:rPr>
          <w:spacing w:val="-7"/>
        </w:rPr>
        <w:t xml:space="preserve"> </w:t>
      </w:r>
      <w:r>
        <w:t>treatment</w:t>
      </w:r>
      <w:r>
        <w:rPr>
          <w:spacing w:val="-4"/>
        </w:rPr>
        <w:t xml:space="preserve"> </w:t>
      </w:r>
      <w:r>
        <w:t>with</w:t>
      </w:r>
      <w:r>
        <w:rPr>
          <w:spacing w:val="-4"/>
        </w:rPr>
        <w:t xml:space="preserve"> </w:t>
      </w:r>
      <w:r>
        <w:t>olipudase</w:t>
      </w:r>
      <w:r>
        <w:rPr>
          <w:spacing w:val="-6"/>
        </w:rPr>
        <w:t xml:space="preserve"> </w:t>
      </w:r>
      <w:r>
        <w:t>alfa</w:t>
      </w:r>
      <w:r>
        <w:rPr>
          <w:spacing w:val="-4"/>
        </w:rPr>
        <w:t xml:space="preserve"> </w:t>
      </w:r>
      <w:r>
        <w:t>could</w:t>
      </w:r>
      <w:r>
        <w:rPr>
          <w:spacing w:val="-4"/>
        </w:rPr>
        <w:t xml:space="preserve"> </w:t>
      </w:r>
      <w:r>
        <w:t>not</w:t>
      </w:r>
      <w:r>
        <w:rPr>
          <w:spacing w:val="-6"/>
        </w:rPr>
        <w:t xml:space="preserve"> </w:t>
      </w:r>
      <w:r>
        <w:t xml:space="preserve">be </w:t>
      </w:r>
      <w:r>
        <w:rPr>
          <w:spacing w:val="-2"/>
        </w:rPr>
        <w:t>recommended.</w:t>
      </w:r>
    </w:p>
    <w:p w:rsidR="009A4531" w:rsidRDefault="009A4531" w14:paraId="60061E4C" w14:textId="77777777">
      <w:pPr>
        <w:pStyle w:val="BodyText"/>
        <w:spacing w:before="26"/>
      </w:pPr>
    </w:p>
    <w:p w:rsidR="009A4531" w:rsidRDefault="00875EE6" w14:paraId="6EA98110" w14:textId="77777777">
      <w:pPr>
        <w:pStyle w:val="BodyText"/>
        <w:spacing w:line="247" w:lineRule="auto"/>
        <w:ind w:left="115" w:right="283" w:hanging="10"/>
      </w:pPr>
      <w:r>
        <w:t>Given that the company could not have expected the committee to be more generous</w:t>
      </w:r>
      <w:r>
        <w:rPr>
          <w:spacing w:val="-4"/>
        </w:rPr>
        <w:t xml:space="preserve"> </w:t>
      </w:r>
      <w:r>
        <w:t>in</w:t>
      </w:r>
      <w:r>
        <w:rPr>
          <w:spacing w:val="-5"/>
        </w:rPr>
        <w:t xml:space="preserve"> </w:t>
      </w:r>
      <w:r>
        <w:t>its</w:t>
      </w:r>
      <w:r>
        <w:rPr>
          <w:spacing w:val="-4"/>
        </w:rPr>
        <w:t xml:space="preserve"> </w:t>
      </w:r>
      <w:r>
        <w:t>discount</w:t>
      </w:r>
      <w:r>
        <w:rPr>
          <w:spacing w:val="-4"/>
        </w:rPr>
        <w:t xml:space="preserve"> </w:t>
      </w:r>
      <w:r>
        <w:t>rate</w:t>
      </w:r>
      <w:r>
        <w:rPr>
          <w:spacing w:val="-4"/>
        </w:rPr>
        <w:t xml:space="preserve"> </w:t>
      </w:r>
      <w:r>
        <w:t>and</w:t>
      </w:r>
      <w:r>
        <w:rPr>
          <w:spacing w:val="-5"/>
        </w:rPr>
        <w:t xml:space="preserve"> </w:t>
      </w:r>
      <w:r>
        <w:t>QALY</w:t>
      </w:r>
      <w:r>
        <w:rPr>
          <w:spacing w:val="-8"/>
        </w:rPr>
        <w:t xml:space="preserve"> </w:t>
      </w:r>
      <w:r>
        <w:t>weighting,</w:t>
      </w:r>
      <w:r>
        <w:rPr>
          <w:spacing w:val="-4"/>
        </w:rPr>
        <w:t xml:space="preserve"> </w:t>
      </w:r>
      <w:r>
        <w:t>it</w:t>
      </w:r>
      <w:r>
        <w:rPr>
          <w:spacing w:val="-4"/>
        </w:rPr>
        <w:t xml:space="preserve"> </w:t>
      </w:r>
      <w:r>
        <w:t>is</w:t>
      </w:r>
      <w:r>
        <w:rPr>
          <w:spacing w:val="-5"/>
        </w:rPr>
        <w:t xml:space="preserve"> </w:t>
      </w:r>
      <w:r>
        <w:t>disappointing</w:t>
      </w:r>
      <w:r>
        <w:rPr>
          <w:spacing w:val="-5"/>
        </w:rPr>
        <w:t xml:space="preserve"> </w:t>
      </w:r>
      <w:r>
        <w:t>that</w:t>
      </w:r>
      <w:r>
        <w:rPr>
          <w:spacing w:val="-5"/>
        </w:rPr>
        <w:t xml:space="preserve"> </w:t>
      </w:r>
      <w:r>
        <w:t>they</w:t>
      </w:r>
      <w:r>
        <w:rPr>
          <w:spacing w:val="-6"/>
        </w:rPr>
        <w:t xml:space="preserve"> </w:t>
      </w:r>
      <w:r>
        <w:t>were</w:t>
      </w:r>
    </w:p>
    <w:p w:rsidR="009A4531" w:rsidRDefault="009A4531" w14:paraId="44EAFD9C" w14:textId="77777777">
      <w:pPr>
        <w:spacing w:line="247" w:lineRule="auto"/>
        <w:sectPr w:rsidR="009A4531">
          <w:type w:val="continuous"/>
          <w:pgSz w:w="11910" w:h="16840" w:orient="portrait"/>
          <w:pgMar w:top="1420" w:right="1260" w:bottom="280" w:left="1320" w:header="720" w:footer="720" w:gutter="0"/>
          <w:cols w:space="720"/>
        </w:sectPr>
      </w:pPr>
    </w:p>
    <w:p w:rsidR="009A4531" w:rsidRDefault="00875EE6" w14:paraId="263E1487" w14:textId="77777777">
      <w:pPr>
        <w:pStyle w:val="BodyText"/>
        <w:spacing w:before="82" w:line="249" w:lineRule="auto"/>
        <w:ind w:left="115" w:right="199"/>
      </w:pPr>
      <w:r>
        <w:t>not prepared to offer olipudase alfa at an appropriate price.</w:t>
      </w:r>
      <w:r>
        <w:rPr>
          <w:spacing w:val="40"/>
        </w:rPr>
        <w:t xml:space="preserve"> </w:t>
      </w:r>
      <w:r>
        <w:t>This may be because their expectations for the price they could obtain were based on the fact that NICE has</w:t>
      </w:r>
      <w:r>
        <w:rPr>
          <w:spacing w:val="-8"/>
        </w:rPr>
        <w:t xml:space="preserve"> </w:t>
      </w:r>
      <w:r>
        <w:t>recently</w:t>
      </w:r>
      <w:r>
        <w:rPr>
          <w:spacing w:val="-8"/>
        </w:rPr>
        <w:t xml:space="preserve"> </w:t>
      </w:r>
      <w:r>
        <w:t>recommended</w:t>
      </w:r>
      <w:r>
        <w:rPr>
          <w:spacing w:val="-8"/>
        </w:rPr>
        <w:t xml:space="preserve"> </w:t>
      </w:r>
      <w:r>
        <w:t>other</w:t>
      </w:r>
      <w:r>
        <w:rPr>
          <w:spacing w:val="-8"/>
        </w:rPr>
        <w:t xml:space="preserve"> </w:t>
      </w:r>
      <w:r>
        <w:t>enzyme</w:t>
      </w:r>
      <w:r>
        <w:rPr>
          <w:spacing w:val="-8"/>
        </w:rPr>
        <w:t xml:space="preserve"> </w:t>
      </w:r>
      <w:r>
        <w:t>replacement</w:t>
      </w:r>
      <w:r>
        <w:rPr>
          <w:spacing w:val="-8"/>
        </w:rPr>
        <w:t xml:space="preserve"> </w:t>
      </w:r>
      <w:r>
        <w:t>therapies</w:t>
      </w:r>
      <w:r>
        <w:rPr>
          <w:spacing w:val="-10"/>
        </w:rPr>
        <w:t xml:space="preserve"> </w:t>
      </w:r>
      <w:r>
        <w:t>(ERTs)</w:t>
      </w:r>
      <w:r>
        <w:rPr>
          <w:spacing w:val="-8"/>
        </w:rPr>
        <w:t xml:space="preserve"> </w:t>
      </w:r>
      <w:r>
        <w:t>for</w:t>
      </w:r>
      <w:r>
        <w:rPr>
          <w:spacing w:val="-8"/>
        </w:rPr>
        <w:t xml:space="preserve"> </w:t>
      </w:r>
      <w:r>
        <w:t xml:space="preserve">different lysosomal storage disorders (LSDs) which are considerably less clinically and cost </w:t>
      </w:r>
      <w:r>
        <w:rPr>
          <w:spacing w:val="-2"/>
        </w:rPr>
        <w:t>effective.</w:t>
      </w:r>
    </w:p>
    <w:p w:rsidR="009A4531" w:rsidRDefault="009A4531" w14:paraId="4B94D5A5" w14:textId="77777777">
      <w:pPr>
        <w:pStyle w:val="BodyText"/>
        <w:spacing w:before="19"/>
      </w:pPr>
    </w:p>
    <w:p w:rsidR="009A4531" w:rsidRDefault="00875EE6" w14:paraId="17AE8005" w14:textId="77777777">
      <w:pPr>
        <w:pStyle w:val="BodyText"/>
        <w:spacing w:before="1" w:line="249" w:lineRule="auto"/>
        <w:ind w:left="115" w:right="180" w:hanging="10"/>
      </w:pPr>
      <w:r>
        <w:t>Avalglucosidase</w:t>
      </w:r>
      <w:r>
        <w:rPr>
          <w:spacing w:val="-6"/>
        </w:rPr>
        <w:t xml:space="preserve"> </w:t>
      </w:r>
      <w:r>
        <w:t>alfa</w:t>
      </w:r>
      <w:r>
        <w:rPr>
          <w:spacing w:val="-6"/>
        </w:rPr>
        <w:t xml:space="preserve"> </w:t>
      </w:r>
      <w:r>
        <w:t>and</w:t>
      </w:r>
      <w:r>
        <w:rPr>
          <w:spacing w:val="-4"/>
        </w:rPr>
        <w:t xml:space="preserve"> </w:t>
      </w:r>
      <w:r>
        <w:t>cipaglucosidase</w:t>
      </w:r>
      <w:r>
        <w:rPr>
          <w:spacing w:val="-6"/>
        </w:rPr>
        <w:t xml:space="preserve"> </w:t>
      </w:r>
      <w:r>
        <w:t>alfa</w:t>
      </w:r>
      <w:r>
        <w:rPr>
          <w:spacing w:val="-4"/>
        </w:rPr>
        <w:t xml:space="preserve"> </w:t>
      </w:r>
      <w:r>
        <w:t>with</w:t>
      </w:r>
      <w:r>
        <w:rPr>
          <w:spacing w:val="-4"/>
        </w:rPr>
        <w:t xml:space="preserve"> </w:t>
      </w:r>
      <w:r>
        <w:t>miglustat</w:t>
      </w:r>
      <w:r>
        <w:rPr>
          <w:spacing w:val="-4"/>
        </w:rPr>
        <w:t xml:space="preserve"> </w:t>
      </w:r>
      <w:r>
        <w:t>have</w:t>
      </w:r>
      <w:r>
        <w:rPr>
          <w:spacing w:val="-6"/>
        </w:rPr>
        <w:t xml:space="preserve"> </w:t>
      </w:r>
      <w:r>
        <w:t>both</w:t>
      </w:r>
      <w:r>
        <w:rPr>
          <w:spacing w:val="-3"/>
        </w:rPr>
        <w:t xml:space="preserve"> </w:t>
      </w:r>
      <w:r>
        <w:t>recently</w:t>
      </w:r>
      <w:r>
        <w:rPr>
          <w:spacing w:val="-6"/>
        </w:rPr>
        <w:t xml:space="preserve"> </w:t>
      </w:r>
      <w:r>
        <w:t>been recommended for treatment of late onset Pompe disease in adults and pegunigalsidase alfa has been recommended for treatment of Fabry disease.</w:t>
      </w:r>
      <w:r>
        <w:rPr>
          <w:spacing w:val="-4"/>
        </w:rPr>
        <w:t xml:space="preserve"> </w:t>
      </w:r>
      <w:r>
        <w:t>All three of these ERTs went through a standard technology appraisal process rather than a highly specialised technology evaluation process.</w:t>
      </w:r>
      <w:r>
        <w:rPr>
          <w:spacing w:val="40"/>
        </w:rPr>
        <w:t xml:space="preserve"> </w:t>
      </w:r>
      <w:r>
        <w:t>They are all extremely expensive drugs (BNF prices suggest that the annual cost of treating a 70 kg patient would be approximately £285,000 for avalglucosidase alfa, £336,000 for cipaglucosidase alfa with miglustat and £111,</w:t>
      </w:r>
      <w:r>
        <w:t>000 for pegunigalsidase alfa - although the NHS does get a confidential discount) and it is not conceivable that they could have an ICER of less than £20,000 per QALY, as is clearly stated in the committee discussion for all three products.</w:t>
      </w:r>
      <w:r>
        <w:rPr>
          <w:spacing w:val="40"/>
        </w:rPr>
        <w:t xml:space="preserve"> </w:t>
      </w:r>
      <w:r>
        <w:t>How then did the committee reach its decision to recommend them for use in the NHS?</w:t>
      </w:r>
    </w:p>
    <w:p w:rsidR="009A4531" w:rsidRDefault="009A4531" w14:paraId="3DEEC669" w14:textId="77777777">
      <w:pPr>
        <w:pStyle w:val="BodyText"/>
        <w:spacing w:before="14"/>
      </w:pPr>
    </w:p>
    <w:p w:rsidR="009A4531" w:rsidRDefault="00875EE6" w14:paraId="694CE08D" w14:textId="77777777">
      <w:pPr>
        <w:pStyle w:val="BodyText"/>
        <w:spacing w:line="249" w:lineRule="auto"/>
        <w:ind w:left="115" w:right="304" w:hanging="10"/>
      </w:pPr>
      <w:r>
        <w:t>For Pompe and Fabry disease, the NHS ‘standard of care’ involves treatment with drugs which have never been through NICE processes, or any NHSE costeffectiveness assessment.</w:t>
      </w:r>
      <w:r>
        <w:rPr>
          <w:spacing w:val="40"/>
        </w:rPr>
        <w:t xml:space="preserve"> </w:t>
      </w:r>
      <w:r>
        <w:t>When new technologies for these conditions are assessed, the process which NICE uses makes no attempt to assess their actual cost-effectiveness but instead generates an ICER which simply compares the costeffectiveness of the new treatment with that of the currently available, standard of</w:t>
      </w:r>
      <w:r>
        <w:rPr>
          <w:spacing w:val="-1"/>
        </w:rPr>
        <w:t xml:space="preserve"> </w:t>
      </w:r>
      <w:r>
        <w:t>care</w:t>
      </w:r>
      <w:r>
        <w:rPr>
          <w:spacing w:val="-3"/>
        </w:rPr>
        <w:t xml:space="preserve"> </w:t>
      </w:r>
      <w:r>
        <w:t>treatment.</w:t>
      </w:r>
      <w:r>
        <w:rPr>
          <w:spacing w:val="40"/>
        </w:rPr>
        <w:t xml:space="preserve"> </w:t>
      </w:r>
      <w:r>
        <w:t>If</w:t>
      </w:r>
      <w:r>
        <w:rPr>
          <w:spacing w:val="-3"/>
        </w:rPr>
        <w:t xml:space="preserve"> </w:t>
      </w:r>
      <w:r>
        <w:t>a</w:t>
      </w:r>
      <w:r>
        <w:rPr>
          <w:spacing w:val="-3"/>
        </w:rPr>
        <w:t xml:space="preserve"> </w:t>
      </w:r>
      <w:r>
        <w:t>company</w:t>
      </w:r>
      <w:r>
        <w:rPr>
          <w:spacing w:val="-1"/>
        </w:rPr>
        <w:t xml:space="preserve"> </w:t>
      </w:r>
      <w:r>
        <w:t>can</w:t>
      </w:r>
      <w:r>
        <w:rPr>
          <w:spacing w:val="-3"/>
        </w:rPr>
        <w:t xml:space="preserve"> </w:t>
      </w:r>
      <w:r>
        <w:t>demonstrate that</w:t>
      </w:r>
      <w:r>
        <w:rPr>
          <w:spacing w:val="-3"/>
        </w:rPr>
        <w:t xml:space="preserve"> </w:t>
      </w:r>
      <w:r>
        <w:t>their</w:t>
      </w:r>
      <w:r>
        <w:rPr>
          <w:spacing w:val="-3"/>
        </w:rPr>
        <w:t xml:space="preserve"> </w:t>
      </w:r>
      <w:r>
        <w:t>product</w:t>
      </w:r>
      <w:r>
        <w:rPr>
          <w:spacing w:val="-3"/>
        </w:rPr>
        <w:t xml:space="preserve"> </w:t>
      </w:r>
      <w:r>
        <w:t>is</w:t>
      </w:r>
      <w:r>
        <w:rPr>
          <w:spacing w:val="-1"/>
        </w:rPr>
        <w:t xml:space="preserve"> </w:t>
      </w:r>
      <w:r>
        <w:t>non-inferior</w:t>
      </w:r>
      <w:r>
        <w:rPr>
          <w:spacing w:val="-1"/>
        </w:rPr>
        <w:t xml:space="preserve"> </w:t>
      </w:r>
      <w:r>
        <w:t xml:space="preserve">to </w:t>
      </w:r>
      <w:r>
        <w:rPr>
          <w:spacing w:val="-6"/>
        </w:rPr>
        <w:t>an</w:t>
      </w:r>
    </w:p>
    <w:p w:rsidR="009A4531" w:rsidRDefault="00875EE6" w14:paraId="1773B718" w14:textId="77777777">
      <w:pPr>
        <w:pStyle w:val="BodyText"/>
        <w:spacing w:line="249" w:lineRule="auto"/>
        <w:ind w:left="115" w:hanging="10"/>
      </w:pPr>
      <w:r>
        <w:t>existing therapy, and offer it at a similar or lower price, they will receive a positive recommendation</w:t>
      </w:r>
      <w:r>
        <w:rPr>
          <w:spacing w:val="-5"/>
        </w:rPr>
        <w:t xml:space="preserve"> </w:t>
      </w:r>
      <w:r>
        <w:t>without</w:t>
      </w:r>
      <w:r>
        <w:rPr>
          <w:spacing w:val="-5"/>
        </w:rPr>
        <w:t xml:space="preserve"> </w:t>
      </w:r>
      <w:r>
        <w:t>any</w:t>
      </w:r>
      <w:r>
        <w:rPr>
          <w:spacing w:val="-5"/>
        </w:rPr>
        <w:t xml:space="preserve"> </w:t>
      </w:r>
      <w:r>
        <w:t>assessment</w:t>
      </w:r>
      <w:r>
        <w:rPr>
          <w:spacing w:val="-7"/>
        </w:rPr>
        <w:t xml:space="preserve"> </w:t>
      </w:r>
      <w:r>
        <w:t>of</w:t>
      </w:r>
      <w:r>
        <w:rPr>
          <w:spacing w:val="-5"/>
        </w:rPr>
        <w:t xml:space="preserve"> </w:t>
      </w:r>
      <w:r>
        <w:t>the</w:t>
      </w:r>
      <w:r>
        <w:rPr>
          <w:spacing w:val="-5"/>
        </w:rPr>
        <w:t xml:space="preserve"> </w:t>
      </w:r>
      <w:r>
        <w:t>actual</w:t>
      </w:r>
      <w:r>
        <w:rPr>
          <w:spacing w:val="-5"/>
        </w:rPr>
        <w:t xml:space="preserve"> </w:t>
      </w:r>
      <w:r>
        <w:t>cost</w:t>
      </w:r>
      <w:r>
        <w:rPr>
          <w:spacing w:val="-7"/>
        </w:rPr>
        <w:t xml:space="preserve"> </w:t>
      </w:r>
      <w:r>
        <w:t>per</w:t>
      </w:r>
      <w:r>
        <w:rPr>
          <w:spacing w:val="-5"/>
        </w:rPr>
        <w:t xml:space="preserve"> </w:t>
      </w:r>
      <w:r>
        <w:t>QALY</w:t>
      </w:r>
      <w:r>
        <w:rPr>
          <w:spacing w:val="-10"/>
        </w:rPr>
        <w:t xml:space="preserve"> </w:t>
      </w:r>
      <w:r>
        <w:t>having</w:t>
      </w:r>
      <w:r>
        <w:rPr>
          <w:spacing w:val="-5"/>
        </w:rPr>
        <w:t xml:space="preserve"> </w:t>
      </w:r>
      <w:r>
        <w:t xml:space="preserve">been </w:t>
      </w:r>
      <w:r>
        <w:rPr>
          <w:spacing w:val="-2"/>
        </w:rPr>
        <w:t>made.</w:t>
      </w:r>
    </w:p>
    <w:p w:rsidR="009A4531" w:rsidRDefault="009A4531" w14:paraId="3656B9AB" w14:textId="77777777">
      <w:pPr>
        <w:pStyle w:val="BodyText"/>
        <w:spacing w:before="16"/>
      </w:pPr>
    </w:p>
    <w:p w:rsidR="009A4531" w:rsidRDefault="00875EE6" w14:paraId="4760B2AE" w14:textId="77777777">
      <w:pPr>
        <w:pStyle w:val="BodyText"/>
        <w:spacing w:line="249" w:lineRule="auto"/>
        <w:ind w:left="115" w:right="199" w:hanging="10"/>
      </w:pPr>
      <w:r>
        <w:t>Even if it seems unlikely that these drugs would meet the £20,000 per QALY threshold</w:t>
      </w:r>
      <w:r>
        <w:rPr>
          <w:spacing w:val="-3"/>
        </w:rPr>
        <w:t xml:space="preserve"> </w:t>
      </w:r>
      <w:r>
        <w:t>for</w:t>
      </w:r>
      <w:r>
        <w:rPr>
          <w:spacing w:val="-6"/>
        </w:rPr>
        <w:t xml:space="preserve"> </w:t>
      </w:r>
      <w:r>
        <w:t>a</w:t>
      </w:r>
      <w:r>
        <w:rPr>
          <w:spacing w:val="-3"/>
        </w:rPr>
        <w:t xml:space="preserve"> </w:t>
      </w:r>
      <w:r>
        <w:t>standard</w:t>
      </w:r>
      <w:r>
        <w:rPr>
          <w:spacing w:val="-3"/>
        </w:rPr>
        <w:t xml:space="preserve"> </w:t>
      </w:r>
      <w:r>
        <w:t>technology</w:t>
      </w:r>
      <w:r>
        <w:rPr>
          <w:spacing w:val="-3"/>
        </w:rPr>
        <w:t xml:space="preserve"> </w:t>
      </w:r>
      <w:r>
        <w:t>appraisal,</w:t>
      </w:r>
      <w:r>
        <w:rPr>
          <w:spacing w:val="-3"/>
        </w:rPr>
        <w:t xml:space="preserve"> </w:t>
      </w:r>
      <w:r>
        <w:t>might</w:t>
      </w:r>
      <w:r>
        <w:rPr>
          <w:spacing w:val="-3"/>
        </w:rPr>
        <w:t xml:space="preserve"> </w:t>
      </w:r>
      <w:r>
        <w:t>they</w:t>
      </w:r>
      <w:r>
        <w:rPr>
          <w:spacing w:val="-5"/>
        </w:rPr>
        <w:t xml:space="preserve"> </w:t>
      </w:r>
      <w:r>
        <w:t>not</w:t>
      </w:r>
      <w:r>
        <w:rPr>
          <w:spacing w:val="-3"/>
        </w:rPr>
        <w:t xml:space="preserve"> </w:t>
      </w:r>
      <w:r>
        <w:t>come</w:t>
      </w:r>
      <w:r>
        <w:rPr>
          <w:spacing w:val="-3"/>
        </w:rPr>
        <w:t xml:space="preserve"> </w:t>
      </w:r>
      <w:r>
        <w:t>in</w:t>
      </w:r>
      <w:r>
        <w:rPr>
          <w:spacing w:val="-3"/>
        </w:rPr>
        <w:t xml:space="preserve"> </w:t>
      </w:r>
      <w:r>
        <w:t>under</w:t>
      </w:r>
      <w:r>
        <w:rPr>
          <w:spacing w:val="-3"/>
        </w:rPr>
        <w:t xml:space="preserve"> </w:t>
      </w:r>
      <w:r>
        <w:t>the</w:t>
      </w:r>
    </w:p>
    <w:p w:rsidR="009A4531" w:rsidRDefault="00875EE6" w14:paraId="18E39628" w14:textId="77777777">
      <w:pPr>
        <w:pStyle w:val="BodyText"/>
        <w:spacing w:line="249" w:lineRule="auto"/>
        <w:ind w:left="115"/>
      </w:pPr>
      <w:r>
        <w:t>£300,000 per QALY threshold for a Highly Specialised Technology evaluation, even though they were not assessed under those criteria?</w:t>
      </w:r>
      <w:r>
        <w:rPr>
          <w:spacing w:val="40"/>
        </w:rPr>
        <w:t xml:space="preserve"> </w:t>
      </w:r>
      <w:r>
        <w:t>They were all approved on the basis</w:t>
      </w:r>
      <w:r>
        <w:rPr>
          <w:spacing w:val="-4"/>
        </w:rPr>
        <w:t xml:space="preserve"> </w:t>
      </w:r>
      <w:r>
        <w:t>that</w:t>
      </w:r>
      <w:r>
        <w:rPr>
          <w:spacing w:val="-4"/>
        </w:rPr>
        <w:t xml:space="preserve"> </w:t>
      </w:r>
      <w:r>
        <w:t>they</w:t>
      </w:r>
      <w:r>
        <w:rPr>
          <w:spacing w:val="-4"/>
        </w:rPr>
        <w:t xml:space="preserve"> </w:t>
      </w:r>
      <w:r>
        <w:t>were</w:t>
      </w:r>
      <w:r>
        <w:rPr>
          <w:spacing w:val="-4"/>
        </w:rPr>
        <w:t xml:space="preserve"> </w:t>
      </w:r>
      <w:r>
        <w:t>non-inferior,</w:t>
      </w:r>
      <w:r>
        <w:rPr>
          <w:spacing w:val="-4"/>
        </w:rPr>
        <w:t xml:space="preserve"> </w:t>
      </w:r>
      <w:r>
        <w:t>rather</w:t>
      </w:r>
      <w:r>
        <w:rPr>
          <w:spacing w:val="-4"/>
        </w:rPr>
        <w:t xml:space="preserve"> </w:t>
      </w:r>
      <w:r>
        <w:t>than</w:t>
      </w:r>
      <w:r>
        <w:rPr>
          <w:spacing w:val="-6"/>
        </w:rPr>
        <w:t xml:space="preserve"> </w:t>
      </w:r>
      <w:r>
        <w:t>superior,</w:t>
      </w:r>
      <w:r>
        <w:rPr>
          <w:spacing w:val="-6"/>
        </w:rPr>
        <w:t xml:space="preserve"> </w:t>
      </w:r>
      <w:r>
        <w:t>to</w:t>
      </w:r>
      <w:r>
        <w:rPr>
          <w:spacing w:val="-6"/>
        </w:rPr>
        <w:t xml:space="preserve"> </w:t>
      </w:r>
      <w:r>
        <w:t>the</w:t>
      </w:r>
      <w:r>
        <w:rPr>
          <w:spacing w:val="-6"/>
        </w:rPr>
        <w:t xml:space="preserve"> </w:t>
      </w:r>
      <w:r>
        <w:t>existing</w:t>
      </w:r>
      <w:r>
        <w:rPr>
          <w:spacing w:val="-4"/>
        </w:rPr>
        <w:t xml:space="preserve"> </w:t>
      </w:r>
      <w:r>
        <w:t>standard</w:t>
      </w:r>
      <w:r>
        <w:rPr>
          <w:spacing w:val="-7"/>
        </w:rPr>
        <w:t xml:space="preserve"> </w:t>
      </w:r>
      <w:r>
        <w:t>of</w:t>
      </w:r>
      <w:r>
        <w:rPr>
          <w:spacing w:val="-4"/>
        </w:rPr>
        <w:t xml:space="preserve"> </w:t>
      </w:r>
      <w:r>
        <w:t>care therapies and therefore their cost-effectiveness is likely to be similar.</w:t>
      </w:r>
    </w:p>
    <w:p w:rsidR="009A4531" w:rsidRDefault="009A4531" w14:paraId="45FB0818" w14:textId="77777777">
      <w:pPr>
        <w:pStyle w:val="BodyText"/>
        <w:spacing w:before="21"/>
      </w:pPr>
    </w:p>
    <w:p w:rsidR="009A4531" w:rsidRDefault="00875EE6" w14:paraId="0DF99C06" w14:textId="77777777">
      <w:pPr>
        <w:pStyle w:val="BodyText"/>
        <w:spacing w:line="249" w:lineRule="auto"/>
        <w:ind w:left="115" w:right="304" w:hanging="10"/>
      </w:pPr>
      <w:r>
        <w:t>Although NICE has never assessed the cost effectiveness of ERT for Pompe or Fabry disease, other assessments have been made and published.</w:t>
      </w:r>
      <w:r>
        <w:rPr>
          <w:spacing w:val="40"/>
        </w:rPr>
        <w:t xml:space="preserve"> </w:t>
      </w:r>
      <w:r>
        <w:t>A</w:t>
      </w:r>
      <w:r>
        <w:rPr>
          <w:spacing w:val="-8"/>
        </w:rPr>
        <w:t xml:space="preserve"> </w:t>
      </w:r>
      <w:r>
        <w:t>Dutch group have</w:t>
      </w:r>
      <w:r>
        <w:rPr>
          <w:spacing w:val="-1"/>
        </w:rPr>
        <w:t xml:space="preserve"> </w:t>
      </w:r>
      <w:r>
        <w:t>assessed the cost effectiveness of</w:t>
      </w:r>
      <w:r>
        <w:rPr>
          <w:spacing w:val="-1"/>
        </w:rPr>
        <w:t xml:space="preserve"> </w:t>
      </w:r>
      <w:r>
        <w:t>ERT</w:t>
      </w:r>
      <w:r>
        <w:rPr>
          <w:spacing w:val="-4"/>
        </w:rPr>
        <w:t xml:space="preserve"> </w:t>
      </w:r>
      <w:r>
        <w:t>for adult patients with Pompe</w:t>
      </w:r>
      <w:r>
        <w:rPr>
          <w:spacing w:val="-1"/>
        </w:rPr>
        <w:t xml:space="preserve"> </w:t>
      </w:r>
      <w:r>
        <w:t>disease (Kanters TA</w:t>
      </w:r>
      <w:r>
        <w:rPr>
          <w:spacing w:val="-6"/>
        </w:rPr>
        <w:t xml:space="preserve"> </w:t>
      </w:r>
      <w:r>
        <w:rPr>
          <w:i/>
        </w:rPr>
        <w:t>et al</w:t>
      </w:r>
      <w:r>
        <w:t>, Cost-effectiveness of enzyme replacement therapy with alglucosidase</w:t>
      </w:r>
      <w:r>
        <w:rPr>
          <w:spacing w:val="-2"/>
        </w:rPr>
        <w:t xml:space="preserve"> </w:t>
      </w:r>
      <w:r>
        <w:t>alfa in</w:t>
      </w:r>
      <w:r>
        <w:rPr>
          <w:spacing w:val="-2"/>
        </w:rPr>
        <w:t xml:space="preserve"> </w:t>
      </w:r>
      <w:r>
        <w:t>adult patients with</w:t>
      </w:r>
      <w:r>
        <w:rPr>
          <w:spacing w:val="-1"/>
        </w:rPr>
        <w:t xml:space="preserve"> </w:t>
      </w:r>
      <w:r>
        <w:t>Pompe disease.</w:t>
      </w:r>
      <w:r>
        <w:rPr>
          <w:spacing w:val="-2"/>
        </w:rPr>
        <w:t xml:space="preserve"> </w:t>
      </w:r>
      <w:r>
        <w:t>Orphanet</w:t>
      </w:r>
      <w:r>
        <w:rPr>
          <w:spacing w:val="-2"/>
        </w:rPr>
        <w:t xml:space="preserve"> </w:t>
      </w:r>
      <w:r>
        <w:t>J Rare Dis. 2017 Dec 13;12(1):179).</w:t>
      </w:r>
      <w:r>
        <w:rPr>
          <w:spacing w:val="40"/>
        </w:rPr>
        <w:t xml:space="preserve"> </w:t>
      </w:r>
      <w:r>
        <w:t>They concluded that the treatment produced significant improvements in survival (from 1.9 years to 5.4 years depending on the scenario used) and patients’</w:t>
      </w:r>
      <w:r>
        <w:rPr>
          <w:spacing w:val="-2"/>
        </w:rPr>
        <w:t xml:space="preserve"> </w:t>
      </w:r>
      <w:r>
        <w:t>quality of life.</w:t>
      </w:r>
      <w:r>
        <w:rPr>
          <w:spacing w:val="40"/>
        </w:rPr>
        <w:t xml:space="preserve"> </w:t>
      </w:r>
      <w:r>
        <w:t xml:space="preserve">However, the incremental cost per QALY was between €1.8 million and </w:t>
      </w:r>
      <w:r>
        <w:t>€3.2 million.</w:t>
      </w:r>
      <w:r>
        <w:rPr>
          <w:spacing w:val="40"/>
        </w:rPr>
        <w:t xml:space="preserve"> </w:t>
      </w:r>
      <w:r>
        <w:t>The NHS would need to receive an 80-90% discount</w:t>
      </w:r>
      <w:r>
        <w:rPr>
          <w:spacing w:val="-3"/>
        </w:rPr>
        <w:t xml:space="preserve"> </w:t>
      </w:r>
      <w:r>
        <w:t>to</w:t>
      </w:r>
      <w:r>
        <w:rPr>
          <w:spacing w:val="-4"/>
        </w:rPr>
        <w:t xml:space="preserve"> </w:t>
      </w:r>
      <w:r>
        <w:t>make</w:t>
      </w:r>
      <w:r>
        <w:rPr>
          <w:spacing w:val="-3"/>
        </w:rPr>
        <w:t xml:space="preserve"> </w:t>
      </w:r>
      <w:r>
        <w:t>this</w:t>
      </w:r>
      <w:r>
        <w:rPr>
          <w:spacing w:val="-3"/>
        </w:rPr>
        <w:t xml:space="preserve"> </w:t>
      </w:r>
      <w:r>
        <w:t>treatment</w:t>
      </w:r>
      <w:r>
        <w:rPr>
          <w:spacing w:val="-5"/>
        </w:rPr>
        <w:t xml:space="preserve"> </w:t>
      </w:r>
      <w:r>
        <w:t>approach</w:t>
      </w:r>
      <w:r>
        <w:rPr>
          <w:spacing w:val="-3"/>
        </w:rPr>
        <w:t xml:space="preserve"> </w:t>
      </w:r>
      <w:r>
        <w:t>NICE</w:t>
      </w:r>
      <w:r>
        <w:rPr>
          <w:spacing w:val="-3"/>
        </w:rPr>
        <w:t xml:space="preserve"> </w:t>
      </w:r>
      <w:r>
        <w:t>thresholds</w:t>
      </w:r>
      <w:r>
        <w:rPr>
          <w:spacing w:val="-3"/>
        </w:rPr>
        <w:t xml:space="preserve"> </w:t>
      </w:r>
      <w:r>
        <w:t>for</w:t>
      </w:r>
      <w:r>
        <w:rPr>
          <w:spacing w:val="-3"/>
        </w:rPr>
        <w:t xml:space="preserve"> </w:t>
      </w:r>
      <w:r>
        <w:t>cost-effectiveness.</w:t>
      </w:r>
      <w:r>
        <w:rPr>
          <w:spacing w:val="40"/>
        </w:rPr>
        <w:t xml:space="preserve"> </w:t>
      </w:r>
      <w:r>
        <w:t>It</w:t>
      </w:r>
    </w:p>
    <w:p w:rsidR="009A4531" w:rsidRDefault="009A4531" w14:paraId="049F31CB" w14:textId="77777777">
      <w:pPr>
        <w:spacing w:line="249" w:lineRule="auto"/>
        <w:sectPr w:rsidR="009A4531">
          <w:pgSz w:w="11910" w:h="16840" w:orient="portrait"/>
          <w:pgMar w:top="1340" w:right="1260" w:bottom="280" w:left="1320" w:header="720" w:footer="720" w:gutter="0"/>
          <w:cols w:space="720"/>
        </w:sectPr>
      </w:pPr>
    </w:p>
    <w:p w:rsidR="009A4531" w:rsidRDefault="00875EE6" w14:paraId="1351CA8B" w14:textId="77777777">
      <w:pPr>
        <w:pStyle w:val="BodyText"/>
        <w:spacing w:before="82" w:line="249" w:lineRule="auto"/>
        <w:ind w:left="115" w:right="199"/>
      </w:pPr>
      <w:r>
        <w:t>therefore</w:t>
      </w:r>
      <w:r>
        <w:rPr>
          <w:spacing w:val="-3"/>
        </w:rPr>
        <w:t xml:space="preserve"> </w:t>
      </w:r>
      <w:r>
        <w:t>seems</w:t>
      </w:r>
      <w:r>
        <w:rPr>
          <w:spacing w:val="-3"/>
        </w:rPr>
        <w:t xml:space="preserve"> </w:t>
      </w:r>
      <w:r>
        <w:t>extremely</w:t>
      </w:r>
      <w:r>
        <w:rPr>
          <w:spacing w:val="-3"/>
        </w:rPr>
        <w:t xml:space="preserve"> </w:t>
      </w:r>
      <w:r>
        <w:t>unlikely</w:t>
      </w:r>
      <w:r>
        <w:rPr>
          <w:spacing w:val="-3"/>
        </w:rPr>
        <w:t xml:space="preserve"> </w:t>
      </w:r>
      <w:r>
        <w:t>that</w:t>
      </w:r>
      <w:r>
        <w:rPr>
          <w:spacing w:val="-3"/>
        </w:rPr>
        <w:t xml:space="preserve"> </w:t>
      </w:r>
      <w:r>
        <w:t>NICE</w:t>
      </w:r>
      <w:r>
        <w:rPr>
          <w:spacing w:val="-3"/>
        </w:rPr>
        <w:t xml:space="preserve"> </w:t>
      </w:r>
      <w:r>
        <w:t>would</w:t>
      </w:r>
      <w:r>
        <w:rPr>
          <w:spacing w:val="-3"/>
        </w:rPr>
        <w:t xml:space="preserve"> </w:t>
      </w:r>
      <w:r>
        <w:t>recommend</w:t>
      </w:r>
      <w:r>
        <w:rPr>
          <w:spacing w:val="-5"/>
        </w:rPr>
        <w:t xml:space="preserve"> </w:t>
      </w:r>
      <w:r>
        <w:t>any</w:t>
      </w:r>
      <w:r>
        <w:rPr>
          <w:spacing w:val="-3"/>
        </w:rPr>
        <w:t xml:space="preserve"> </w:t>
      </w:r>
      <w:r>
        <w:t>of</w:t>
      </w:r>
      <w:r>
        <w:rPr>
          <w:spacing w:val="-5"/>
        </w:rPr>
        <w:t xml:space="preserve"> </w:t>
      </w:r>
      <w:r>
        <w:t>the</w:t>
      </w:r>
      <w:r>
        <w:rPr>
          <w:spacing w:val="-5"/>
        </w:rPr>
        <w:t xml:space="preserve"> </w:t>
      </w:r>
      <w:r>
        <w:t>currently available ERTs for use in adults with late onset Pompe disease if they were put through a full Highly</w:t>
      </w:r>
      <w:r>
        <w:rPr>
          <w:spacing w:val="-1"/>
        </w:rPr>
        <w:t xml:space="preserve"> </w:t>
      </w:r>
      <w:r>
        <w:t>Specialised</w:t>
      </w:r>
      <w:r>
        <w:rPr>
          <w:spacing w:val="-2"/>
        </w:rPr>
        <w:t xml:space="preserve"> </w:t>
      </w:r>
      <w:r>
        <w:t>Technology</w:t>
      </w:r>
      <w:r>
        <w:rPr>
          <w:spacing w:val="-3"/>
        </w:rPr>
        <w:t xml:space="preserve"> </w:t>
      </w:r>
      <w:r>
        <w:t>appraisal,</w:t>
      </w:r>
      <w:r>
        <w:rPr>
          <w:spacing w:val="-1"/>
        </w:rPr>
        <w:t xml:space="preserve"> </w:t>
      </w:r>
      <w:r>
        <w:t xml:space="preserve">and yet avalglucosidase alfa and cipaglucosidase alfa have both been approved under a standard technology </w:t>
      </w:r>
      <w:r>
        <w:rPr>
          <w:spacing w:val="-2"/>
        </w:rPr>
        <w:t>appraisal.</w:t>
      </w:r>
    </w:p>
    <w:p w:rsidR="009A4531" w:rsidRDefault="009A4531" w14:paraId="53128261" w14:textId="77777777">
      <w:pPr>
        <w:pStyle w:val="BodyText"/>
        <w:spacing w:before="19"/>
      </w:pPr>
    </w:p>
    <w:p w:rsidR="009A4531" w:rsidRDefault="00875EE6" w14:paraId="7ED8A1EA" w14:textId="77777777">
      <w:pPr>
        <w:pStyle w:val="BodyText"/>
        <w:spacing w:before="1" w:line="249" w:lineRule="auto"/>
        <w:ind w:left="115" w:right="283" w:hanging="10"/>
      </w:pPr>
      <w:r>
        <w:t>The situation for Fabry is even more stark.</w:t>
      </w:r>
      <w:r>
        <w:rPr>
          <w:spacing w:val="40"/>
        </w:rPr>
        <w:t xml:space="preserve"> </w:t>
      </w:r>
      <w:r>
        <w:t>The best available assessment of the cost-effectiveness of ERT</w:t>
      </w:r>
      <w:r>
        <w:rPr>
          <w:spacing w:val="-2"/>
        </w:rPr>
        <w:t xml:space="preserve"> </w:t>
      </w:r>
      <w:r>
        <w:t xml:space="preserve">in Fabry disease (Rombach S </w:t>
      </w:r>
      <w:r>
        <w:rPr>
          <w:i/>
        </w:rPr>
        <w:t>et al</w:t>
      </w:r>
      <w:r>
        <w:t>, Cost-effectiveness of enzyme replacement therapy for Fabry disease. Orphanet J Rare Dis. 2013 Feb 19;8:29)</w:t>
      </w:r>
      <w:r>
        <w:rPr>
          <w:spacing w:val="-4"/>
        </w:rPr>
        <w:t xml:space="preserve"> </w:t>
      </w:r>
      <w:r>
        <w:t>showed</w:t>
      </w:r>
      <w:r>
        <w:rPr>
          <w:spacing w:val="-1"/>
        </w:rPr>
        <w:t xml:space="preserve"> </w:t>
      </w:r>
      <w:r>
        <w:t>that</w:t>
      </w:r>
      <w:r>
        <w:rPr>
          <w:spacing w:val="-4"/>
        </w:rPr>
        <w:t xml:space="preserve"> </w:t>
      </w:r>
      <w:r>
        <w:t>treatment</w:t>
      </w:r>
      <w:r>
        <w:rPr>
          <w:spacing w:val="-4"/>
        </w:rPr>
        <w:t xml:space="preserve"> </w:t>
      </w:r>
      <w:r>
        <w:t>produces</w:t>
      </w:r>
      <w:r>
        <w:rPr>
          <w:spacing w:val="-7"/>
        </w:rPr>
        <w:t xml:space="preserve"> </w:t>
      </w:r>
      <w:r>
        <w:t>a</w:t>
      </w:r>
      <w:r>
        <w:rPr>
          <w:spacing w:val="-3"/>
        </w:rPr>
        <w:t xml:space="preserve"> </w:t>
      </w:r>
      <w:r>
        <w:t>modest</w:t>
      </w:r>
      <w:r>
        <w:rPr>
          <w:spacing w:val="-6"/>
        </w:rPr>
        <w:t xml:space="preserve"> </w:t>
      </w:r>
      <w:r>
        <w:t>gain</w:t>
      </w:r>
      <w:r>
        <w:rPr>
          <w:spacing w:val="-6"/>
        </w:rPr>
        <w:t xml:space="preserve"> </w:t>
      </w:r>
      <w:r>
        <w:t>in</w:t>
      </w:r>
      <w:r>
        <w:rPr>
          <w:spacing w:val="-4"/>
        </w:rPr>
        <w:t xml:space="preserve"> </w:t>
      </w:r>
      <w:r>
        <w:t>QALYs</w:t>
      </w:r>
      <w:r>
        <w:rPr>
          <w:spacing w:val="-4"/>
        </w:rPr>
        <w:t xml:space="preserve"> </w:t>
      </w:r>
      <w:r>
        <w:t>(</w:t>
      </w:r>
      <w:r>
        <w:rPr>
          <w:color w:val="1F1F1F"/>
        </w:rPr>
        <w:t>1.7</w:t>
      </w:r>
      <w:r>
        <w:rPr>
          <w:color w:val="1F1F1F"/>
          <w:spacing w:val="-3"/>
        </w:rPr>
        <w:t xml:space="preserve"> </w:t>
      </w:r>
      <w:r>
        <w:rPr>
          <w:color w:val="1F1F1F"/>
        </w:rPr>
        <w:t>in</w:t>
      </w:r>
      <w:r>
        <w:rPr>
          <w:color w:val="1F1F1F"/>
          <w:spacing w:val="-4"/>
        </w:rPr>
        <w:t xml:space="preserve"> </w:t>
      </w:r>
      <w:r>
        <w:rPr>
          <w:color w:val="1F1F1F"/>
        </w:rPr>
        <w:t>males,</w:t>
      </w:r>
      <w:r>
        <w:rPr>
          <w:color w:val="1F1F1F"/>
          <w:spacing w:val="-4"/>
        </w:rPr>
        <w:t xml:space="preserve"> </w:t>
      </w:r>
      <w:r>
        <w:rPr>
          <w:color w:val="1F1F1F"/>
        </w:rPr>
        <w:t>1.4 in females) at an undiscounted cost of £4.8 - 6.6 million per QALY.</w:t>
      </w:r>
      <w:r>
        <w:rPr>
          <w:color w:val="1F1F1F"/>
          <w:spacing w:val="40"/>
        </w:rPr>
        <w:t xml:space="preserve"> </w:t>
      </w:r>
      <w:r>
        <w:rPr>
          <w:color w:val="1F1F1F"/>
        </w:rPr>
        <w:t>It seems inconceivable that pegunigalsidase alfa, or any other currently available disease modifying therapy for Fabry, could ever meet any NICE threshold for cost effectiveness, but it has nonetheless received a positive recommendation from a standard technology appraisal.</w:t>
      </w:r>
    </w:p>
    <w:p w:rsidR="009A4531" w:rsidRDefault="009A4531" w14:paraId="62486C05" w14:textId="77777777">
      <w:pPr>
        <w:pStyle w:val="BodyText"/>
        <w:spacing w:before="21"/>
      </w:pPr>
    </w:p>
    <w:p w:rsidR="009A4531" w:rsidRDefault="00875EE6" w14:paraId="031789D6" w14:textId="77777777">
      <w:pPr>
        <w:pStyle w:val="BodyText"/>
        <w:spacing w:line="249" w:lineRule="auto"/>
        <w:ind w:left="106" w:right="199"/>
      </w:pPr>
      <w:r>
        <w:rPr>
          <w:color w:val="1F1F1F"/>
        </w:rPr>
        <w:t>Olipudase alfa is clearly much more clinically effective than any ERT</w:t>
      </w:r>
      <w:r>
        <w:rPr>
          <w:color w:val="1F1F1F"/>
          <w:spacing w:val="-1"/>
        </w:rPr>
        <w:t xml:space="preserve"> </w:t>
      </w:r>
      <w:r>
        <w:rPr>
          <w:color w:val="1F1F1F"/>
        </w:rPr>
        <w:t>for late onset Pompe or Fabry disease.</w:t>
      </w:r>
      <w:r>
        <w:rPr>
          <w:color w:val="1F1F1F"/>
          <w:spacing w:val="40"/>
        </w:rPr>
        <w:t xml:space="preserve"> </w:t>
      </w:r>
      <w:r>
        <w:rPr>
          <w:color w:val="1F1F1F"/>
        </w:rPr>
        <w:t>It can reverse the clinical features of the disease, and the NICE appraisal suggested a lifetime gain of 27.6 QALYS.</w:t>
      </w:r>
      <w:r>
        <w:rPr>
          <w:color w:val="1F1F1F"/>
          <w:spacing w:val="40"/>
        </w:rPr>
        <w:t xml:space="preserve"> </w:t>
      </w:r>
      <w:r>
        <w:rPr>
          <w:color w:val="1F1F1F"/>
        </w:rPr>
        <w:t>At BNF prices, it would cost £986,000 per year to treat a 70 kg adult.</w:t>
      </w:r>
      <w:r>
        <w:rPr>
          <w:color w:val="1F1F1F"/>
          <w:spacing w:val="75"/>
        </w:rPr>
        <w:t xml:space="preserve"> </w:t>
      </w:r>
      <w:r>
        <w:rPr>
          <w:color w:val="1F1F1F"/>
        </w:rPr>
        <w:t>This is significantly more than the same costs for a patient with Pompe or Fabry receiving ERT, but olipudase alfa is also much more effective than ERT</w:t>
      </w:r>
      <w:r>
        <w:rPr>
          <w:color w:val="1F1F1F"/>
          <w:spacing w:val="-1"/>
        </w:rPr>
        <w:t xml:space="preserve"> </w:t>
      </w:r>
      <w:r>
        <w:rPr>
          <w:color w:val="1F1F1F"/>
        </w:rPr>
        <w:t>for Pompe and Fabry.</w:t>
      </w:r>
      <w:r>
        <w:rPr>
          <w:color w:val="1F1F1F"/>
          <w:spacing w:val="40"/>
        </w:rPr>
        <w:t xml:space="preserve"> </w:t>
      </w:r>
      <w:r>
        <w:rPr>
          <w:color w:val="1F1F1F"/>
        </w:rPr>
        <w:t>The cost per QALY</w:t>
      </w:r>
      <w:r>
        <w:rPr>
          <w:color w:val="1F1F1F"/>
          <w:spacing w:val="-2"/>
        </w:rPr>
        <w:t xml:space="preserve"> </w:t>
      </w:r>
      <w:r>
        <w:rPr>
          <w:color w:val="1F1F1F"/>
        </w:rPr>
        <w:t>of treating a patient with NP-B with olipudase alfa will still be very high, but much more favourable</w:t>
      </w:r>
      <w:r>
        <w:rPr>
          <w:color w:val="1F1F1F"/>
          <w:spacing w:val="-2"/>
        </w:rPr>
        <w:t xml:space="preserve"> </w:t>
      </w:r>
      <w:r>
        <w:rPr>
          <w:color w:val="1F1F1F"/>
        </w:rPr>
        <w:t>than</w:t>
      </w:r>
      <w:r>
        <w:rPr>
          <w:color w:val="1F1F1F"/>
          <w:spacing w:val="-2"/>
        </w:rPr>
        <w:t xml:space="preserve"> </w:t>
      </w:r>
      <w:r>
        <w:rPr>
          <w:color w:val="1F1F1F"/>
        </w:rPr>
        <w:t>that</w:t>
      </w:r>
      <w:r>
        <w:rPr>
          <w:color w:val="1F1F1F"/>
          <w:spacing w:val="-2"/>
        </w:rPr>
        <w:t xml:space="preserve"> </w:t>
      </w:r>
      <w:r>
        <w:rPr>
          <w:color w:val="1F1F1F"/>
        </w:rPr>
        <w:t>for</w:t>
      </w:r>
      <w:r>
        <w:rPr>
          <w:color w:val="1F1F1F"/>
          <w:spacing w:val="-2"/>
        </w:rPr>
        <w:t xml:space="preserve"> </w:t>
      </w:r>
      <w:r>
        <w:rPr>
          <w:color w:val="1F1F1F"/>
        </w:rPr>
        <w:t>avalglucosidase</w:t>
      </w:r>
      <w:r>
        <w:rPr>
          <w:color w:val="1F1F1F"/>
          <w:spacing w:val="-4"/>
        </w:rPr>
        <w:t xml:space="preserve"> </w:t>
      </w:r>
      <w:r>
        <w:rPr>
          <w:color w:val="1F1F1F"/>
        </w:rPr>
        <w:t>a</w:t>
      </w:r>
      <w:r>
        <w:rPr>
          <w:color w:val="1F1F1F"/>
        </w:rPr>
        <w:t>lfa</w:t>
      </w:r>
      <w:r>
        <w:rPr>
          <w:color w:val="1F1F1F"/>
          <w:spacing w:val="-4"/>
        </w:rPr>
        <w:t xml:space="preserve"> </w:t>
      </w:r>
      <w:r>
        <w:rPr>
          <w:color w:val="1F1F1F"/>
        </w:rPr>
        <w:t>or</w:t>
      </w:r>
      <w:r>
        <w:rPr>
          <w:color w:val="1F1F1F"/>
          <w:spacing w:val="-2"/>
        </w:rPr>
        <w:t xml:space="preserve"> </w:t>
      </w:r>
      <w:r>
        <w:rPr>
          <w:color w:val="1F1F1F"/>
        </w:rPr>
        <w:t>cipaglucosidase</w:t>
      </w:r>
      <w:r>
        <w:rPr>
          <w:color w:val="1F1F1F"/>
          <w:spacing w:val="-2"/>
        </w:rPr>
        <w:t xml:space="preserve"> </w:t>
      </w:r>
      <w:r>
        <w:rPr>
          <w:color w:val="1F1F1F"/>
        </w:rPr>
        <w:t>alfa</w:t>
      </w:r>
      <w:r>
        <w:rPr>
          <w:color w:val="1F1F1F"/>
          <w:spacing w:val="-4"/>
        </w:rPr>
        <w:t xml:space="preserve"> </w:t>
      </w:r>
      <w:r>
        <w:rPr>
          <w:color w:val="1F1F1F"/>
        </w:rPr>
        <w:t>with</w:t>
      </w:r>
      <w:r>
        <w:rPr>
          <w:color w:val="1F1F1F"/>
          <w:spacing w:val="-2"/>
        </w:rPr>
        <w:t xml:space="preserve"> </w:t>
      </w:r>
      <w:r>
        <w:rPr>
          <w:color w:val="1F1F1F"/>
        </w:rPr>
        <w:t>miglustat</w:t>
      </w:r>
      <w:r>
        <w:rPr>
          <w:color w:val="1F1F1F"/>
          <w:spacing w:val="-4"/>
        </w:rPr>
        <w:t xml:space="preserve"> </w:t>
      </w:r>
      <w:r>
        <w:rPr>
          <w:color w:val="1F1F1F"/>
        </w:rPr>
        <w:t>in adults with Pompe, or of pegunigalsidase alfa in patients with Fabry.</w:t>
      </w:r>
    </w:p>
    <w:p w:rsidR="009A4531" w:rsidRDefault="009A4531" w14:paraId="4101652C" w14:textId="77777777">
      <w:pPr>
        <w:pStyle w:val="BodyText"/>
        <w:spacing w:before="26"/>
      </w:pPr>
    </w:p>
    <w:p w:rsidR="009A4531" w:rsidRDefault="00875EE6" w14:paraId="0AB0EE75" w14:textId="77777777">
      <w:pPr>
        <w:pStyle w:val="BodyText"/>
        <w:spacing w:line="249" w:lineRule="auto"/>
        <w:ind w:left="115" w:right="124" w:hanging="10"/>
      </w:pPr>
      <w:r>
        <w:rPr>
          <w:color w:val="1F1F1F"/>
        </w:rPr>
        <w:t>The examples we give here make it clear that NICE is using entirely different criteria to assess novel treatments for diseases where no disease modifying therapy is available to those they are using to assess new therapies for diseases where other licensed treatment options already exist.</w:t>
      </w:r>
      <w:r>
        <w:rPr>
          <w:color w:val="1F1F1F"/>
          <w:spacing w:val="40"/>
        </w:rPr>
        <w:t xml:space="preserve"> </w:t>
      </w:r>
      <w:r>
        <w:rPr>
          <w:color w:val="1F1F1F"/>
        </w:rPr>
        <w:t>This is extremely unfair and disadvantageous to patients with conditions such as NP-B, who cannot access a lifetransforming</w:t>
      </w:r>
      <w:r>
        <w:rPr>
          <w:color w:val="1F1F1F"/>
          <w:spacing w:val="-4"/>
        </w:rPr>
        <w:t xml:space="preserve"> </w:t>
      </w:r>
      <w:r>
        <w:rPr>
          <w:color w:val="1F1F1F"/>
        </w:rPr>
        <w:t>treatment</w:t>
      </w:r>
      <w:r>
        <w:rPr>
          <w:color w:val="1F1F1F"/>
          <w:spacing w:val="-3"/>
        </w:rPr>
        <w:t xml:space="preserve"> </w:t>
      </w:r>
      <w:r>
        <w:rPr>
          <w:color w:val="1F1F1F"/>
        </w:rPr>
        <w:t>whilst</w:t>
      </w:r>
      <w:r>
        <w:rPr>
          <w:color w:val="1F1F1F"/>
          <w:spacing w:val="-5"/>
        </w:rPr>
        <w:t xml:space="preserve"> </w:t>
      </w:r>
      <w:r>
        <w:rPr>
          <w:color w:val="1F1F1F"/>
        </w:rPr>
        <w:t>at</w:t>
      </w:r>
      <w:r>
        <w:rPr>
          <w:color w:val="1F1F1F"/>
          <w:spacing w:val="-3"/>
        </w:rPr>
        <w:t xml:space="preserve"> </w:t>
      </w:r>
      <w:r>
        <w:rPr>
          <w:color w:val="1F1F1F"/>
        </w:rPr>
        <w:t>the</w:t>
      </w:r>
      <w:r>
        <w:rPr>
          <w:color w:val="1F1F1F"/>
          <w:spacing w:val="-3"/>
        </w:rPr>
        <w:t xml:space="preserve"> </w:t>
      </w:r>
      <w:r>
        <w:rPr>
          <w:color w:val="1F1F1F"/>
        </w:rPr>
        <w:t>same</w:t>
      </w:r>
      <w:r>
        <w:rPr>
          <w:color w:val="1F1F1F"/>
          <w:spacing w:val="-3"/>
        </w:rPr>
        <w:t xml:space="preserve"> </w:t>
      </w:r>
      <w:r>
        <w:rPr>
          <w:color w:val="1F1F1F"/>
        </w:rPr>
        <w:t>time</w:t>
      </w:r>
      <w:r>
        <w:rPr>
          <w:color w:val="1F1F1F"/>
          <w:spacing w:val="-3"/>
        </w:rPr>
        <w:t xml:space="preserve"> </w:t>
      </w:r>
      <w:r>
        <w:rPr>
          <w:color w:val="1F1F1F"/>
        </w:rPr>
        <w:t>NICE</w:t>
      </w:r>
      <w:r>
        <w:rPr>
          <w:color w:val="1F1F1F"/>
          <w:spacing w:val="-3"/>
        </w:rPr>
        <w:t xml:space="preserve"> </w:t>
      </w:r>
      <w:r>
        <w:rPr>
          <w:color w:val="1F1F1F"/>
        </w:rPr>
        <w:t>mandates</w:t>
      </w:r>
      <w:r>
        <w:rPr>
          <w:color w:val="1F1F1F"/>
          <w:spacing w:val="-5"/>
        </w:rPr>
        <w:t xml:space="preserve"> </w:t>
      </w:r>
      <w:r>
        <w:rPr>
          <w:color w:val="1F1F1F"/>
        </w:rPr>
        <w:t>the</w:t>
      </w:r>
      <w:r>
        <w:rPr>
          <w:color w:val="1F1F1F"/>
          <w:spacing w:val="-3"/>
        </w:rPr>
        <w:t xml:space="preserve"> </w:t>
      </w:r>
      <w:r>
        <w:rPr>
          <w:color w:val="1F1F1F"/>
        </w:rPr>
        <w:t>NHS</w:t>
      </w:r>
      <w:r>
        <w:rPr>
          <w:color w:val="1F1F1F"/>
          <w:spacing w:val="-3"/>
        </w:rPr>
        <w:t xml:space="preserve"> </w:t>
      </w:r>
      <w:r>
        <w:rPr>
          <w:color w:val="1F1F1F"/>
        </w:rPr>
        <w:t>to</w:t>
      </w:r>
      <w:r>
        <w:rPr>
          <w:color w:val="1F1F1F"/>
          <w:spacing w:val="-4"/>
        </w:rPr>
        <w:t xml:space="preserve"> </w:t>
      </w:r>
      <w:r>
        <w:rPr>
          <w:color w:val="1F1F1F"/>
        </w:rPr>
        <w:t>provide drugs which are much less cost-effective for similar conditions.</w:t>
      </w:r>
      <w:r>
        <w:rPr>
          <w:color w:val="1F1F1F"/>
          <w:spacing w:val="40"/>
        </w:rPr>
        <w:t xml:space="preserve"> </w:t>
      </w:r>
      <w:r>
        <w:rPr>
          <w:color w:val="1F1F1F"/>
        </w:rPr>
        <w:t>Because of this</w:t>
      </w:r>
    </w:p>
    <w:p w:rsidR="009A4531" w:rsidRDefault="00875EE6" w14:paraId="7BBF7036" w14:textId="77777777">
      <w:pPr>
        <w:pStyle w:val="BodyText"/>
        <w:spacing w:line="249" w:lineRule="auto"/>
        <w:ind w:left="115" w:right="180"/>
      </w:pPr>
      <w:r>
        <w:rPr>
          <w:color w:val="1F1F1F"/>
        </w:rPr>
        <w:t>differential approach to appraising drugs, depending on whether another licensed treatment is already available and regardless to whether that treatment has been subjected to a rigorous assessment of its cost-effectiveness, NHSE is not obtaining value</w:t>
      </w:r>
      <w:r>
        <w:rPr>
          <w:color w:val="1F1F1F"/>
          <w:spacing w:val="-1"/>
        </w:rPr>
        <w:t xml:space="preserve"> </w:t>
      </w:r>
      <w:r>
        <w:rPr>
          <w:color w:val="1F1F1F"/>
        </w:rPr>
        <w:t>for</w:t>
      </w:r>
      <w:r>
        <w:rPr>
          <w:color w:val="1F1F1F"/>
          <w:spacing w:val="-2"/>
        </w:rPr>
        <w:t xml:space="preserve"> </w:t>
      </w:r>
      <w:r>
        <w:rPr>
          <w:color w:val="1F1F1F"/>
        </w:rPr>
        <w:t>money</w:t>
      </w:r>
      <w:r>
        <w:rPr>
          <w:color w:val="1F1F1F"/>
          <w:spacing w:val="-5"/>
        </w:rPr>
        <w:t xml:space="preserve"> </w:t>
      </w:r>
      <w:r>
        <w:rPr>
          <w:color w:val="1F1F1F"/>
        </w:rPr>
        <w:t>from</w:t>
      </w:r>
      <w:r>
        <w:rPr>
          <w:color w:val="1F1F1F"/>
          <w:spacing w:val="-2"/>
        </w:rPr>
        <w:t xml:space="preserve"> </w:t>
      </w:r>
      <w:r>
        <w:rPr>
          <w:color w:val="1F1F1F"/>
        </w:rPr>
        <w:t>its</w:t>
      </w:r>
      <w:r>
        <w:rPr>
          <w:color w:val="1F1F1F"/>
          <w:spacing w:val="-2"/>
        </w:rPr>
        <w:t xml:space="preserve"> </w:t>
      </w:r>
      <w:r>
        <w:rPr>
          <w:color w:val="1F1F1F"/>
        </w:rPr>
        <w:t>expenditure</w:t>
      </w:r>
      <w:r>
        <w:rPr>
          <w:color w:val="1F1F1F"/>
          <w:spacing w:val="-2"/>
        </w:rPr>
        <w:t xml:space="preserve"> </w:t>
      </w:r>
      <w:r>
        <w:rPr>
          <w:color w:val="1F1F1F"/>
        </w:rPr>
        <w:t>on</w:t>
      </w:r>
      <w:r>
        <w:rPr>
          <w:color w:val="1F1F1F"/>
          <w:spacing w:val="-2"/>
        </w:rPr>
        <w:t xml:space="preserve"> </w:t>
      </w:r>
      <w:r>
        <w:rPr>
          <w:color w:val="1F1F1F"/>
        </w:rPr>
        <w:t>these</w:t>
      </w:r>
      <w:r>
        <w:rPr>
          <w:color w:val="1F1F1F"/>
          <w:spacing w:val="-4"/>
        </w:rPr>
        <w:t xml:space="preserve"> </w:t>
      </w:r>
      <w:r>
        <w:rPr>
          <w:color w:val="1F1F1F"/>
        </w:rPr>
        <w:t>high-cost</w:t>
      </w:r>
      <w:r>
        <w:rPr>
          <w:color w:val="1F1F1F"/>
          <w:spacing w:val="-4"/>
        </w:rPr>
        <w:t xml:space="preserve"> </w:t>
      </w:r>
      <w:r>
        <w:rPr>
          <w:color w:val="1F1F1F"/>
        </w:rPr>
        <w:t>drugs</w:t>
      </w:r>
      <w:r>
        <w:rPr>
          <w:color w:val="1F1F1F"/>
          <w:spacing w:val="-5"/>
        </w:rPr>
        <w:t xml:space="preserve"> </w:t>
      </w:r>
      <w:r>
        <w:rPr>
          <w:color w:val="1F1F1F"/>
        </w:rPr>
        <w:t>and</w:t>
      </w:r>
      <w:r>
        <w:rPr>
          <w:color w:val="1F1F1F"/>
          <w:spacing w:val="-2"/>
        </w:rPr>
        <w:t xml:space="preserve"> </w:t>
      </w:r>
      <w:r>
        <w:rPr>
          <w:color w:val="1F1F1F"/>
        </w:rPr>
        <w:t>patients</w:t>
      </w:r>
      <w:r>
        <w:rPr>
          <w:color w:val="1F1F1F"/>
          <w:spacing w:val="-4"/>
        </w:rPr>
        <w:t xml:space="preserve"> </w:t>
      </w:r>
      <w:r>
        <w:rPr>
          <w:color w:val="1F1F1F"/>
        </w:rPr>
        <w:t>are</w:t>
      </w:r>
      <w:r>
        <w:rPr>
          <w:color w:val="1F1F1F"/>
          <w:spacing w:val="-1"/>
        </w:rPr>
        <w:t xml:space="preserve"> </w:t>
      </w:r>
      <w:r>
        <w:rPr>
          <w:color w:val="1F1F1F"/>
        </w:rPr>
        <w:t>being unfairly deprived of a life-saving treatment.</w:t>
      </w:r>
    </w:p>
    <w:p w:rsidR="009A4531" w:rsidRDefault="009A4531" w14:paraId="4B99056E" w14:textId="77777777">
      <w:pPr>
        <w:pStyle w:val="BodyText"/>
        <w:spacing w:before="19"/>
      </w:pPr>
    </w:p>
    <w:p w:rsidR="009A4531" w:rsidRDefault="00875EE6" w14:paraId="134A0130" w14:textId="77777777">
      <w:pPr>
        <w:pStyle w:val="BodyText"/>
        <w:ind w:left="106"/>
      </w:pPr>
      <w:r w:rsidR="00875EE6">
        <w:rPr>
          <w:color w:val="1F1F1F"/>
        </w:rPr>
        <w:t>The</w:t>
      </w:r>
      <w:r w:rsidR="00875EE6">
        <w:rPr>
          <w:color w:val="1F1F1F"/>
          <w:spacing w:val="-5"/>
        </w:rPr>
        <w:t xml:space="preserve"> </w:t>
      </w:r>
      <w:r w:rsidR="00875EE6">
        <w:rPr>
          <w:color w:val="1F1F1F"/>
        </w:rPr>
        <w:t>appellant</w:t>
      </w:r>
      <w:r w:rsidR="00875EE6">
        <w:rPr>
          <w:color w:val="1F1F1F"/>
          <w:spacing w:val="-2"/>
        </w:rPr>
        <w:t xml:space="preserve"> </w:t>
      </w:r>
      <w:r w:rsidR="00875EE6">
        <w:rPr>
          <w:color w:val="1F1F1F"/>
        </w:rPr>
        <w:t>would</w:t>
      </w:r>
      <w:r w:rsidR="00875EE6">
        <w:rPr>
          <w:color w:val="1F1F1F"/>
          <w:spacing w:val="-2"/>
        </w:rPr>
        <w:t xml:space="preserve"> </w:t>
      </w:r>
      <w:r w:rsidR="00875EE6">
        <w:rPr>
          <w:color w:val="1F1F1F"/>
        </w:rPr>
        <w:t>like</w:t>
      </w:r>
      <w:r w:rsidR="00875EE6">
        <w:rPr>
          <w:color w:val="1F1F1F"/>
          <w:spacing w:val="-2"/>
        </w:rPr>
        <w:t xml:space="preserve"> </w:t>
      </w:r>
      <w:r w:rsidR="00875EE6">
        <w:rPr>
          <w:color w:val="1F1F1F"/>
        </w:rPr>
        <w:t>to</w:t>
      </w:r>
      <w:r w:rsidR="00875EE6">
        <w:rPr>
          <w:color w:val="1F1F1F"/>
          <w:spacing w:val="-4"/>
        </w:rPr>
        <w:t xml:space="preserve"> </w:t>
      </w:r>
      <w:r w:rsidR="00875EE6">
        <w:rPr>
          <w:color w:val="1F1F1F"/>
        </w:rPr>
        <w:t>be</w:t>
      </w:r>
      <w:r w:rsidR="00875EE6">
        <w:rPr>
          <w:color w:val="1F1F1F"/>
          <w:spacing w:val="-4"/>
        </w:rPr>
        <w:t xml:space="preserve"> </w:t>
      </w:r>
      <w:r w:rsidR="00875EE6">
        <w:rPr>
          <w:color w:val="1F1F1F"/>
        </w:rPr>
        <w:t>heard</w:t>
      </w:r>
      <w:r w:rsidR="00875EE6">
        <w:rPr>
          <w:color w:val="1F1F1F"/>
          <w:spacing w:val="-3"/>
        </w:rPr>
        <w:t xml:space="preserve"> </w:t>
      </w:r>
      <w:r w:rsidR="00875EE6">
        <w:rPr>
          <w:color w:val="1F1F1F"/>
        </w:rPr>
        <w:t>at</w:t>
      </w:r>
      <w:r w:rsidR="00875EE6">
        <w:rPr>
          <w:color w:val="1F1F1F"/>
          <w:spacing w:val="-4"/>
        </w:rPr>
        <w:t xml:space="preserve"> </w:t>
      </w:r>
      <w:r w:rsidR="00875EE6">
        <w:rPr>
          <w:color w:val="1F1F1F"/>
        </w:rPr>
        <w:t>an</w:t>
      </w:r>
      <w:r w:rsidR="00875EE6">
        <w:rPr>
          <w:color w:val="1F1F1F"/>
          <w:spacing w:val="-4"/>
        </w:rPr>
        <w:t xml:space="preserve"> </w:t>
      </w:r>
      <w:r w:rsidR="00875EE6">
        <w:rPr>
          <w:color w:val="1F1F1F"/>
        </w:rPr>
        <w:t>oral</w:t>
      </w:r>
      <w:r w:rsidR="00875EE6">
        <w:rPr>
          <w:color w:val="1F1F1F"/>
          <w:spacing w:val="-2"/>
        </w:rPr>
        <w:t xml:space="preserve"> </w:t>
      </w:r>
      <w:r w:rsidR="00875EE6">
        <w:rPr>
          <w:color w:val="1F1F1F"/>
        </w:rPr>
        <w:t>appeal</w:t>
      </w:r>
      <w:r w:rsidR="00875EE6">
        <w:rPr>
          <w:color w:val="1F1F1F"/>
          <w:spacing w:val="-2"/>
        </w:rPr>
        <w:t xml:space="preserve"> </w:t>
      </w:r>
      <w:r w:rsidR="00875EE6">
        <w:rPr>
          <w:color w:val="1F1F1F"/>
        </w:rPr>
        <w:t>should</w:t>
      </w:r>
      <w:r w:rsidR="00875EE6">
        <w:rPr>
          <w:color w:val="1F1F1F"/>
          <w:spacing w:val="-4"/>
        </w:rPr>
        <w:t xml:space="preserve"> </w:t>
      </w:r>
      <w:r w:rsidR="00875EE6">
        <w:rPr>
          <w:color w:val="1F1F1F"/>
        </w:rPr>
        <w:t>one</w:t>
      </w:r>
      <w:r w:rsidR="00875EE6">
        <w:rPr>
          <w:color w:val="1F1F1F"/>
          <w:spacing w:val="-2"/>
        </w:rPr>
        <w:t xml:space="preserve"> </w:t>
      </w:r>
      <w:r w:rsidR="00875EE6">
        <w:rPr>
          <w:color w:val="1F1F1F"/>
        </w:rPr>
        <w:t>take</w:t>
      </w:r>
      <w:r w:rsidR="00875EE6">
        <w:rPr>
          <w:color w:val="1F1F1F"/>
          <w:spacing w:val="-2"/>
        </w:rPr>
        <w:t xml:space="preserve"> place.</w:t>
      </w:r>
    </w:p>
    <w:p w:rsidR="009A4531" w:rsidRDefault="009A4531" w14:paraId="1299C43A" w14:textId="77777777">
      <w:pPr>
        <w:pStyle w:val="BodyText"/>
      </w:pPr>
    </w:p>
    <w:p w:rsidR="009A4531" w:rsidRDefault="009A4531" w14:paraId="4DDBEF00" w14:textId="2DCEE38F">
      <w:pPr>
        <w:pStyle w:val="BodyText"/>
      </w:pPr>
      <w:r w:rsidRPr="5661B4CF" w:rsidR="44F2F91E">
        <w:rPr>
          <w:b w:val="1"/>
          <w:bCs w:val="1"/>
        </w:rPr>
        <w:t xml:space="preserve">  </w:t>
      </w:r>
      <w:r w:rsidRPr="5661B4CF" w:rsidR="44F2F91E">
        <w:rPr>
          <w:b w:val="1"/>
          <w:bCs w:val="1"/>
          <w:highlight w:val="black"/>
        </w:rPr>
        <w:t>XXXXXXXXXXXX</w:t>
      </w:r>
    </w:p>
    <w:p w:rsidR="009A4531" w:rsidRDefault="009A4531" w14:paraId="3461D779" w14:textId="77777777">
      <w:pPr>
        <w:pStyle w:val="BodyText"/>
        <w:spacing w:before="78"/>
      </w:pPr>
    </w:p>
    <w:p w:rsidR="44F2F91E" w:rsidP="5661B4CF" w:rsidRDefault="44F2F91E" w14:paraId="38EE2870" w14:textId="62F1A082">
      <w:pPr>
        <w:pStyle w:val="BodyText"/>
        <w:spacing w:before="78"/>
      </w:pPr>
      <w:r w:rsidR="44F2F91E">
        <w:rPr/>
        <w:t xml:space="preserve">  </w:t>
      </w:r>
      <w:r w:rsidRPr="5661B4CF" w:rsidR="44F2F91E">
        <w:rPr>
          <w:highlight w:val="black"/>
        </w:rPr>
        <w:t>XXXXXXXXXXXX</w:t>
      </w:r>
    </w:p>
    <w:p w:rsidR="009A4531" w:rsidRDefault="00875EE6" w14:paraId="4085F3AE" w14:textId="77777777">
      <w:pPr>
        <w:pStyle w:val="BodyText"/>
        <w:spacing w:before="21"/>
        <w:ind w:left="106"/>
        <w:rPr>
          <w:rFonts w:ascii="Times New Roman"/>
        </w:rPr>
      </w:pPr>
      <w:r>
        <w:rPr>
          <w:rFonts w:ascii="Times New Roman"/>
        </w:rPr>
        <w:t>Consultant</w:t>
      </w:r>
      <w:r>
        <w:rPr>
          <w:rFonts w:ascii="Times New Roman"/>
          <w:spacing w:val="-1"/>
        </w:rPr>
        <w:t xml:space="preserve"> </w:t>
      </w:r>
      <w:r>
        <w:rPr>
          <w:rFonts w:ascii="Times New Roman"/>
        </w:rPr>
        <w:t>in</w:t>
      </w:r>
      <w:r>
        <w:rPr>
          <w:rFonts w:ascii="Times New Roman"/>
          <w:spacing w:val="-1"/>
        </w:rPr>
        <w:t xml:space="preserve"> </w:t>
      </w:r>
      <w:r>
        <w:rPr>
          <w:rFonts w:ascii="Times New Roman"/>
        </w:rPr>
        <w:t>Inherited</w:t>
      </w:r>
      <w:r>
        <w:rPr>
          <w:rFonts w:ascii="Times New Roman"/>
          <w:spacing w:val="-1"/>
        </w:rPr>
        <w:t xml:space="preserve"> </w:t>
      </w:r>
      <w:r>
        <w:rPr>
          <w:rFonts w:ascii="Times New Roman"/>
        </w:rPr>
        <w:t>Metabolic</w:t>
      </w:r>
      <w:r>
        <w:rPr>
          <w:rFonts w:ascii="Times New Roman"/>
          <w:spacing w:val="-1"/>
        </w:rPr>
        <w:t xml:space="preserve"> </w:t>
      </w:r>
      <w:r>
        <w:rPr>
          <w:rFonts w:ascii="Times New Roman"/>
          <w:spacing w:val="-2"/>
        </w:rPr>
        <w:t>Disease</w:t>
      </w:r>
    </w:p>
    <w:p w:rsidR="009A4531" w:rsidP="5661B4CF" w:rsidRDefault="00875EE6" w14:paraId="277654C2" w14:textId="4DCCC516">
      <w:pPr>
        <w:pStyle w:val="BodyText"/>
        <w:spacing w:before="22"/>
        <w:ind w:left="106"/>
        <w:rPr>
          <w:rFonts w:ascii="Times New Roman"/>
        </w:rPr>
      </w:pPr>
      <w:r w:rsidR="00875EE6">
        <w:rPr>
          <w:rFonts w:ascii="Times New Roman"/>
        </w:rPr>
        <w:t>University</w:t>
      </w:r>
      <w:r w:rsidR="00875EE6">
        <w:rPr>
          <w:rFonts w:ascii="Times New Roman"/>
          <w:spacing w:val="-5"/>
        </w:rPr>
        <w:t xml:space="preserve"> </w:t>
      </w:r>
      <w:r w:rsidR="00875EE6">
        <w:rPr>
          <w:rFonts w:ascii="Times New Roman"/>
        </w:rPr>
        <w:t>College</w:t>
      </w:r>
      <w:r w:rsidR="00875EE6">
        <w:rPr>
          <w:rFonts w:ascii="Times New Roman"/>
          <w:spacing w:val="-3"/>
        </w:rPr>
        <w:t xml:space="preserve"> </w:t>
      </w:r>
      <w:r w:rsidR="00875EE6">
        <w:rPr>
          <w:rFonts w:ascii="Times New Roman"/>
        </w:rPr>
        <w:t>London</w:t>
      </w:r>
      <w:r w:rsidR="00875EE6">
        <w:rPr>
          <w:rFonts w:ascii="Times New Roman"/>
          <w:spacing w:val="-3"/>
        </w:rPr>
        <w:t xml:space="preserve"> </w:t>
      </w:r>
      <w:r w:rsidR="00875EE6">
        <w:rPr>
          <w:rFonts w:ascii="Times New Roman"/>
        </w:rPr>
        <w:t>Hospitals</w:t>
      </w:r>
      <w:r w:rsidR="00875EE6">
        <w:rPr>
          <w:rFonts w:ascii="Times New Roman"/>
          <w:spacing w:val="-3"/>
        </w:rPr>
        <w:t xml:space="preserve"> </w:t>
      </w:r>
      <w:r w:rsidR="00875EE6">
        <w:rPr>
          <w:rFonts w:ascii="Times New Roman"/>
        </w:rPr>
        <w:t>NHS</w:t>
      </w:r>
      <w:r w:rsidR="00875EE6">
        <w:rPr>
          <w:rFonts w:ascii="Times New Roman"/>
          <w:spacing w:val="-3"/>
        </w:rPr>
        <w:t xml:space="preserve"> </w:t>
      </w:r>
      <w:r w:rsidR="00875EE6">
        <w:rPr>
          <w:rFonts w:ascii="Times New Roman"/>
        </w:rPr>
        <w:t>Foundation</w:t>
      </w:r>
      <w:r w:rsidR="00875EE6">
        <w:rPr>
          <w:rFonts w:ascii="Times New Roman"/>
          <w:spacing w:val="-7"/>
        </w:rPr>
        <w:t xml:space="preserve"> </w:t>
      </w:r>
      <w:r w:rsidRPr="5661B4CF" w:rsidR="00875EE6">
        <w:rPr>
          <w:rFonts w:ascii="Times New Roman"/>
          <w:spacing w:val="-2"/>
        </w:rPr>
        <w:t>Trust</w:t>
      </w:r>
    </w:p>
    <w:p w:rsidR="009A4531" w:rsidRDefault="00875EE6" w14:paraId="62CF2035" w14:textId="619F7389">
      <w:pPr>
        <w:pStyle w:val="BodyText"/>
        <w:spacing w:before="22"/>
        <w:ind w:left="106"/>
        <w:rPr>
          <w:rFonts w:ascii="Times New Roman"/>
        </w:rPr>
      </w:pPr>
      <w:r w:rsidRPr="5661B4CF" w:rsidR="00875EE6">
        <w:rPr>
          <w:rFonts w:ascii="Times New Roman"/>
          <w:spacing w:val="-2"/>
        </w:rPr>
        <w:t xml:space="preserve"> </w:t>
      </w:r>
      <w:r w:rsidRPr="5661B4CF" w:rsidR="4B598F82">
        <w:rPr>
          <w:rFonts w:ascii="Times New Roman"/>
          <w:b w:val="1"/>
          <w:bCs w:val="1"/>
          <w:spacing w:val="-2"/>
          <w:highlight w:val="black"/>
        </w:rPr>
        <w:t>XXXXXXXXXXXX</w:t>
      </w:r>
    </w:p>
    <w:p w:rsidR="009A4531" w:rsidRDefault="009A4531" w14:paraId="3CF2D8B6" w14:textId="77777777">
      <w:pPr>
        <w:rPr>
          <w:rFonts w:ascii="Times New Roman"/>
        </w:rPr>
        <w:sectPr w:rsidR="009A4531">
          <w:pgSz w:w="11910" w:h="16840" w:orient="portrait"/>
          <w:pgMar w:top="1340" w:right="1260" w:bottom="280" w:left="1320" w:header="720" w:footer="720" w:gutter="0"/>
          <w:cols w:space="720"/>
        </w:sectPr>
      </w:pPr>
    </w:p>
    <w:p w:rsidR="009A4531" w:rsidP="5661B4CF" w:rsidRDefault="00875EE6" w14:paraId="219E41A2" w14:textId="7C458972">
      <w:pPr>
        <w:pStyle w:val="BodyText"/>
        <w:spacing w:before="68"/>
        <w:ind w:left="318"/>
        <w:rPr>
          <w:b w:val="1"/>
          <w:bCs w:val="1"/>
          <w:highlight w:val="black"/>
        </w:rPr>
      </w:pPr>
      <w:r w:rsidRPr="5661B4CF" w:rsidR="65FB9FCF">
        <w:rPr>
          <w:b w:val="1"/>
          <w:bCs w:val="1"/>
          <w:highlight w:val="black"/>
        </w:rPr>
        <w:t>XXXXXXXXXXXX</w:t>
      </w:r>
    </w:p>
    <w:p w:rsidR="009A4531" w:rsidP="5661B4CF" w:rsidRDefault="00875EE6" w14:paraId="7E1250BD" w14:textId="77777777">
      <w:pPr>
        <w:pStyle w:val="BodyText"/>
        <w:spacing w:before="68"/>
        <w:ind w:left="318"/>
        <w:rPr>
          <w:rFonts w:ascii="Times New Roman"/>
          <w:b w:val="1"/>
          <w:bCs w:val="1"/>
          <w:highlight w:val="black"/>
        </w:rPr>
      </w:pPr>
      <w:r w:rsidRPr="5661B4CF" w:rsidR="65FB9FCF">
        <w:rPr>
          <w:rFonts w:ascii="Times New Roman"/>
          <w:b w:val="1"/>
          <w:bCs w:val="1"/>
          <w:highlight w:val="black"/>
        </w:rPr>
        <w:t>XXXXXXXXXXX</w:t>
      </w:r>
    </w:p>
    <w:p w:rsidR="009A4531" w:rsidRDefault="00875EE6" w14:paraId="1E1F0AA0" w14:textId="77777777">
      <w:pPr>
        <w:pStyle w:val="BodyText"/>
        <w:spacing w:before="21"/>
        <w:ind w:left="106"/>
        <w:rPr>
          <w:rFonts w:ascii="Times New Roman"/>
        </w:rPr>
      </w:pPr>
      <w:r>
        <w:rPr>
          <w:rFonts w:ascii="Times New Roman"/>
        </w:rPr>
        <w:t>Consultant</w:t>
      </w:r>
      <w:r>
        <w:rPr>
          <w:rFonts w:ascii="Times New Roman"/>
          <w:spacing w:val="-1"/>
        </w:rPr>
        <w:t xml:space="preserve"> </w:t>
      </w:r>
      <w:r>
        <w:rPr>
          <w:rFonts w:ascii="Times New Roman"/>
        </w:rPr>
        <w:t>in</w:t>
      </w:r>
      <w:r>
        <w:rPr>
          <w:rFonts w:ascii="Times New Roman"/>
          <w:spacing w:val="-1"/>
        </w:rPr>
        <w:t xml:space="preserve"> </w:t>
      </w:r>
      <w:r>
        <w:rPr>
          <w:rFonts w:ascii="Times New Roman"/>
        </w:rPr>
        <w:t>Inherited</w:t>
      </w:r>
      <w:r>
        <w:rPr>
          <w:rFonts w:ascii="Times New Roman"/>
          <w:spacing w:val="-1"/>
        </w:rPr>
        <w:t xml:space="preserve"> </w:t>
      </w:r>
      <w:r>
        <w:rPr>
          <w:rFonts w:ascii="Times New Roman"/>
        </w:rPr>
        <w:t>Metabolic</w:t>
      </w:r>
      <w:r>
        <w:rPr>
          <w:rFonts w:ascii="Times New Roman"/>
          <w:spacing w:val="-1"/>
        </w:rPr>
        <w:t xml:space="preserve"> </w:t>
      </w:r>
      <w:r>
        <w:rPr>
          <w:rFonts w:ascii="Times New Roman"/>
          <w:spacing w:val="-2"/>
        </w:rPr>
        <w:t>Disease</w:t>
      </w:r>
    </w:p>
    <w:p w:rsidR="009A4531" w:rsidP="5661B4CF" w:rsidRDefault="00875EE6" w14:textId="77777777" w14:paraId="174B57CF">
      <w:pPr>
        <w:pStyle w:val="BodyText"/>
        <w:spacing w:before="22" w:line="247" w:lineRule="auto"/>
        <w:ind w:left="115" w:right="1076" w:hanging="10"/>
        <w:rPr>
          <w:rFonts w:ascii="Times New Roman"/>
          <w:color w:val="467885"/>
          <w:u w:val="single"/>
        </w:rPr>
      </w:pPr>
      <w:r w:rsidR="00875EE6">
        <w:rPr>
          <w:rFonts w:ascii="Times New Roman"/>
        </w:rPr>
        <w:t>University</w:t>
      </w:r>
      <w:r w:rsidR="00875EE6">
        <w:rPr>
          <w:rFonts w:ascii="Times New Roman"/>
          <w:spacing w:val="-7"/>
        </w:rPr>
        <w:t xml:space="preserve"> </w:t>
      </w:r>
      <w:r w:rsidR="00875EE6">
        <w:rPr>
          <w:rFonts w:ascii="Times New Roman"/>
        </w:rPr>
        <w:t>College</w:t>
      </w:r>
      <w:r w:rsidR="00875EE6">
        <w:rPr>
          <w:rFonts w:ascii="Times New Roman"/>
          <w:spacing w:val="-8"/>
        </w:rPr>
        <w:t xml:space="preserve"> </w:t>
      </w:r>
      <w:r w:rsidR="00875EE6">
        <w:rPr>
          <w:rFonts w:ascii="Times New Roman"/>
        </w:rPr>
        <w:t>London</w:t>
      </w:r>
      <w:r w:rsidR="00875EE6">
        <w:rPr>
          <w:rFonts w:ascii="Times New Roman"/>
          <w:spacing w:val="-7"/>
        </w:rPr>
        <w:t xml:space="preserve"> </w:t>
      </w:r>
      <w:r w:rsidR="00875EE6">
        <w:rPr>
          <w:rFonts w:ascii="Times New Roman"/>
        </w:rPr>
        <w:t>Hospitals</w:t>
      </w:r>
      <w:r w:rsidR="00875EE6">
        <w:rPr>
          <w:rFonts w:ascii="Times New Roman"/>
          <w:spacing w:val="-8"/>
        </w:rPr>
        <w:t xml:space="preserve"> </w:t>
      </w:r>
      <w:r w:rsidR="00875EE6">
        <w:rPr>
          <w:rFonts w:ascii="Times New Roman"/>
        </w:rPr>
        <w:t>NHS</w:t>
      </w:r>
      <w:r w:rsidR="00875EE6">
        <w:rPr>
          <w:rFonts w:ascii="Times New Roman"/>
          <w:spacing w:val="-7"/>
        </w:rPr>
        <w:t xml:space="preserve"> </w:t>
      </w:r>
      <w:r w:rsidR="00875EE6">
        <w:rPr>
          <w:rFonts w:ascii="Times New Roman"/>
        </w:rPr>
        <w:t>Foundation</w:t>
      </w:r>
      <w:r w:rsidR="00875EE6">
        <w:rPr>
          <w:rFonts w:ascii="Times New Roman"/>
          <w:spacing w:val="-11"/>
        </w:rPr>
        <w:t xml:space="preserve"> </w:t>
      </w:r>
      <w:r w:rsidR="00875EE6">
        <w:rPr>
          <w:rFonts w:ascii="Times New Roman"/>
        </w:rPr>
        <w:t xml:space="preserve">Trust </w:t>
      </w:r>
    </w:p>
    <w:p w:rsidR="009A4531" w:rsidP="5661B4CF" w:rsidRDefault="00875EE6" w14:paraId="06F1A324" w14:textId="5A892C1B">
      <w:pPr>
        <w:pStyle w:val="BodyText"/>
        <w:spacing w:before="22" w:line="247" w:lineRule="auto"/>
        <w:ind w:left="115" w:right="1076" w:hanging="10"/>
        <w:rPr>
          <w:rFonts w:ascii="Times New Roman"/>
          <w:highlight w:val="black"/>
        </w:rPr>
      </w:pPr>
      <w:r w:rsidRPr="5661B4CF" w:rsidR="1EE73997">
        <w:rPr>
          <w:rFonts w:ascii="Times New Roman"/>
          <w:highlight w:val="black"/>
        </w:rPr>
        <w:t>XXXXXXXXXXXX</w:t>
      </w:r>
    </w:p>
    <w:p w:rsidR="009A4531" w:rsidP="5661B4CF" w:rsidRDefault="00875EE6" w14:paraId="25962959" w14:textId="77777777">
      <w:pPr>
        <w:pStyle w:val="BodyText"/>
        <w:spacing w:before="59"/>
        <w:rPr>
          <w:rFonts w:ascii="Times New Roman"/>
          <w:sz w:val="20"/>
          <w:szCs w:val="20"/>
        </w:rPr>
      </w:pPr>
    </w:p>
    <w:p w:rsidR="5661B4CF" w:rsidP="5661B4CF" w:rsidRDefault="5661B4CF" w14:paraId="388F5C0B" w14:textId="5CA5E8C2">
      <w:pPr>
        <w:pStyle w:val="BodyText"/>
        <w:spacing w:before="59"/>
        <w:rPr>
          <w:rFonts w:ascii="Times New Roman"/>
          <w:sz w:val="20"/>
          <w:szCs w:val="20"/>
        </w:rPr>
      </w:pPr>
    </w:p>
    <w:p w:rsidR="60425465" w:rsidP="5661B4CF" w:rsidRDefault="60425465" w14:paraId="03A8D77D" w14:textId="1EDEC61B">
      <w:pPr>
        <w:pStyle w:val="BodyText"/>
        <w:spacing w:before="59"/>
        <w:rPr>
          <w:rFonts w:ascii="Times New Roman"/>
          <w:b w:val="1"/>
          <w:bCs w:val="1"/>
          <w:sz w:val="20"/>
          <w:szCs w:val="20"/>
          <w:highlight w:val="black"/>
        </w:rPr>
      </w:pPr>
      <w:r w:rsidRPr="5661B4CF" w:rsidR="60425465">
        <w:rPr>
          <w:rFonts w:ascii="Times New Roman"/>
          <w:b w:val="1"/>
          <w:bCs w:val="1"/>
          <w:sz w:val="20"/>
          <w:szCs w:val="20"/>
          <w:highlight w:val="black"/>
        </w:rPr>
        <w:t xml:space="preserve"> XXXXXXXXXX</w:t>
      </w:r>
    </w:p>
    <w:p w:rsidR="009A4531" w:rsidP="5661B4CF" w:rsidRDefault="00875EE6" w14:paraId="5142274A" w14:textId="77777777">
      <w:pPr>
        <w:pStyle w:val="BodyText"/>
        <w:spacing w:before="25"/>
        <w:ind w:left="106"/>
        <w:rPr>
          <w:rFonts w:ascii="Times New Roman"/>
          <w:highlight w:val="black"/>
        </w:rPr>
      </w:pPr>
      <w:r w:rsidRPr="5661B4CF" w:rsidR="60425465">
        <w:rPr>
          <w:rFonts w:ascii="Times New Roman"/>
          <w:highlight w:val="black"/>
        </w:rPr>
        <w:t xml:space="preserve">XXXXXXXXXXX</w:t>
      </w:r>
    </w:p>
    <w:p w:rsidR="009A4531" w:rsidRDefault="00875EE6" w14:paraId="05625985" w14:textId="77777777">
      <w:pPr>
        <w:pStyle w:val="BodyText"/>
        <w:spacing w:before="22" w:line="256" w:lineRule="auto"/>
        <w:ind w:left="106" w:right="3798"/>
        <w:rPr>
          <w:rFonts w:ascii="Times New Roman"/>
        </w:rPr>
      </w:pPr>
      <w:r w:rsidR="00875EE6">
        <w:rPr>
          <w:rFonts w:ascii="Times New Roman"/>
        </w:rPr>
        <w:t>Consultant</w:t>
      </w:r>
      <w:r w:rsidR="00875EE6">
        <w:rPr>
          <w:rFonts w:ascii="Times New Roman"/>
          <w:spacing w:val="-7"/>
        </w:rPr>
        <w:t xml:space="preserve"> </w:t>
      </w:r>
      <w:r w:rsidR="00875EE6">
        <w:rPr>
          <w:rFonts w:ascii="Times New Roman"/>
        </w:rPr>
        <w:t>in</w:t>
      </w:r>
      <w:r w:rsidR="00875EE6">
        <w:rPr>
          <w:rFonts w:ascii="Times New Roman"/>
          <w:spacing w:val="-7"/>
        </w:rPr>
        <w:t xml:space="preserve"> </w:t>
      </w:r>
      <w:r w:rsidR="00875EE6">
        <w:rPr>
          <w:rFonts w:ascii="Times New Roman"/>
        </w:rPr>
        <w:t>Paediatric</w:t>
      </w:r>
      <w:r w:rsidR="00875EE6">
        <w:rPr>
          <w:rFonts w:ascii="Times New Roman"/>
          <w:spacing w:val="-7"/>
        </w:rPr>
        <w:t xml:space="preserve"> </w:t>
      </w:r>
      <w:r w:rsidR="00875EE6">
        <w:rPr>
          <w:rFonts w:ascii="Times New Roman"/>
        </w:rPr>
        <w:t>Inherited</w:t>
      </w:r>
      <w:r w:rsidR="00875EE6">
        <w:rPr>
          <w:rFonts w:ascii="Times New Roman"/>
          <w:spacing w:val="-7"/>
        </w:rPr>
        <w:t xml:space="preserve"> </w:t>
      </w:r>
      <w:r w:rsidR="00875EE6">
        <w:rPr>
          <w:rFonts w:ascii="Times New Roman"/>
        </w:rPr>
        <w:t>Metabolic</w:t>
      </w:r>
      <w:r w:rsidR="00875EE6">
        <w:rPr>
          <w:rFonts w:ascii="Times New Roman"/>
          <w:spacing w:val="-7"/>
        </w:rPr>
        <w:t xml:space="preserve"> </w:t>
      </w:r>
      <w:r w:rsidR="00875EE6">
        <w:rPr>
          <w:rFonts w:ascii="Times New Roman"/>
        </w:rPr>
        <w:t>Disease Manchester University NHS Foundation Trust</w:t>
      </w:r>
    </w:p>
    <w:p w:rsidR="009A4531" w:rsidP="5661B4CF" w:rsidRDefault="009A4531" w14:paraId="1FC39945" w14:textId="3D338B72">
      <w:pPr>
        <w:pStyle w:val="BodyText"/>
        <w:rPr>
          <w:rFonts w:ascii="Times New Roman"/>
          <w:color w:val="auto"/>
          <w:sz w:val="20"/>
          <w:szCs w:val="20"/>
          <w:highlight w:val="black"/>
        </w:rPr>
      </w:pPr>
      <w:r w:rsidRPr="5661B4CF" w:rsidR="71F0B189">
        <w:rPr>
          <w:rFonts w:ascii="Times New Roman"/>
          <w:color w:val="auto"/>
          <w:sz w:val="20"/>
          <w:szCs w:val="20"/>
          <w:highlight w:val="black"/>
        </w:rPr>
        <w:t xml:space="preserve">  </w:t>
      </w:r>
      <w:r w:rsidRPr="5661B4CF" w:rsidR="534B0B52">
        <w:rPr>
          <w:rFonts w:ascii="Times New Roman"/>
          <w:color w:val="auto"/>
          <w:sz w:val="20"/>
          <w:szCs w:val="20"/>
          <w:highlight w:val="black"/>
        </w:rPr>
        <w:t>XXXXXXXXXXXXX</w:t>
      </w:r>
    </w:p>
    <w:p w:rsidR="009A4531" w:rsidRDefault="009A4531" w14:paraId="0562CB0E" w14:textId="77777777">
      <w:pPr>
        <w:pStyle w:val="BodyText"/>
        <w:rPr>
          <w:rFonts w:ascii="Times New Roman"/>
          <w:sz w:val="20"/>
        </w:rPr>
      </w:pPr>
    </w:p>
    <w:p w:rsidR="009A4531" w:rsidP="5661B4CF" w:rsidRDefault="00875EE6" w14:paraId="1DB90B93" w14:textId="0F256616">
      <w:pPr>
        <w:pStyle w:val="BodyText"/>
        <w:spacing w:before="63"/>
        <w:rPr>
          <w:rFonts w:ascii="Times New Roman"/>
          <w:b w:val="1"/>
          <w:bCs w:val="1"/>
          <w:sz w:val="20"/>
          <w:szCs w:val="20"/>
          <w:highlight w:val="black"/>
        </w:rPr>
      </w:pPr>
      <w:r w:rsidRPr="5661B4CF" w:rsidR="40385493">
        <w:rPr>
          <w:rFonts w:ascii="Times New Roman"/>
          <w:b w:val="1"/>
          <w:bCs w:val="1"/>
          <w:sz w:val="20"/>
          <w:szCs w:val="20"/>
          <w:highlight w:val="black"/>
        </w:rPr>
        <w:t xml:space="preserve">  </w:t>
      </w:r>
      <w:r w:rsidRPr="5661B4CF" w:rsidR="4BDDC1A4">
        <w:rPr>
          <w:rFonts w:ascii="Times New Roman"/>
          <w:b w:val="1"/>
          <w:bCs w:val="1"/>
          <w:sz w:val="20"/>
          <w:szCs w:val="20"/>
          <w:highlight w:val="black"/>
        </w:rPr>
        <w:t>XXXXXXXXX</w:t>
      </w:r>
      <w:r w:rsidRPr="5661B4CF" w:rsidR="7F1BA741">
        <w:rPr>
          <w:rFonts w:ascii="Times New Roman"/>
          <w:b w:val="1"/>
          <w:bCs w:val="1"/>
          <w:sz w:val="20"/>
          <w:szCs w:val="20"/>
          <w:highlight w:val="black"/>
        </w:rPr>
        <w:t xml:space="preserve">   </w:t>
      </w:r>
      <w:r w:rsidRPr="5661B4CF" w:rsidR="4BDDC1A4">
        <w:rPr>
          <w:rFonts w:ascii="Times New Roman"/>
          <w:b w:val="1"/>
          <w:bCs w:val="1"/>
          <w:sz w:val="20"/>
          <w:szCs w:val="20"/>
          <w:highlight w:val="black"/>
        </w:rPr>
        <w:t>XXX</w:t>
      </w:r>
    </w:p>
    <w:p w:rsidR="4BDDC1A4" w:rsidP="5661B4CF" w:rsidRDefault="4BDDC1A4" w14:paraId="55EC597C" w14:textId="4CABFF2A">
      <w:pPr>
        <w:pStyle w:val="BodyText"/>
        <w:suppressLineNumbers w:val="0"/>
        <w:bidi w:val="0"/>
        <w:spacing w:before="116" w:beforeAutospacing="off" w:after="0" w:afterAutospacing="off" w:line="240" w:lineRule="auto"/>
        <w:ind w:left="106" w:right="0"/>
        <w:jc w:val="left"/>
        <w:rPr>
          <w:rFonts w:ascii="Times New Roman"/>
          <w:highlight w:val="black"/>
        </w:rPr>
      </w:pPr>
      <w:r w:rsidRPr="5661B4CF" w:rsidR="4BDDC1A4">
        <w:rPr>
          <w:rFonts w:ascii="Times New Roman"/>
          <w:highlight w:val="black"/>
        </w:rPr>
        <w:t>XXXXXXXX</w:t>
      </w:r>
      <w:r w:rsidRPr="5661B4CF" w:rsidR="25B8D909">
        <w:rPr>
          <w:rFonts w:ascii="Times New Roman"/>
          <w:highlight w:val="black"/>
        </w:rPr>
        <w:t xml:space="preserve">   </w:t>
      </w:r>
      <w:r w:rsidRPr="5661B4CF" w:rsidR="4BDDC1A4">
        <w:rPr>
          <w:rFonts w:ascii="Times New Roman"/>
          <w:highlight w:val="black"/>
        </w:rPr>
        <w:t>XX</w:t>
      </w:r>
    </w:p>
    <w:p w:rsidR="009A4531" w:rsidRDefault="00875EE6" w14:paraId="309D1A6C" w14:textId="77777777">
      <w:pPr>
        <w:pStyle w:val="BodyText"/>
        <w:spacing w:before="22" w:line="259" w:lineRule="auto"/>
        <w:ind w:left="106" w:right="4441"/>
        <w:rPr>
          <w:rFonts w:ascii="Times New Roman"/>
        </w:rPr>
      </w:pPr>
      <w:r>
        <w:rPr>
          <w:rFonts w:ascii="Times New Roman"/>
        </w:rPr>
        <w:t>Consultant</w:t>
      </w:r>
      <w:r>
        <w:rPr>
          <w:rFonts w:ascii="Times New Roman"/>
          <w:spacing w:val="-9"/>
        </w:rPr>
        <w:t xml:space="preserve"> </w:t>
      </w:r>
      <w:r>
        <w:rPr>
          <w:rFonts w:ascii="Times New Roman"/>
        </w:rPr>
        <w:t>in</w:t>
      </w:r>
      <w:r>
        <w:rPr>
          <w:rFonts w:ascii="Times New Roman"/>
          <w:spacing w:val="-9"/>
        </w:rPr>
        <w:t xml:space="preserve"> </w:t>
      </w:r>
      <w:r>
        <w:rPr>
          <w:rFonts w:ascii="Times New Roman"/>
        </w:rPr>
        <w:t>Paediatric</w:t>
      </w:r>
      <w:r>
        <w:rPr>
          <w:rFonts w:ascii="Times New Roman"/>
          <w:spacing w:val="-9"/>
        </w:rPr>
        <w:t xml:space="preserve"> </w:t>
      </w:r>
      <w:r>
        <w:rPr>
          <w:rFonts w:ascii="Times New Roman"/>
        </w:rPr>
        <w:t>Metabolic</w:t>
      </w:r>
      <w:r>
        <w:rPr>
          <w:rFonts w:ascii="Times New Roman"/>
          <w:spacing w:val="-9"/>
        </w:rPr>
        <w:t xml:space="preserve"> </w:t>
      </w:r>
      <w:r>
        <w:rPr>
          <w:rFonts w:ascii="Times New Roman"/>
        </w:rPr>
        <w:t>Medicine Great Ormond Street Hospital</w:t>
      </w:r>
    </w:p>
    <w:p w:rsidR="009A4531" w:rsidP="5661B4CF" w:rsidRDefault="00875EE6" w14:textId="77777777" w14:paraId="4B033C54">
      <w:pPr>
        <w:pStyle w:val="BodyText"/>
        <w:spacing w:line="259" w:lineRule="auto"/>
        <w:ind w:left="106" w:right="3798"/>
        <w:rPr>
          <w:rFonts w:ascii="Times New Roman"/>
        </w:rPr>
      </w:pPr>
      <w:r w:rsidR="00875EE6">
        <w:rPr>
          <w:rFonts w:ascii="Times New Roman"/>
        </w:rPr>
        <w:t>Chair,</w:t>
      </w:r>
      <w:r w:rsidR="00875EE6">
        <w:rPr>
          <w:rFonts w:ascii="Times New Roman"/>
          <w:spacing w:val="-10"/>
        </w:rPr>
        <w:t xml:space="preserve"> </w:t>
      </w:r>
      <w:r w:rsidR="00875EE6">
        <w:rPr>
          <w:rFonts w:ascii="Times New Roman"/>
        </w:rPr>
        <w:t>British</w:t>
      </w:r>
      <w:r w:rsidR="00875EE6">
        <w:rPr>
          <w:rFonts w:ascii="Times New Roman"/>
          <w:spacing w:val="-10"/>
        </w:rPr>
        <w:t xml:space="preserve"> </w:t>
      </w:r>
      <w:r w:rsidR="00875EE6">
        <w:rPr>
          <w:rFonts w:ascii="Times New Roman"/>
        </w:rPr>
        <w:t>Inherited</w:t>
      </w:r>
      <w:r w:rsidR="00875EE6">
        <w:rPr>
          <w:rFonts w:ascii="Times New Roman"/>
          <w:spacing w:val="-10"/>
        </w:rPr>
        <w:t xml:space="preserve"> </w:t>
      </w:r>
      <w:r w:rsidR="00875EE6">
        <w:rPr>
          <w:rFonts w:ascii="Times New Roman"/>
        </w:rPr>
        <w:t>Metabolic</w:t>
      </w:r>
      <w:r w:rsidR="00875EE6">
        <w:rPr>
          <w:rFonts w:ascii="Times New Roman"/>
          <w:spacing w:val="-10"/>
        </w:rPr>
        <w:t xml:space="preserve"> </w:t>
      </w:r>
      <w:r w:rsidR="00875EE6">
        <w:rPr>
          <w:rFonts w:ascii="Times New Roman"/>
        </w:rPr>
        <w:t>Disease</w:t>
      </w:r>
      <w:r w:rsidR="00875EE6">
        <w:rPr>
          <w:rFonts w:ascii="Times New Roman"/>
          <w:spacing w:val="-9"/>
        </w:rPr>
        <w:t xml:space="preserve"> </w:t>
      </w:r>
      <w:r w:rsidR="00875EE6">
        <w:rPr>
          <w:rFonts w:ascii="Times New Roman"/>
        </w:rPr>
        <w:t xml:space="preserve">Group </w:t>
      </w:r>
    </w:p>
    <w:p w:rsidR="009A4531" w:rsidP="5661B4CF" w:rsidRDefault="00875EE6" w14:paraId="6459ACED" w14:textId="4ED83608">
      <w:pPr>
        <w:pStyle w:val="BodyText"/>
        <w:spacing w:line="259" w:lineRule="auto"/>
        <w:ind w:left="106" w:right="3798"/>
        <w:rPr>
          <w:rFonts w:ascii="Times New Roman"/>
          <w:highlight w:val="black"/>
        </w:rPr>
      </w:pPr>
      <w:r w:rsidRPr="5661B4CF" w:rsidR="56F0F243">
        <w:rPr>
          <w:rFonts w:ascii="Times New Roman"/>
          <w:highlight w:val="black"/>
        </w:rPr>
        <w:t>XXXXXXXXXXXXXX</w:t>
      </w:r>
    </w:p>
    <w:sectPr w:rsidR="009A4531">
      <w:pgSz w:w="11910" w:h="16840" w:orient="portrait"/>
      <w:pgMar w:top="1760" w:right="12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F07207D"/>
    <w:rsid w:val="00875EE6"/>
    <w:rsid w:val="009A4531"/>
    <w:rsid w:val="00FC672C"/>
    <w:rsid w:val="0165DAD5"/>
    <w:rsid w:val="0B53B9E2"/>
    <w:rsid w:val="1EE73997"/>
    <w:rsid w:val="25B8D909"/>
    <w:rsid w:val="269B557C"/>
    <w:rsid w:val="283725DD"/>
    <w:rsid w:val="2DDF611E"/>
    <w:rsid w:val="2EA66761"/>
    <w:rsid w:val="304237C2"/>
    <w:rsid w:val="3AC3B49E"/>
    <w:rsid w:val="3DFB5560"/>
    <w:rsid w:val="40385493"/>
    <w:rsid w:val="44F2F91E"/>
    <w:rsid w:val="46066745"/>
    <w:rsid w:val="46FA2A38"/>
    <w:rsid w:val="49278C07"/>
    <w:rsid w:val="4A732AE2"/>
    <w:rsid w:val="4B598F82"/>
    <w:rsid w:val="4BDDC1A4"/>
    <w:rsid w:val="534B0B52"/>
    <w:rsid w:val="555B5544"/>
    <w:rsid w:val="5661B4CF"/>
    <w:rsid w:val="56F0F243"/>
    <w:rsid w:val="5BCA96C8"/>
    <w:rsid w:val="60425465"/>
    <w:rsid w:val="65893969"/>
    <w:rsid w:val="65FB9FCF"/>
    <w:rsid w:val="6F07207D"/>
    <w:rsid w:val="71F0B189"/>
    <w:rsid w:val="734BAC8F"/>
    <w:rsid w:val="7F1BA7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3C35E2D"/>
  <w15:docId w15:val="{B7A74AD4-4A81-47B7-BF71-EC114A77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0"/>
    </w:pPr>
    <w:rPr>
      <w:b/>
      <w:bCs/>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8FDA0-42E2-4135-ABD9-A8BCC36E29DA}">
  <ds:schemaRefs>
    <ds:schemaRef ds:uri="http://schemas.microsoft.com/sharepoint/v3/contenttype/forms"/>
  </ds:schemaRefs>
</ds:datastoreItem>
</file>

<file path=customXml/itemProps2.xml><?xml version="1.0" encoding="utf-8"?>
<ds:datastoreItem xmlns:ds="http://schemas.openxmlformats.org/officeDocument/2006/customXml" ds:itemID="{FD450D95-C156-40F1-BE80-6839A1A36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Pinheiro Catia (R0A) Manchester University NHS FT</dc:creator>
  <lastModifiedBy>Lyn Davies</lastModifiedBy>
  <revision>2</revision>
  <dcterms:created xsi:type="dcterms:W3CDTF">2024-04-25T10:29:00.0000000Z</dcterms:created>
  <dcterms:modified xsi:type="dcterms:W3CDTF">2024-04-25T10:38:02.9691609Z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for Microsoft 365</vt:lpwstr>
  </property>
  <property fmtid="{D5CDD505-2E9C-101B-9397-08002B2CF9AE}" pid="4" name="LastSaved">
    <vt:filetime>2024-04-25T00:00:00Z</vt:filetime>
  </property>
  <property fmtid="{D5CDD505-2E9C-101B-9397-08002B2CF9AE}" pid="5" name="Producer">
    <vt:lpwstr>Microsoft® Word for Microsoft 365</vt:lpwstr>
  </property>
  <property fmtid="{D5CDD505-2E9C-101B-9397-08002B2CF9AE}" pid="6" name="MSIP_Label_c69d85d5-6d9e-4305-a294-1f636ec0f2d6_Enabled">
    <vt:lpwstr>true</vt:lpwstr>
  </property>
  <property fmtid="{D5CDD505-2E9C-101B-9397-08002B2CF9AE}" pid="7" name="MSIP_Label_c69d85d5-6d9e-4305-a294-1f636ec0f2d6_SetDate">
    <vt:lpwstr>2024-04-25T10:29:55Z</vt:lpwstr>
  </property>
  <property fmtid="{D5CDD505-2E9C-101B-9397-08002B2CF9AE}" pid="8" name="MSIP_Label_c69d85d5-6d9e-4305-a294-1f636ec0f2d6_Method">
    <vt:lpwstr>Standard</vt:lpwstr>
  </property>
  <property fmtid="{D5CDD505-2E9C-101B-9397-08002B2CF9AE}" pid="9" name="MSIP_Label_c69d85d5-6d9e-4305-a294-1f636ec0f2d6_Name">
    <vt:lpwstr>OFFICIAL</vt:lpwstr>
  </property>
  <property fmtid="{D5CDD505-2E9C-101B-9397-08002B2CF9AE}" pid="10" name="MSIP_Label_c69d85d5-6d9e-4305-a294-1f636ec0f2d6_SiteId">
    <vt:lpwstr>6030f479-b342-472d-a5dd-740ff7538de9</vt:lpwstr>
  </property>
  <property fmtid="{D5CDD505-2E9C-101B-9397-08002B2CF9AE}" pid="11" name="MSIP_Label_c69d85d5-6d9e-4305-a294-1f636ec0f2d6_ActionId">
    <vt:lpwstr>2e949b12-139d-4e8c-b196-e4a3f9ed1aec</vt:lpwstr>
  </property>
  <property fmtid="{D5CDD505-2E9C-101B-9397-08002B2CF9AE}" pid="12" name="MSIP_Label_c69d85d5-6d9e-4305-a294-1f636ec0f2d6_ContentBits">
    <vt:lpwstr>0</vt:lpwstr>
  </property>
</Properties>
</file>