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73925A8" wp14:textId="77777777">
      <w:pPr>
        <w:pStyle w:val="BodyText"/>
        <w:spacing w:before="73" w:line="276" w:lineRule="auto"/>
        <w:ind w:left="10014" w:right="113" w:firstLine="714"/>
        <w:jc w:val="right"/>
      </w:pPr>
      <w:r>
        <w:rPr>
          <w:color w:val="0D0D0D"/>
        </w:rPr>
        <w:t>2</w:t>
      </w:r>
      <w:r>
        <w:rPr>
          <w:color w:val="0D0D0D"/>
          <w:position w:val="6"/>
          <w:sz w:val="13"/>
        </w:rPr>
        <w:t>nd</w:t>
      </w:r>
      <w:r>
        <w:rPr>
          <w:color w:val="0D0D0D"/>
          <w:spacing w:val="1"/>
          <w:position w:val="6"/>
          <w:sz w:val="13"/>
        </w:rPr>
        <w:t> </w:t>
      </w:r>
      <w:r>
        <w:rPr>
          <w:color w:val="0D0D0D"/>
        </w:rPr>
        <w:t>Floor 2</w:t>
      </w:r>
      <w:r>
        <w:rPr>
          <w:color w:val="0D0D0D"/>
          <w:spacing w:val="-6"/>
        </w:rPr>
        <w:t> </w:t>
      </w:r>
      <w:r>
        <w:rPr>
          <w:color w:val="0D0D0D"/>
        </w:rPr>
        <w:t>Redman</w:t>
      </w:r>
      <w:r>
        <w:rPr>
          <w:color w:val="0D0D0D"/>
          <w:spacing w:val="-6"/>
        </w:rPr>
        <w:t> </w:t>
      </w:r>
      <w:r>
        <w:rPr>
          <w:color w:val="0D0D0D"/>
          <w:spacing w:val="-2"/>
        </w:rPr>
        <w:t>Place</w:t>
      </w:r>
    </w:p>
    <w:p xmlns:wp14="http://schemas.microsoft.com/office/word/2010/wordml" w14:paraId="5C938525" wp14:textId="77777777">
      <w:pPr>
        <w:pStyle w:val="BodyText"/>
        <w:spacing w:before="6" w:line="280" w:lineRule="auto"/>
        <w:ind w:left="10714" w:right="113" w:firstLine="115"/>
        <w:jc w:val="right"/>
      </w:pPr>
      <w:r>
        <w:rPr/>
        <w:drawing>
          <wp:anchor xmlns:wp14="http://schemas.microsoft.com/office/word/2010/wordprocessingDrawing" distT="0" distB="0" distL="0" distR="0" simplePos="0" relativeHeight="15729664" behindDoc="0" locked="0" layoutInCell="1" allowOverlap="1" wp14:anchorId="4C9C94BB" wp14:editId="7777777">
            <wp:simplePos x="0" y="0"/>
            <wp:positionH relativeFrom="page">
              <wp:posOffset>331644</wp:posOffset>
            </wp:positionH>
            <wp:positionV relativeFrom="paragraph">
              <wp:posOffset>81781</wp:posOffset>
            </wp:positionV>
            <wp:extent cx="2538381" cy="2482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38381" cy="248284"/>
                    </a:xfrm>
                    <a:prstGeom prst="rect">
                      <a:avLst/>
                    </a:prstGeom>
                  </pic:spPr>
                </pic:pic>
              </a:graphicData>
            </a:graphic>
          </wp:anchor>
        </w:drawing>
      </w:r>
      <w:r>
        <w:rPr>
          <w:color w:val="0D0D0D"/>
          <w:spacing w:val="-2"/>
        </w:rPr>
        <w:t>London </w:t>
      </w:r>
      <w:r>
        <w:rPr>
          <w:color w:val="0D0D0D"/>
        </w:rPr>
        <w:t>E20</w:t>
      </w:r>
      <w:r>
        <w:rPr>
          <w:color w:val="0D0D0D"/>
          <w:spacing w:val="-7"/>
        </w:rPr>
        <w:t> </w:t>
      </w:r>
      <w:r>
        <w:rPr>
          <w:color w:val="0D0D0D"/>
          <w:spacing w:val="-5"/>
        </w:rPr>
        <w:t>1JQ</w:t>
      </w:r>
    </w:p>
    <w:p xmlns:wp14="http://schemas.microsoft.com/office/word/2010/wordml" w14:paraId="08F5283F" wp14:textId="77777777">
      <w:pPr>
        <w:pStyle w:val="BodyText"/>
        <w:spacing w:line="227" w:lineRule="exact"/>
        <w:ind w:right="112"/>
        <w:jc w:val="right"/>
      </w:pPr>
      <w:r>
        <w:rPr>
          <w:color w:val="0D0D0D"/>
        </w:rPr>
        <w:t>United</w:t>
      </w:r>
      <w:r>
        <w:rPr>
          <w:color w:val="0D0D0D"/>
          <w:spacing w:val="-10"/>
        </w:rPr>
        <w:t> </w:t>
      </w:r>
      <w:r>
        <w:rPr>
          <w:color w:val="0D0D0D"/>
          <w:spacing w:val="-2"/>
        </w:rPr>
        <w:t>Kingdom</w:t>
      </w:r>
    </w:p>
    <w:p xmlns:wp14="http://schemas.microsoft.com/office/word/2010/wordml" w14:paraId="672A6659" wp14:textId="77777777">
      <w:pPr>
        <w:pStyle w:val="BodyText"/>
        <w:spacing w:before="80"/>
      </w:pPr>
    </w:p>
    <w:p xmlns:wp14="http://schemas.microsoft.com/office/word/2010/wordml" w14:paraId="27EF6CAD" wp14:textId="77777777">
      <w:pPr>
        <w:pStyle w:val="BodyText"/>
        <w:ind w:right="113"/>
        <w:jc w:val="right"/>
        <w:rPr>
          <w:rFonts w:ascii="Lato"/>
        </w:rPr>
      </w:pPr>
      <w:r>
        <w:rPr>
          <w:rFonts w:ascii="Lato"/>
        </w:rPr>
        <w:t>+44</w:t>
      </w:r>
      <w:r>
        <w:rPr>
          <w:rFonts w:ascii="Lato"/>
          <w:spacing w:val="-6"/>
        </w:rPr>
        <w:t> </w:t>
      </w:r>
      <w:r>
        <w:rPr>
          <w:rFonts w:ascii="Lato"/>
        </w:rPr>
        <w:t>(0)300</w:t>
      </w:r>
      <w:r>
        <w:rPr>
          <w:rFonts w:ascii="Lato"/>
          <w:spacing w:val="-3"/>
        </w:rPr>
        <w:t> </w:t>
      </w:r>
      <w:r>
        <w:rPr>
          <w:rFonts w:ascii="Lato"/>
        </w:rPr>
        <w:t>323</w:t>
      </w:r>
      <w:r>
        <w:rPr>
          <w:rFonts w:ascii="Lato"/>
          <w:spacing w:val="-3"/>
        </w:rPr>
        <w:t> </w:t>
      </w:r>
      <w:r>
        <w:rPr>
          <w:rFonts w:ascii="Lato"/>
          <w:spacing w:val="-4"/>
        </w:rPr>
        <w:t>0140</w:t>
      </w:r>
    </w:p>
    <w:p xmlns:wp14="http://schemas.microsoft.com/office/word/2010/wordml" w14:paraId="0A37501D" wp14:textId="77777777">
      <w:pPr>
        <w:pStyle w:val="BodyText"/>
        <w:rPr>
          <w:rFonts w:ascii="Lato"/>
        </w:rPr>
      </w:pPr>
    </w:p>
    <w:p xmlns:wp14="http://schemas.microsoft.com/office/word/2010/wordml" w14:paraId="5DAB6C7B" wp14:textId="77777777">
      <w:pPr>
        <w:pStyle w:val="BodyText"/>
        <w:spacing w:before="35"/>
        <w:rPr>
          <w:rFonts w:ascii="Lato"/>
        </w:rPr>
      </w:pPr>
    </w:p>
    <w:p xmlns:wp14="http://schemas.microsoft.com/office/word/2010/wordml" w:rsidP="5FAE1B38" w14:paraId="6EE65BDA" wp14:textId="37D90220">
      <w:pPr>
        <w:pStyle w:val="BodyText"/>
        <w:spacing w:line="276" w:lineRule="auto"/>
        <w:ind w:left="1380"/>
        <w:rPr>
          <w:color w:val="333333"/>
        </w:rPr>
      </w:pPr>
      <w:r w:rsidR="5FAE1B38">
        <w:rPr>
          <w:color w:val="333333"/>
        </w:rPr>
        <w:t>Sent</w:t>
      </w:r>
      <w:r w:rsidR="5FAE1B38">
        <w:rPr>
          <w:color w:val="333333"/>
          <w:spacing w:val="-8"/>
        </w:rPr>
        <w:t xml:space="preserve"> </w:t>
      </w:r>
      <w:r w:rsidR="5FAE1B38">
        <w:rPr>
          <w:color w:val="333333"/>
        </w:rPr>
        <w:t>by</w:t>
      </w:r>
      <w:r w:rsidR="5FAE1B38">
        <w:rPr>
          <w:color w:val="333333"/>
          <w:spacing w:val="-7"/>
        </w:rPr>
        <w:t xml:space="preserve"> </w:t>
      </w:r>
      <w:r w:rsidR="5FAE1B38">
        <w:rPr>
          <w:color w:val="333333"/>
        </w:rPr>
        <w:t>e-mail</w:t>
      </w:r>
      <w:r w:rsidR="5FAE1B38">
        <w:rPr>
          <w:color w:val="333333"/>
          <w:spacing w:val="-5"/>
        </w:rPr>
        <w:t xml:space="preserve"> </w:t>
      </w:r>
      <w:r w:rsidR="5FAE1B38">
        <w:rPr>
          <w:color w:val="333333"/>
        </w:rPr>
        <w:t>only:</w:t>
      </w:r>
      <w:r w:rsidR="5FAE1B38">
        <w:rPr>
          <w:color w:val="333333"/>
          <w:spacing w:val="-2"/>
        </w:rPr>
        <w:t xml:space="preserve"> </w:t>
      </w:r>
      <w:r w:rsidRPr="5FAE1B38" w:rsidR="5FAE1B38">
        <w:rPr>
          <w:color w:val="auto"/>
          <w:spacing w:val="-2"/>
          <w:highlight w:val="black"/>
        </w:rPr>
        <w:t>XXXXXXXXXXXXXXX</w:t>
      </w:r>
      <w:hyperlink r:id="R45480ea9a4e94ee8">
        <w:r w:rsidR="5FAE1B38">
          <w:rPr>
            <w:color w:val="333333"/>
          </w:rPr>
          <w:t>;</w:t>
        </w:r>
      </w:hyperlink>
      <w:r w:rsidR="5FAE1B38">
        <w:rPr>
          <w:color w:val="333333"/>
          <w:spacing w:val="-3"/>
        </w:rPr>
        <w:t xml:space="preserve"> </w:t>
      </w:r>
      <w:r w:rsidRPr="5FAE1B38" w:rsidR="5FAE1B38">
        <w:rPr>
          <w:color w:val="auto"/>
          <w:spacing w:val="-3"/>
          <w:highlight w:val="black"/>
        </w:rPr>
        <w:t>XXXXXXXXXXXXXXXXX</w:t>
      </w:r>
      <w:r w:rsidRPr="5FAE1B38" w:rsidR="5FAE1B38">
        <w:rPr>
          <w:color w:val="auto"/>
          <w:spacing w:val="-3"/>
        </w:rPr>
        <w:t xml:space="preserve">; </w:t>
      </w:r>
      <w:r w:rsidRPr="5FAE1B38" w:rsidR="5FAE1B38">
        <w:rPr>
          <w:color w:val="auto"/>
          <w:spacing w:val="-3"/>
          <w:highlight w:val="black"/>
        </w:rPr>
        <w:t>XXXXXXXXXXXXXXX</w:t>
      </w:r>
      <w:r w:rsidRPr="5FAE1B38" w:rsidR="5FAE1B38">
        <w:rPr>
          <w:color w:val="auto"/>
          <w:spacing w:val="-3"/>
        </w:rPr>
        <w:t>;</w:t>
      </w:r>
    </w:p>
    <w:p xmlns:wp14="http://schemas.microsoft.com/office/word/2010/wordml" w14:paraId="3297C71F" wp14:textId="77777777">
      <w:pPr>
        <w:pStyle w:val="BodyText"/>
        <w:spacing w:before="207" w:line="720" w:lineRule="auto"/>
        <w:ind w:left="1380" w:right="4886"/>
      </w:pPr>
      <w:r>
        <w:rPr>
          <w:color w:val="333333"/>
        </w:rPr>
        <w:t>British</w:t>
      </w:r>
      <w:r>
        <w:rPr>
          <w:color w:val="333333"/>
          <w:spacing w:val="-9"/>
        </w:rPr>
        <w:t> </w:t>
      </w:r>
      <w:r>
        <w:rPr>
          <w:color w:val="333333"/>
        </w:rPr>
        <w:t>Inherited</w:t>
      </w:r>
      <w:r>
        <w:rPr>
          <w:color w:val="333333"/>
          <w:spacing w:val="-9"/>
        </w:rPr>
        <w:t> </w:t>
      </w:r>
      <w:r>
        <w:rPr>
          <w:color w:val="333333"/>
        </w:rPr>
        <w:t>Metabolic</w:t>
      </w:r>
      <w:r>
        <w:rPr>
          <w:color w:val="333333"/>
          <w:spacing w:val="-8"/>
        </w:rPr>
        <w:t> </w:t>
      </w:r>
      <w:r>
        <w:rPr>
          <w:color w:val="333333"/>
        </w:rPr>
        <w:t>Diseases</w:t>
      </w:r>
      <w:r>
        <w:rPr>
          <w:color w:val="333333"/>
          <w:spacing w:val="-8"/>
        </w:rPr>
        <w:t> </w:t>
      </w:r>
      <w:r>
        <w:rPr>
          <w:color w:val="333333"/>
        </w:rPr>
        <w:t>Group</w:t>
      </w:r>
      <w:r>
        <w:rPr>
          <w:color w:val="333333"/>
          <w:spacing w:val="-5"/>
        </w:rPr>
        <w:t> </w:t>
      </w:r>
      <w:r>
        <w:rPr>
          <w:color w:val="333333"/>
        </w:rPr>
        <w:t>(BIMDG) Tuesday 26 March 2024</w:t>
      </w:r>
    </w:p>
    <w:p xmlns:wp14="http://schemas.microsoft.com/office/word/2010/wordml" w14:paraId="02EB378F" wp14:textId="77777777">
      <w:pPr>
        <w:pStyle w:val="BodyText"/>
        <w:spacing w:before="20"/>
      </w:pPr>
    </w:p>
    <w:p xmlns:wp14="http://schemas.microsoft.com/office/word/2010/wordml" w14:paraId="78761A00" wp14:textId="083329F6">
      <w:pPr>
        <w:pStyle w:val="BodyText"/>
        <w:ind w:left="1380"/>
      </w:pPr>
      <w:r w:rsidR="5FAE1B38">
        <w:rPr>
          <w:color w:val="333333"/>
        </w:rPr>
        <w:t>Dear</w:t>
      </w:r>
      <w:r w:rsidR="5FAE1B38">
        <w:rPr>
          <w:color w:val="333333"/>
          <w:spacing w:val="-6"/>
        </w:rPr>
        <w:t xml:space="preserve"> </w:t>
      </w:r>
      <w:r w:rsidRPr="5FAE1B38" w:rsidR="5FAE1B38">
        <w:rPr>
          <w:color w:val="auto"/>
          <w:spacing w:val="-6"/>
          <w:highlight w:val="black"/>
        </w:rPr>
        <w:t>XXXXXXXXXXXXXXX</w:t>
      </w:r>
      <w:r w:rsidR="5FAE1B38">
        <w:rPr>
          <w:color w:val="333333"/>
        </w:rPr>
        <w:t>,</w:t>
      </w:r>
      <w:r w:rsidR="5FAE1B38">
        <w:rPr>
          <w:color w:val="333333"/>
          <w:spacing w:val="-5"/>
        </w:rPr>
        <w:t xml:space="preserve"> </w:t>
      </w:r>
      <w:r w:rsidRPr="5FAE1B38" w:rsidR="5FAE1B38">
        <w:rPr>
          <w:color w:val="auto"/>
          <w:spacing w:val="-5"/>
          <w:highlight w:val="black"/>
        </w:rPr>
        <w:t>XXXXXXXXXX</w:t>
      </w:r>
      <w:r w:rsidR="5FAE1B38">
        <w:rPr>
          <w:color w:val="333333"/>
        </w:rPr>
        <w:t>,</w:t>
      </w:r>
      <w:r w:rsidR="5FAE1B38">
        <w:rPr>
          <w:color w:val="333333"/>
          <w:spacing w:val="-4"/>
        </w:rPr>
        <w:t xml:space="preserve"> </w:t>
      </w:r>
      <w:r w:rsidR="5FAE1B38">
        <w:rPr>
          <w:color w:val="333333"/>
        </w:rPr>
        <w:t xml:space="preserve"> </w:t>
      </w:r>
      <w:r w:rsidR="5FAE1B38">
        <w:rPr>
          <w:color w:val="333333"/>
        </w:rPr>
        <w:t>and</w:t>
      </w:r>
      <w:r w:rsidR="5FAE1B38">
        <w:rPr>
          <w:color w:val="333333"/>
          <w:spacing w:val="-5"/>
        </w:rPr>
        <w:t xml:space="preserve"> </w:t>
      </w:r>
      <w:r w:rsidRPr="5FAE1B38" w:rsidR="5FAE1B38">
        <w:rPr>
          <w:color w:val="auto"/>
          <w:spacing w:val="-5"/>
          <w:highlight w:val="black"/>
        </w:rPr>
        <w:t>XXXXXXXXX</w:t>
      </w:r>
      <w:r w:rsidRPr="5FAE1B38" w:rsidR="5FAE1B38">
        <w:rPr>
          <w:color w:val="auto"/>
          <w:spacing w:val="-2"/>
        </w:rPr>
        <w:t>.</w:t>
      </w:r>
    </w:p>
    <w:p xmlns:wp14="http://schemas.microsoft.com/office/word/2010/wordml" w14:paraId="6A05A809" wp14:textId="77777777">
      <w:pPr>
        <w:pStyle w:val="BodyText"/>
        <w:spacing w:before="5"/>
      </w:pPr>
    </w:p>
    <w:p xmlns:wp14="http://schemas.microsoft.com/office/word/2010/wordml" w14:paraId="23D095A0" wp14:textId="77777777">
      <w:pPr>
        <w:pStyle w:val="Heading1"/>
        <w:spacing w:line="280" w:lineRule="auto"/>
        <w:ind w:left="1806" w:right="1618" w:hanging="426"/>
        <w:rPr>
          <w:u w:val="none"/>
        </w:rPr>
      </w:pPr>
      <w:r>
        <w:rPr/>
        <mc:AlternateContent>
          <mc:Choice Requires="wps">
            <w:drawing>
              <wp:anchor xmlns:wp14="http://schemas.microsoft.com/office/word/2010/wordprocessingDrawing" distT="0" distB="0" distL="0" distR="0" simplePos="0" relativeHeight="15730176" behindDoc="0" locked="0" layoutInCell="1" allowOverlap="1" wp14:anchorId="56C64A36" wp14:editId="7777777">
                <wp:simplePos x="0" y="0"/>
                <wp:positionH relativeFrom="page">
                  <wp:posOffset>94613</wp:posOffset>
                </wp:positionH>
                <wp:positionV relativeFrom="paragraph">
                  <wp:posOffset>256733</wp:posOffset>
                </wp:positionV>
                <wp:extent cx="8191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81915" cy="1270"/>
                        </a:xfrm>
                        <a:custGeom>
                          <a:avLst/>
                          <a:gdLst/>
                          <a:ahLst/>
                          <a:cxnLst/>
                          <a:rect l="l" t="t" r="r" b="b"/>
                          <a:pathLst>
                            <a:path w="81915" h="0">
                              <a:moveTo>
                                <a:pt x="0" y="0"/>
                              </a:moveTo>
                              <a:lnTo>
                                <a:pt x="81916"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w14:anchorId="3C67CAFE">
              <v:line style="position:absolute;mso-position-horizontal-relative:page;mso-position-vertical-relative:paragraph;z-index:15730176" stroked="true" strokecolor="#505050" strokeweight=".25pt" from="7.4499pt,20.215235pt" to="13.9pt,20.215235pt">
                <v:stroke dashstyle="solid"/>
                <w10:wrap type="none"/>
              </v:line>
            </w:pict>
          </mc:Fallback>
        </mc:AlternateContent>
      </w:r>
      <w:r>
        <w:rPr>
          <w:color w:val="333333"/>
          <w:u w:val="none"/>
        </w:rPr>
        <w:t>Re: Final Draft Guidance – Olipudase alfa for treating acid sphingomyelinase</w:t>
      </w:r>
      <w:r>
        <w:rPr>
          <w:color w:val="333333"/>
          <w:spacing w:val="29"/>
          <w:u w:val="none"/>
        </w:rPr>
        <w:t> </w:t>
      </w:r>
      <w:r>
        <w:rPr>
          <w:color w:val="333333"/>
          <w:u w:val="none"/>
        </w:rPr>
        <w:t>deficiency (Niemann-Pick disease) type AB and type B [ID3913]</w:t>
      </w:r>
    </w:p>
    <w:p xmlns:wp14="http://schemas.microsoft.com/office/word/2010/wordml" w14:paraId="7F5FC375" wp14:textId="77777777">
      <w:pPr>
        <w:pStyle w:val="BodyText"/>
        <w:spacing w:before="197" w:line="280" w:lineRule="auto"/>
        <w:ind w:left="1380" w:right="1153"/>
        <w:jc w:val="both"/>
      </w:pPr>
      <w:r>
        <w:rPr/>
        <w:t>Thank you for your letter of 18 March 2024, lodging an appeal against the above Final Draft Guidance (FDG).</w:t>
      </w:r>
      <w:r>
        <w:rPr>
          <w:spacing w:val="40"/>
        </w:rPr>
        <w:t> </w:t>
      </w:r>
      <w:r>
        <w:rPr/>
        <w:t>Dr Chakravarty is temporarily unavailable and so in accordance with paragraph 3.1 of NICE's Guide</w:t>
      </w:r>
      <w:r>
        <w:rPr>
          <w:spacing w:val="-9"/>
        </w:rPr>
        <w:t> </w:t>
      </w:r>
      <w:r>
        <w:rPr/>
        <w:t>to</w:t>
      </w:r>
      <w:r>
        <w:rPr>
          <w:spacing w:val="-9"/>
        </w:rPr>
        <w:t> </w:t>
      </w:r>
      <w:r>
        <w:rPr/>
        <w:t>the</w:t>
      </w:r>
      <w:r>
        <w:rPr>
          <w:spacing w:val="-4"/>
        </w:rPr>
        <w:t> </w:t>
      </w:r>
      <w:r>
        <w:rPr/>
        <w:t>technology</w:t>
      </w:r>
      <w:r>
        <w:rPr>
          <w:spacing w:val="-3"/>
        </w:rPr>
        <w:t> </w:t>
      </w:r>
      <w:r>
        <w:rPr/>
        <w:t>appraisal</w:t>
      </w:r>
      <w:r>
        <w:rPr>
          <w:spacing w:val="-2"/>
        </w:rPr>
        <w:t> </w:t>
      </w:r>
      <w:r>
        <w:rPr/>
        <w:t>and</w:t>
      </w:r>
      <w:r>
        <w:rPr>
          <w:spacing w:val="-4"/>
        </w:rPr>
        <w:t> </w:t>
      </w:r>
      <w:r>
        <w:rPr/>
        <w:t>highly</w:t>
      </w:r>
      <w:r>
        <w:rPr>
          <w:spacing w:val="-3"/>
        </w:rPr>
        <w:t> </w:t>
      </w:r>
      <w:r>
        <w:rPr/>
        <w:t>specialised</w:t>
      </w:r>
      <w:r>
        <w:rPr>
          <w:spacing w:val="-9"/>
        </w:rPr>
        <w:t> </w:t>
      </w:r>
      <w:r>
        <w:rPr/>
        <w:t>technologies</w:t>
      </w:r>
      <w:r>
        <w:rPr>
          <w:spacing w:val="-3"/>
        </w:rPr>
        <w:t> </w:t>
      </w:r>
      <w:r>
        <w:rPr/>
        <w:t>appeal</w:t>
      </w:r>
      <w:r>
        <w:rPr>
          <w:spacing w:val="-3"/>
        </w:rPr>
        <w:t> </w:t>
      </w:r>
      <w:r>
        <w:rPr/>
        <w:t>process,</w:t>
      </w:r>
      <w:r>
        <w:rPr>
          <w:spacing w:val="-4"/>
        </w:rPr>
        <w:t> </w:t>
      </w:r>
      <w:r>
        <w:rPr/>
        <w:t>I</w:t>
      </w:r>
      <w:r>
        <w:rPr>
          <w:spacing w:val="-9"/>
        </w:rPr>
        <w:t> </w:t>
      </w:r>
      <w:r>
        <w:rPr/>
        <w:t>am</w:t>
      </w:r>
      <w:r>
        <w:rPr>
          <w:spacing w:val="-10"/>
        </w:rPr>
        <w:t> </w:t>
      </w:r>
      <w:r>
        <w:rPr/>
        <w:t>conducting initial scrutiny on this occasion.</w:t>
      </w:r>
    </w:p>
    <w:p xmlns:wp14="http://schemas.microsoft.com/office/word/2010/wordml" w14:paraId="3E7A9F1C" wp14:textId="77777777">
      <w:pPr>
        <w:pStyle w:val="BodyText"/>
        <w:spacing w:before="199"/>
        <w:ind w:left="1380"/>
      </w:pPr>
      <w:r>
        <w:rPr>
          <w:spacing w:val="-2"/>
          <w:u w:val="single"/>
        </w:rPr>
        <w:t>Introduction</w:t>
      </w:r>
    </w:p>
    <w:p xmlns:wp14="http://schemas.microsoft.com/office/word/2010/wordml" w14:paraId="5A39BBE3" wp14:textId="77777777">
      <w:pPr>
        <w:pStyle w:val="BodyText"/>
        <w:spacing w:before="10"/>
      </w:pPr>
    </w:p>
    <w:p xmlns:wp14="http://schemas.microsoft.com/office/word/2010/wordml" w14:paraId="06405C22" wp14:textId="77777777">
      <w:pPr>
        <w:pStyle w:val="BodyText"/>
        <w:spacing w:line="278" w:lineRule="auto"/>
        <w:ind w:left="1380" w:right="1152"/>
        <w:jc w:val="both"/>
      </w:pPr>
      <w:r>
        <w:rPr/>
        <w:t>The Institute's appeal procedures provide for an initial scrutiny of points that an appellant wishes to raise,</w:t>
      </w:r>
      <w:r>
        <w:rPr>
          <w:spacing w:val="-5"/>
        </w:rPr>
        <w:t> </w:t>
      </w:r>
      <w:r>
        <w:rPr/>
        <w:t>to provide</w:t>
      </w:r>
      <w:r>
        <w:rPr>
          <w:spacing w:val="-5"/>
        </w:rPr>
        <w:t> </w:t>
      </w:r>
      <w:r>
        <w:rPr/>
        <w:t>an</w:t>
      </w:r>
      <w:r>
        <w:rPr>
          <w:spacing w:val="-5"/>
        </w:rPr>
        <w:t> </w:t>
      </w:r>
      <w:r>
        <w:rPr/>
        <w:t>initial</w:t>
      </w:r>
      <w:r>
        <w:rPr>
          <w:spacing w:val="-3"/>
        </w:rPr>
        <w:t> </w:t>
      </w:r>
      <w:r>
        <w:rPr/>
        <w:t>view</w:t>
      </w:r>
      <w:r>
        <w:rPr>
          <w:spacing w:val="-3"/>
        </w:rPr>
        <w:t> </w:t>
      </w:r>
      <w:r>
        <w:rPr/>
        <w:t>on</w:t>
      </w:r>
      <w:r>
        <w:rPr>
          <w:spacing w:val="-5"/>
        </w:rPr>
        <w:t> </w:t>
      </w:r>
      <w:r>
        <w:rPr/>
        <w:t>whether</w:t>
      </w:r>
      <w:r>
        <w:rPr>
          <w:spacing w:val="-3"/>
        </w:rPr>
        <w:t> </w:t>
      </w:r>
      <w:r>
        <w:rPr/>
        <w:t>they</w:t>
      </w:r>
      <w:r>
        <w:rPr>
          <w:spacing w:val="-4"/>
        </w:rPr>
        <w:t> </w:t>
      </w:r>
      <w:r>
        <w:rPr/>
        <w:t>are within the</w:t>
      </w:r>
      <w:r>
        <w:rPr>
          <w:spacing w:val="-5"/>
        </w:rPr>
        <w:t> </w:t>
      </w:r>
      <w:r>
        <w:rPr/>
        <w:t>permitted grounds of</w:t>
      </w:r>
      <w:r>
        <w:rPr>
          <w:spacing w:val="-5"/>
        </w:rPr>
        <w:t> </w:t>
      </w:r>
      <w:r>
        <w:rPr/>
        <w:t>appeal</w:t>
      </w:r>
      <w:r>
        <w:rPr>
          <w:spacing w:val="-3"/>
        </w:rPr>
        <w:t> </w:t>
      </w:r>
      <w:r>
        <w:rPr/>
        <w:t>("valid") and are at least arguable. The permitted grounds of appeal are:</w:t>
      </w:r>
    </w:p>
    <w:p xmlns:wp14="http://schemas.microsoft.com/office/word/2010/wordml" w14:paraId="41C8F396" wp14:textId="77777777">
      <w:pPr>
        <w:pStyle w:val="BodyText"/>
        <w:spacing w:before="17"/>
      </w:pPr>
    </w:p>
    <w:p xmlns:wp14="http://schemas.microsoft.com/office/word/2010/wordml" w14:paraId="70EF5BDC" wp14:textId="77777777">
      <w:pPr>
        <w:pStyle w:val="ListParagraph"/>
        <w:numPr>
          <w:ilvl w:val="0"/>
          <w:numId w:val="1"/>
        </w:numPr>
        <w:tabs>
          <w:tab w:val="left" w:leader="none" w:pos="2100"/>
        </w:tabs>
        <w:spacing w:before="0" w:after="0" w:line="240" w:lineRule="auto"/>
        <w:ind w:left="2100" w:right="0" w:hanging="359"/>
        <w:jc w:val="left"/>
        <w:rPr>
          <w:sz w:val="20"/>
        </w:rPr>
      </w:pPr>
      <w:r>
        <w:rPr>
          <w:sz w:val="20"/>
        </w:rPr>
        <w:t>1(a)</w:t>
      </w:r>
      <w:r>
        <w:rPr>
          <w:spacing w:val="-6"/>
          <w:sz w:val="20"/>
        </w:rPr>
        <w:t> </w:t>
      </w:r>
      <w:r>
        <w:rPr>
          <w:sz w:val="20"/>
        </w:rPr>
        <w:t>NICE</w:t>
      </w:r>
      <w:r>
        <w:rPr>
          <w:spacing w:val="-3"/>
          <w:sz w:val="20"/>
        </w:rPr>
        <w:t> </w:t>
      </w:r>
      <w:r>
        <w:rPr>
          <w:sz w:val="20"/>
        </w:rPr>
        <w:t>has failed</w:t>
      </w:r>
      <w:r>
        <w:rPr>
          <w:spacing w:val="-5"/>
          <w:sz w:val="20"/>
        </w:rPr>
        <w:t> </w:t>
      </w:r>
      <w:r>
        <w:rPr>
          <w:sz w:val="20"/>
        </w:rPr>
        <w:t>to</w:t>
      </w:r>
      <w:r>
        <w:rPr>
          <w:spacing w:val="-5"/>
          <w:sz w:val="20"/>
        </w:rPr>
        <w:t> </w:t>
      </w:r>
      <w:r>
        <w:rPr>
          <w:sz w:val="20"/>
        </w:rPr>
        <w:t>act</w:t>
      </w:r>
      <w:r>
        <w:rPr>
          <w:spacing w:val="-5"/>
          <w:sz w:val="20"/>
        </w:rPr>
        <w:t> </w:t>
      </w:r>
      <w:r>
        <w:rPr>
          <w:sz w:val="20"/>
        </w:rPr>
        <w:t>fairly,</w:t>
      </w:r>
      <w:r>
        <w:rPr>
          <w:spacing w:val="-5"/>
          <w:sz w:val="20"/>
        </w:rPr>
        <w:t> or</w:t>
      </w:r>
    </w:p>
    <w:p xmlns:wp14="http://schemas.microsoft.com/office/word/2010/wordml" w14:paraId="72A3D3EC" wp14:textId="77777777">
      <w:pPr>
        <w:pStyle w:val="BodyText"/>
        <w:spacing w:before="10"/>
      </w:pPr>
    </w:p>
    <w:p xmlns:wp14="http://schemas.microsoft.com/office/word/2010/wordml" w14:paraId="3C0EFF42" wp14:textId="77777777">
      <w:pPr>
        <w:pStyle w:val="ListParagraph"/>
        <w:numPr>
          <w:ilvl w:val="0"/>
          <w:numId w:val="1"/>
        </w:numPr>
        <w:tabs>
          <w:tab w:val="left" w:leader="none" w:pos="2100"/>
        </w:tabs>
        <w:spacing w:before="0" w:after="0" w:line="240" w:lineRule="auto"/>
        <w:ind w:left="2100" w:right="0" w:hanging="359"/>
        <w:jc w:val="left"/>
        <w:rPr>
          <w:sz w:val="20"/>
        </w:rPr>
      </w:pPr>
      <w:r>
        <w:rPr>
          <w:sz w:val="20"/>
        </w:rPr>
        <w:t>1(b)</w:t>
      </w:r>
      <w:r>
        <w:rPr>
          <w:spacing w:val="-9"/>
          <w:sz w:val="20"/>
        </w:rPr>
        <w:t> </w:t>
      </w:r>
      <w:r>
        <w:rPr>
          <w:sz w:val="20"/>
        </w:rPr>
        <w:t>NICE</w:t>
      </w:r>
      <w:r>
        <w:rPr>
          <w:spacing w:val="-5"/>
          <w:sz w:val="20"/>
        </w:rPr>
        <w:t> </w:t>
      </w:r>
      <w:r>
        <w:rPr>
          <w:sz w:val="20"/>
        </w:rPr>
        <w:t>has</w:t>
      </w:r>
      <w:r>
        <w:rPr>
          <w:spacing w:val="-3"/>
          <w:sz w:val="20"/>
        </w:rPr>
        <w:t> </w:t>
      </w:r>
      <w:r>
        <w:rPr>
          <w:sz w:val="20"/>
        </w:rPr>
        <w:t>exceeded</w:t>
      </w:r>
      <w:r>
        <w:rPr>
          <w:spacing w:val="-8"/>
          <w:sz w:val="20"/>
        </w:rPr>
        <w:t> </w:t>
      </w:r>
      <w:r>
        <w:rPr>
          <w:spacing w:val="-2"/>
          <w:sz w:val="20"/>
        </w:rPr>
        <w:t>powers;</w:t>
      </w:r>
    </w:p>
    <w:p xmlns:wp14="http://schemas.microsoft.com/office/word/2010/wordml" w14:paraId="0D0B940D" wp14:textId="77777777">
      <w:pPr>
        <w:pStyle w:val="BodyText"/>
        <w:spacing w:before="10"/>
      </w:pPr>
    </w:p>
    <w:p xmlns:wp14="http://schemas.microsoft.com/office/word/2010/wordml" w14:paraId="56531873" wp14:textId="77777777">
      <w:pPr>
        <w:pStyle w:val="ListParagraph"/>
        <w:numPr>
          <w:ilvl w:val="0"/>
          <w:numId w:val="1"/>
        </w:numPr>
        <w:tabs>
          <w:tab w:val="left" w:leader="none" w:pos="2100"/>
        </w:tabs>
        <w:spacing w:before="0" w:after="0" w:line="240" w:lineRule="auto"/>
        <w:ind w:left="2100" w:right="0" w:hanging="359"/>
        <w:jc w:val="left"/>
        <w:rPr>
          <w:sz w:val="20"/>
        </w:rPr>
      </w:pPr>
      <w:r>
        <w:rPr>
          <w:sz w:val="20"/>
        </w:rPr>
        <w:t>(2)</w:t>
      </w:r>
      <w:r>
        <w:rPr>
          <w:spacing w:val="-11"/>
          <w:sz w:val="20"/>
        </w:rPr>
        <w:t> </w:t>
      </w:r>
      <w:r>
        <w:rPr>
          <w:sz w:val="20"/>
        </w:rPr>
        <w:t>the</w:t>
      </w:r>
      <w:r>
        <w:rPr>
          <w:spacing w:val="-10"/>
          <w:sz w:val="20"/>
        </w:rPr>
        <w:t> </w:t>
      </w:r>
      <w:r>
        <w:rPr>
          <w:sz w:val="20"/>
        </w:rPr>
        <w:t>recommendation</w:t>
      </w:r>
      <w:r>
        <w:rPr>
          <w:spacing w:val="-10"/>
          <w:sz w:val="20"/>
        </w:rPr>
        <w:t> </w:t>
      </w:r>
      <w:r>
        <w:rPr>
          <w:sz w:val="20"/>
        </w:rPr>
        <w:t>is</w:t>
      </w:r>
      <w:r>
        <w:rPr>
          <w:spacing w:val="-10"/>
          <w:sz w:val="20"/>
        </w:rPr>
        <w:t> </w:t>
      </w:r>
      <w:r>
        <w:rPr>
          <w:sz w:val="20"/>
        </w:rPr>
        <w:t>unreasonable</w:t>
      </w:r>
      <w:r>
        <w:rPr>
          <w:spacing w:val="-9"/>
          <w:sz w:val="20"/>
        </w:rPr>
        <w:t> </w:t>
      </w:r>
      <w:r>
        <w:rPr>
          <w:sz w:val="20"/>
        </w:rPr>
        <w:t>in</w:t>
      </w:r>
      <w:r>
        <w:rPr>
          <w:spacing w:val="-6"/>
          <w:sz w:val="20"/>
        </w:rPr>
        <w:t> </w:t>
      </w:r>
      <w:r>
        <w:rPr>
          <w:sz w:val="20"/>
        </w:rPr>
        <w:t>the</w:t>
      </w:r>
      <w:r>
        <w:rPr>
          <w:spacing w:val="-11"/>
          <w:sz w:val="20"/>
        </w:rPr>
        <w:t> </w:t>
      </w:r>
      <w:r>
        <w:rPr>
          <w:sz w:val="20"/>
        </w:rPr>
        <w:t>light</w:t>
      </w:r>
      <w:r>
        <w:rPr>
          <w:spacing w:val="-10"/>
          <w:sz w:val="20"/>
        </w:rPr>
        <w:t> </w:t>
      </w:r>
      <w:r>
        <w:rPr>
          <w:sz w:val="20"/>
        </w:rPr>
        <w:t>of</w:t>
      </w:r>
      <w:r>
        <w:rPr>
          <w:spacing w:val="-10"/>
          <w:sz w:val="20"/>
        </w:rPr>
        <w:t> </w:t>
      </w:r>
      <w:r>
        <w:rPr>
          <w:sz w:val="20"/>
        </w:rPr>
        <w:t>the</w:t>
      </w:r>
      <w:r>
        <w:rPr>
          <w:spacing w:val="-7"/>
          <w:sz w:val="20"/>
        </w:rPr>
        <w:t> </w:t>
      </w:r>
      <w:r>
        <w:rPr>
          <w:sz w:val="20"/>
        </w:rPr>
        <w:t>evidence</w:t>
      </w:r>
      <w:r>
        <w:rPr>
          <w:spacing w:val="-10"/>
          <w:sz w:val="20"/>
        </w:rPr>
        <w:t> </w:t>
      </w:r>
      <w:r>
        <w:rPr>
          <w:sz w:val="20"/>
        </w:rPr>
        <w:t>submitted</w:t>
      </w:r>
      <w:r>
        <w:rPr>
          <w:spacing w:val="-10"/>
          <w:sz w:val="20"/>
        </w:rPr>
        <w:t> </w:t>
      </w:r>
      <w:r>
        <w:rPr>
          <w:sz w:val="20"/>
        </w:rPr>
        <w:t>to</w:t>
      </w:r>
      <w:r>
        <w:rPr>
          <w:spacing w:val="-11"/>
          <w:sz w:val="20"/>
        </w:rPr>
        <w:t> </w:t>
      </w:r>
      <w:r>
        <w:rPr>
          <w:spacing w:val="-2"/>
          <w:sz w:val="20"/>
        </w:rPr>
        <w:t>NICE.</w:t>
      </w:r>
    </w:p>
    <w:p xmlns:wp14="http://schemas.microsoft.com/office/word/2010/wordml" w14:paraId="0E27B00A" wp14:textId="77777777">
      <w:pPr>
        <w:pStyle w:val="BodyText"/>
        <w:spacing w:before="4"/>
      </w:pPr>
    </w:p>
    <w:p xmlns:wp14="http://schemas.microsoft.com/office/word/2010/wordml" w14:paraId="244A13A8" wp14:textId="77777777">
      <w:pPr>
        <w:pStyle w:val="BodyText"/>
        <w:spacing w:line="278" w:lineRule="auto"/>
        <w:ind w:left="1380" w:right="1153"/>
        <w:jc w:val="both"/>
      </w:pPr>
      <w:r>
        <w:rPr/>
        <w:t>This</w:t>
      </w:r>
      <w:r>
        <w:rPr>
          <w:spacing w:val="-12"/>
        </w:rPr>
        <w:t> </w:t>
      </w:r>
      <w:r>
        <w:rPr/>
        <w:t>letter</w:t>
      </w:r>
      <w:r>
        <w:rPr>
          <w:spacing w:val="-9"/>
        </w:rPr>
        <w:t> </w:t>
      </w:r>
      <w:r>
        <w:rPr/>
        <w:t>sets</w:t>
      </w:r>
      <w:r>
        <w:rPr>
          <w:spacing w:val="-8"/>
        </w:rPr>
        <w:t> </w:t>
      </w:r>
      <w:r>
        <w:rPr/>
        <w:t>out</w:t>
      </w:r>
      <w:r>
        <w:rPr>
          <w:spacing w:val="-8"/>
        </w:rPr>
        <w:t> </w:t>
      </w:r>
      <w:r>
        <w:rPr/>
        <w:t>my</w:t>
      </w:r>
      <w:r>
        <w:rPr>
          <w:spacing w:val="-7"/>
        </w:rPr>
        <w:t> </w:t>
      </w:r>
      <w:r>
        <w:rPr/>
        <w:t>initial</w:t>
      </w:r>
      <w:r>
        <w:rPr>
          <w:spacing w:val="-11"/>
        </w:rPr>
        <w:t> </w:t>
      </w:r>
      <w:r>
        <w:rPr/>
        <w:t>view</w:t>
      </w:r>
      <w:r>
        <w:rPr>
          <w:spacing w:val="-12"/>
        </w:rPr>
        <w:t> </w:t>
      </w:r>
      <w:r>
        <w:rPr/>
        <w:t>of</w:t>
      </w:r>
      <w:r>
        <w:rPr>
          <w:spacing w:val="-8"/>
        </w:rPr>
        <w:t> </w:t>
      </w:r>
      <w:r>
        <w:rPr/>
        <w:t>the</w:t>
      </w:r>
      <w:r>
        <w:rPr>
          <w:spacing w:val="-13"/>
        </w:rPr>
        <w:t> </w:t>
      </w:r>
      <w:r>
        <w:rPr/>
        <w:t>point</w:t>
      </w:r>
      <w:r>
        <w:rPr>
          <w:spacing w:val="-8"/>
        </w:rPr>
        <w:t> </w:t>
      </w:r>
      <w:r>
        <w:rPr/>
        <w:t>of</w:t>
      </w:r>
      <w:r>
        <w:rPr>
          <w:spacing w:val="-8"/>
        </w:rPr>
        <w:t> </w:t>
      </w:r>
      <w:r>
        <w:rPr/>
        <w:t>appeal</w:t>
      </w:r>
      <w:r>
        <w:rPr>
          <w:spacing w:val="-11"/>
        </w:rPr>
        <w:t> </w:t>
      </w:r>
      <w:r>
        <w:rPr/>
        <w:t>you</w:t>
      </w:r>
      <w:r>
        <w:rPr>
          <w:spacing w:val="-13"/>
        </w:rPr>
        <w:t> </w:t>
      </w:r>
      <w:r>
        <w:rPr/>
        <w:t>have</w:t>
      </w:r>
      <w:r>
        <w:rPr>
          <w:spacing w:val="-13"/>
        </w:rPr>
        <w:t> </w:t>
      </w:r>
      <w:r>
        <w:rPr/>
        <w:t>raised:</w:t>
      </w:r>
      <w:r>
        <w:rPr>
          <w:spacing w:val="-8"/>
        </w:rPr>
        <w:t> </w:t>
      </w:r>
      <w:r>
        <w:rPr/>
        <w:t>principally</w:t>
      </w:r>
      <w:r>
        <w:rPr>
          <w:spacing w:val="-12"/>
        </w:rPr>
        <w:t> </w:t>
      </w:r>
      <w:r>
        <w:rPr/>
        <w:t>whether</w:t>
      </w:r>
      <w:r>
        <w:rPr>
          <w:spacing w:val="-10"/>
        </w:rPr>
        <w:t> </w:t>
      </w:r>
      <w:r>
        <w:rPr/>
        <w:t>it</w:t>
      </w:r>
      <w:r>
        <w:rPr>
          <w:spacing w:val="-8"/>
        </w:rPr>
        <w:t> </w:t>
      </w:r>
      <w:r>
        <w:rPr/>
        <w:t>falls</w:t>
      </w:r>
      <w:r>
        <w:rPr>
          <w:spacing w:val="-12"/>
        </w:rPr>
        <w:t> </w:t>
      </w:r>
      <w:r>
        <w:rPr/>
        <w:t>within any</w:t>
      </w:r>
      <w:r>
        <w:rPr>
          <w:spacing w:val="-14"/>
        </w:rPr>
        <w:t> </w:t>
      </w:r>
      <w:r>
        <w:rPr/>
        <w:t>of</w:t>
      </w:r>
      <w:r>
        <w:rPr>
          <w:spacing w:val="-14"/>
        </w:rPr>
        <w:t> </w:t>
      </w:r>
      <w:r>
        <w:rPr/>
        <w:t>the</w:t>
      </w:r>
      <w:r>
        <w:rPr>
          <w:spacing w:val="-9"/>
        </w:rPr>
        <w:t> </w:t>
      </w:r>
      <w:r>
        <w:rPr/>
        <w:t>grounds</w:t>
      </w:r>
      <w:r>
        <w:rPr>
          <w:spacing w:val="-13"/>
        </w:rPr>
        <w:t> </w:t>
      </w:r>
      <w:r>
        <w:rPr/>
        <w:t>of</w:t>
      </w:r>
      <w:r>
        <w:rPr>
          <w:spacing w:val="-9"/>
        </w:rPr>
        <w:t> </w:t>
      </w:r>
      <w:r>
        <w:rPr/>
        <w:t>appeal,</w:t>
      </w:r>
      <w:r>
        <w:rPr>
          <w:spacing w:val="-13"/>
        </w:rPr>
        <w:t> </w:t>
      </w:r>
      <w:r>
        <w:rPr/>
        <w:t>or</w:t>
      </w:r>
      <w:r>
        <w:rPr>
          <w:spacing w:val="-14"/>
        </w:rPr>
        <w:t> </w:t>
      </w:r>
      <w:r>
        <w:rPr/>
        <w:t>whether</w:t>
      </w:r>
      <w:r>
        <w:rPr>
          <w:spacing w:val="-10"/>
        </w:rPr>
        <w:t> </w:t>
      </w:r>
      <w:r>
        <w:rPr/>
        <w:t>further</w:t>
      </w:r>
      <w:r>
        <w:rPr>
          <w:spacing w:val="-14"/>
        </w:rPr>
        <w:t> </w:t>
      </w:r>
      <w:r>
        <w:rPr/>
        <w:t>clarification</w:t>
      </w:r>
      <w:r>
        <w:rPr>
          <w:spacing w:val="-14"/>
        </w:rPr>
        <w:t> </w:t>
      </w:r>
      <w:r>
        <w:rPr/>
        <w:t>is</w:t>
      </w:r>
      <w:r>
        <w:rPr>
          <w:spacing w:val="-13"/>
        </w:rPr>
        <w:t> </w:t>
      </w:r>
      <w:r>
        <w:rPr/>
        <w:t>required</w:t>
      </w:r>
      <w:r>
        <w:rPr>
          <w:spacing w:val="-14"/>
        </w:rPr>
        <w:t> </w:t>
      </w:r>
      <w:r>
        <w:rPr/>
        <w:t>of</w:t>
      </w:r>
      <w:r>
        <w:rPr>
          <w:spacing w:val="-9"/>
        </w:rPr>
        <w:t> </w:t>
      </w:r>
      <w:r>
        <w:rPr/>
        <w:t>any</w:t>
      </w:r>
      <w:r>
        <w:rPr>
          <w:spacing w:val="-13"/>
        </w:rPr>
        <w:t> </w:t>
      </w:r>
      <w:r>
        <w:rPr/>
        <w:t>point.</w:t>
      </w:r>
      <w:r>
        <w:rPr>
          <w:spacing w:val="-14"/>
        </w:rPr>
        <w:t> </w:t>
      </w:r>
      <w:r>
        <w:rPr/>
        <w:t>Only</w:t>
      </w:r>
      <w:r>
        <w:rPr>
          <w:spacing w:val="-13"/>
        </w:rPr>
        <w:t> </w:t>
      </w:r>
      <w:r>
        <w:rPr/>
        <w:t>if</w:t>
      </w:r>
      <w:r>
        <w:rPr>
          <w:spacing w:val="-13"/>
        </w:rPr>
        <w:t> </w:t>
      </w:r>
      <w:r>
        <w:rPr/>
        <w:t>I</w:t>
      </w:r>
      <w:r>
        <w:rPr>
          <w:spacing w:val="-14"/>
        </w:rPr>
        <w:t> </w:t>
      </w:r>
      <w:r>
        <w:rPr/>
        <w:t>am</w:t>
      </w:r>
      <w:r>
        <w:rPr>
          <w:spacing w:val="-14"/>
        </w:rPr>
        <w:t> </w:t>
      </w:r>
      <w:r>
        <w:rPr/>
        <w:t>satisfied that your</w:t>
      </w:r>
      <w:r>
        <w:rPr>
          <w:spacing w:val="-1"/>
        </w:rPr>
        <w:t> </w:t>
      </w:r>
      <w:r>
        <w:rPr/>
        <w:t>point contains the necessary information, is arguable, and falls within any one of the grounds will your appeal be referred to the Appeal Panel.</w:t>
      </w:r>
    </w:p>
    <w:p xmlns:wp14="http://schemas.microsoft.com/office/word/2010/wordml" w14:paraId="408177D6" wp14:textId="77777777">
      <w:pPr>
        <w:pStyle w:val="BodyText"/>
        <w:spacing w:before="203" w:line="278" w:lineRule="auto"/>
        <w:ind w:left="1380" w:right="1155"/>
        <w:jc w:val="both"/>
      </w:pPr>
      <w:r>
        <w:rPr/>
        <w:t>You have the opportunity to comment on this letter in order to elaborate on or clarify any of the points raised before</w:t>
      </w:r>
      <w:r>
        <w:rPr>
          <w:spacing w:val="-4"/>
        </w:rPr>
        <w:t> </w:t>
      </w:r>
      <w:r>
        <w:rPr/>
        <w:t>I</w:t>
      </w:r>
      <w:r>
        <w:rPr>
          <w:spacing w:val="-4"/>
        </w:rPr>
        <w:t> </w:t>
      </w:r>
      <w:r>
        <w:rPr/>
        <w:t>will make my</w:t>
      </w:r>
      <w:r>
        <w:rPr>
          <w:spacing w:val="-3"/>
        </w:rPr>
        <w:t> </w:t>
      </w:r>
      <w:r>
        <w:rPr/>
        <w:t>final</w:t>
      </w:r>
      <w:r>
        <w:rPr>
          <w:spacing w:val="-2"/>
        </w:rPr>
        <w:t> </w:t>
      </w:r>
      <w:r>
        <w:rPr/>
        <w:t>decision</w:t>
      </w:r>
      <w:r>
        <w:rPr>
          <w:spacing w:val="-4"/>
        </w:rPr>
        <w:t> </w:t>
      </w:r>
      <w:r>
        <w:rPr/>
        <w:t>as to</w:t>
      </w:r>
      <w:r>
        <w:rPr>
          <w:spacing w:val="-4"/>
        </w:rPr>
        <w:t> </w:t>
      </w:r>
      <w:r>
        <w:rPr/>
        <w:t>whether your</w:t>
      </w:r>
      <w:r>
        <w:rPr>
          <w:spacing w:val="-4"/>
        </w:rPr>
        <w:t> </w:t>
      </w:r>
      <w:r>
        <w:rPr/>
        <w:t>appeal point should</w:t>
      </w:r>
      <w:r>
        <w:rPr>
          <w:spacing w:val="-4"/>
        </w:rPr>
        <w:t> </w:t>
      </w:r>
      <w:r>
        <w:rPr/>
        <w:t>be referred</w:t>
      </w:r>
      <w:r>
        <w:rPr>
          <w:spacing w:val="-4"/>
        </w:rPr>
        <w:t> </w:t>
      </w:r>
      <w:r>
        <w:rPr/>
        <w:t>on</w:t>
      </w:r>
      <w:r>
        <w:rPr>
          <w:spacing w:val="-4"/>
        </w:rPr>
        <w:t> </w:t>
      </w:r>
      <w:r>
        <w:rPr/>
        <w:t>to the Appeal Panel.</w:t>
      </w:r>
    </w:p>
    <w:p xmlns:wp14="http://schemas.microsoft.com/office/word/2010/wordml" w14:paraId="0C7A47DB" wp14:textId="77777777">
      <w:pPr>
        <w:pStyle w:val="BodyText"/>
        <w:spacing w:before="205"/>
        <w:ind w:left="1380"/>
        <w:jc w:val="both"/>
      </w:pPr>
      <w:r>
        <w:rPr>
          <w:u w:val="single"/>
        </w:rPr>
        <w:t>Initial</w:t>
      </w:r>
      <w:r>
        <w:rPr>
          <w:spacing w:val="-7"/>
          <w:u w:val="single"/>
        </w:rPr>
        <w:t> </w:t>
      </w:r>
      <w:r>
        <w:rPr>
          <w:spacing w:val="-4"/>
          <w:u w:val="single"/>
        </w:rPr>
        <w:t>View</w:t>
      </w:r>
    </w:p>
    <w:p xmlns:wp14="http://schemas.microsoft.com/office/word/2010/wordml" w14:paraId="60061E4C" wp14:textId="77777777">
      <w:pPr>
        <w:pStyle w:val="BodyText"/>
        <w:spacing w:before="9"/>
      </w:pPr>
    </w:p>
    <w:p xmlns:wp14="http://schemas.microsoft.com/office/word/2010/wordml" w14:paraId="5066D304" wp14:textId="77777777">
      <w:pPr>
        <w:spacing w:before="0" w:line="235" w:lineRule="auto"/>
        <w:ind w:left="1380" w:right="1061" w:firstLine="0"/>
        <w:jc w:val="left"/>
        <w:rPr>
          <w:b/>
          <w:i/>
          <w:sz w:val="20"/>
        </w:rPr>
      </w:pPr>
      <w:r>
        <w:rPr>
          <w:b/>
          <w:i/>
          <w:color w:val="333333"/>
          <w:sz w:val="20"/>
        </w:rPr>
        <w:t>Ground</w:t>
      </w:r>
      <w:r>
        <w:rPr>
          <w:b/>
          <w:i/>
          <w:color w:val="333333"/>
          <w:spacing w:val="-1"/>
          <w:sz w:val="20"/>
        </w:rPr>
        <w:t> </w:t>
      </w:r>
      <w:r>
        <w:rPr>
          <w:b/>
          <w:i/>
          <w:color w:val="333333"/>
          <w:sz w:val="20"/>
        </w:rPr>
        <w:t>1(a):</w:t>
      </w:r>
      <w:r>
        <w:rPr>
          <w:b/>
          <w:i/>
          <w:color w:val="333333"/>
          <w:spacing w:val="-5"/>
          <w:sz w:val="20"/>
        </w:rPr>
        <w:t> </w:t>
      </w:r>
      <w:r>
        <w:rPr>
          <w:b/>
          <w:i/>
          <w:color w:val="333333"/>
          <w:sz w:val="20"/>
        </w:rPr>
        <w:t>In</w:t>
      </w:r>
      <w:r>
        <w:rPr>
          <w:b/>
          <w:i/>
          <w:color w:val="333333"/>
          <w:spacing w:val="-6"/>
          <w:sz w:val="20"/>
        </w:rPr>
        <w:t> </w:t>
      </w:r>
      <w:r>
        <w:rPr>
          <w:b/>
          <w:i/>
          <w:color w:val="333333"/>
          <w:sz w:val="20"/>
        </w:rPr>
        <w:t>making</w:t>
      </w:r>
      <w:r>
        <w:rPr>
          <w:b/>
          <w:i/>
          <w:color w:val="333333"/>
          <w:spacing w:val="-6"/>
          <w:sz w:val="20"/>
        </w:rPr>
        <w:t> </w:t>
      </w:r>
      <w:r>
        <w:rPr>
          <w:b/>
          <w:i/>
          <w:color w:val="333333"/>
          <w:sz w:val="20"/>
        </w:rPr>
        <w:t>the</w:t>
      </w:r>
      <w:r>
        <w:rPr>
          <w:b/>
          <w:i/>
          <w:color w:val="333333"/>
          <w:spacing w:val="-5"/>
          <w:sz w:val="20"/>
        </w:rPr>
        <w:t> </w:t>
      </w:r>
      <w:r>
        <w:rPr>
          <w:b/>
          <w:i/>
          <w:color w:val="333333"/>
          <w:sz w:val="20"/>
        </w:rPr>
        <w:t>assessment</w:t>
      </w:r>
      <w:r>
        <w:rPr>
          <w:b/>
          <w:i/>
          <w:color w:val="333333"/>
          <w:spacing w:val="-5"/>
          <w:sz w:val="20"/>
        </w:rPr>
        <w:t> </w:t>
      </w:r>
      <w:r>
        <w:rPr>
          <w:b/>
          <w:i/>
          <w:color w:val="333333"/>
          <w:sz w:val="20"/>
        </w:rPr>
        <w:t>that preceded</w:t>
      </w:r>
      <w:r>
        <w:rPr>
          <w:b/>
          <w:i/>
          <w:color w:val="333333"/>
          <w:spacing w:val="-1"/>
          <w:sz w:val="20"/>
        </w:rPr>
        <w:t> </w:t>
      </w:r>
      <w:r>
        <w:rPr>
          <w:b/>
          <w:i/>
          <w:color w:val="333333"/>
          <w:sz w:val="20"/>
        </w:rPr>
        <w:t>the</w:t>
      </w:r>
      <w:r>
        <w:rPr>
          <w:b/>
          <w:i/>
          <w:color w:val="333333"/>
          <w:spacing w:val="-5"/>
          <w:sz w:val="20"/>
        </w:rPr>
        <w:t> </w:t>
      </w:r>
      <w:r>
        <w:rPr>
          <w:b/>
          <w:i/>
          <w:color w:val="333333"/>
          <w:sz w:val="20"/>
        </w:rPr>
        <w:t>recommendation,</w:t>
      </w:r>
      <w:r>
        <w:rPr>
          <w:b/>
          <w:i/>
          <w:color w:val="333333"/>
          <w:spacing w:val="-5"/>
          <w:sz w:val="20"/>
        </w:rPr>
        <w:t> </w:t>
      </w:r>
      <w:r>
        <w:rPr>
          <w:b/>
          <w:i/>
          <w:color w:val="333333"/>
          <w:sz w:val="20"/>
        </w:rPr>
        <w:t>NICE</w:t>
      </w:r>
      <w:r>
        <w:rPr>
          <w:b/>
          <w:i/>
          <w:color w:val="333333"/>
          <w:spacing w:val="-2"/>
          <w:sz w:val="20"/>
        </w:rPr>
        <w:t> </w:t>
      </w:r>
      <w:r>
        <w:rPr>
          <w:b/>
          <w:i/>
          <w:color w:val="333333"/>
          <w:sz w:val="20"/>
        </w:rPr>
        <w:t>has failed</w:t>
      </w:r>
      <w:r>
        <w:rPr>
          <w:b/>
          <w:i/>
          <w:color w:val="333333"/>
          <w:spacing w:val="-6"/>
          <w:sz w:val="20"/>
        </w:rPr>
        <w:t> </w:t>
      </w:r>
      <w:r>
        <w:rPr>
          <w:b/>
          <w:i/>
          <w:color w:val="333333"/>
          <w:sz w:val="20"/>
        </w:rPr>
        <w:t>to</w:t>
      </w:r>
      <w:r>
        <w:rPr>
          <w:b/>
          <w:i/>
          <w:color w:val="333333"/>
          <w:sz w:val="20"/>
        </w:rPr>
        <w:t> act fairly</w:t>
      </w:r>
    </w:p>
    <w:p xmlns:wp14="http://schemas.microsoft.com/office/word/2010/wordml" w14:paraId="44EAFD9C" wp14:textId="77777777">
      <w:pPr>
        <w:pStyle w:val="BodyText"/>
        <w:spacing w:before="1"/>
        <w:rPr>
          <w:b/>
          <w:i/>
        </w:rPr>
      </w:pPr>
    </w:p>
    <w:p xmlns:wp14="http://schemas.microsoft.com/office/word/2010/wordml" w14:paraId="10A8EA6A" wp14:textId="77777777">
      <w:pPr>
        <w:pStyle w:val="Heading1"/>
        <w:spacing w:line="266" w:lineRule="auto"/>
        <w:rPr>
          <w:u w:val="none"/>
        </w:rPr>
      </w:pPr>
      <w:r>
        <w:rPr/>
        <mc:AlternateContent>
          <mc:Choice Requires="wps">
            <w:drawing>
              <wp:anchor xmlns:wp14="http://schemas.microsoft.com/office/word/2010/wordprocessingDrawing" distT="0" distB="0" distL="0" distR="0" simplePos="0" relativeHeight="487532032" behindDoc="1" locked="0" layoutInCell="1" allowOverlap="1" wp14:anchorId="1BF25D42" wp14:editId="7777777">
                <wp:simplePos x="0" y="0"/>
                <wp:positionH relativeFrom="page">
                  <wp:posOffset>902017</wp:posOffset>
                </wp:positionH>
                <wp:positionV relativeFrom="paragraph">
                  <wp:posOffset>631808</wp:posOffset>
                </wp:positionV>
                <wp:extent cx="5761990" cy="1282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61990" cy="128270"/>
                        </a:xfrm>
                        <a:prstGeom prst="rect">
                          <a:avLst/>
                        </a:prstGeom>
                      </wps:spPr>
                      <wps:txbx>
                        <w:txbxContent>
                          <w:p xmlns:wp14="http://schemas.microsoft.com/office/word/2010/wordml" w14:paraId="284D50ED" wp14:textId="77777777">
                            <w:pPr>
                              <w:tabs>
                                <w:tab w:val="left" w:leader="none" w:pos="8153"/>
                              </w:tabs>
                              <w:spacing w:before="0" w:line="201" w:lineRule="exact"/>
                              <w:ind w:left="0" w:right="0" w:firstLine="0"/>
                              <w:jc w:val="left"/>
                              <w:rPr>
                                <w:sz w:val="18"/>
                              </w:rPr>
                            </w:pPr>
                            <w:r>
                              <w:rPr>
                                <w:color w:val="808080"/>
                                <w:spacing w:val="-2"/>
                                <w:sz w:val="18"/>
                              </w:rPr>
                              <w:t>DOCUMENT3</w:t>
                            </w:r>
                            <w:r>
                              <w:rPr>
                                <w:color w:val="808080"/>
                                <w:sz w:val="18"/>
                              </w:rPr>
                              <w:tab/>
                            </w:r>
                            <w:r>
                              <w:rPr>
                                <w:color w:val="808080"/>
                                <w:sz w:val="18"/>
                              </w:rPr>
                              <w:t>Page</w:t>
                            </w:r>
                            <w:r>
                              <w:rPr>
                                <w:color w:val="808080"/>
                                <w:spacing w:val="-4"/>
                                <w:sz w:val="18"/>
                              </w:rPr>
                              <w:t> </w:t>
                            </w:r>
                            <w:r>
                              <w:rPr>
                                <w:color w:val="808080"/>
                                <w:sz w:val="18"/>
                              </w:rPr>
                              <w:t>1</w:t>
                            </w:r>
                            <w:r>
                              <w:rPr>
                                <w:color w:val="808080"/>
                                <w:spacing w:val="-3"/>
                                <w:sz w:val="18"/>
                              </w:rPr>
                              <w:t> </w:t>
                            </w:r>
                            <w:r>
                              <w:rPr>
                                <w:color w:val="808080"/>
                                <w:sz w:val="18"/>
                              </w:rPr>
                              <w:t>of</w:t>
                            </w:r>
                            <w:r>
                              <w:rPr>
                                <w:color w:val="808080"/>
                                <w:spacing w:val="-4"/>
                                <w:sz w:val="18"/>
                              </w:rPr>
                              <w:t> </w:t>
                            </w:r>
                            <w:r>
                              <w:rPr>
                                <w:color w:val="808080"/>
                                <w:spacing w:val="-10"/>
                                <w:sz w:val="18"/>
                              </w:rPr>
                              <w:t>3</w:t>
                            </w:r>
                          </w:p>
                        </w:txbxContent>
                      </wps:txbx>
                      <wps:bodyPr wrap="square" lIns="0" tIns="0" rIns="0" bIns="0" rtlCol="0">
                        <a:noAutofit/>
                      </wps:bodyPr>
                    </wps:wsp>
                  </a:graphicData>
                </a:graphic>
              </wp:anchor>
            </w:drawing>
          </mc:Choice>
          <mc:Fallback>
            <w:pict w14:anchorId="77C927C8">
              <v:shapetype id="_x0000_t202" coordsize="21600,21600" o:spt="202" path="m,l,21600r21600,l21600,xe">
                <v:stroke joinstyle="miter"/>
                <v:path gradientshapeok="t" o:connecttype="rect"/>
              </v:shapetype>
              <v:shape id="docshape1" style="position:absolute;margin-left:71.025002pt;margin-top:49.74873pt;width:453.7pt;height:10.1pt;mso-position-horizontal-relative:page;mso-position-vertical-relative:paragraph;z-index:-15784448" filled="false" stroked="false" type="#_x0000_t202">
                <v:textbox inset="0,0,0,0">
                  <w:txbxContent>
                    <w:p w14:paraId="10778403" wp14:textId="77777777">
                      <w:pPr>
                        <w:tabs>
                          <w:tab w:val="left" w:leader="none" w:pos="8153"/>
                        </w:tabs>
                        <w:spacing w:before="0" w:line="201" w:lineRule="exact"/>
                        <w:ind w:left="0" w:right="0" w:firstLine="0"/>
                        <w:jc w:val="left"/>
                        <w:rPr>
                          <w:sz w:val="18"/>
                        </w:rPr>
                      </w:pPr>
                      <w:r>
                        <w:rPr>
                          <w:color w:val="808080"/>
                          <w:spacing w:val="-2"/>
                          <w:sz w:val="18"/>
                        </w:rPr>
                        <w:t>DOCUMENT3</w:t>
                      </w:r>
                      <w:r>
                        <w:rPr>
                          <w:color w:val="808080"/>
                          <w:sz w:val="18"/>
                        </w:rPr>
                        <w:tab/>
                      </w:r>
                      <w:r>
                        <w:rPr>
                          <w:color w:val="808080"/>
                          <w:sz w:val="18"/>
                        </w:rPr>
                        <w:t>Page</w:t>
                      </w:r>
                      <w:r>
                        <w:rPr>
                          <w:color w:val="808080"/>
                          <w:spacing w:val="-4"/>
                          <w:sz w:val="18"/>
                        </w:rPr>
                        <w:t> </w:t>
                      </w:r>
                      <w:r>
                        <w:rPr>
                          <w:color w:val="808080"/>
                          <w:sz w:val="18"/>
                        </w:rPr>
                        <w:t>1</w:t>
                      </w:r>
                      <w:r>
                        <w:rPr>
                          <w:color w:val="808080"/>
                          <w:spacing w:val="-3"/>
                          <w:sz w:val="18"/>
                        </w:rPr>
                        <w:t> </w:t>
                      </w:r>
                      <w:r>
                        <w:rPr>
                          <w:color w:val="808080"/>
                          <w:sz w:val="18"/>
                        </w:rPr>
                        <w:t>of</w:t>
                      </w:r>
                      <w:r>
                        <w:rPr>
                          <w:color w:val="808080"/>
                          <w:spacing w:val="-4"/>
                          <w:sz w:val="18"/>
                        </w:rPr>
                        <w:t> </w:t>
                      </w:r>
                      <w:r>
                        <w:rPr>
                          <w:color w:val="808080"/>
                          <w:spacing w:val="-10"/>
                          <w:sz w:val="18"/>
                        </w:rPr>
                        <w:t>3</w:t>
                      </w:r>
                    </w:p>
                  </w:txbxContent>
                </v:textbox>
                <w10:wrap type="none"/>
              </v:shape>
            </w:pict>
          </mc:Fallback>
        </mc:AlternateContent>
      </w:r>
      <w:r>
        <w:rPr>
          <w:u w:val="single"/>
        </w:rPr>
        <w:t>Appeal point 1(a).1: The decision not to recommend treatment with olipudase alfa is unfair on</w:t>
      </w:r>
      <w:r>
        <w:rPr>
          <w:u w:val="none"/>
        </w:rPr>
        <w:t> </w:t>
      </w:r>
      <w:r>
        <w:rPr>
          <w:u w:val="single"/>
        </w:rPr>
        <w:t>patients</w:t>
      </w:r>
      <w:r>
        <w:rPr>
          <w:spacing w:val="11"/>
          <w:u w:val="single"/>
        </w:rPr>
        <w:t> </w:t>
      </w:r>
      <w:r>
        <w:rPr>
          <w:u w:val="single"/>
        </w:rPr>
        <w:t>with</w:t>
      </w:r>
      <w:r>
        <w:rPr>
          <w:spacing w:val="8"/>
          <w:u w:val="single"/>
        </w:rPr>
        <w:t> </w:t>
      </w:r>
      <w:r>
        <w:rPr>
          <w:u w:val="single"/>
        </w:rPr>
        <w:t>Niemann-Pick</w:t>
      </w:r>
      <w:r>
        <w:rPr>
          <w:spacing w:val="12"/>
          <w:u w:val="single"/>
        </w:rPr>
        <w:t> </w:t>
      </w:r>
      <w:r>
        <w:rPr>
          <w:u w:val="single"/>
        </w:rPr>
        <w:t>disease</w:t>
      </w:r>
      <w:r>
        <w:rPr>
          <w:spacing w:val="13"/>
          <w:u w:val="single"/>
        </w:rPr>
        <w:t> </w:t>
      </w:r>
      <w:r>
        <w:rPr>
          <w:u w:val="single"/>
        </w:rPr>
        <w:t>type</w:t>
      </w:r>
      <w:r>
        <w:rPr>
          <w:spacing w:val="8"/>
          <w:u w:val="single"/>
        </w:rPr>
        <w:t> </w:t>
      </w:r>
      <w:r>
        <w:rPr>
          <w:u w:val="single"/>
        </w:rPr>
        <w:t>B</w:t>
      </w:r>
      <w:r>
        <w:rPr>
          <w:spacing w:val="9"/>
          <w:u w:val="single"/>
        </w:rPr>
        <w:t> </w:t>
      </w:r>
      <w:r>
        <w:rPr>
          <w:u w:val="single"/>
        </w:rPr>
        <w:t>because</w:t>
      </w:r>
      <w:r>
        <w:rPr>
          <w:spacing w:val="13"/>
          <w:u w:val="single"/>
        </w:rPr>
        <w:t> </w:t>
      </w:r>
      <w:r>
        <w:rPr>
          <w:u w:val="single"/>
        </w:rPr>
        <w:t>similar</w:t>
      </w:r>
      <w:r>
        <w:rPr>
          <w:spacing w:val="11"/>
          <w:u w:val="single"/>
        </w:rPr>
        <w:t> </w:t>
      </w:r>
      <w:r>
        <w:rPr>
          <w:u w:val="single"/>
        </w:rPr>
        <w:t>enzyme</w:t>
      </w:r>
      <w:r>
        <w:rPr>
          <w:spacing w:val="8"/>
          <w:u w:val="single"/>
        </w:rPr>
        <w:t> </w:t>
      </w:r>
      <w:r>
        <w:rPr>
          <w:u w:val="single"/>
        </w:rPr>
        <w:t>replacement</w:t>
      </w:r>
      <w:r>
        <w:rPr>
          <w:spacing w:val="7"/>
          <w:u w:val="single"/>
        </w:rPr>
        <w:t> </w:t>
      </w:r>
      <w:r>
        <w:rPr>
          <w:u w:val="single"/>
        </w:rPr>
        <w:t>therapies</w:t>
      </w:r>
      <w:r>
        <w:rPr>
          <w:spacing w:val="9"/>
          <w:u w:val="single"/>
        </w:rPr>
        <w:t> </w:t>
      </w:r>
      <w:r>
        <w:rPr>
          <w:spacing w:val="-5"/>
          <w:u w:val="single"/>
        </w:rPr>
        <w:t>for</w:t>
      </w:r>
    </w:p>
    <w:p xmlns:wp14="http://schemas.microsoft.com/office/word/2010/wordml" w14:paraId="66503E49" wp14:textId="77777777">
      <w:pPr>
        <w:pStyle w:val="BodyText"/>
        <w:spacing w:before="141"/>
        <w:rPr>
          <w:b/>
        </w:rPr>
      </w:pPr>
      <w:r>
        <w:rPr/>
        <w:drawing>
          <wp:anchor xmlns:wp14="http://schemas.microsoft.com/office/word/2010/wordprocessingDrawing" distT="0" distB="0" distL="0" distR="0" simplePos="0" relativeHeight="487587840" behindDoc="1" locked="0" layoutInCell="1" allowOverlap="1" wp14:anchorId="02CC2F47" wp14:editId="7777777">
            <wp:simplePos x="0" y="0"/>
            <wp:positionH relativeFrom="page">
              <wp:posOffset>280670</wp:posOffset>
            </wp:positionH>
            <wp:positionV relativeFrom="paragraph">
              <wp:posOffset>250812</wp:posOffset>
            </wp:positionV>
            <wp:extent cx="6975639" cy="3657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6975639" cy="365760"/>
                    </a:xfrm>
                    <a:prstGeom prst="rect">
                      <a:avLst/>
                    </a:prstGeom>
                  </pic:spPr>
                </pic:pic>
              </a:graphicData>
            </a:graphic>
          </wp:anchor>
        </w:drawing>
      </w:r>
    </w:p>
    <w:p xmlns:wp14="http://schemas.microsoft.com/office/word/2010/wordml" w14:paraId="4B94D5A5" wp14:textId="77777777">
      <w:pPr>
        <w:spacing w:after="0"/>
        <w:sectPr>
          <w:type w:val="continuous"/>
          <w:pgSz w:w="11910" w:h="16840" w:orient="portrait"/>
          <w:pgMar w:top="1060" w:right="260" w:bottom="280" w:left="40"/>
          <w:cols w:num="1"/>
        </w:sectPr>
      </w:pPr>
    </w:p>
    <w:p xmlns:wp14="http://schemas.microsoft.com/office/word/2010/wordml" w14:paraId="1873562D" wp14:textId="77777777">
      <w:pPr>
        <w:spacing w:before="83" w:line="266" w:lineRule="auto"/>
        <w:ind w:left="1380" w:right="1154" w:firstLine="0"/>
        <w:jc w:val="both"/>
        <w:rPr>
          <w:b/>
          <w:sz w:val="20"/>
        </w:rPr>
      </w:pPr>
      <w:r>
        <w:rPr>
          <w:b/>
          <w:sz w:val="20"/>
          <w:u w:val="single"/>
        </w:rPr>
        <w:t>other lysosomal storage disorders which are less cost effective have received positive</w:t>
      </w:r>
      <w:r>
        <w:rPr>
          <w:b/>
          <w:sz w:val="20"/>
          <w:u w:val="none"/>
        </w:rPr>
        <w:t> </w:t>
      </w:r>
      <w:r>
        <w:rPr>
          <w:b/>
          <w:sz w:val="20"/>
          <w:u w:val="single"/>
        </w:rPr>
        <w:t>recommendations. We believe that NICE is using entirely different criteria to assess novel</w:t>
      </w:r>
      <w:r>
        <w:rPr>
          <w:b/>
          <w:sz w:val="20"/>
          <w:u w:val="none"/>
        </w:rPr>
        <w:t> </w:t>
      </w:r>
      <w:r>
        <w:rPr>
          <w:b/>
          <w:sz w:val="20"/>
          <w:u w:val="single"/>
        </w:rPr>
        <w:t>treatments for diseases where no disease modifying therapy is available, to those criteria they</w:t>
      </w:r>
      <w:r>
        <w:rPr>
          <w:b/>
          <w:sz w:val="20"/>
          <w:u w:val="none"/>
        </w:rPr>
        <w:t> </w:t>
      </w:r>
      <w:r>
        <w:rPr>
          <w:b/>
          <w:sz w:val="20"/>
          <w:u w:val="single"/>
        </w:rPr>
        <w:t>are using</w:t>
      </w:r>
      <w:r>
        <w:rPr>
          <w:b/>
          <w:spacing w:val="-1"/>
          <w:sz w:val="20"/>
          <w:u w:val="single"/>
        </w:rPr>
        <w:t> </w:t>
      </w:r>
      <w:r>
        <w:rPr>
          <w:b/>
          <w:sz w:val="20"/>
          <w:u w:val="single"/>
        </w:rPr>
        <w:t>to assess new therapies for diseases where other licensed treatment</w:t>
      </w:r>
      <w:r>
        <w:rPr>
          <w:b/>
          <w:spacing w:val="-1"/>
          <w:sz w:val="20"/>
          <w:u w:val="single"/>
        </w:rPr>
        <w:t> </w:t>
      </w:r>
      <w:r>
        <w:rPr>
          <w:b/>
          <w:sz w:val="20"/>
          <w:u w:val="single"/>
        </w:rPr>
        <w:t>options already</w:t>
      </w:r>
      <w:r>
        <w:rPr>
          <w:b/>
          <w:sz w:val="20"/>
          <w:u w:val="none"/>
        </w:rPr>
        <w:t> </w:t>
      </w:r>
      <w:r>
        <w:rPr>
          <w:b/>
          <w:spacing w:val="-2"/>
          <w:sz w:val="20"/>
          <w:u w:val="single"/>
        </w:rPr>
        <w:t>exist.</w:t>
      </w:r>
    </w:p>
    <w:p xmlns:wp14="http://schemas.microsoft.com/office/word/2010/wordml" w14:paraId="3DEEC669" wp14:textId="77777777">
      <w:pPr>
        <w:pStyle w:val="BodyText"/>
        <w:spacing w:before="24"/>
        <w:rPr>
          <w:b/>
        </w:rPr>
      </w:pPr>
    </w:p>
    <w:p xmlns:wp14="http://schemas.microsoft.com/office/word/2010/wordml" w14:paraId="68A18662" wp14:textId="77777777">
      <w:pPr>
        <w:pStyle w:val="BodyText"/>
        <w:spacing w:line="280" w:lineRule="auto"/>
        <w:ind w:left="1380" w:right="1149"/>
        <w:jc w:val="both"/>
      </w:pPr>
      <w:r>
        <w:rPr/>
        <w:t>I understand your appeal point, in substance, to be a challenge to NICE's processes for highly specialised technology evaluation.</w:t>
      </w:r>
      <w:r>
        <w:rPr>
          <w:spacing w:val="40"/>
        </w:rPr>
        <w:t> </w:t>
      </w:r>
      <w:r>
        <w:rPr/>
        <w:t>You argue that other drugs for different conditions have been approved,</w:t>
      </w:r>
      <w:r>
        <w:rPr>
          <w:spacing w:val="-5"/>
        </w:rPr>
        <w:t> </w:t>
      </w:r>
      <w:r>
        <w:rPr/>
        <w:t>despite</w:t>
      </w:r>
      <w:r>
        <w:rPr>
          <w:spacing w:val="-5"/>
        </w:rPr>
        <w:t> </w:t>
      </w:r>
      <w:r>
        <w:rPr/>
        <w:t>being</w:t>
      </w:r>
      <w:r>
        <w:rPr>
          <w:spacing w:val="-5"/>
        </w:rPr>
        <w:t> </w:t>
      </w:r>
      <w:r>
        <w:rPr/>
        <w:t>less</w:t>
      </w:r>
      <w:r>
        <w:rPr>
          <w:spacing w:val="-4"/>
        </w:rPr>
        <w:t> </w:t>
      </w:r>
      <w:r>
        <w:rPr/>
        <w:t>clinically</w:t>
      </w:r>
      <w:r>
        <w:rPr>
          <w:spacing w:val="-4"/>
        </w:rPr>
        <w:t> </w:t>
      </w:r>
      <w:r>
        <w:rPr/>
        <w:t>effective</w:t>
      </w:r>
      <w:r>
        <w:rPr>
          <w:spacing w:val="-5"/>
        </w:rPr>
        <w:t> </w:t>
      </w:r>
      <w:r>
        <w:rPr/>
        <w:t>than</w:t>
      </w:r>
      <w:r>
        <w:rPr>
          <w:spacing w:val="-5"/>
        </w:rPr>
        <w:t> </w:t>
      </w:r>
      <w:r>
        <w:rPr/>
        <w:t>olipudase</w:t>
      </w:r>
      <w:r>
        <w:rPr>
          <w:spacing w:val="-5"/>
        </w:rPr>
        <w:t> </w:t>
      </w:r>
      <w:r>
        <w:rPr/>
        <w:t>alfa</w:t>
      </w:r>
      <w:r>
        <w:rPr>
          <w:spacing w:val="-5"/>
        </w:rPr>
        <w:t> </w:t>
      </w:r>
      <w:r>
        <w:rPr/>
        <w:t>is</w:t>
      </w:r>
      <w:r>
        <w:rPr>
          <w:spacing w:val="-4"/>
        </w:rPr>
        <w:t> </w:t>
      </w:r>
      <w:r>
        <w:rPr/>
        <w:t>for</w:t>
      </w:r>
      <w:r>
        <w:rPr>
          <w:spacing w:val="-5"/>
        </w:rPr>
        <w:t> </w:t>
      </w:r>
      <w:r>
        <w:rPr/>
        <w:t>Niemann-Pick</w:t>
      </w:r>
      <w:r>
        <w:rPr>
          <w:spacing w:val="-4"/>
        </w:rPr>
        <w:t> </w:t>
      </w:r>
      <w:r>
        <w:rPr/>
        <w:t>disease</w:t>
      </w:r>
      <w:r>
        <w:rPr>
          <w:spacing w:val="-5"/>
        </w:rPr>
        <w:t> </w:t>
      </w:r>
      <w:r>
        <w:rPr/>
        <w:t>type</w:t>
      </w:r>
      <w:r>
        <w:rPr>
          <w:spacing w:val="-5"/>
        </w:rPr>
        <w:t> </w:t>
      </w:r>
      <w:r>
        <w:rPr/>
        <w:t>B. You argue that it is harder for olipudase alfa to be considered cost effective than those other drugs, because the incremental costs of those drugs were measured against existing standard of care therapies;</w:t>
      </w:r>
      <w:r>
        <w:rPr>
          <w:spacing w:val="-4"/>
        </w:rPr>
        <w:t> </w:t>
      </w:r>
      <w:r>
        <w:rPr/>
        <w:t>whereas</w:t>
      </w:r>
      <w:r>
        <w:rPr>
          <w:spacing w:val="-4"/>
        </w:rPr>
        <w:t> </w:t>
      </w:r>
      <w:r>
        <w:rPr/>
        <w:t>olipudase</w:t>
      </w:r>
      <w:r>
        <w:rPr>
          <w:spacing w:val="-5"/>
        </w:rPr>
        <w:t> </w:t>
      </w:r>
      <w:r>
        <w:rPr/>
        <w:t>alfa</w:t>
      </w:r>
      <w:r>
        <w:rPr>
          <w:spacing w:val="-5"/>
        </w:rPr>
        <w:t> </w:t>
      </w:r>
      <w:r>
        <w:rPr/>
        <w:t>is</w:t>
      </w:r>
      <w:r>
        <w:rPr>
          <w:spacing w:val="-4"/>
        </w:rPr>
        <w:t> </w:t>
      </w:r>
      <w:r>
        <w:rPr/>
        <w:t>measured</w:t>
      </w:r>
      <w:r>
        <w:rPr>
          <w:spacing w:val="-5"/>
        </w:rPr>
        <w:t> </w:t>
      </w:r>
      <w:r>
        <w:rPr/>
        <w:t>against</w:t>
      </w:r>
      <w:r>
        <w:rPr>
          <w:spacing w:val="-1"/>
        </w:rPr>
        <w:t> </w:t>
      </w:r>
      <w:r>
        <w:rPr/>
        <w:t>best</w:t>
      </w:r>
      <w:r>
        <w:rPr>
          <w:spacing w:val="-4"/>
        </w:rPr>
        <w:t> </w:t>
      </w:r>
      <w:r>
        <w:rPr/>
        <w:t>supportive</w:t>
      </w:r>
      <w:r>
        <w:rPr>
          <w:spacing w:val="-5"/>
        </w:rPr>
        <w:t> </w:t>
      </w:r>
      <w:r>
        <w:rPr/>
        <w:t>care, because</w:t>
      </w:r>
      <w:r>
        <w:rPr>
          <w:spacing w:val="-5"/>
        </w:rPr>
        <w:t> </w:t>
      </w:r>
      <w:r>
        <w:rPr/>
        <w:t>no</w:t>
      </w:r>
      <w:r>
        <w:rPr>
          <w:spacing w:val="-5"/>
        </w:rPr>
        <w:t> </w:t>
      </w:r>
      <w:r>
        <w:rPr/>
        <w:t>other</w:t>
      </w:r>
      <w:r>
        <w:rPr>
          <w:spacing w:val="-5"/>
        </w:rPr>
        <w:t> </w:t>
      </w:r>
      <w:r>
        <w:rPr/>
        <w:t>disease modifying therapy is currently available.</w:t>
      </w:r>
      <w:r>
        <w:rPr>
          <w:spacing w:val="40"/>
        </w:rPr>
        <w:t> </w:t>
      </w:r>
      <w:r>
        <w:rPr/>
        <w:t>You say that this is unfair, because the incremental cost of a new technology, measured against no existing technology, is likely to be much higher than the incremental cost of a new technology measured against an existing technology used for that disease.</w:t>
      </w:r>
    </w:p>
    <w:p xmlns:wp14="http://schemas.microsoft.com/office/word/2010/wordml" w14:paraId="2A31EEF0" wp14:textId="77777777">
      <w:pPr>
        <w:pStyle w:val="BodyText"/>
        <w:spacing w:before="189" w:line="280" w:lineRule="auto"/>
        <w:ind w:left="1380" w:right="1152"/>
        <w:jc w:val="both"/>
      </w:pPr>
      <w:r>
        <w:rPr/>
        <w:t>I</w:t>
      </w:r>
      <w:r>
        <w:rPr>
          <w:spacing w:val="-14"/>
        </w:rPr>
        <w:t> </w:t>
      </w:r>
      <w:r>
        <w:rPr/>
        <w:t>am</w:t>
      </w:r>
      <w:r>
        <w:rPr>
          <w:spacing w:val="-10"/>
        </w:rPr>
        <w:t> </w:t>
      </w:r>
      <w:r>
        <w:rPr/>
        <w:t>not</w:t>
      </w:r>
      <w:r>
        <w:rPr>
          <w:spacing w:val="-9"/>
        </w:rPr>
        <w:t> </w:t>
      </w:r>
      <w:r>
        <w:rPr/>
        <w:t>minded</w:t>
      </w:r>
      <w:r>
        <w:rPr>
          <w:spacing w:val="-9"/>
        </w:rPr>
        <w:t> </w:t>
      </w:r>
      <w:r>
        <w:rPr/>
        <w:t>to</w:t>
      </w:r>
      <w:r>
        <w:rPr>
          <w:spacing w:val="-10"/>
        </w:rPr>
        <w:t> </w:t>
      </w:r>
      <w:r>
        <w:rPr/>
        <w:t>refer</w:t>
      </w:r>
      <w:r>
        <w:rPr>
          <w:spacing w:val="-14"/>
        </w:rPr>
        <w:t> </w:t>
      </w:r>
      <w:r>
        <w:rPr/>
        <w:t>this</w:t>
      </w:r>
      <w:r>
        <w:rPr>
          <w:spacing w:val="-8"/>
        </w:rPr>
        <w:t> </w:t>
      </w:r>
      <w:r>
        <w:rPr/>
        <w:t>appeal</w:t>
      </w:r>
      <w:r>
        <w:rPr>
          <w:spacing w:val="-12"/>
        </w:rPr>
        <w:t> </w:t>
      </w:r>
      <w:r>
        <w:rPr/>
        <w:t>point</w:t>
      </w:r>
      <w:r>
        <w:rPr>
          <w:spacing w:val="-14"/>
        </w:rPr>
        <w:t> </w:t>
      </w:r>
      <w:r>
        <w:rPr/>
        <w:t>to</w:t>
      </w:r>
      <w:r>
        <w:rPr>
          <w:spacing w:val="-10"/>
        </w:rPr>
        <w:t> </w:t>
      </w:r>
      <w:r>
        <w:rPr/>
        <w:t>the</w:t>
      </w:r>
      <w:r>
        <w:rPr>
          <w:spacing w:val="-14"/>
        </w:rPr>
        <w:t> </w:t>
      </w:r>
      <w:r>
        <w:rPr/>
        <w:t>Appeal</w:t>
      </w:r>
      <w:r>
        <w:rPr>
          <w:spacing w:val="-12"/>
        </w:rPr>
        <w:t> </w:t>
      </w:r>
      <w:r>
        <w:rPr/>
        <w:t>Panel.</w:t>
      </w:r>
      <w:r>
        <w:rPr>
          <w:spacing w:val="79"/>
        </w:rPr>
        <w:t> </w:t>
      </w:r>
      <w:r>
        <w:rPr/>
        <w:t>You</w:t>
      </w:r>
      <w:r>
        <w:rPr>
          <w:spacing w:val="-14"/>
        </w:rPr>
        <w:t> </w:t>
      </w:r>
      <w:r>
        <w:rPr/>
        <w:t>have</w:t>
      </w:r>
      <w:r>
        <w:rPr>
          <w:spacing w:val="-14"/>
        </w:rPr>
        <w:t> </w:t>
      </w:r>
      <w:r>
        <w:rPr/>
        <w:t>not</w:t>
      </w:r>
      <w:r>
        <w:rPr>
          <w:spacing w:val="-13"/>
        </w:rPr>
        <w:t> </w:t>
      </w:r>
      <w:r>
        <w:rPr/>
        <w:t>argued</w:t>
      </w:r>
      <w:r>
        <w:rPr>
          <w:spacing w:val="-9"/>
        </w:rPr>
        <w:t> </w:t>
      </w:r>
      <w:r>
        <w:rPr/>
        <w:t>that</w:t>
      </w:r>
      <w:r>
        <w:rPr>
          <w:spacing w:val="-9"/>
        </w:rPr>
        <w:t> </w:t>
      </w:r>
      <w:r>
        <w:rPr/>
        <w:t>the</w:t>
      </w:r>
      <w:r>
        <w:rPr>
          <w:spacing w:val="-9"/>
        </w:rPr>
        <w:t> </w:t>
      </w:r>
      <w:r>
        <w:rPr/>
        <w:t>Committee has departed from </w:t>
      </w:r>
      <w:r>
        <w:rPr>
          <w:i/>
        </w:rPr>
        <w:t>NICE health technology evaluations: the Manual</w:t>
      </w:r>
      <w:r>
        <w:rPr/>
        <w:t>, which sets out the methods and processes by which NICE committees are obliged to</w:t>
      </w:r>
      <w:r>
        <w:rPr>
          <w:spacing w:val="-1"/>
        </w:rPr>
        <w:t> </w:t>
      </w:r>
      <w:r>
        <w:rPr/>
        <w:t>carry out technology evaluations.</w:t>
      </w:r>
      <w:r>
        <w:rPr>
          <w:spacing w:val="40"/>
        </w:rPr>
        <w:t> </w:t>
      </w:r>
      <w:r>
        <w:rPr/>
        <w:t>A challenge to the</w:t>
      </w:r>
      <w:r>
        <w:rPr>
          <w:spacing w:val="-5"/>
        </w:rPr>
        <w:t> </w:t>
      </w:r>
      <w:r>
        <w:rPr/>
        <w:t>contents</w:t>
      </w:r>
      <w:r>
        <w:rPr>
          <w:spacing w:val="-4"/>
        </w:rPr>
        <w:t> </w:t>
      </w:r>
      <w:r>
        <w:rPr/>
        <w:t>of</w:t>
      </w:r>
      <w:r>
        <w:rPr>
          <w:spacing w:val="-5"/>
        </w:rPr>
        <w:t> </w:t>
      </w:r>
      <w:r>
        <w:rPr/>
        <w:t>the</w:t>
      </w:r>
      <w:r>
        <w:rPr>
          <w:spacing w:val="-5"/>
        </w:rPr>
        <w:t> </w:t>
      </w:r>
      <w:r>
        <w:rPr/>
        <w:t>Manual</w:t>
      </w:r>
      <w:r>
        <w:rPr>
          <w:spacing w:val="-3"/>
        </w:rPr>
        <w:t> </w:t>
      </w:r>
      <w:r>
        <w:rPr/>
        <w:t>itself</w:t>
      </w:r>
      <w:r>
        <w:rPr>
          <w:spacing w:val="-4"/>
        </w:rPr>
        <w:t> </w:t>
      </w:r>
      <w:r>
        <w:rPr/>
        <w:t>cannot</w:t>
      </w:r>
      <w:r>
        <w:rPr>
          <w:spacing w:val="-5"/>
        </w:rPr>
        <w:t> </w:t>
      </w:r>
      <w:r>
        <w:rPr/>
        <w:t>be</w:t>
      </w:r>
      <w:r>
        <w:rPr>
          <w:spacing w:val="-5"/>
        </w:rPr>
        <w:t> </w:t>
      </w:r>
      <w:r>
        <w:rPr/>
        <w:t>brought</w:t>
      </w:r>
      <w:r>
        <w:rPr>
          <w:spacing w:val="-5"/>
        </w:rPr>
        <w:t> </w:t>
      </w:r>
      <w:r>
        <w:rPr/>
        <w:t>by</w:t>
      </w:r>
      <w:r>
        <w:rPr>
          <w:spacing w:val="-4"/>
        </w:rPr>
        <w:t> </w:t>
      </w:r>
      <w:r>
        <w:rPr/>
        <w:t>way</w:t>
      </w:r>
      <w:r>
        <w:rPr>
          <w:spacing w:val="-4"/>
        </w:rPr>
        <w:t> </w:t>
      </w:r>
      <w:r>
        <w:rPr/>
        <w:t>of</w:t>
      </w:r>
      <w:r>
        <w:rPr>
          <w:spacing w:val="-5"/>
        </w:rPr>
        <w:t> </w:t>
      </w:r>
      <w:r>
        <w:rPr/>
        <w:t>an</w:t>
      </w:r>
      <w:r>
        <w:rPr>
          <w:spacing w:val="-5"/>
        </w:rPr>
        <w:t> </w:t>
      </w:r>
      <w:r>
        <w:rPr/>
        <w:t>appeal</w:t>
      </w:r>
      <w:r>
        <w:rPr>
          <w:spacing w:val="-3"/>
        </w:rPr>
        <w:t> </w:t>
      </w:r>
      <w:r>
        <w:rPr/>
        <w:t>against</w:t>
      </w:r>
      <w:r>
        <w:rPr>
          <w:spacing w:val="-4"/>
        </w:rPr>
        <w:t> </w:t>
      </w:r>
      <w:r>
        <w:rPr/>
        <w:t>a</w:t>
      </w:r>
      <w:r>
        <w:rPr>
          <w:spacing w:val="-5"/>
        </w:rPr>
        <w:t> </w:t>
      </w:r>
      <w:r>
        <w:rPr/>
        <w:t>particular evaluation. In the absence of any argument that the Committee departed from NICE's established processes, I do not see a basis for a claim that the Committee has acted unfairly.</w:t>
      </w:r>
    </w:p>
    <w:p xmlns:wp14="http://schemas.microsoft.com/office/word/2010/wordml" w14:paraId="77BD5E98" wp14:textId="77777777">
      <w:pPr>
        <w:pStyle w:val="BodyText"/>
        <w:spacing w:before="196" w:line="280" w:lineRule="auto"/>
        <w:ind w:left="1380" w:right="1148"/>
        <w:jc w:val="both"/>
      </w:pPr>
      <w:r>
        <w:rPr/>
        <w:t>In</w:t>
      </w:r>
      <w:r>
        <w:rPr>
          <w:spacing w:val="-14"/>
        </w:rPr>
        <w:t> </w:t>
      </w:r>
      <w:r>
        <w:rPr/>
        <w:t>respect</w:t>
      </w:r>
      <w:r>
        <w:rPr>
          <w:spacing w:val="-14"/>
        </w:rPr>
        <w:t> </w:t>
      </w:r>
      <w:r>
        <w:rPr/>
        <w:t>of</w:t>
      </w:r>
      <w:r>
        <w:rPr>
          <w:spacing w:val="-14"/>
        </w:rPr>
        <w:t> </w:t>
      </w:r>
      <w:r>
        <w:rPr/>
        <w:t>your</w:t>
      </w:r>
      <w:r>
        <w:rPr>
          <w:spacing w:val="-14"/>
        </w:rPr>
        <w:t> </w:t>
      </w:r>
      <w:r>
        <w:rPr/>
        <w:t>challenge</w:t>
      </w:r>
      <w:r>
        <w:rPr>
          <w:spacing w:val="-14"/>
        </w:rPr>
        <w:t> </w:t>
      </w:r>
      <w:r>
        <w:rPr/>
        <w:t>to</w:t>
      </w:r>
      <w:r>
        <w:rPr>
          <w:spacing w:val="-14"/>
        </w:rPr>
        <w:t> </w:t>
      </w:r>
      <w:r>
        <w:rPr/>
        <w:t>the</w:t>
      </w:r>
      <w:r>
        <w:rPr>
          <w:spacing w:val="-14"/>
        </w:rPr>
        <w:t> </w:t>
      </w:r>
      <w:r>
        <w:rPr/>
        <w:t>recommendations</w:t>
      </w:r>
      <w:r>
        <w:rPr>
          <w:spacing w:val="-14"/>
        </w:rPr>
        <w:t> </w:t>
      </w:r>
      <w:r>
        <w:rPr/>
        <w:t>made</w:t>
      </w:r>
      <w:r>
        <w:rPr>
          <w:spacing w:val="-14"/>
        </w:rPr>
        <w:t> </w:t>
      </w:r>
      <w:r>
        <w:rPr/>
        <w:t>for</w:t>
      </w:r>
      <w:r>
        <w:rPr>
          <w:spacing w:val="-13"/>
        </w:rPr>
        <w:t> </w:t>
      </w:r>
      <w:r>
        <w:rPr/>
        <w:t>other</w:t>
      </w:r>
      <w:r>
        <w:rPr>
          <w:spacing w:val="-14"/>
        </w:rPr>
        <w:t> </w:t>
      </w:r>
      <w:r>
        <w:rPr/>
        <w:t>technologies</w:t>
      </w:r>
      <w:r>
        <w:rPr>
          <w:spacing w:val="-14"/>
        </w:rPr>
        <w:t> </w:t>
      </w:r>
      <w:r>
        <w:rPr/>
        <w:t>based</w:t>
      </w:r>
      <w:r>
        <w:rPr>
          <w:spacing w:val="-14"/>
        </w:rPr>
        <w:t> </w:t>
      </w:r>
      <w:r>
        <w:rPr/>
        <w:t>on</w:t>
      </w:r>
      <w:r>
        <w:rPr>
          <w:spacing w:val="-14"/>
        </w:rPr>
        <w:t> </w:t>
      </w:r>
      <w:r>
        <w:rPr/>
        <w:t>their</w:t>
      </w:r>
      <w:r>
        <w:rPr>
          <w:spacing w:val="-14"/>
        </w:rPr>
        <w:t> </w:t>
      </w:r>
      <w:r>
        <w:rPr/>
        <w:t>existing comparators,</w:t>
      </w:r>
      <w:r>
        <w:rPr>
          <w:spacing w:val="-10"/>
        </w:rPr>
        <w:t> </w:t>
      </w:r>
      <w:r>
        <w:rPr/>
        <w:t>you</w:t>
      </w:r>
      <w:r>
        <w:rPr>
          <w:spacing w:val="-10"/>
        </w:rPr>
        <w:t> </w:t>
      </w:r>
      <w:r>
        <w:rPr/>
        <w:t>may</w:t>
      </w:r>
      <w:r>
        <w:rPr>
          <w:spacing w:val="-9"/>
        </w:rPr>
        <w:t> </w:t>
      </w:r>
      <w:r>
        <w:rPr/>
        <w:t>be</w:t>
      </w:r>
      <w:r>
        <w:rPr>
          <w:spacing w:val="-14"/>
        </w:rPr>
        <w:t> </w:t>
      </w:r>
      <w:r>
        <w:rPr/>
        <w:t>reassured</w:t>
      </w:r>
      <w:r>
        <w:rPr>
          <w:spacing w:val="-14"/>
        </w:rPr>
        <w:t> </w:t>
      </w:r>
      <w:r>
        <w:rPr/>
        <w:t>by</w:t>
      </w:r>
      <w:r>
        <w:rPr>
          <w:spacing w:val="-8"/>
        </w:rPr>
        <w:t> </w:t>
      </w:r>
      <w:r>
        <w:rPr/>
        <w:t>paragraphs</w:t>
      </w:r>
      <w:r>
        <w:rPr>
          <w:spacing w:val="-9"/>
        </w:rPr>
        <w:t> </w:t>
      </w:r>
      <w:r>
        <w:rPr/>
        <w:t>6.2.3</w:t>
      </w:r>
      <w:r>
        <w:rPr>
          <w:spacing w:val="-6"/>
        </w:rPr>
        <w:t> </w:t>
      </w:r>
      <w:r>
        <w:rPr/>
        <w:t>and</w:t>
      </w:r>
      <w:r>
        <w:rPr>
          <w:spacing w:val="-14"/>
        </w:rPr>
        <w:t> </w:t>
      </w:r>
      <w:r>
        <w:rPr/>
        <w:t>6.2.4</w:t>
      </w:r>
      <w:r>
        <w:rPr>
          <w:spacing w:val="-14"/>
        </w:rPr>
        <w:t> </w:t>
      </w:r>
      <w:r>
        <w:rPr/>
        <w:t>of</w:t>
      </w:r>
      <w:r>
        <w:rPr>
          <w:spacing w:val="-14"/>
        </w:rPr>
        <w:t> </w:t>
      </w:r>
      <w:r>
        <w:rPr/>
        <w:t>the</w:t>
      </w:r>
      <w:r>
        <w:rPr>
          <w:spacing w:val="-9"/>
        </w:rPr>
        <w:t> </w:t>
      </w:r>
      <w:r>
        <w:rPr/>
        <w:t>Manual,</w:t>
      </w:r>
      <w:r>
        <w:rPr>
          <w:spacing w:val="-13"/>
        </w:rPr>
        <w:t> </w:t>
      </w:r>
      <w:r>
        <w:rPr/>
        <w:t>which</w:t>
      </w:r>
      <w:r>
        <w:rPr>
          <w:spacing w:val="-10"/>
        </w:rPr>
        <w:t> </w:t>
      </w:r>
      <w:r>
        <w:rPr/>
        <w:t>set</w:t>
      </w:r>
      <w:r>
        <w:rPr>
          <w:spacing w:val="-10"/>
        </w:rPr>
        <w:t> </w:t>
      </w:r>
      <w:r>
        <w:rPr/>
        <w:t>out</w:t>
      </w:r>
      <w:r>
        <w:rPr>
          <w:spacing w:val="-14"/>
        </w:rPr>
        <w:t> </w:t>
      </w:r>
      <w:r>
        <w:rPr/>
        <w:t>in</w:t>
      </w:r>
      <w:r>
        <w:rPr>
          <w:spacing w:val="-14"/>
        </w:rPr>
        <w:t> </w:t>
      </w:r>
      <w:r>
        <w:rPr/>
        <w:t>some detail the bases on which committees identify comparators, including mitigations if the evaluation suggests that established practice may not be considered a good use of NHS resources relative to another available treatment.</w:t>
      </w:r>
      <w:r>
        <w:rPr>
          <w:spacing w:val="40"/>
        </w:rPr>
        <w:t> </w:t>
      </w:r>
      <w:r>
        <w:rPr/>
        <w:t>It also explains that the committee will consider whether that other technology</w:t>
      </w:r>
      <w:r>
        <w:rPr>
          <w:spacing w:val="-3"/>
        </w:rPr>
        <w:t> </w:t>
      </w:r>
      <w:r>
        <w:rPr/>
        <w:t>is</w:t>
      </w:r>
      <w:r>
        <w:rPr>
          <w:spacing w:val="-3"/>
        </w:rPr>
        <w:t> </w:t>
      </w:r>
      <w:r>
        <w:rPr/>
        <w:t>so</w:t>
      </w:r>
      <w:r>
        <w:rPr>
          <w:spacing w:val="-4"/>
        </w:rPr>
        <w:t> </w:t>
      </w:r>
      <w:r>
        <w:rPr/>
        <w:t>embedded</w:t>
      </w:r>
      <w:r>
        <w:rPr>
          <w:spacing w:val="-4"/>
        </w:rPr>
        <w:t> </w:t>
      </w:r>
      <w:r>
        <w:rPr/>
        <w:t>that</w:t>
      </w:r>
      <w:r>
        <w:rPr>
          <w:spacing w:val="-2"/>
        </w:rPr>
        <w:t> </w:t>
      </w:r>
      <w:r>
        <w:rPr/>
        <w:t>its</w:t>
      </w:r>
      <w:r>
        <w:rPr>
          <w:spacing w:val="-3"/>
        </w:rPr>
        <w:t> </w:t>
      </w:r>
      <w:r>
        <w:rPr/>
        <w:t>use</w:t>
      </w:r>
      <w:r>
        <w:rPr>
          <w:spacing w:val="-4"/>
        </w:rPr>
        <w:t> </w:t>
      </w:r>
      <w:r>
        <w:rPr/>
        <w:t>will</w:t>
      </w:r>
      <w:r>
        <w:rPr>
          <w:spacing w:val="-1"/>
        </w:rPr>
        <w:t> </w:t>
      </w:r>
      <w:r>
        <w:rPr/>
        <w:t>continue</w:t>
      </w:r>
      <w:r>
        <w:rPr>
          <w:spacing w:val="-4"/>
        </w:rPr>
        <w:t> </w:t>
      </w:r>
      <w:r>
        <w:rPr/>
        <w:t>unless</w:t>
      </w:r>
      <w:r>
        <w:rPr>
          <w:spacing w:val="-3"/>
        </w:rPr>
        <w:t> </w:t>
      </w:r>
      <w:r>
        <w:rPr/>
        <w:t>it</w:t>
      </w:r>
      <w:r>
        <w:rPr>
          <w:spacing w:val="-3"/>
        </w:rPr>
        <w:t> </w:t>
      </w:r>
      <w:r>
        <w:rPr/>
        <w:t>is</w:t>
      </w:r>
      <w:r>
        <w:rPr>
          <w:spacing w:val="-2"/>
        </w:rPr>
        <w:t> </w:t>
      </w:r>
      <w:r>
        <w:rPr/>
        <w:t>replaced</w:t>
      </w:r>
      <w:r>
        <w:rPr>
          <w:spacing w:val="-4"/>
        </w:rPr>
        <w:t> </w:t>
      </w:r>
      <w:r>
        <w:rPr/>
        <w:t>by</w:t>
      </w:r>
      <w:r>
        <w:rPr>
          <w:spacing w:val="-3"/>
        </w:rPr>
        <w:t> </w:t>
      </w:r>
      <w:r>
        <w:rPr/>
        <w:t>a</w:t>
      </w:r>
      <w:r>
        <w:rPr>
          <w:spacing w:val="-4"/>
        </w:rPr>
        <w:t> </w:t>
      </w:r>
      <w:r>
        <w:rPr/>
        <w:t>new</w:t>
      </w:r>
      <w:r>
        <w:rPr>
          <w:spacing w:val="-2"/>
        </w:rPr>
        <w:t> </w:t>
      </w:r>
      <w:r>
        <w:rPr/>
        <w:t>technology.</w:t>
      </w:r>
      <w:r>
        <w:rPr>
          <w:spacing w:val="40"/>
        </w:rPr>
        <w:t> </w:t>
      </w:r>
      <w:r>
        <w:rPr/>
        <w:t>I</w:t>
      </w:r>
      <w:r>
        <w:rPr>
          <w:spacing w:val="-4"/>
        </w:rPr>
        <w:t> </w:t>
      </w:r>
      <w:r>
        <w:rPr/>
        <w:t>would also note that the full complement of QALYs did accrue to the technology in the current evaluation precisely because there was no comparator treatment.</w:t>
      </w:r>
    </w:p>
    <w:p xmlns:wp14="http://schemas.microsoft.com/office/word/2010/wordml" w14:paraId="2B2A7A39" wp14:textId="77777777">
      <w:pPr>
        <w:pStyle w:val="BodyText"/>
        <w:spacing w:before="228"/>
        <w:ind w:left="1380"/>
      </w:pPr>
      <w:r>
        <w:rPr>
          <w:spacing w:val="-2"/>
          <w:u w:val="single"/>
        </w:rPr>
        <w:t>Conclusion</w:t>
      </w:r>
    </w:p>
    <w:p xmlns:wp14="http://schemas.microsoft.com/office/word/2010/wordml" w14:paraId="3656B9AB" wp14:textId="77777777">
      <w:pPr>
        <w:pStyle w:val="BodyText"/>
        <w:spacing w:before="35"/>
      </w:pPr>
    </w:p>
    <w:p xmlns:wp14="http://schemas.microsoft.com/office/word/2010/wordml" w14:paraId="585C4BA0" wp14:textId="77777777">
      <w:pPr>
        <w:pStyle w:val="BodyText"/>
        <w:ind w:left="1380"/>
        <w:jc w:val="both"/>
      </w:pPr>
      <w:r>
        <w:rPr/>
        <w:t>The</w:t>
      </w:r>
      <w:r>
        <w:rPr>
          <w:spacing w:val="-5"/>
        </w:rPr>
        <w:t> </w:t>
      </w:r>
      <w:r>
        <w:rPr/>
        <w:t>above</w:t>
      </w:r>
      <w:r>
        <w:rPr>
          <w:spacing w:val="-5"/>
        </w:rPr>
        <w:t> </w:t>
      </w:r>
      <w:r>
        <w:rPr/>
        <w:t>sets</w:t>
      </w:r>
      <w:r>
        <w:rPr>
          <w:spacing w:val="1"/>
        </w:rPr>
        <w:t> </w:t>
      </w:r>
      <w:r>
        <w:rPr/>
        <w:t>out my</w:t>
      </w:r>
      <w:r>
        <w:rPr>
          <w:spacing w:val="-4"/>
        </w:rPr>
        <w:t> </w:t>
      </w:r>
      <w:r>
        <w:rPr/>
        <w:t>initial</w:t>
      </w:r>
      <w:r>
        <w:rPr>
          <w:spacing w:val="-2"/>
        </w:rPr>
        <w:t> </w:t>
      </w:r>
      <w:r>
        <w:rPr/>
        <w:t>views</w:t>
      </w:r>
      <w:r>
        <w:rPr>
          <w:spacing w:val="-4"/>
        </w:rPr>
        <w:t> </w:t>
      </w:r>
      <w:r>
        <w:rPr/>
        <w:t>on</w:t>
      </w:r>
      <w:r>
        <w:rPr>
          <w:spacing w:val="-5"/>
        </w:rPr>
        <w:t> </w:t>
      </w:r>
      <w:r>
        <w:rPr/>
        <w:t>your</w:t>
      </w:r>
      <w:r>
        <w:rPr>
          <w:spacing w:val="-5"/>
        </w:rPr>
        <w:t> </w:t>
      </w:r>
      <w:r>
        <w:rPr/>
        <w:t>appeal</w:t>
      </w:r>
      <w:r>
        <w:rPr>
          <w:spacing w:val="-2"/>
        </w:rPr>
        <w:t> point.</w:t>
      </w:r>
    </w:p>
    <w:p xmlns:wp14="http://schemas.microsoft.com/office/word/2010/wordml" w14:paraId="45FB0818" wp14:textId="77777777">
      <w:pPr>
        <w:pStyle w:val="BodyText"/>
        <w:spacing w:before="40"/>
      </w:pPr>
    </w:p>
    <w:p xmlns:wp14="http://schemas.microsoft.com/office/word/2010/wordml" w14:paraId="08C954E5" wp14:textId="77777777">
      <w:pPr>
        <w:pStyle w:val="BodyText"/>
        <w:spacing w:line="266" w:lineRule="auto"/>
        <w:ind w:left="1380" w:right="1165"/>
        <w:jc w:val="both"/>
      </w:pPr>
      <w:r>
        <w:rPr/>
        <w:t>You are entitled to submit further clarification and/or evidence to me within the next 10 working days, and I will then give a final decision on whether your appeal point is to be put before an appeal panel.</w:t>
      </w:r>
    </w:p>
    <w:p xmlns:wp14="http://schemas.microsoft.com/office/word/2010/wordml" w14:paraId="049F31CB" wp14:textId="77777777">
      <w:pPr>
        <w:pStyle w:val="BodyText"/>
        <w:spacing w:before="10"/>
      </w:pPr>
    </w:p>
    <w:p xmlns:wp14="http://schemas.microsoft.com/office/word/2010/wordml" w14:paraId="113D8654" wp14:textId="77777777">
      <w:pPr>
        <w:pStyle w:val="BodyText"/>
        <w:spacing w:line="268" w:lineRule="auto"/>
        <w:ind w:left="1380" w:right="1156"/>
        <w:jc w:val="both"/>
      </w:pPr>
      <w:r>
        <w:rPr/>
        <w:t>Once I have made my final decision, and where there is more than one appellant, each appellant will receive</w:t>
      </w:r>
      <w:r>
        <w:rPr>
          <w:spacing w:val="-5"/>
        </w:rPr>
        <w:t> </w:t>
      </w:r>
      <w:r>
        <w:rPr/>
        <w:t>the</w:t>
      </w:r>
      <w:r>
        <w:rPr>
          <w:spacing w:val="-5"/>
        </w:rPr>
        <w:t> </w:t>
      </w:r>
      <w:r>
        <w:rPr/>
        <w:t>valid</w:t>
      </w:r>
      <w:r>
        <w:rPr>
          <w:spacing w:val="-5"/>
        </w:rPr>
        <w:t> </w:t>
      </w:r>
      <w:r>
        <w:rPr/>
        <w:t>appeal</w:t>
      </w:r>
      <w:r>
        <w:rPr>
          <w:spacing w:val="-8"/>
        </w:rPr>
        <w:t> </w:t>
      </w:r>
      <w:r>
        <w:rPr/>
        <w:t>points</w:t>
      </w:r>
      <w:r>
        <w:rPr>
          <w:spacing w:val="-5"/>
        </w:rPr>
        <w:t> </w:t>
      </w:r>
      <w:r>
        <w:rPr/>
        <w:t>of</w:t>
      </w:r>
      <w:r>
        <w:rPr>
          <w:spacing w:val="-5"/>
        </w:rPr>
        <w:t> </w:t>
      </w:r>
      <w:r>
        <w:rPr/>
        <w:t>the</w:t>
      </w:r>
      <w:r>
        <w:rPr>
          <w:spacing w:val="-5"/>
        </w:rPr>
        <w:t> </w:t>
      </w:r>
      <w:r>
        <w:rPr/>
        <w:t>other</w:t>
      </w:r>
      <w:r>
        <w:rPr>
          <w:spacing w:val="-5"/>
        </w:rPr>
        <w:t> </w:t>
      </w:r>
      <w:r>
        <w:rPr/>
        <w:t>appellants</w:t>
      </w:r>
      <w:r>
        <w:rPr>
          <w:spacing w:val="-4"/>
        </w:rPr>
        <w:t> </w:t>
      </w:r>
      <w:r>
        <w:rPr/>
        <w:t>and</w:t>
      </w:r>
      <w:r>
        <w:rPr>
          <w:spacing w:val="-5"/>
        </w:rPr>
        <w:t> </w:t>
      </w:r>
      <w:r>
        <w:rPr/>
        <w:t>their</w:t>
      </w:r>
      <w:r>
        <w:rPr>
          <w:spacing w:val="-5"/>
        </w:rPr>
        <w:t> </w:t>
      </w:r>
      <w:r>
        <w:rPr/>
        <w:t>redacted</w:t>
      </w:r>
      <w:r>
        <w:rPr>
          <w:spacing w:val="-10"/>
        </w:rPr>
        <w:t> </w:t>
      </w:r>
      <w:r>
        <w:rPr/>
        <w:t>appeal</w:t>
      </w:r>
      <w:r>
        <w:rPr>
          <w:spacing w:val="-4"/>
        </w:rPr>
        <w:t> </w:t>
      </w:r>
      <w:r>
        <w:rPr/>
        <w:t>letter.</w:t>
      </w:r>
      <w:r>
        <w:rPr>
          <w:spacing w:val="-5"/>
        </w:rPr>
        <w:t> </w:t>
      </w:r>
      <w:r>
        <w:rPr/>
        <w:t>This</w:t>
      </w:r>
      <w:r>
        <w:rPr>
          <w:spacing w:val="-4"/>
        </w:rPr>
        <w:t> </w:t>
      </w:r>
      <w:r>
        <w:rPr/>
        <w:t>is</w:t>
      </w:r>
      <w:r>
        <w:rPr>
          <w:spacing w:val="-9"/>
        </w:rPr>
        <w:t> </w:t>
      </w:r>
      <w:r>
        <w:rPr/>
        <w:t>to</w:t>
      </w:r>
      <w:r>
        <w:rPr>
          <w:spacing w:val="-6"/>
        </w:rPr>
        <w:t> </w:t>
      </w:r>
      <w:r>
        <w:rPr/>
        <w:t>enable appellants to avoid duplication at the hearing where there are overlapping appeal points. If the appeal letter</w:t>
      </w:r>
      <w:r>
        <w:rPr>
          <w:spacing w:val="-1"/>
        </w:rPr>
        <w:t> </w:t>
      </w:r>
      <w:r>
        <w:rPr/>
        <w:t>and/or</w:t>
      </w:r>
      <w:r>
        <w:rPr>
          <w:spacing w:val="-1"/>
        </w:rPr>
        <w:t> </w:t>
      </w:r>
      <w:r>
        <w:rPr/>
        <w:t>responses to</w:t>
      </w:r>
      <w:r>
        <w:rPr>
          <w:spacing w:val="-1"/>
        </w:rPr>
        <w:t> </w:t>
      </w:r>
      <w:r>
        <w:rPr/>
        <w:t>scrutiny contain confidential information please ensure you have provided a version with this information redacted by 18 April 2024.</w:t>
      </w:r>
    </w:p>
    <w:p xmlns:wp14="http://schemas.microsoft.com/office/word/2010/wordml" w14:paraId="53128261" wp14:textId="77777777">
      <w:pPr>
        <w:pStyle w:val="BodyText"/>
        <w:spacing w:before="7"/>
      </w:pPr>
    </w:p>
    <w:p xmlns:wp14="http://schemas.microsoft.com/office/word/2010/wordml" w14:paraId="4F489F01" wp14:textId="77777777">
      <w:pPr>
        <w:pStyle w:val="BodyText"/>
        <w:spacing w:before="1" w:line="268" w:lineRule="auto"/>
        <w:ind w:left="1380" w:right="1153"/>
        <w:jc w:val="both"/>
      </w:pPr>
      <w:r>
        <w:rPr/>
        <w:t>Ordinarily</w:t>
      </w:r>
      <w:r>
        <w:rPr>
          <w:spacing w:val="-3"/>
        </w:rPr>
        <w:t> </w:t>
      </w:r>
      <w:r>
        <w:rPr/>
        <w:t>appeals</w:t>
      </w:r>
      <w:r>
        <w:rPr>
          <w:spacing w:val="-2"/>
        </w:rPr>
        <w:t> </w:t>
      </w:r>
      <w:r>
        <w:rPr/>
        <w:t>are</w:t>
      </w:r>
      <w:r>
        <w:rPr>
          <w:spacing w:val="-4"/>
        </w:rPr>
        <w:t> </w:t>
      </w:r>
      <w:r>
        <w:rPr/>
        <w:t>conducted</w:t>
      </w:r>
      <w:r>
        <w:rPr>
          <w:spacing w:val="-4"/>
        </w:rPr>
        <w:t> </w:t>
      </w:r>
      <w:r>
        <w:rPr/>
        <w:t>on</w:t>
      </w:r>
      <w:r>
        <w:rPr>
          <w:spacing w:val="-4"/>
        </w:rPr>
        <w:t> </w:t>
      </w:r>
      <w:r>
        <w:rPr/>
        <w:t>the</w:t>
      </w:r>
      <w:r>
        <w:rPr>
          <w:spacing w:val="-4"/>
        </w:rPr>
        <w:t> </w:t>
      </w:r>
      <w:r>
        <w:rPr/>
        <w:t>basis</w:t>
      </w:r>
      <w:r>
        <w:rPr>
          <w:spacing w:val="-3"/>
        </w:rPr>
        <w:t> </w:t>
      </w:r>
      <w:r>
        <w:rPr/>
        <w:t>of</w:t>
      </w:r>
      <w:r>
        <w:rPr>
          <w:spacing w:val="-4"/>
        </w:rPr>
        <w:t> </w:t>
      </w:r>
      <w:r>
        <w:rPr/>
        <w:t>the</w:t>
      </w:r>
      <w:r>
        <w:rPr>
          <w:spacing w:val="-4"/>
        </w:rPr>
        <w:t> </w:t>
      </w:r>
      <w:r>
        <w:rPr/>
        <w:t>appellants’</w:t>
      </w:r>
      <w:r>
        <w:rPr>
          <w:spacing w:val="-2"/>
        </w:rPr>
        <w:t> </w:t>
      </w:r>
      <w:r>
        <w:rPr/>
        <w:t>written</w:t>
      </w:r>
      <w:r>
        <w:rPr>
          <w:spacing w:val="-4"/>
        </w:rPr>
        <w:t> </w:t>
      </w:r>
      <w:r>
        <w:rPr/>
        <w:t>appeal</w:t>
      </w:r>
      <w:r>
        <w:rPr>
          <w:spacing w:val="-2"/>
        </w:rPr>
        <w:t> </w:t>
      </w:r>
      <w:r>
        <w:rPr/>
        <w:t>letters, and</w:t>
      </w:r>
      <w:r>
        <w:rPr>
          <w:spacing w:val="-4"/>
        </w:rPr>
        <w:t> </w:t>
      </w:r>
      <w:r>
        <w:rPr/>
        <w:t>the</w:t>
      </w:r>
      <w:r>
        <w:rPr>
          <w:spacing w:val="-4"/>
        </w:rPr>
        <w:t> </w:t>
      </w:r>
      <w:r>
        <w:rPr/>
        <w:t>material generated</w:t>
      </w:r>
      <w:r>
        <w:rPr>
          <w:spacing w:val="-10"/>
        </w:rPr>
        <w:t> </w:t>
      </w:r>
      <w:r>
        <w:rPr/>
        <w:t>during</w:t>
      </w:r>
      <w:r>
        <w:rPr>
          <w:spacing w:val="-14"/>
        </w:rPr>
        <w:t> </w:t>
      </w:r>
      <w:r>
        <w:rPr/>
        <w:t>the</w:t>
      </w:r>
      <w:r>
        <w:rPr>
          <w:spacing w:val="-14"/>
        </w:rPr>
        <w:t> </w:t>
      </w:r>
      <w:r>
        <w:rPr/>
        <w:t>appraisal</w:t>
      </w:r>
      <w:r>
        <w:rPr>
          <w:spacing w:val="-8"/>
        </w:rPr>
        <w:t> </w:t>
      </w:r>
      <w:r>
        <w:rPr/>
        <w:t>process.</w:t>
      </w:r>
      <w:r>
        <w:rPr>
          <w:spacing w:val="29"/>
        </w:rPr>
        <w:t> </w:t>
      </w:r>
      <w:r>
        <w:rPr/>
        <w:t>Use</w:t>
      </w:r>
      <w:r>
        <w:rPr>
          <w:spacing w:val="-10"/>
        </w:rPr>
        <w:t> </w:t>
      </w:r>
      <w:r>
        <w:rPr/>
        <w:t>of</w:t>
      </w:r>
      <w:r>
        <w:rPr>
          <w:spacing w:val="-10"/>
        </w:rPr>
        <w:t> </w:t>
      </w:r>
      <w:r>
        <w:rPr/>
        <w:t>additional</w:t>
      </w:r>
      <w:r>
        <w:rPr>
          <w:spacing w:val="-8"/>
        </w:rPr>
        <w:t> </w:t>
      </w:r>
      <w:r>
        <w:rPr/>
        <w:t>written</w:t>
      </w:r>
      <w:r>
        <w:rPr>
          <w:spacing w:val="-14"/>
        </w:rPr>
        <w:t> </w:t>
      </w:r>
      <w:r>
        <w:rPr/>
        <w:t>material</w:t>
      </w:r>
      <w:r>
        <w:rPr>
          <w:spacing w:val="-12"/>
        </w:rPr>
        <w:t> </w:t>
      </w:r>
      <w:r>
        <w:rPr/>
        <w:t>is</w:t>
      </w:r>
      <w:r>
        <w:rPr>
          <w:spacing w:val="-13"/>
        </w:rPr>
        <w:t> </w:t>
      </w:r>
      <w:r>
        <w:rPr/>
        <w:t>discouraged,</w:t>
      </w:r>
      <w:r>
        <w:rPr>
          <w:spacing w:val="-10"/>
        </w:rPr>
        <w:t> </w:t>
      </w:r>
      <w:r>
        <w:rPr/>
        <w:t>and</w:t>
      </w:r>
      <w:r>
        <w:rPr>
          <w:spacing w:val="-14"/>
        </w:rPr>
        <w:t> </w:t>
      </w:r>
      <w:r>
        <w:rPr/>
        <w:t>the</w:t>
      </w:r>
      <w:r>
        <w:rPr>
          <w:spacing w:val="-10"/>
        </w:rPr>
        <w:t> </w:t>
      </w:r>
      <w:r>
        <w:rPr/>
        <w:t>panel cannot receive any new evidence.</w:t>
      </w:r>
      <w:r>
        <w:rPr>
          <w:spacing w:val="40"/>
        </w:rPr>
        <w:t> </w:t>
      </w:r>
      <w:r>
        <w:rPr/>
        <w:t>If, exceptionally, you feel there is written material that will not be before the panel that you would wish to rely on you must let the NICE Appeal team know by return of letter,</w:t>
      </w:r>
      <w:r>
        <w:rPr>
          <w:spacing w:val="-4"/>
        </w:rPr>
        <w:t> </w:t>
      </w:r>
      <w:r>
        <w:rPr/>
        <w:t>indicating</w:t>
      </w:r>
      <w:r>
        <w:rPr>
          <w:spacing w:val="-4"/>
        </w:rPr>
        <w:t> </w:t>
      </w:r>
      <w:r>
        <w:rPr/>
        <w:t>what</w:t>
      </w:r>
      <w:r>
        <w:rPr>
          <w:spacing w:val="-5"/>
        </w:rPr>
        <w:t> </w:t>
      </w:r>
      <w:r>
        <w:rPr/>
        <w:t>the</w:t>
      </w:r>
      <w:r>
        <w:rPr>
          <w:spacing w:val="-4"/>
        </w:rPr>
        <w:t> </w:t>
      </w:r>
      <w:r>
        <w:rPr/>
        <w:t>material</w:t>
      </w:r>
      <w:r>
        <w:rPr>
          <w:spacing w:val="-3"/>
        </w:rPr>
        <w:t> </w:t>
      </w:r>
      <w:r>
        <w:rPr/>
        <w:t>is,</w:t>
      </w:r>
      <w:r>
        <w:rPr>
          <w:spacing w:val="-4"/>
        </w:rPr>
        <w:t> </w:t>
      </w:r>
      <w:r>
        <w:rPr/>
        <w:t>why</w:t>
      </w:r>
      <w:r>
        <w:rPr>
          <w:spacing w:val="-4"/>
        </w:rPr>
        <w:t> </w:t>
      </w:r>
      <w:r>
        <w:rPr/>
        <w:t>it</w:t>
      </w:r>
      <w:r>
        <w:rPr>
          <w:spacing w:val="-4"/>
        </w:rPr>
        <w:t> </w:t>
      </w:r>
      <w:r>
        <w:rPr/>
        <w:t>is</w:t>
      </w:r>
      <w:r>
        <w:rPr>
          <w:spacing w:val="-3"/>
        </w:rPr>
        <w:t> </w:t>
      </w:r>
      <w:r>
        <w:rPr/>
        <w:t>desirable</w:t>
      </w:r>
      <w:r>
        <w:rPr>
          <w:spacing w:val="-4"/>
        </w:rPr>
        <w:t> </w:t>
      </w:r>
      <w:r>
        <w:rPr/>
        <w:t>to submit</w:t>
      </w:r>
      <w:r>
        <w:rPr>
          <w:spacing w:val="-4"/>
        </w:rPr>
        <w:t> </w:t>
      </w:r>
      <w:r>
        <w:rPr/>
        <w:t>it,</w:t>
      </w:r>
      <w:r>
        <w:rPr>
          <w:spacing w:val="-4"/>
        </w:rPr>
        <w:t> </w:t>
      </w:r>
      <w:r>
        <w:rPr/>
        <w:t>and</w:t>
      </w:r>
      <w:r>
        <w:rPr>
          <w:spacing w:val="-4"/>
        </w:rPr>
        <w:t> </w:t>
      </w:r>
      <w:r>
        <w:rPr/>
        <w:t>when</w:t>
      </w:r>
      <w:r>
        <w:rPr>
          <w:spacing w:val="-4"/>
        </w:rPr>
        <w:t> </w:t>
      </w:r>
      <w:r>
        <w:rPr/>
        <w:t>it</w:t>
      </w:r>
      <w:r>
        <w:rPr>
          <w:spacing w:val="-4"/>
        </w:rPr>
        <w:t> </w:t>
      </w:r>
      <w:r>
        <w:rPr/>
        <w:t>will</w:t>
      </w:r>
      <w:r>
        <w:rPr>
          <w:spacing w:val="-2"/>
        </w:rPr>
        <w:t> </w:t>
      </w:r>
      <w:r>
        <w:rPr/>
        <w:t>be available, by</w:t>
      </w:r>
      <w:r>
        <w:rPr>
          <w:spacing w:val="-4"/>
        </w:rPr>
        <w:t> </w:t>
      </w:r>
      <w:r>
        <w:rPr/>
        <w:t>no later than 3 May 2024.</w:t>
      </w:r>
      <w:r>
        <w:rPr>
          <w:spacing w:val="40"/>
        </w:rPr>
        <w:t> </w:t>
      </w:r>
      <w:r>
        <w:rPr/>
        <w:t>Please note that the appeal panel cannot accept papers that are tabled late or ad hoc, as this affects the preparation of the panel and other parties for the appeal.</w:t>
      </w:r>
    </w:p>
    <w:p xmlns:wp14="http://schemas.microsoft.com/office/word/2010/wordml" w14:paraId="62486C05" wp14:textId="77777777">
      <w:pPr>
        <w:spacing w:after="0" w:line="268" w:lineRule="auto"/>
        <w:jc w:val="both"/>
        <w:sectPr>
          <w:footerReference w:type="default" r:id="rId11"/>
          <w:pgSz w:w="11910" w:h="16840" w:orient="portrait"/>
          <w:pgMar w:top="1760" w:right="260" w:bottom="1100" w:left="40" w:header="0" w:footer="913"/>
          <w:pgNumType w:start="2"/>
          <w:cols w:num="1"/>
        </w:sectPr>
      </w:pPr>
    </w:p>
    <w:p xmlns:wp14="http://schemas.microsoft.com/office/word/2010/wordml" w14:paraId="608D49E8" wp14:textId="77777777">
      <w:pPr>
        <w:pStyle w:val="BodyText"/>
        <w:spacing w:before="68"/>
        <w:ind w:left="1380"/>
      </w:pPr>
      <w:r>
        <w:rPr/>
        <w:t>Yours</w:t>
      </w:r>
      <w:r>
        <w:rPr>
          <w:spacing w:val="-6"/>
        </w:rPr>
        <w:t> </w:t>
      </w:r>
      <w:r>
        <w:rPr>
          <w:spacing w:val="-2"/>
        </w:rPr>
        <w:t>sincerely</w:t>
      </w:r>
    </w:p>
    <w:p xmlns:wp14="http://schemas.microsoft.com/office/word/2010/wordml" w14:paraId="48F10BFD" wp14:textId="77777777">
      <w:pPr>
        <w:pStyle w:val="BodyText"/>
        <w:spacing w:before="41"/>
      </w:pPr>
      <w:r w:rsidR="389966ED">
        <w:rPr/>
        <w:t xml:space="preserve">              </w:t>
      </w:r>
    </w:p>
    <w:p w:rsidR="5FAE1B38" w:rsidP="5FAE1B38" w:rsidRDefault="5FAE1B38" w14:paraId="65BBA678" w14:textId="76EC8084">
      <w:pPr>
        <w:pStyle w:val="BodyText"/>
        <w:spacing w:before="41"/>
      </w:pPr>
    </w:p>
    <w:p w:rsidR="389966ED" w:rsidP="5FAE1B38" w:rsidRDefault="389966ED" w14:paraId="6FFE981C" w14:textId="023DEFDF">
      <w:pPr>
        <w:pStyle w:val="BodyText"/>
        <w:spacing w:before="41"/>
      </w:pPr>
      <w:r w:rsidR="389966ED">
        <w:rPr/>
        <w:t xml:space="preserve">            </w:t>
      </w:r>
      <w:r w:rsidRPr="5FAE1B38" w:rsidR="389966ED">
        <w:rPr>
          <w:highlight w:val="black"/>
        </w:rPr>
        <w:t>XXXXXXXXXXXXXXXXXXXXXXXXXXXXXXXXX</w:t>
      </w:r>
    </w:p>
    <w:p xmlns:wp14="http://schemas.microsoft.com/office/word/2010/wordml" w14:paraId="4101652C" wp14:textId="77777777">
      <w:pPr>
        <w:pStyle w:val="BodyText"/>
        <w:spacing w:before="167"/>
      </w:pPr>
    </w:p>
    <w:p xmlns:wp14="http://schemas.microsoft.com/office/word/2010/wordml" w14:paraId="433C5C89" wp14:textId="77777777">
      <w:pPr>
        <w:pStyle w:val="BodyText"/>
        <w:ind w:left="1380"/>
      </w:pPr>
      <w:r>
        <w:rPr/>
        <w:t>Sharmila</w:t>
      </w:r>
      <w:r>
        <w:rPr>
          <w:spacing w:val="-10"/>
        </w:rPr>
        <w:t> </w:t>
      </w:r>
      <w:r>
        <w:rPr/>
        <w:t>Nebhrajani</w:t>
      </w:r>
      <w:r>
        <w:rPr>
          <w:spacing w:val="-7"/>
        </w:rPr>
        <w:t> </w:t>
      </w:r>
      <w:r>
        <w:rPr>
          <w:spacing w:val="-5"/>
        </w:rPr>
        <w:t>OBE</w:t>
      </w:r>
    </w:p>
    <w:p xmlns:wp14="http://schemas.microsoft.com/office/word/2010/wordml" w14:paraId="4B99056E" wp14:textId="77777777">
      <w:pPr>
        <w:pStyle w:val="BodyText"/>
        <w:spacing w:before="75"/>
      </w:pPr>
    </w:p>
    <w:p xmlns:wp14="http://schemas.microsoft.com/office/word/2010/wordml" w14:paraId="66DF2C04" wp14:textId="77777777">
      <w:pPr>
        <w:pStyle w:val="BodyText"/>
        <w:ind w:left="1380"/>
      </w:pPr>
      <w:r>
        <w:rPr/>
        <w:t>Non-Executive</w:t>
      </w:r>
      <w:r>
        <w:rPr>
          <w:spacing w:val="-9"/>
        </w:rPr>
        <w:t> </w:t>
      </w:r>
      <w:r>
        <w:rPr/>
        <w:t>Director</w:t>
      </w:r>
      <w:r>
        <w:rPr>
          <w:spacing w:val="-8"/>
        </w:rPr>
        <w:t> </w:t>
      </w:r>
      <w:r>
        <w:rPr/>
        <w:t>&amp;</w:t>
      </w:r>
      <w:r>
        <w:rPr>
          <w:spacing w:val="-6"/>
        </w:rPr>
        <w:t> </w:t>
      </w:r>
      <w:r>
        <w:rPr>
          <w:spacing w:val="-2"/>
        </w:rPr>
        <w:t>Chairman</w:t>
      </w:r>
    </w:p>
    <w:p xmlns:wp14="http://schemas.microsoft.com/office/word/2010/wordml" w14:paraId="1299C43A" wp14:textId="77777777">
      <w:pPr>
        <w:pStyle w:val="BodyText"/>
        <w:spacing w:before="75"/>
      </w:pPr>
    </w:p>
    <w:p xmlns:wp14="http://schemas.microsoft.com/office/word/2010/wordml" w14:paraId="22DF15E5" wp14:textId="77777777">
      <w:pPr>
        <w:pStyle w:val="BodyText"/>
        <w:ind w:left="1380"/>
      </w:pPr>
      <w:r>
        <w:rPr/>
        <w:t>National</w:t>
      </w:r>
      <w:r>
        <w:rPr>
          <w:spacing w:val="-5"/>
        </w:rPr>
        <w:t> </w:t>
      </w:r>
      <w:r>
        <w:rPr/>
        <w:t>Institute</w:t>
      </w:r>
      <w:r>
        <w:rPr>
          <w:spacing w:val="-7"/>
        </w:rPr>
        <w:t> </w:t>
      </w:r>
      <w:r>
        <w:rPr/>
        <w:t>for</w:t>
      </w:r>
      <w:r>
        <w:rPr>
          <w:spacing w:val="-7"/>
        </w:rPr>
        <w:t> </w:t>
      </w:r>
      <w:r>
        <w:rPr/>
        <w:t>Health</w:t>
      </w:r>
      <w:r>
        <w:rPr>
          <w:spacing w:val="-2"/>
        </w:rPr>
        <w:t> </w:t>
      </w:r>
      <w:r>
        <w:rPr/>
        <w:t>and</w:t>
      </w:r>
      <w:r>
        <w:rPr>
          <w:spacing w:val="-6"/>
        </w:rPr>
        <w:t> </w:t>
      </w:r>
      <w:r>
        <w:rPr/>
        <w:t>Care</w:t>
      </w:r>
      <w:r>
        <w:rPr>
          <w:spacing w:val="-7"/>
        </w:rPr>
        <w:t> </w:t>
      </w:r>
      <w:r>
        <w:rPr>
          <w:spacing w:val="-2"/>
        </w:rPr>
        <w:t>Excellence</w:t>
      </w:r>
    </w:p>
    <w:sectPr>
      <w:pgSz w:w="11910" w:h="16840" w:orient="portrait"/>
      <w:pgMar w:top="1780" w:right="260" w:bottom="1100" w:left="40" w:header="0" w:footer="913"/>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ato">
    <w:altName w:val="Lato"/>
    <w:charset w:val="0"/>
    <w:family w:val="swiss"/>
    <w:pitch w:val="variable"/>
  </w:font>
  <w:font w:name="Symbol">
    <w:altName w:val="Symbol"/>
    <w:charset w:val="2"/>
    <w:family w:val="roman"/>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34E6435" wp14:textId="77777777">
    <w:pPr>
      <w:pStyle w:val="BodyText"/>
      <w:spacing w:line="14" w:lineRule="auto"/>
    </w:pPr>
    <w:r>
      <w:rPr/>
      <mc:AlternateContent>
        <mc:Choice Requires="wps">
          <w:drawing>
            <wp:anchor xmlns:wp14="http://schemas.microsoft.com/office/word/2010/wordprocessingDrawing" distT="0" distB="0" distL="0" distR="0" simplePos="0" relativeHeight="487531520" behindDoc="1" locked="0" layoutInCell="1" allowOverlap="1" wp14:anchorId="24DF04B1" wp14:editId="7777777">
              <wp:simplePos x="0" y="0"/>
              <wp:positionH relativeFrom="page">
                <wp:posOffset>6066790</wp:posOffset>
              </wp:positionH>
              <wp:positionV relativeFrom="page">
                <wp:posOffset>9973659</wp:posOffset>
              </wp:positionV>
              <wp:extent cx="610235"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10235" cy="153670"/>
                      </a:xfrm>
                      <a:prstGeom prst="rect">
                        <a:avLst/>
                      </a:prstGeom>
                    </wps:spPr>
                    <wps:txbx>
                      <w:txbxContent>
                        <w:p xmlns:wp14="http://schemas.microsoft.com/office/word/2010/wordml" w14:paraId="5A4F45EC" wp14:textId="77777777">
                          <w:pPr>
                            <w:spacing w:before="14"/>
                            <w:ind w:left="20" w:right="0" w:firstLine="0"/>
                            <w:jc w:val="left"/>
                            <w:rPr>
                              <w:sz w:val="18"/>
                            </w:rPr>
                          </w:pPr>
                          <w:r>
                            <w:rPr>
                              <w:color w:val="808080"/>
                              <w:sz w:val="18"/>
                            </w:rPr>
                            <w:t>Page</w:t>
                          </w:r>
                          <w:r>
                            <w:rPr>
                              <w:color w:val="808080"/>
                              <w:spacing w:val="-4"/>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2"/>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3</w:t>
                          </w:r>
                          <w:r>
                            <w:rPr>
                              <w:color w:val="808080"/>
                              <w:spacing w:val="-10"/>
                              <w:sz w:val="18"/>
                            </w:rPr>
                            <w:fldChar w:fldCharType="end"/>
                          </w:r>
                        </w:p>
                      </w:txbxContent>
                    </wps:txbx>
                    <wps:bodyPr wrap="square" lIns="0" tIns="0" rIns="0" bIns="0" rtlCol="0">
                      <a:noAutofit/>
                    </wps:bodyPr>
                  </wps:wsp>
                </a:graphicData>
              </a:graphic>
            </wp:anchor>
          </w:drawing>
        </mc:Choice>
        <mc:Fallback>
          <w:pict w14:anchorId="2EB8BCB7">
            <v:shape id="docshape2" style="position:absolute;margin-left:477.700012pt;margin-top:785.327515pt;width:48.05pt;height:12.1pt;mso-position-horizontal-relative:page;mso-position-vertical-relative:page;z-index:-15784960" filled="false" stroked="false" type="#_x0000_t202">
              <v:textbox inset="0,0,0,0">
                <w:txbxContent>
                  <w:p w14:paraId="24266598" wp14:textId="77777777">
                    <w:pPr>
                      <w:spacing w:before="14"/>
                      <w:ind w:left="20" w:right="0" w:firstLine="0"/>
                      <w:jc w:val="left"/>
                      <w:rPr>
                        <w:sz w:val="18"/>
                      </w:rPr>
                    </w:pPr>
                    <w:r>
                      <w:rPr>
                        <w:color w:val="808080"/>
                        <w:sz w:val="18"/>
                      </w:rPr>
                      <w:t>Page</w:t>
                    </w:r>
                    <w:r>
                      <w:rPr>
                        <w:color w:val="808080"/>
                        <w:spacing w:val="-4"/>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2"/>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3</w:t>
                    </w:r>
                    <w:r>
                      <w:rPr>
                        <w:color w:val="808080"/>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2c8fe"/>
    <w:multiLevelType w:val="hybridMultilevel"/>
    <w:lvl w:ilvl="0">
      <w:start w:val="0"/>
      <w:numFmt w:val="bullet"/>
      <w:lvlText w:val=""/>
      <w:lvlJc w:val="left"/>
      <w:pPr>
        <w:ind w:left="2101"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4001" w:hanging="360"/>
      </w:pPr>
      <w:rPr>
        <w:rFonts w:hint="default"/>
        <w:lang w:val="en-US" w:eastAsia="en-US" w:bidi="ar-SA"/>
      </w:rPr>
    </w:lvl>
    <w:lvl w:ilvl="3">
      <w:start w:val="0"/>
      <w:numFmt w:val="bullet"/>
      <w:lvlText w:val="•"/>
      <w:lvlJc w:val="left"/>
      <w:pPr>
        <w:ind w:left="4951" w:hanging="360"/>
      </w:pPr>
      <w:rPr>
        <w:rFonts w:hint="default"/>
        <w:lang w:val="en-US" w:eastAsia="en-US" w:bidi="ar-SA"/>
      </w:rPr>
    </w:lvl>
    <w:lvl w:ilvl="4">
      <w:start w:val="0"/>
      <w:numFmt w:val="bullet"/>
      <w:lvlText w:val="•"/>
      <w:lvlJc w:val="left"/>
      <w:pPr>
        <w:ind w:left="5902" w:hanging="360"/>
      </w:pPr>
      <w:rPr>
        <w:rFonts w:hint="default"/>
        <w:lang w:val="en-US" w:eastAsia="en-US" w:bidi="ar-SA"/>
      </w:rPr>
    </w:lvl>
    <w:lvl w:ilvl="5">
      <w:start w:val="0"/>
      <w:numFmt w:val="bullet"/>
      <w:lvlText w:val="•"/>
      <w:lvlJc w:val="left"/>
      <w:pPr>
        <w:ind w:left="6852" w:hanging="360"/>
      </w:pPr>
      <w:rPr>
        <w:rFonts w:hint="default"/>
        <w:lang w:val="en-US" w:eastAsia="en-US" w:bidi="ar-SA"/>
      </w:rPr>
    </w:lvl>
    <w:lvl w:ilvl="6">
      <w:start w:val="0"/>
      <w:numFmt w:val="bullet"/>
      <w:lvlText w:val="•"/>
      <w:lvlJc w:val="left"/>
      <w:pPr>
        <w:ind w:left="7803" w:hanging="360"/>
      </w:pPr>
      <w:rPr>
        <w:rFonts w:hint="default"/>
        <w:lang w:val="en-US" w:eastAsia="en-US" w:bidi="ar-SA"/>
      </w:rPr>
    </w:lvl>
    <w:lvl w:ilvl="7">
      <w:start w:val="0"/>
      <w:numFmt w:val="bullet"/>
      <w:lvlText w:val="•"/>
      <w:lvlJc w:val="left"/>
      <w:pPr>
        <w:ind w:left="8753" w:hanging="360"/>
      </w:pPr>
      <w:rPr>
        <w:rFonts w:hint="default"/>
        <w:lang w:val="en-US" w:eastAsia="en-US" w:bidi="ar-SA"/>
      </w:rPr>
    </w:lvl>
    <w:lvl w:ilvl="8">
      <w:start w:val="0"/>
      <w:numFmt w:val="bullet"/>
      <w:lvlText w:val="•"/>
      <w:lvlJc w:val="left"/>
      <w:pPr>
        <w:ind w:left="9704" w:hanging="360"/>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28773A2C"/>
  <w15:docId w15:val="{15FCE546-82B3-4C90-B77D-5C3FC25A217C}"/>
  <w:rsids>
    <w:rsidRoot w:val="23DC3EB9"/>
    <w:rsid w:val="23DC3EB9"/>
    <w:rsid w:val="389966ED"/>
    <w:rsid w:val="5FAE1B38"/>
    <w:rsid w:val="77F442CA"/>
    <w:rsid w:val="7CAF898F"/>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ar-SA"/>
    </w:rPr>
  </w:style>
  <w:style w:type="paragraph" w:styleId="BodyText">
    <w:name w:val="Body Text"/>
    <w:basedOn w:val="Normal"/>
    <w:uiPriority w:val="1"/>
    <w:qFormat/>
    <w:pPr/>
    <w:rPr>
      <w:rFonts w:ascii="Arial" w:hAnsi="Arial" w:eastAsia="Arial" w:cs="Arial"/>
      <w:sz w:val="20"/>
      <w:szCs w:val="20"/>
      <w:lang w:val="en-US" w:eastAsia="en-US" w:bidi="ar-SA"/>
    </w:rPr>
  </w:style>
  <w:style w:type="paragraph" w:styleId="Heading1">
    <w:name w:val="heading 1"/>
    <w:basedOn w:val="Normal"/>
    <w:uiPriority w:val="1"/>
    <w:qFormat/>
    <w:pPr>
      <w:ind w:left="1380" w:right="1061"/>
      <w:outlineLvl w:val="1"/>
    </w:pPr>
    <w:rPr>
      <w:rFonts w:ascii="Arial" w:hAnsi="Arial" w:eastAsia="Arial" w:cs="Arial"/>
      <w:b/>
      <w:bCs/>
      <w:sz w:val="20"/>
      <w:szCs w:val="20"/>
      <w:u w:val="single" w:color="000000"/>
      <w:lang w:val="en-US" w:eastAsia="en-US" w:bidi="ar-SA"/>
    </w:rPr>
  </w:style>
  <w:style w:type="paragraph" w:styleId="ListParagraph">
    <w:name w:val="List Paragraph"/>
    <w:basedOn w:val="Normal"/>
    <w:uiPriority w:val="1"/>
    <w:qFormat/>
    <w:pPr>
      <w:ind w:left="2100" w:hanging="359"/>
    </w:pPr>
    <w:rPr>
      <w:rFonts w:ascii="Arial" w:hAnsi="Arial" w:eastAsia="Arial" w:cs="Arial"/>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numbering" Target="numbering.xml" Id="rId13" /><Relationship Type="http://schemas.openxmlformats.org/officeDocument/2006/relationships/theme" Target="theme/theme1.xml" Id="rId3"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footer" Target="footer1.xml" Id="rId11" /><Relationship Type="http://schemas.openxmlformats.org/officeDocument/2006/relationships/image" Target="media/image1.png" Id="rId5" /><Relationship Type="http://schemas.openxmlformats.org/officeDocument/2006/relationships/customXml" Target="../customXml/item2.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customXml" Target="../customXml/item1.xml" Id="rId14" /><Relationship Type="http://schemas.openxmlformats.org/officeDocument/2006/relationships/hyperlink" Target="mailto:r.lachmann@nhs.net" TargetMode="External" Id="R45480ea9a4e94e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9FC99-AF33-4424-8FC6-F6403DAAA00B}"/>
</file>

<file path=customXml/itemProps2.xml><?xml version="1.0" encoding="utf-8"?>
<ds:datastoreItem xmlns:ds="http://schemas.openxmlformats.org/officeDocument/2006/customXml" ds:itemID="{61758AAD-9244-4A57-B843-FCE5D7216C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2024-04-25T10:01:27.0000000Z</dcterms:created>
  <dcterms:modified xsi:type="dcterms:W3CDTF">2024-04-25T10:43:52.7749344Z</dcterms:modified>
  <lastModifiedBy>Lyn Davies</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vt:lpwstr>
  </property>
  <property fmtid="{D5CDD505-2E9C-101B-9397-08002B2CF9AE}" pid="4" name="LastSaved">
    <vt:filetime>2024-04-25T00:00:00Z</vt:filetime>
  </property>
  <property fmtid="{D5CDD505-2E9C-101B-9397-08002B2CF9AE}" pid="5" name="MSIP_Label_c69d85d5-6d9e-4305-a294-1f636ec0f2d6_ActionId">
    <vt:lpwstr>d63d2f74-8372-4d6d-96b5-59d8cb989561</vt:lpwstr>
  </property>
  <property fmtid="{D5CDD505-2E9C-101B-9397-08002B2CF9AE}" pid="6" name="MSIP_Label_c69d85d5-6d9e-4305-a294-1f636ec0f2d6_ContentBits">
    <vt:lpwstr>0</vt:lpwstr>
  </property>
  <property fmtid="{D5CDD505-2E9C-101B-9397-08002B2CF9AE}" pid="7" name="MSIP_Label_c69d85d5-6d9e-4305-a294-1f636ec0f2d6_Enabled">
    <vt:lpwstr>true</vt:lpwstr>
  </property>
  <property fmtid="{D5CDD505-2E9C-101B-9397-08002B2CF9AE}" pid="8" name="MSIP_Label_c69d85d5-6d9e-4305-a294-1f636ec0f2d6_Method">
    <vt:lpwstr>Standard</vt:lpwstr>
  </property>
  <property fmtid="{D5CDD505-2E9C-101B-9397-08002B2CF9AE}" pid="9" name="MSIP_Label_c69d85d5-6d9e-4305-a294-1f636ec0f2d6_Name">
    <vt:lpwstr>OFFICIAL</vt:lpwstr>
  </property>
  <property fmtid="{D5CDD505-2E9C-101B-9397-08002B2CF9AE}" pid="10" name="MSIP_Label_c69d85d5-6d9e-4305-a294-1f636ec0f2d6_SetDate">
    <vt:lpwstr>2024-03-26T11:16:13Z</vt:lpwstr>
  </property>
  <property fmtid="{D5CDD505-2E9C-101B-9397-08002B2CF9AE}" pid="11" name="MSIP_Label_c69d85d5-6d9e-4305-a294-1f636ec0f2d6_SiteId">
    <vt:lpwstr>6030f479-b342-472d-a5dd-740ff7538de9</vt:lpwstr>
  </property>
</Properties>
</file>