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7D24" w14:textId="47416844" w:rsidR="00593F3D" w:rsidRPr="0043022B" w:rsidRDefault="00593F3D" w:rsidP="00593F3D">
      <w:pPr>
        <w:rPr>
          <w:rStyle w:val="Hyperlink"/>
          <w:rFonts w:ascii="Arial" w:hAnsi="Arial" w:cs="Arial"/>
          <w:color w:val="auto"/>
          <w:sz w:val="20"/>
          <w:szCs w:val="20"/>
          <w:u w:val="none"/>
        </w:rPr>
      </w:pPr>
      <w:r w:rsidRPr="0043022B">
        <w:rPr>
          <w:rFonts w:ascii="Arial" w:hAnsi="Arial" w:cs="Arial"/>
          <w:sz w:val="20"/>
          <w:szCs w:val="20"/>
        </w:rPr>
        <w:t xml:space="preserve">Sent by e-mail only: </w:t>
      </w:r>
      <w:r w:rsidR="00E51D73" w:rsidRPr="00E51D73">
        <w:rPr>
          <w:rFonts w:ascii="Arial" w:hAnsi="Arial" w:cs="Arial"/>
          <w:b/>
          <w:bCs/>
          <w:sz w:val="20"/>
          <w:szCs w:val="20"/>
          <w:highlight w:val="black"/>
        </w:rPr>
        <w:t>XXXXXXXXXXXXX</w:t>
      </w:r>
    </w:p>
    <w:p w14:paraId="61B1531F" w14:textId="77777777" w:rsidR="00640E4B" w:rsidRPr="00640E4B" w:rsidRDefault="00640E4B" w:rsidP="00640E4B">
      <w:pPr>
        <w:spacing w:after="0" w:line="240" w:lineRule="auto"/>
        <w:rPr>
          <w:rFonts w:ascii="Arial" w:hAnsi="Arial" w:cs="Arial"/>
          <w:sz w:val="20"/>
          <w:szCs w:val="20"/>
        </w:rPr>
      </w:pPr>
      <w:r w:rsidRPr="00640E4B">
        <w:rPr>
          <w:rFonts w:ascii="Arial" w:hAnsi="Arial" w:cs="Arial"/>
          <w:sz w:val="20"/>
          <w:szCs w:val="20"/>
        </w:rPr>
        <w:t>GSK</w:t>
      </w:r>
    </w:p>
    <w:p w14:paraId="6ACEA9D8" w14:textId="77777777" w:rsidR="00640E4B" w:rsidRPr="00640E4B" w:rsidRDefault="00640E4B" w:rsidP="00640E4B">
      <w:pPr>
        <w:spacing w:after="0" w:line="240" w:lineRule="auto"/>
        <w:rPr>
          <w:rFonts w:ascii="Arial" w:hAnsi="Arial" w:cs="Arial"/>
          <w:sz w:val="20"/>
          <w:szCs w:val="20"/>
        </w:rPr>
      </w:pPr>
      <w:r w:rsidRPr="00640E4B">
        <w:rPr>
          <w:rFonts w:ascii="Arial" w:hAnsi="Arial" w:cs="Arial"/>
          <w:sz w:val="20"/>
          <w:szCs w:val="20"/>
        </w:rPr>
        <w:t>GSK House</w:t>
      </w:r>
    </w:p>
    <w:p w14:paraId="1556BEA7" w14:textId="77777777" w:rsidR="00640E4B" w:rsidRPr="00640E4B" w:rsidRDefault="00640E4B" w:rsidP="00640E4B">
      <w:pPr>
        <w:spacing w:after="0" w:line="240" w:lineRule="auto"/>
        <w:rPr>
          <w:rFonts w:ascii="Arial" w:hAnsi="Arial" w:cs="Arial"/>
          <w:noProof/>
          <w:sz w:val="20"/>
          <w:szCs w:val="20"/>
        </w:rPr>
      </w:pPr>
      <w:r w:rsidRPr="00640E4B">
        <w:rPr>
          <w:rFonts w:ascii="Arial" w:hAnsi="Arial" w:cs="Arial"/>
          <w:noProof/>
          <w:sz w:val="20"/>
          <w:szCs w:val="20"/>
        </w:rPr>
        <w:t xml:space="preserve">980 Great West Road, </w:t>
      </w:r>
    </w:p>
    <w:p w14:paraId="3BDCD7D2" w14:textId="77777777" w:rsidR="00640E4B" w:rsidRPr="00640E4B" w:rsidRDefault="00640E4B" w:rsidP="00640E4B">
      <w:pPr>
        <w:spacing w:after="0" w:line="240" w:lineRule="auto"/>
        <w:rPr>
          <w:rFonts w:ascii="Arial" w:hAnsi="Arial" w:cs="Arial"/>
          <w:noProof/>
          <w:sz w:val="20"/>
          <w:szCs w:val="20"/>
        </w:rPr>
      </w:pPr>
      <w:r w:rsidRPr="00640E4B">
        <w:rPr>
          <w:rFonts w:ascii="Arial" w:hAnsi="Arial" w:cs="Arial"/>
          <w:noProof/>
          <w:sz w:val="20"/>
          <w:szCs w:val="20"/>
        </w:rPr>
        <w:t>Brentford, Middlesex,</w:t>
      </w:r>
    </w:p>
    <w:p w14:paraId="22507440" w14:textId="77777777" w:rsidR="00640E4B" w:rsidRPr="00640E4B" w:rsidRDefault="00640E4B" w:rsidP="00640E4B">
      <w:pPr>
        <w:spacing w:after="0" w:line="240" w:lineRule="auto"/>
        <w:rPr>
          <w:rFonts w:ascii="Arial" w:hAnsi="Arial" w:cs="Arial"/>
          <w:sz w:val="20"/>
          <w:szCs w:val="20"/>
          <w:lang w:val="pt-PT"/>
        </w:rPr>
      </w:pPr>
      <w:r w:rsidRPr="00640E4B">
        <w:rPr>
          <w:rFonts w:ascii="Arial" w:hAnsi="Arial" w:cs="Arial"/>
          <w:sz w:val="20"/>
          <w:szCs w:val="20"/>
          <w:lang w:val="pt-PT"/>
        </w:rPr>
        <w:t>TW8 9GS</w:t>
      </w:r>
    </w:p>
    <w:p w14:paraId="03887061" w14:textId="77777777" w:rsidR="00640E4B" w:rsidRPr="00640E4B" w:rsidRDefault="00640E4B" w:rsidP="00640E4B">
      <w:pPr>
        <w:spacing w:after="0" w:line="240" w:lineRule="auto"/>
        <w:rPr>
          <w:rFonts w:ascii="Arial" w:hAnsi="Arial" w:cs="Arial"/>
          <w:noProof/>
          <w:sz w:val="20"/>
          <w:szCs w:val="20"/>
          <w:lang w:val="pt-PT"/>
        </w:rPr>
      </w:pPr>
      <w:r w:rsidRPr="00640E4B">
        <w:rPr>
          <w:rFonts w:ascii="Arial" w:hAnsi="Arial" w:cs="Arial"/>
          <w:sz w:val="20"/>
          <w:szCs w:val="20"/>
          <w:lang w:val="pt-PT"/>
        </w:rPr>
        <w:t>T +44</w:t>
      </w:r>
      <w:r w:rsidRPr="00640E4B">
        <w:rPr>
          <w:rFonts w:ascii="Arial" w:hAnsi="Arial" w:cs="Arial"/>
          <w:sz w:val="20"/>
          <w:szCs w:val="20"/>
        </w:rPr>
        <w:t xml:space="preserve"> </w:t>
      </w:r>
      <w:r w:rsidRPr="00640E4B">
        <w:rPr>
          <w:rFonts w:ascii="Arial" w:hAnsi="Arial" w:cs="Arial"/>
          <w:sz w:val="20"/>
          <w:szCs w:val="20"/>
          <w:lang w:val="pt-PT"/>
        </w:rPr>
        <w:t>208 047 5000</w:t>
      </w:r>
    </w:p>
    <w:p w14:paraId="799D8680" w14:textId="77777777" w:rsidR="00F24B1D" w:rsidRPr="0043022B" w:rsidRDefault="00F24B1D">
      <w:pPr>
        <w:rPr>
          <w:rFonts w:ascii="Arial" w:hAnsi="Arial" w:cs="Arial"/>
          <w:sz w:val="20"/>
          <w:szCs w:val="20"/>
        </w:rPr>
      </w:pPr>
    </w:p>
    <w:p w14:paraId="1F256B99" w14:textId="77777777" w:rsidR="00F24B1D" w:rsidRPr="0043022B" w:rsidRDefault="00F24B1D">
      <w:pPr>
        <w:rPr>
          <w:rFonts w:ascii="Arial" w:hAnsi="Arial" w:cs="Arial"/>
          <w:sz w:val="20"/>
          <w:szCs w:val="20"/>
        </w:rPr>
      </w:pPr>
    </w:p>
    <w:p w14:paraId="04E6623B" w14:textId="7C4FF08D" w:rsidR="00B737D4" w:rsidRPr="0043022B" w:rsidRDefault="006F1917" w:rsidP="00B737D4">
      <w:pPr>
        <w:rPr>
          <w:rFonts w:ascii="Arial" w:hAnsi="Arial" w:cs="Arial"/>
          <w:sz w:val="20"/>
          <w:szCs w:val="20"/>
        </w:rPr>
      </w:pPr>
      <w:r>
        <w:rPr>
          <w:rFonts w:ascii="Arial" w:hAnsi="Arial" w:cs="Arial"/>
          <w:sz w:val="20"/>
          <w:szCs w:val="20"/>
        </w:rPr>
        <w:t>1 September 2023</w:t>
      </w:r>
    </w:p>
    <w:p w14:paraId="15532A62" w14:textId="77777777" w:rsidR="00B737D4" w:rsidRPr="0043022B" w:rsidRDefault="00B737D4" w:rsidP="00B737D4">
      <w:pPr>
        <w:rPr>
          <w:rStyle w:val="Hyperlink"/>
          <w:rFonts w:ascii="Arial" w:hAnsi="Arial" w:cs="Arial"/>
          <w:sz w:val="20"/>
          <w:szCs w:val="20"/>
        </w:rPr>
      </w:pPr>
    </w:p>
    <w:p w14:paraId="47BE397A" w14:textId="47688149" w:rsidR="00F24B1D" w:rsidRPr="0043022B" w:rsidRDefault="00F24B1D" w:rsidP="00F24B1D">
      <w:pPr>
        <w:ind w:left="426" w:right="468" w:hanging="426"/>
        <w:jc w:val="both"/>
        <w:rPr>
          <w:rFonts w:ascii="Arial" w:hAnsi="Arial" w:cs="Arial"/>
          <w:noProof/>
          <w:spacing w:val="-3"/>
          <w:sz w:val="20"/>
          <w:szCs w:val="20"/>
          <w:lang w:eastAsia="en-GB"/>
        </w:rPr>
      </w:pPr>
      <w:bookmarkStart w:id="0" w:name="deartext"/>
      <w:r w:rsidRPr="0043022B">
        <w:rPr>
          <w:rFonts w:ascii="Arial" w:hAnsi="Arial" w:cs="Arial"/>
          <w:sz w:val="20"/>
          <w:szCs w:val="20"/>
        </w:rPr>
        <w:t>Dear</w:t>
      </w:r>
      <w:bookmarkEnd w:id="0"/>
      <w:r w:rsidRPr="0043022B">
        <w:rPr>
          <w:rFonts w:ascii="Arial" w:hAnsi="Arial" w:cs="Arial"/>
          <w:sz w:val="20"/>
          <w:szCs w:val="20"/>
        </w:rPr>
        <w:t xml:space="preserve"> </w:t>
      </w:r>
      <w:bookmarkStart w:id="1" w:name="Sal"/>
      <w:bookmarkEnd w:id="1"/>
      <w:r w:rsidR="005079F9">
        <w:rPr>
          <w:rFonts w:ascii="Arial" w:hAnsi="Arial" w:cs="Arial"/>
          <w:sz w:val="20"/>
          <w:szCs w:val="20"/>
        </w:rPr>
        <w:t>GSK</w:t>
      </w:r>
    </w:p>
    <w:p w14:paraId="67AFD44F" w14:textId="26E5C02B" w:rsidR="00F24B1D" w:rsidRPr="0043022B" w:rsidRDefault="00F24B1D" w:rsidP="00F24B1D">
      <w:pPr>
        <w:ind w:left="426" w:right="468" w:hanging="426"/>
        <w:jc w:val="both"/>
        <w:rPr>
          <w:rFonts w:ascii="Arial" w:hAnsi="Arial" w:cs="Arial"/>
          <w:b/>
          <w:sz w:val="20"/>
          <w:szCs w:val="20"/>
        </w:rPr>
      </w:pPr>
      <w:r w:rsidRPr="0043022B">
        <w:rPr>
          <w:rFonts w:ascii="Arial" w:hAnsi="Arial" w:cs="Arial"/>
          <w:noProof/>
          <w:color w:val="333333"/>
          <w:sz w:val="20"/>
          <w:szCs w:val="20"/>
          <w:lang w:eastAsia="en-GB"/>
        </w:rPr>
        <mc:AlternateContent>
          <mc:Choice Requires="wps">
            <w:drawing>
              <wp:anchor distT="4294967294" distB="4294967294" distL="114300" distR="114300" simplePos="0" relativeHeight="251659264" behindDoc="0" locked="0" layoutInCell="1" allowOverlap="1" wp14:anchorId="0D351047" wp14:editId="64D85384">
                <wp:simplePos x="0" y="0"/>
                <wp:positionH relativeFrom="column">
                  <wp:posOffset>-805815</wp:posOffset>
                </wp:positionH>
                <wp:positionV relativeFrom="paragraph">
                  <wp:posOffset>255270</wp:posOffset>
                </wp:positionV>
                <wp:extent cx="8191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2FF0ED"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" strokecolor="#505050" strokeweight=".25pt">
                <o:lock v:ext="edit" shapetype="f"/>
              </v:line>
            </w:pict>
          </mc:Fallback>
        </mc:AlternateContent>
      </w:r>
      <w:r w:rsidRPr="0043022B">
        <w:rPr>
          <w:rFonts w:ascii="Arial" w:hAnsi="Arial" w:cs="Arial"/>
          <w:b/>
          <w:spacing w:val="-3"/>
          <w:sz w:val="20"/>
          <w:szCs w:val="20"/>
        </w:rPr>
        <w:t xml:space="preserve">Re: </w:t>
      </w:r>
      <w:r w:rsidR="0002036A" w:rsidRPr="0002036A">
        <w:rPr>
          <w:rFonts w:ascii="Arial" w:hAnsi="Arial" w:cs="Arial"/>
          <w:b/>
          <w:sz w:val="20"/>
          <w:szCs w:val="20"/>
        </w:rPr>
        <w:t xml:space="preserve">Final Draft Guidance (FDG) - </w:t>
      </w:r>
      <w:proofErr w:type="spellStart"/>
      <w:r w:rsidR="0002036A" w:rsidRPr="0002036A">
        <w:rPr>
          <w:rFonts w:ascii="Arial" w:hAnsi="Arial" w:cs="Arial"/>
          <w:b/>
          <w:sz w:val="20"/>
          <w:szCs w:val="20"/>
        </w:rPr>
        <w:t>belantamab</w:t>
      </w:r>
      <w:proofErr w:type="spellEnd"/>
      <w:r w:rsidR="0002036A" w:rsidRPr="0002036A">
        <w:rPr>
          <w:rFonts w:ascii="Arial" w:hAnsi="Arial" w:cs="Arial"/>
          <w:b/>
          <w:sz w:val="20"/>
          <w:szCs w:val="20"/>
        </w:rPr>
        <w:t xml:space="preserve"> </w:t>
      </w:r>
      <w:proofErr w:type="spellStart"/>
      <w:r w:rsidR="0002036A" w:rsidRPr="0002036A">
        <w:rPr>
          <w:rFonts w:ascii="Arial" w:hAnsi="Arial" w:cs="Arial"/>
          <w:b/>
          <w:sz w:val="20"/>
          <w:szCs w:val="20"/>
        </w:rPr>
        <w:t>mafodotin</w:t>
      </w:r>
      <w:proofErr w:type="spellEnd"/>
      <w:r w:rsidR="0002036A" w:rsidRPr="0002036A">
        <w:rPr>
          <w:rFonts w:ascii="Arial" w:hAnsi="Arial" w:cs="Arial"/>
          <w:b/>
          <w:sz w:val="20"/>
          <w:szCs w:val="20"/>
        </w:rPr>
        <w:t xml:space="preserve"> for treating relapsed or refractory multiple myeloma after 4 or more prior therapies [ID2701]</w:t>
      </w:r>
    </w:p>
    <w:p w14:paraId="645F333C" w14:textId="17AE3FBB" w:rsidR="00DB178D" w:rsidRPr="00DB178D" w:rsidRDefault="00DB178D" w:rsidP="00DB178D">
      <w:pPr>
        <w:spacing w:before="240" w:after="240"/>
        <w:jc w:val="both"/>
        <w:rPr>
          <w:rFonts w:ascii="Arial" w:eastAsia="Times New Roman" w:hAnsi="Arial" w:cs="Arial"/>
          <w:sz w:val="20"/>
          <w:szCs w:val="20"/>
        </w:rPr>
      </w:pPr>
      <w:r w:rsidRPr="00DB178D">
        <w:rPr>
          <w:rFonts w:ascii="Arial" w:eastAsia="Times New Roman" w:hAnsi="Arial" w:cs="Arial"/>
          <w:sz w:val="20"/>
          <w:szCs w:val="20"/>
        </w:rPr>
        <w:t xml:space="preserve">Thank you for your letter of </w:t>
      </w:r>
      <w:r w:rsidR="005F4425">
        <w:rPr>
          <w:rFonts w:ascii="Arial" w:eastAsia="Times New Roman" w:hAnsi="Arial" w:cs="Arial"/>
          <w:sz w:val="20"/>
          <w:szCs w:val="20"/>
        </w:rPr>
        <w:t>25 August</w:t>
      </w:r>
      <w:r w:rsidRPr="00DB178D">
        <w:rPr>
          <w:rFonts w:ascii="Arial" w:eastAsia="Times New Roman" w:hAnsi="Arial" w:cs="Arial"/>
          <w:sz w:val="20"/>
          <w:szCs w:val="20"/>
        </w:rPr>
        <w:t xml:space="preserve"> responding to my initial scrutiny views.  This is my final decision on initial scrutiny.</w:t>
      </w:r>
    </w:p>
    <w:p w14:paraId="55B1D5E2" w14:textId="30ACB4D8" w:rsidR="00DB178D" w:rsidRPr="00DB178D" w:rsidRDefault="00DB178D" w:rsidP="00DB178D">
      <w:pPr>
        <w:spacing w:before="240" w:after="240"/>
        <w:jc w:val="both"/>
        <w:rPr>
          <w:rFonts w:ascii="Arial" w:eastAsia="Times New Roman" w:hAnsi="Arial" w:cs="Arial"/>
          <w:sz w:val="20"/>
          <w:szCs w:val="20"/>
        </w:rPr>
      </w:pPr>
      <w:r w:rsidRPr="00DB178D">
        <w:rPr>
          <w:rFonts w:ascii="Arial" w:eastAsia="Times New Roman" w:hAnsi="Arial" w:cs="Arial"/>
          <w:sz w:val="20"/>
          <w:szCs w:val="20"/>
        </w:rPr>
        <w:t>I consider the ground 1(a) points followed by the ground 2 points.</w:t>
      </w:r>
    </w:p>
    <w:p w14:paraId="154A6AA5" w14:textId="77777777" w:rsidR="00DB178D" w:rsidRDefault="00DB178D" w:rsidP="00DB178D">
      <w:pPr>
        <w:spacing w:before="240" w:after="240"/>
        <w:jc w:val="both"/>
        <w:rPr>
          <w:rFonts w:ascii="Arial" w:hAnsi="Arial" w:cs="Arial"/>
          <w:b/>
          <w:i/>
          <w:sz w:val="20"/>
          <w:szCs w:val="20"/>
        </w:rPr>
      </w:pPr>
      <w:r w:rsidRPr="00DB178D">
        <w:rPr>
          <w:rFonts w:ascii="Arial" w:eastAsia="Times New Roman" w:hAnsi="Arial" w:cs="Arial"/>
          <w:b/>
          <w:bCs/>
          <w:i/>
          <w:iCs/>
          <w:sz w:val="20"/>
          <w:szCs w:val="20"/>
        </w:rPr>
        <w:t xml:space="preserve">Ground 1(a): In making the assessment that preceded the recommendation, NICE has failed to act </w:t>
      </w:r>
      <w:proofErr w:type="gramStart"/>
      <w:r w:rsidRPr="00DB178D">
        <w:rPr>
          <w:rFonts w:ascii="Arial" w:eastAsia="Times New Roman" w:hAnsi="Arial" w:cs="Arial"/>
          <w:b/>
          <w:bCs/>
          <w:i/>
          <w:iCs/>
          <w:sz w:val="20"/>
          <w:szCs w:val="20"/>
        </w:rPr>
        <w:t>fairly</w:t>
      </w:r>
      <w:proofErr w:type="gramEnd"/>
    </w:p>
    <w:p w14:paraId="31130B08" w14:textId="77777777" w:rsidR="00602B71" w:rsidRDefault="00602B71" w:rsidP="00D770E0">
      <w:pPr>
        <w:spacing w:before="120" w:after="240"/>
        <w:rPr>
          <w:rFonts w:ascii="Arial" w:hAnsi="Arial" w:cs="Arial"/>
          <w:b/>
          <w:sz w:val="20"/>
          <w:szCs w:val="20"/>
          <w:highlight w:val="yellow"/>
          <w:u w:val="single"/>
        </w:rPr>
      </w:pPr>
      <w:r w:rsidRPr="00602B71">
        <w:rPr>
          <w:rFonts w:ascii="Arial" w:hAnsi="Arial" w:cs="Arial"/>
          <w:b/>
          <w:sz w:val="20"/>
          <w:szCs w:val="20"/>
          <w:u w:val="single"/>
        </w:rPr>
        <w:t xml:space="preserve">Appeal </w:t>
      </w:r>
      <w:proofErr w:type="gramStart"/>
      <w:r w:rsidRPr="00602B71">
        <w:rPr>
          <w:rFonts w:ascii="Arial" w:hAnsi="Arial" w:cs="Arial"/>
          <w:b/>
          <w:sz w:val="20"/>
          <w:szCs w:val="20"/>
          <w:u w:val="single"/>
        </w:rPr>
        <w:t>point</w:t>
      </w:r>
      <w:proofErr w:type="gramEnd"/>
      <w:r w:rsidRPr="00602B71">
        <w:rPr>
          <w:rFonts w:ascii="Arial" w:hAnsi="Arial" w:cs="Arial"/>
          <w:b/>
          <w:sz w:val="20"/>
          <w:szCs w:val="20"/>
          <w:u w:val="single"/>
        </w:rPr>
        <w:t xml:space="preserve"> 1(a).1: The Committee’s conclusions on the validity of </w:t>
      </w:r>
      <w:proofErr w:type="spellStart"/>
      <w:r w:rsidRPr="00602B71">
        <w:rPr>
          <w:rFonts w:ascii="Arial" w:hAnsi="Arial" w:cs="Arial"/>
          <w:b/>
          <w:sz w:val="20"/>
          <w:szCs w:val="20"/>
          <w:u w:val="single"/>
        </w:rPr>
        <w:t>belantamab</w:t>
      </w:r>
      <w:proofErr w:type="spellEnd"/>
      <w:r w:rsidRPr="00602B71">
        <w:rPr>
          <w:rFonts w:ascii="Arial" w:hAnsi="Arial" w:cs="Arial"/>
          <w:b/>
          <w:sz w:val="20"/>
          <w:szCs w:val="20"/>
          <w:u w:val="single"/>
        </w:rPr>
        <w:t xml:space="preserve"> UK RWE and related analyses lack transparency and are inconsistent with the focus placed on real-world data use in the NICE strategy for 2021 to 2026.</w:t>
      </w:r>
      <w:r w:rsidRPr="00602B71">
        <w:rPr>
          <w:rFonts w:ascii="Arial" w:hAnsi="Arial" w:cs="Arial"/>
          <w:b/>
          <w:sz w:val="20"/>
          <w:szCs w:val="20"/>
          <w:highlight w:val="yellow"/>
          <w:u w:val="single"/>
        </w:rPr>
        <w:t xml:space="preserve"> </w:t>
      </w:r>
    </w:p>
    <w:p w14:paraId="35686E7C" w14:textId="27E890C2" w:rsidR="00A753A7" w:rsidRDefault="00D770E0" w:rsidP="0064409A">
      <w:pPr>
        <w:spacing w:before="120" w:after="240"/>
        <w:rPr>
          <w:rFonts w:ascii="Arial" w:hAnsi="Arial" w:cs="Arial"/>
          <w:color w:val="0D0D0D" w:themeColor="text1" w:themeTint="F2"/>
          <w:sz w:val="20"/>
          <w:szCs w:val="20"/>
          <w:lang w:eastAsia="en-GB"/>
        </w:rPr>
      </w:pPr>
      <w:r w:rsidRPr="0072138B">
        <w:rPr>
          <w:rFonts w:ascii="Arial" w:eastAsia="Times New Roman" w:hAnsi="Arial" w:cs="Arial"/>
          <w:color w:val="0D0D0D" w:themeColor="text1" w:themeTint="F2"/>
          <w:sz w:val="20"/>
          <w:szCs w:val="20"/>
          <w:lang w:eastAsia="en-GB"/>
        </w:rPr>
        <w:t xml:space="preserve">Having considered the additional arguments made in your letter of </w:t>
      </w:r>
      <w:r w:rsidR="0072138B" w:rsidRPr="0072138B">
        <w:rPr>
          <w:rFonts w:ascii="Arial" w:eastAsia="Times New Roman" w:hAnsi="Arial" w:cs="Arial"/>
          <w:color w:val="0D0D0D" w:themeColor="text1" w:themeTint="F2"/>
          <w:sz w:val="20"/>
          <w:szCs w:val="20"/>
          <w:lang w:eastAsia="en-GB"/>
        </w:rPr>
        <w:t>25 August</w:t>
      </w:r>
      <w:r w:rsidRPr="0072138B">
        <w:rPr>
          <w:rFonts w:ascii="Arial" w:eastAsia="Times New Roman" w:hAnsi="Arial" w:cs="Arial"/>
          <w:color w:val="0D0D0D" w:themeColor="text1" w:themeTint="F2"/>
          <w:sz w:val="20"/>
          <w:szCs w:val="20"/>
          <w:lang w:eastAsia="en-GB"/>
        </w:rPr>
        <w:t xml:space="preserve">, I </w:t>
      </w:r>
      <w:r w:rsidR="000528F9">
        <w:rPr>
          <w:rFonts w:ascii="Arial" w:eastAsia="Times New Roman" w:hAnsi="Arial" w:cs="Arial"/>
          <w:color w:val="0D0D0D" w:themeColor="text1" w:themeTint="F2"/>
          <w:sz w:val="20"/>
          <w:szCs w:val="20"/>
          <w:lang w:eastAsia="en-GB"/>
        </w:rPr>
        <w:t>will refer</w:t>
      </w:r>
      <w:r w:rsidRPr="0072138B">
        <w:rPr>
          <w:rFonts w:ascii="Arial" w:eastAsia="Times New Roman" w:hAnsi="Arial" w:cs="Arial"/>
          <w:color w:val="0D0D0D" w:themeColor="text1" w:themeTint="F2"/>
          <w:sz w:val="20"/>
          <w:szCs w:val="20"/>
          <w:lang w:eastAsia="en-GB"/>
        </w:rPr>
        <w:t xml:space="preserve"> a valid </w:t>
      </w:r>
      <w:r w:rsidRPr="0064409A">
        <w:rPr>
          <w:rFonts w:ascii="Arial" w:eastAsia="Times New Roman" w:hAnsi="Arial" w:cs="Arial"/>
          <w:color w:val="0D0D0D" w:themeColor="text1" w:themeTint="F2"/>
          <w:sz w:val="20"/>
          <w:szCs w:val="20"/>
          <w:lang w:eastAsia="en-GB"/>
        </w:rPr>
        <w:t>appeal point</w:t>
      </w:r>
      <w:r w:rsidR="0072138B" w:rsidRPr="0064409A">
        <w:rPr>
          <w:rFonts w:ascii="Arial" w:eastAsia="Times New Roman" w:hAnsi="Arial" w:cs="Arial"/>
          <w:color w:val="0D0D0D" w:themeColor="text1" w:themeTint="F2"/>
          <w:sz w:val="20"/>
          <w:szCs w:val="20"/>
          <w:lang w:eastAsia="en-GB"/>
        </w:rPr>
        <w:t xml:space="preserve"> </w:t>
      </w:r>
      <w:proofErr w:type="spellStart"/>
      <w:r w:rsidR="0072138B" w:rsidRPr="0064409A">
        <w:rPr>
          <w:rFonts w:ascii="Arial" w:eastAsia="Times New Roman" w:hAnsi="Arial" w:cs="Arial"/>
          <w:color w:val="0D0D0D" w:themeColor="text1" w:themeTint="F2"/>
          <w:sz w:val="20"/>
          <w:szCs w:val="20"/>
          <w:lang w:eastAsia="en-GB"/>
        </w:rPr>
        <w:t>under ground</w:t>
      </w:r>
      <w:proofErr w:type="spellEnd"/>
      <w:r w:rsidR="0072138B" w:rsidRPr="0064409A">
        <w:rPr>
          <w:rFonts w:ascii="Arial" w:eastAsia="Times New Roman" w:hAnsi="Arial" w:cs="Arial"/>
          <w:color w:val="0D0D0D" w:themeColor="text1" w:themeTint="F2"/>
          <w:sz w:val="20"/>
          <w:szCs w:val="20"/>
          <w:lang w:eastAsia="en-GB"/>
        </w:rPr>
        <w:t xml:space="preserve"> 1(a) (</w:t>
      </w:r>
      <w:r w:rsidR="0072138B" w:rsidRPr="000528F9">
        <w:rPr>
          <w:rFonts w:ascii="Arial" w:eastAsia="Times New Roman" w:hAnsi="Arial" w:cs="Arial"/>
          <w:color w:val="0D0D0D" w:themeColor="text1" w:themeTint="F2"/>
          <w:sz w:val="20"/>
          <w:szCs w:val="20"/>
          <w:u w:val="single"/>
          <w:lang w:eastAsia="en-GB"/>
        </w:rPr>
        <w:t>not</w:t>
      </w:r>
      <w:r w:rsidR="0072138B" w:rsidRPr="0064409A">
        <w:rPr>
          <w:rFonts w:ascii="Arial" w:eastAsia="Times New Roman" w:hAnsi="Arial" w:cs="Arial"/>
          <w:color w:val="0D0D0D" w:themeColor="text1" w:themeTint="F2"/>
          <w:sz w:val="20"/>
          <w:szCs w:val="20"/>
          <w:lang w:eastAsia="en-GB"/>
        </w:rPr>
        <w:t xml:space="preserve"> ground 2 as I suggested in my initial scrutiny letter of 11 August 2023</w:t>
      </w:r>
      <w:r w:rsidR="000528F9">
        <w:rPr>
          <w:rFonts w:ascii="Arial" w:eastAsia="Times New Roman" w:hAnsi="Arial" w:cs="Arial"/>
          <w:color w:val="0D0D0D" w:themeColor="text1" w:themeTint="F2"/>
          <w:sz w:val="20"/>
          <w:szCs w:val="20"/>
          <w:lang w:eastAsia="en-GB"/>
        </w:rPr>
        <w:t>)</w:t>
      </w:r>
      <w:r w:rsidR="0064409A" w:rsidRPr="0064409A">
        <w:rPr>
          <w:rFonts w:ascii="Arial" w:eastAsia="Times New Roman" w:hAnsi="Arial" w:cs="Arial"/>
          <w:color w:val="0D0D0D" w:themeColor="text1" w:themeTint="F2"/>
          <w:sz w:val="20"/>
          <w:szCs w:val="20"/>
          <w:lang w:eastAsia="en-GB"/>
        </w:rPr>
        <w:t xml:space="preserve"> in respect of your argument (A), namely </w:t>
      </w:r>
      <w:r w:rsidR="0064409A" w:rsidRPr="0064409A">
        <w:rPr>
          <w:rFonts w:ascii="Arial" w:hAnsi="Arial" w:cs="Arial"/>
          <w:color w:val="0D0D0D" w:themeColor="text1" w:themeTint="F2"/>
          <w:sz w:val="20"/>
          <w:szCs w:val="20"/>
          <w:lang w:eastAsia="en-GB"/>
        </w:rPr>
        <w:t>that</w:t>
      </w:r>
      <w:r w:rsidR="000528F9">
        <w:rPr>
          <w:rFonts w:ascii="Arial" w:hAnsi="Arial" w:cs="Arial"/>
          <w:color w:val="0D0D0D" w:themeColor="text1" w:themeTint="F2"/>
          <w:sz w:val="20"/>
          <w:szCs w:val="20"/>
          <w:lang w:eastAsia="en-GB"/>
        </w:rPr>
        <w:t xml:space="preserve"> </w:t>
      </w:r>
      <w:r w:rsidR="0064409A" w:rsidRPr="0064409A">
        <w:rPr>
          <w:rFonts w:ascii="Arial" w:hAnsi="Arial" w:cs="Arial"/>
          <w:color w:val="0D0D0D" w:themeColor="text1" w:themeTint="F2"/>
          <w:sz w:val="20"/>
          <w:szCs w:val="20"/>
          <w:lang w:eastAsia="en-GB"/>
        </w:rPr>
        <w:t>the Committee has not explained its conclusion, at paragraph 3.8 of the FDG, that the UK RWE considered in this evaluation and relied upon for the purposes of GSK’s naïve unadjusted comparison is subject to “potential bias”.</w:t>
      </w:r>
    </w:p>
    <w:p w14:paraId="2D4114CB" w14:textId="77777777" w:rsidR="009448FF" w:rsidRDefault="000528F9" w:rsidP="00472889">
      <w:pPr>
        <w:rPr>
          <w:rFonts w:ascii="Arial" w:hAnsi="Arial" w:cs="Arial"/>
          <w:color w:val="0D0D0D" w:themeColor="text1" w:themeTint="F2"/>
          <w:sz w:val="20"/>
          <w:szCs w:val="20"/>
          <w:lang w:eastAsia="en-GB"/>
        </w:rPr>
      </w:pPr>
      <w:r>
        <w:rPr>
          <w:rFonts w:ascii="Arial" w:hAnsi="Arial" w:cs="Arial"/>
          <w:color w:val="0D0D0D" w:themeColor="text1" w:themeTint="F2"/>
          <w:sz w:val="20"/>
          <w:szCs w:val="20"/>
          <w:lang w:eastAsia="en-GB"/>
        </w:rPr>
        <w:t xml:space="preserve">I </w:t>
      </w:r>
      <w:r w:rsidRPr="000528F9">
        <w:rPr>
          <w:rFonts w:ascii="Arial" w:hAnsi="Arial" w:cs="Arial"/>
          <w:color w:val="0D0D0D" w:themeColor="text1" w:themeTint="F2"/>
          <w:sz w:val="20"/>
          <w:szCs w:val="20"/>
          <w:lang w:eastAsia="en-GB"/>
        </w:rPr>
        <w:t xml:space="preserve">remain of the view that </w:t>
      </w:r>
      <w:r>
        <w:rPr>
          <w:rFonts w:ascii="Arial" w:hAnsi="Arial" w:cs="Arial"/>
          <w:color w:val="0D0D0D" w:themeColor="text1" w:themeTint="F2"/>
          <w:sz w:val="20"/>
          <w:szCs w:val="20"/>
          <w:lang w:eastAsia="en-GB"/>
        </w:rPr>
        <w:t>your argument (B)</w:t>
      </w:r>
      <w:r w:rsidR="00524397">
        <w:rPr>
          <w:rFonts w:ascii="Arial" w:hAnsi="Arial" w:cs="Arial"/>
          <w:color w:val="0D0D0D" w:themeColor="text1" w:themeTint="F2"/>
          <w:sz w:val="20"/>
          <w:szCs w:val="20"/>
          <w:lang w:eastAsia="en-GB"/>
        </w:rPr>
        <w:t xml:space="preserve"> is </w:t>
      </w:r>
      <w:r w:rsidR="00472889">
        <w:rPr>
          <w:rFonts w:ascii="Arial" w:hAnsi="Arial" w:cs="Arial"/>
          <w:color w:val="0D0D0D" w:themeColor="text1" w:themeTint="F2"/>
          <w:sz w:val="20"/>
          <w:szCs w:val="20"/>
          <w:lang w:eastAsia="en-GB"/>
        </w:rPr>
        <w:t xml:space="preserve">unarguable and </w:t>
      </w:r>
      <w:r w:rsidRPr="000528F9">
        <w:rPr>
          <w:rFonts w:ascii="Arial" w:hAnsi="Arial" w:cs="Arial"/>
          <w:color w:val="0D0D0D" w:themeColor="text1" w:themeTint="F2"/>
          <w:sz w:val="20"/>
          <w:szCs w:val="20"/>
          <w:lang w:eastAsia="en-GB"/>
        </w:rPr>
        <w:t>should not proceed to an oral hearing.</w:t>
      </w:r>
      <w:r w:rsidR="00472889">
        <w:rPr>
          <w:rFonts w:ascii="Arial" w:hAnsi="Arial" w:cs="Arial"/>
          <w:color w:val="0D0D0D" w:themeColor="text1" w:themeTint="F2"/>
          <w:sz w:val="20"/>
          <w:szCs w:val="20"/>
          <w:lang w:eastAsia="en-GB"/>
        </w:rPr>
        <w:t xml:space="preserve"> </w:t>
      </w:r>
    </w:p>
    <w:p w14:paraId="18F86903" w14:textId="1AB01867" w:rsidR="009448FF" w:rsidRDefault="009448FF" w:rsidP="00472889">
      <w:pPr>
        <w:rPr>
          <w:rFonts w:ascii="Arial" w:hAnsi="Arial" w:cs="Arial"/>
          <w:color w:val="0D0D0D" w:themeColor="text1" w:themeTint="F2"/>
          <w:sz w:val="20"/>
          <w:szCs w:val="20"/>
          <w:lang w:eastAsia="en-GB"/>
        </w:rPr>
      </w:pPr>
      <w:r>
        <w:rPr>
          <w:rFonts w:ascii="Arial" w:hAnsi="Arial" w:cs="Arial"/>
          <w:color w:val="0D0D0D" w:themeColor="text1" w:themeTint="F2"/>
          <w:sz w:val="20"/>
          <w:szCs w:val="20"/>
          <w:lang w:eastAsia="en-GB"/>
        </w:rPr>
        <w:t xml:space="preserve">I have considered the argument made in your appeal letter, </w:t>
      </w:r>
      <w:r w:rsidR="008107C7">
        <w:rPr>
          <w:rFonts w:ascii="Arial" w:hAnsi="Arial" w:cs="Arial"/>
          <w:color w:val="0D0D0D" w:themeColor="text1" w:themeTint="F2"/>
          <w:sz w:val="20"/>
          <w:szCs w:val="20"/>
          <w:lang w:eastAsia="en-GB"/>
        </w:rPr>
        <w:t>referencing the strategy as follows:</w:t>
      </w:r>
    </w:p>
    <w:p w14:paraId="610770E9" w14:textId="47B16652" w:rsidR="008107C7" w:rsidRPr="008107C7" w:rsidRDefault="008107C7" w:rsidP="008107C7">
      <w:pPr>
        <w:ind w:left="720"/>
        <w:rPr>
          <w:rFonts w:ascii="Arial" w:hAnsi="Arial" w:cs="Arial"/>
          <w:i/>
          <w:iCs/>
          <w:color w:val="0D0D0D" w:themeColor="text1" w:themeTint="F2"/>
          <w:sz w:val="20"/>
          <w:szCs w:val="20"/>
          <w:lang w:eastAsia="en-GB"/>
        </w:rPr>
      </w:pPr>
      <w:r>
        <w:rPr>
          <w:rFonts w:ascii="Arial" w:hAnsi="Arial" w:cs="Arial"/>
          <w:i/>
          <w:iCs/>
          <w:color w:val="0D0D0D" w:themeColor="text1" w:themeTint="F2"/>
          <w:sz w:val="20"/>
          <w:szCs w:val="20"/>
          <w:lang w:eastAsia="en-GB"/>
        </w:rPr>
        <w:t>"</w:t>
      </w:r>
      <w:r w:rsidRPr="008107C7">
        <w:rPr>
          <w:rFonts w:ascii="Arial" w:hAnsi="Arial" w:cs="Arial"/>
          <w:i/>
          <w:iCs/>
          <w:color w:val="0D0D0D" w:themeColor="text1" w:themeTint="F2"/>
          <w:sz w:val="20"/>
          <w:szCs w:val="20"/>
          <w:lang w:eastAsia="en-GB"/>
        </w:rPr>
        <w:t>The importance of RWE is a key focus in the NICE 2021 - 2026 strategy which states under the 4th pillar of the strategy, “We will be scientific leaders driving the research agenda across health and social care and thought leaders at the forefront of developing innovative approaches to using real-world data and data analytics to inform all aspects of our work”.</w:t>
      </w:r>
      <w:r w:rsidR="00E074A0" w:rsidRPr="00E074A0">
        <w:t xml:space="preserve"> </w:t>
      </w:r>
      <w:r w:rsidR="00E074A0">
        <w:fldChar w:fldCharType="begin"/>
      </w:r>
      <w:r w:rsidR="00E074A0">
        <w:instrText xml:space="preserve"> ADDIN ZOTERO_ITEM CSL_CITATION {"citationID":"0TDcAIsM","properties":{"formattedCitation":"\\super 24\\nosupersub{}","plainCitation":"24","noteIndex":0},"citationItems":[{"id":29956,"uris":["http://zotero.org/groups/4721759/items/ZT7AQ5IC"],"itemData":{"id":29956,"type":"article-journal","language":"en","source":"Zotero","title":"NICE strategy 2021 to 2026: Dynamic, Collaborative, Excellent","author":[{"family":"National Institute for Health and Care Excellence","given":""}],"issued":{"date-parts":[["2021"]]}}}],"schema":"https://github.com/citation-style-language/schema/raw/master/csl-citation.json"} </w:instrText>
      </w:r>
      <w:r w:rsidR="00E074A0">
        <w:fldChar w:fldCharType="separate"/>
      </w:r>
      <w:r w:rsidR="00E074A0">
        <w:rPr>
          <w:rFonts w:cs="Arial"/>
          <w:szCs w:val="24"/>
          <w:vertAlign w:val="superscript"/>
        </w:rPr>
        <w:t>24</w:t>
      </w:r>
      <w:r w:rsidR="00E074A0">
        <w:fldChar w:fldCharType="end"/>
      </w:r>
    </w:p>
    <w:p w14:paraId="092CCE3B" w14:textId="3DBA91EC" w:rsidR="008107C7" w:rsidRPr="008107C7" w:rsidRDefault="008107C7" w:rsidP="008107C7">
      <w:pPr>
        <w:ind w:left="720"/>
        <w:rPr>
          <w:rFonts w:ascii="Arial" w:hAnsi="Arial" w:cs="Arial"/>
          <w:i/>
          <w:iCs/>
          <w:color w:val="0D0D0D" w:themeColor="text1" w:themeTint="F2"/>
          <w:sz w:val="20"/>
          <w:szCs w:val="20"/>
          <w:lang w:eastAsia="en-GB"/>
        </w:rPr>
      </w:pPr>
      <w:r w:rsidRPr="008107C7">
        <w:rPr>
          <w:rFonts w:ascii="Arial" w:hAnsi="Arial" w:cs="Arial"/>
          <w:i/>
          <w:iCs/>
          <w:color w:val="0D0D0D" w:themeColor="text1" w:themeTint="F2"/>
          <w:sz w:val="20"/>
          <w:szCs w:val="20"/>
          <w:lang w:eastAsia="en-GB"/>
        </w:rPr>
        <w:t>Furthermore, the strategy describes the need to integrate real-world data into evaluation processes to inform rapid but robust decisions aiming to speed up access to new and effective treatments and embrace innovation."</w:t>
      </w:r>
    </w:p>
    <w:p w14:paraId="1489C456" w14:textId="6856F2F2" w:rsidR="008107C7" w:rsidRPr="008107C7" w:rsidRDefault="008107C7" w:rsidP="00472889">
      <w:pPr>
        <w:rPr>
          <w:rFonts w:ascii="Arial" w:hAnsi="Arial" w:cs="Arial"/>
          <w:color w:val="0D0D0D" w:themeColor="text1" w:themeTint="F2"/>
          <w:sz w:val="20"/>
          <w:szCs w:val="20"/>
          <w:lang w:eastAsia="en-GB"/>
        </w:rPr>
      </w:pPr>
      <w:r>
        <w:rPr>
          <w:rFonts w:ascii="Arial" w:hAnsi="Arial" w:cs="Arial"/>
          <w:color w:val="0D0D0D" w:themeColor="text1" w:themeTint="F2"/>
          <w:sz w:val="20"/>
          <w:szCs w:val="20"/>
          <w:lang w:eastAsia="en-GB"/>
        </w:rPr>
        <w:lastRenderedPageBreak/>
        <w:t xml:space="preserve">I have also considered your arguments </w:t>
      </w:r>
      <w:r w:rsidR="0073574F">
        <w:rPr>
          <w:rFonts w:ascii="Arial" w:hAnsi="Arial" w:cs="Arial"/>
          <w:color w:val="0D0D0D" w:themeColor="text1" w:themeTint="F2"/>
          <w:sz w:val="20"/>
          <w:szCs w:val="20"/>
          <w:lang w:eastAsia="en-GB"/>
        </w:rPr>
        <w:t>in response to my initial scrutiny letter, in particular:</w:t>
      </w:r>
    </w:p>
    <w:p w14:paraId="7E226F81" w14:textId="76229065" w:rsidR="00472889" w:rsidRDefault="0073574F" w:rsidP="0073574F">
      <w:pPr>
        <w:ind w:left="720"/>
        <w:rPr>
          <w:rFonts w:ascii="Arial" w:hAnsi="Arial" w:cs="Arial"/>
          <w:i/>
          <w:iCs/>
          <w:color w:val="0D0D0D" w:themeColor="text1" w:themeTint="F2"/>
          <w:sz w:val="20"/>
          <w:szCs w:val="20"/>
          <w:lang w:eastAsia="en-GB"/>
        </w:rPr>
      </w:pPr>
      <w:r>
        <w:rPr>
          <w:rFonts w:ascii="Arial" w:hAnsi="Arial" w:cs="Arial"/>
          <w:i/>
          <w:iCs/>
          <w:color w:val="0D0D0D" w:themeColor="text1" w:themeTint="F2"/>
          <w:sz w:val="20"/>
          <w:szCs w:val="20"/>
          <w:lang w:eastAsia="en-GB"/>
        </w:rPr>
        <w:t>"</w:t>
      </w:r>
      <w:r w:rsidR="00472889" w:rsidRPr="00472889">
        <w:rPr>
          <w:rFonts w:ascii="Arial" w:hAnsi="Arial" w:cs="Arial"/>
          <w:i/>
          <w:iCs/>
          <w:color w:val="0D0D0D" w:themeColor="text1" w:themeTint="F2"/>
          <w:sz w:val="20"/>
          <w:szCs w:val="20"/>
          <w:lang w:eastAsia="en-GB"/>
        </w:rPr>
        <w:t>To the extent that NICE has publicly committed itself to a particular policy (in this case, use of real-world evidence) stakeholders are entitled to expect that such commitment will be reflected in the way in which it approaches appraisals. In this case, the Committee’s refusal to base recommendations on real-world evidence conflicts with NICE’s stated policy and is therefore unfair.</w:t>
      </w:r>
      <w:r>
        <w:rPr>
          <w:rFonts w:ascii="Arial" w:hAnsi="Arial" w:cs="Arial"/>
          <w:i/>
          <w:iCs/>
          <w:color w:val="0D0D0D" w:themeColor="text1" w:themeTint="F2"/>
          <w:sz w:val="20"/>
          <w:szCs w:val="20"/>
          <w:lang w:eastAsia="en-GB"/>
        </w:rPr>
        <w:t>"</w:t>
      </w:r>
    </w:p>
    <w:p w14:paraId="4599F7AB" w14:textId="0FE55E8C" w:rsidR="00D740D9" w:rsidRDefault="00D26CB9" w:rsidP="00D770E0">
      <w:pPr>
        <w:spacing w:before="120" w:after="240"/>
        <w:rPr>
          <w:rFonts w:ascii="Arial" w:hAnsi="Arial" w:cs="Arial"/>
          <w:color w:val="0D0D0D" w:themeColor="text1" w:themeTint="F2"/>
          <w:sz w:val="20"/>
          <w:szCs w:val="20"/>
          <w:lang w:eastAsia="en-GB"/>
        </w:rPr>
      </w:pPr>
      <w:r w:rsidRPr="00AF21B9">
        <w:rPr>
          <w:rFonts w:ascii="Arial" w:hAnsi="Arial" w:cs="Arial"/>
          <w:color w:val="0D0D0D" w:themeColor="text1" w:themeTint="F2"/>
          <w:sz w:val="20"/>
          <w:szCs w:val="20"/>
          <w:lang w:eastAsia="en-GB"/>
        </w:rPr>
        <w:t>I</w:t>
      </w:r>
      <w:r w:rsidR="00F76D23" w:rsidRPr="00AF21B9">
        <w:rPr>
          <w:rFonts w:ascii="Arial" w:hAnsi="Arial" w:cs="Arial"/>
          <w:color w:val="0D0D0D" w:themeColor="text1" w:themeTint="F2"/>
          <w:sz w:val="20"/>
          <w:szCs w:val="20"/>
          <w:lang w:eastAsia="en-GB"/>
        </w:rPr>
        <w:t xml:space="preserve"> </w:t>
      </w:r>
      <w:r w:rsidR="004E4F27" w:rsidRPr="00AF21B9">
        <w:rPr>
          <w:rFonts w:ascii="Arial" w:hAnsi="Arial" w:cs="Arial"/>
          <w:color w:val="0D0D0D" w:themeColor="text1" w:themeTint="F2"/>
          <w:sz w:val="20"/>
          <w:szCs w:val="20"/>
          <w:lang w:eastAsia="en-GB"/>
        </w:rPr>
        <w:t>remain of the view that it is unarguable that the strategy (which sets out NICE's policy intentions over the period running to 2026</w:t>
      </w:r>
      <w:proofErr w:type="gramStart"/>
      <w:r w:rsidR="004E4F27" w:rsidRPr="00AF21B9">
        <w:rPr>
          <w:rFonts w:ascii="Arial" w:hAnsi="Arial" w:cs="Arial"/>
          <w:color w:val="0D0D0D" w:themeColor="text1" w:themeTint="F2"/>
          <w:sz w:val="20"/>
          <w:szCs w:val="20"/>
          <w:lang w:eastAsia="en-GB"/>
        </w:rPr>
        <w:t xml:space="preserve">)  </w:t>
      </w:r>
      <w:r w:rsidR="00E955CB" w:rsidRPr="00AF21B9">
        <w:rPr>
          <w:rFonts w:ascii="Arial" w:hAnsi="Arial" w:cs="Arial"/>
          <w:color w:val="0D0D0D" w:themeColor="text1" w:themeTint="F2"/>
          <w:sz w:val="20"/>
          <w:szCs w:val="20"/>
          <w:lang w:eastAsia="en-GB"/>
        </w:rPr>
        <w:t>gives</w:t>
      </w:r>
      <w:proofErr w:type="gramEnd"/>
      <w:r w:rsidR="00E955CB" w:rsidRPr="00AF21B9">
        <w:rPr>
          <w:rFonts w:ascii="Arial" w:hAnsi="Arial" w:cs="Arial"/>
          <w:color w:val="0D0D0D" w:themeColor="text1" w:themeTint="F2"/>
          <w:sz w:val="20"/>
          <w:szCs w:val="20"/>
          <w:lang w:eastAsia="en-GB"/>
        </w:rPr>
        <w:t xml:space="preserve"> rise to any procedural expectation that Technology Appraisal Committees will apply NICE's published appraisal processes (set out in the Manual) in a </w:t>
      </w:r>
      <w:r w:rsidR="00736F94" w:rsidRPr="00AF21B9">
        <w:rPr>
          <w:rFonts w:ascii="Arial" w:hAnsi="Arial" w:cs="Arial"/>
          <w:color w:val="0D0D0D" w:themeColor="text1" w:themeTint="F2"/>
          <w:sz w:val="20"/>
          <w:szCs w:val="20"/>
          <w:lang w:eastAsia="en-GB"/>
        </w:rPr>
        <w:t xml:space="preserve">particular way that is not reflected in the Manual itself. </w:t>
      </w:r>
      <w:r w:rsidR="00EC4C0B" w:rsidRPr="00AF21B9">
        <w:rPr>
          <w:rFonts w:ascii="Arial" w:hAnsi="Arial" w:cs="Arial"/>
          <w:color w:val="0D0D0D" w:themeColor="text1" w:themeTint="F2"/>
          <w:sz w:val="20"/>
          <w:szCs w:val="20"/>
          <w:lang w:eastAsia="en-GB"/>
        </w:rPr>
        <w:t>Rather, the strategy has been and will be implemented through formal amendments to NICE's published methods and processes</w:t>
      </w:r>
      <w:r w:rsidR="008F22A5" w:rsidRPr="00AF21B9">
        <w:rPr>
          <w:rFonts w:ascii="Arial" w:hAnsi="Arial" w:cs="Arial"/>
          <w:color w:val="0D0D0D" w:themeColor="text1" w:themeTint="F2"/>
          <w:sz w:val="20"/>
          <w:szCs w:val="20"/>
          <w:lang w:eastAsia="en-GB"/>
        </w:rPr>
        <w:t>, on which stakeholders may rely as a matter of procedural fairness. I do not consider it arguable that the strategy itself is a published procedure applicable to appraisal committees</w:t>
      </w:r>
      <w:r w:rsidR="00AF21B9" w:rsidRPr="00AF21B9">
        <w:rPr>
          <w:rFonts w:ascii="Arial" w:hAnsi="Arial" w:cs="Arial"/>
          <w:color w:val="0D0D0D" w:themeColor="text1" w:themeTint="F2"/>
          <w:sz w:val="20"/>
          <w:szCs w:val="20"/>
          <w:lang w:eastAsia="en-GB"/>
        </w:rPr>
        <w:t xml:space="preserve">. I accept that the </w:t>
      </w:r>
      <w:r w:rsidR="00AF21B9" w:rsidRPr="00AF21B9">
        <w:rPr>
          <w:rFonts w:ascii="Arial" w:hAnsi="Arial" w:cs="Arial"/>
          <w:sz w:val="20"/>
          <w:szCs w:val="20"/>
        </w:rPr>
        <w:t>Committee is bound not only by the Manual but also with broader standards of procedural fairness as a matter of English administrative law</w:t>
      </w:r>
      <w:r w:rsidR="00AF21B9" w:rsidRPr="00AF21B9">
        <w:rPr>
          <w:rFonts w:ascii="Arial" w:hAnsi="Arial" w:cs="Arial"/>
          <w:color w:val="0D0D0D" w:themeColor="text1" w:themeTint="F2"/>
          <w:sz w:val="20"/>
          <w:szCs w:val="20"/>
          <w:lang w:eastAsia="en-GB"/>
        </w:rPr>
        <w:t xml:space="preserve">, however I see no arguable point that those broader standards </w:t>
      </w:r>
      <w:r w:rsidR="00D845CA">
        <w:rPr>
          <w:rFonts w:ascii="Arial" w:hAnsi="Arial" w:cs="Arial"/>
          <w:color w:val="0D0D0D" w:themeColor="text1" w:themeTint="F2"/>
          <w:sz w:val="20"/>
          <w:szCs w:val="20"/>
          <w:lang w:eastAsia="en-GB"/>
        </w:rPr>
        <w:t xml:space="preserve">combined with NICE's above commitments in the strategy </w:t>
      </w:r>
      <w:r w:rsidR="00AF21B9">
        <w:rPr>
          <w:rFonts w:ascii="Arial" w:hAnsi="Arial" w:cs="Arial"/>
          <w:color w:val="0D0D0D" w:themeColor="text1" w:themeTint="F2"/>
          <w:sz w:val="20"/>
          <w:szCs w:val="20"/>
          <w:lang w:eastAsia="en-GB"/>
        </w:rPr>
        <w:t>require the Committee</w:t>
      </w:r>
      <w:r w:rsidR="00D845CA">
        <w:rPr>
          <w:rFonts w:ascii="Arial" w:hAnsi="Arial" w:cs="Arial"/>
          <w:color w:val="0D0D0D" w:themeColor="text1" w:themeTint="F2"/>
          <w:sz w:val="20"/>
          <w:szCs w:val="20"/>
          <w:lang w:eastAsia="en-GB"/>
        </w:rPr>
        <w:t xml:space="preserve"> as a matter of procedural fairness</w:t>
      </w:r>
      <w:r w:rsidR="00AF21B9">
        <w:rPr>
          <w:rFonts w:ascii="Arial" w:hAnsi="Arial" w:cs="Arial"/>
          <w:color w:val="0D0D0D" w:themeColor="text1" w:themeTint="F2"/>
          <w:sz w:val="20"/>
          <w:szCs w:val="20"/>
          <w:lang w:eastAsia="en-GB"/>
        </w:rPr>
        <w:t xml:space="preserve"> to </w:t>
      </w:r>
      <w:r w:rsidR="00D845CA" w:rsidRPr="00D845CA">
        <w:rPr>
          <w:rFonts w:ascii="Arial" w:hAnsi="Arial" w:cs="Arial"/>
          <w:color w:val="0D0D0D" w:themeColor="text1" w:themeTint="F2"/>
          <w:sz w:val="20"/>
          <w:szCs w:val="20"/>
          <w:lang w:eastAsia="en-GB"/>
        </w:rPr>
        <w:t>base recommendations on real-world evidence</w:t>
      </w:r>
      <w:r w:rsidR="00D845CA">
        <w:rPr>
          <w:rFonts w:ascii="Arial" w:hAnsi="Arial" w:cs="Arial"/>
          <w:color w:val="0D0D0D" w:themeColor="text1" w:themeTint="F2"/>
          <w:sz w:val="20"/>
          <w:szCs w:val="20"/>
          <w:lang w:eastAsia="en-GB"/>
        </w:rPr>
        <w:t>.</w:t>
      </w:r>
    </w:p>
    <w:p w14:paraId="0CDD5C1F" w14:textId="1B24060A" w:rsidR="008C4A8A" w:rsidRPr="008C4A8A" w:rsidRDefault="008C4A8A" w:rsidP="00DB178D">
      <w:pPr>
        <w:pStyle w:val="Paragraph"/>
        <w:numPr>
          <w:ilvl w:val="0"/>
          <w:numId w:val="0"/>
        </w:numPr>
        <w:spacing w:before="120"/>
        <w:jc w:val="both"/>
        <w:rPr>
          <w:rFonts w:cs="Arial"/>
          <w:b/>
          <w:iCs/>
          <w:sz w:val="20"/>
          <w:szCs w:val="20"/>
          <w:u w:val="single"/>
        </w:rPr>
      </w:pPr>
      <w:r w:rsidRPr="008C4A8A">
        <w:rPr>
          <w:rFonts w:cs="Arial"/>
          <w:b/>
          <w:iCs/>
          <w:sz w:val="20"/>
          <w:szCs w:val="20"/>
          <w:u w:val="single"/>
        </w:rPr>
        <w:t xml:space="preserve">Appeal </w:t>
      </w:r>
      <w:proofErr w:type="gramStart"/>
      <w:r w:rsidRPr="008C4A8A">
        <w:rPr>
          <w:rFonts w:cs="Arial"/>
          <w:b/>
          <w:iCs/>
          <w:sz w:val="20"/>
          <w:szCs w:val="20"/>
          <w:u w:val="single"/>
        </w:rPr>
        <w:t>point</w:t>
      </w:r>
      <w:proofErr w:type="gramEnd"/>
      <w:r w:rsidRPr="008C4A8A">
        <w:rPr>
          <w:rFonts w:cs="Arial"/>
          <w:b/>
          <w:iCs/>
          <w:sz w:val="20"/>
          <w:szCs w:val="20"/>
          <w:u w:val="single"/>
        </w:rPr>
        <w:t xml:space="preserve"> 1(a).2: The Committee’s decision that </w:t>
      </w:r>
      <w:proofErr w:type="spellStart"/>
      <w:r w:rsidRPr="008C4A8A">
        <w:rPr>
          <w:rFonts w:cs="Arial"/>
          <w:b/>
          <w:iCs/>
          <w:sz w:val="20"/>
          <w:szCs w:val="20"/>
          <w:u w:val="single"/>
        </w:rPr>
        <w:t>belantamab</w:t>
      </w:r>
      <w:proofErr w:type="spellEnd"/>
      <w:r w:rsidRPr="008C4A8A">
        <w:rPr>
          <w:rFonts w:cs="Arial"/>
          <w:b/>
          <w:iCs/>
          <w:sz w:val="20"/>
          <w:szCs w:val="20"/>
          <w:u w:val="single"/>
        </w:rPr>
        <w:t xml:space="preserve"> is not suitable for use through the Cancer Drugs Fund (CDF) is procedurally unfair</w:t>
      </w:r>
    </w:p>
    <w:p w14:paraId="30DEB766" w14:textId="51DFCE2F" w:rsidR="008C4A8A" w:rsidRDefault="008C4A8A" w:rsidP="008C4A8A">
      <w:pPr>
        <w:spacing w:before="120" w:after="240"/>
        <w:rPr>
          <w:rFonts w:ascii="Arial" w:hAnsi="Arial" w:cs="Arial"/>
          <w:color w:val="0D0D0D" w:themeColor="text1" w:themeTint="F2"/>
          <w:sz w:val="20"/>
          <w:szCs w:val="20"/>
          <w:lang w:eastAsia="en-GB"/>
        </w:rPr>
      </w:pPr>
      <w:r w:rsidRPr="008C1F3B">
        <w:rPr>
          <w:rFonts w:ascii="Arial" w:eastAsia="Times New Roman" w:hAnsi="Arial" w:cs="Arial"/>
          <w:color w:val="0D0D0D" w:themeColor="text1" w:themeTint="F2"/>
          <w:sz w:val="20"/>
          <w:szCs w:val="20"/>
          <w:lang w:eastAsia="en-GB"/>
        </w:rPr>
        <w:t xml:space="preserve">Having considered the additional arguments made in your letter of </w:t>
      </w:r>
      <w:r w:rsidR="008C1F3B" w:rsidRPr="008C1F3B">
        <w:rPr>
          <w:rFonts w:ascii="Arial" w:eastAsia="Times New Roman" w:hAnsi="Arial" w:cs="Arial"/>
          <w:color w:val="0D0D0D" w:themeColor="text1" w:themeTint="F2"/>
          <w:sz w:val="20"/>
          <w:szCs w:val="20"/>
          <w:lang w:eastAsia="en-GB"/>
        </w:rPr>
        <w:t>25 August</w:t>
      </w:r>
      <w:r w:rsidRPr="008C1F3B">
        <w:rPr>
          <w:rFonts w:ascii="Arial" w:eastAsia="Times New Roman" w:hAnsi="Arial" w:cs="Arial"/>
          <w:color w:val="0D0D0D" w:themeColor="text1" w:themeTint="F2"/>
          <w:sz w:val="20"/>
          <w:szCs w:val="20"/>
          <w:lang w:eastAsia="en-GB"/>
        </w:rPr>
        <w:t>, I agree that this is a valid appeal point</w:t>
      </w:r>
      <w:r w:rsidR="00AA0541">
        <w:rPr>
          <w:rFonts w:ascii="Arial" w:eastAsia="Times New Roman" w:hAnsi="Arial" w:cs="Arial"/>
          <w:color w:val="0D0D0D" w:themeColor="text1" w:themeTint="F2"/>
          <w:sz w:val="20"/>
          <w:szCs w:val="20"/>
          <w:lang w:eastAsia="en-GB"/>
        </w:rPr>
        <w:t xml:space="preserve"> and you may make both your arguments (A) and (B). </w:t>
      </w:r>
    </w:p>
    <w:p w14:paraId="30CEBAD9" w14:textId="043996DC" w:rsidR="008C4A8A" w:rsidRDefault="005C6FC4" w:rsidP="00DB178D">
      <w:pPr>
        <w:pStyle w:val="Paragraph"/>
        <w:numPr>
          <w:ilvl w:val="0"/>
          <w:numId w:val="0"/>
        </w:numPr>
        <w:spacing w:before="120"/>
        <w:jc w:val="both"/>
        <w:rPr>
          <w:rFonts w:cs="Arial"/>
          <w:b/>
          <w:iCs/>
          <w:sz w:val="20"/>
          <w:szCs w:val="20"/>
          <w:u w:val="single"/>
        </w:rPr>
      </w:pPr>
      <w:r w:rsidRPr="005C6FC4">
        <w:rPr>
          <w:rFonts w:cs="Arial"/>
          <w:b/>
          <w:iCs/>
          <w:sz w:val="20"/>
          <w:szCs w:val="20"/>
          <w:u w:val="single"/>
        </w:rPr>
        <w:t xml:space="preserve">Appeal point 1(a).4: The Committee’s conclusion that it would not recommend </w:t>
      </w:r>
      <w:proofErr w:type="spellStart"/>
      <w:r w:rsidRPr="005C6FC4">
        <w:rPr>
          <w:rFonts w:cs="Arial"/>
          <w:b/>
          <w:iCs/>
          <w:sz w:val="20"/>
          <w:szCs w:val="20"/>
          <w:u w:val="single"/>
        </w:rPr>
        <w:t>belantamab</w:t>
      </w:r>
      <w:proofErr w:type="spellEnd"/>
      <w:r w:rsidRPr="005C6FC4">
        <w:rPr>
          <w:rFonts w:cs="Arial"/>
          <w:b/>
          <w:iCs/>
          <w:sz w:val="20"/>
          <w:szCs w:val="20"/>
          <w:u w:val="single"/>
        </w:rPr>
        <w:t xml:space="preserve"> in the 5L+ TCR MM post-POM setting due to the uncertainty in the comparative evidence is unfair, given that these limitations were largely driven by the paucity of evidence for the comparator despite being recommended by NICE and in circumstances where the effect of the decision is that patients will be forced to receive a less effective treatment with less evidence of benefit</w:t>
      </w:r>
    </w:p>
    <w:p w14:paraId="05710CD7" w14:textId="473EE315" w:rsidR="005C6FC4" w:rsidRDefault="00FD577A" w:rsidP="00DB178D">
      <w:pPr>
        <w:pStyle w:val="Paragraph"/>
        <w:numPr>
          <w:ilvl w:val="0"/>
          <w:numId w:val="0"/>
        </w:numPr>
        <w:spacing w:before="120"/>
        <w:jc w:val="both"/>
        <w:rPr>
          <w:rFonts w:cs="Arial"/>
          <w:color w:val="0D0D0D" w:themeColor="text1" w:themeTint="F2"/>
          <w:sz w:val="20"/>
          <w:szCs w:val="20"/>
        </w:rPr>
      </w:pPr>
      <w:r w:rsidRPr="008C1F3B">
        <w:rPr>
          <w:rFonts w:cs="Arial"/>
          <w:color w:val="0D0D0D" w:themeColor="text1" w:themeTint="F2"/>
          <w:sz w:val="20"/>
          <w:szCs w:val="20"/>
        </w:rPr>
        <w:t>Having considered the additional arguments made in your letter of 25 August, I agree that this is a valid appeal point</w:t>
      </w:r>
      <w:r>
        <w:rPr>
          <w:rFonts w:cs="Arial"/>
          <w:color w:val="0D0D0D" w:themeColor="text1" w:themeTint="F2"/>
          <w:sz w:val="20"/>
          <w:szCs w:val="20"/>
        </w:rPr>
        <w:t>.</w:t>
      </w:r>
    </w:p>
    <w:p w14:paraId="268000F2" w14:textId="057AFC70" w:rsidR="003E1D5D" w:rsidRDefault="00656D45" w:rsidP="00DB178D">
      <w:pPr>
        <w:pStyle w:val="Paragraph"/>
        <w:numPr>
          <w:ilvl w:val="0"/>
          <w:numId w:val="0"/>
        </w:numPr>
        <w:spacing w:before="120"/>
        <w:jc w:val="both"/>
        <w:rPr>
          <w:rFonts w:cs="Arial"/>
          <w:b/>
          <w:iCs/>
          <w:sz w:val="20"/>
          <w:szCs w:val="20"/>
          <w:u w:val="single"/>
        </w:rPr>
      </w:pPr>
      <w:r>
        <w:rPr>
          <w:rFonts w:cs="Arial"/>
          <w:b/>
          <w:iCs/>
          <w:sz w:val="20"/>
          <w:szCs w:val="20"/>
          <w:u w:val="single"/>
        </w:rPr>
        <w:t xml:space="preserve">Appeal </w:t>
      </w:r>
      <w:proofErr w:type="gramStart"/>
      <w:r>
        <w:rPr>
          <w:rFonts w:cs="Arial"/>
          <w:b/>
          <w:iCs/>
          <w:sz w:val="20"/>
          <w:szCs w:val="20"/>
          <w:u w:val="single"/>
        </w:rPr>
        <w:t>point</w:t>
      </w:r>
      <w:proofErr w:type="gramEnd"/>
      <w:r>
        <w:rPr>
          <w:rFonts w:cs="Arial"/>
          <w:b/>
          <w:iCs/>
          <w:sz w:val="20"/>
          <w:szCs w:val="20"/>
          <w:u w:val="single"/>
        </w:rPr>
        <w:t xml:space="preserve"> </w:t>
      </w:r>
      <w:r w:rsidRPr="00656D45">
        <w:rPr>
          <w:rFonts w:cs="Arial"/>
          <w:b/>
          <w:iCs/>
          <w:sz w:val="20"/>
          <w:szCs w:val="20"/>
          <w:u w:val="single"/>
        </w:rPr>
        <w:t xml:space="preserve">1(a).5: The Committee has failed to fairly consider </w:t>
      </w:r>
      <w:proofErr w:type="spellStart"/>
      <w:r w:rsidRPr="00656D45">
        <w:rPr>
          <w:rFonts w:cs="Arial"/>
          <w:b/>
          <w:iCs/>
          <w:sz w:val="20"/>
          <w:szCs w:val="20"/>
          <w:u w:val="single"/>
        </w:rPr>
        <w:t>belantamab</w:t>
      </w:r>
      <w:proofErr w:type="spellEnd"/>
      <w:r w:rsidRPr="00656D45">
        <w:rPr>
          <w:rFonts w:cs="Arial"/>
          <w:b/>
          <w:iCs/>
          <w:sz w:val="20"/>
          <w:szCs w:val="20"/>
          <w:u w:val="single"/>
        </w:rPr>
        <w:t xml:space="preserve"> in the original (5L+ TCR) or revised positioning (5L+ TCR post-pomalidomide subpopulation) in which </w:t>
      </w:r>
      <w:proofErr w:type="spellStart"/>
      <w:r w:rsidRPr="00656D45">
        <w:rPr>
          <w:rFonts w:cs="Arial"/>
          <w:b/>
          <w:iCs/>
          <w:sz w:val="20"/>
          <w:szCs w:val="20"/>
          <w:u w:val="single"/>
        </w:rPr>
        <w:t>belantamab</w:t>
      </w:r>
      <w:proofErr w:type="spellEnd"/>
      <w:r w:rsidRPr="00656D45">
        <w:rPr>
          <w:rFonts w:cs="Arial"/>
          <w:b/>
          <w:iCs/>
          <w:sz w:val="20"/>
          <w:szCs w:val="20"/>
          <w:u w:val="single"/>
        </w:rPr>
        <w:t xml:space="preserve"> offers significant benefits to UK patients with a high unmet need</w:t>
      </w:r>
    </w:p>
    <w:p w14:paraId="2068F849" w14:textId="5922C7DA" w:rsidR="00656D45" w:rsidRDefault="00656D45" w:rsidP="00DB178D">
      <w:pPr>
        <w:pStyle w:val="Paragraph"/>
        <w:numPr>
          <w:ilvl w:val="0"/>
          <w:numId w:val="0"/>
        </w:numPr>
        <w:spacing w:before="120"/>
        <w:jc w:val="both"/>
        <w:rPr>
          <w:rFonts w:cs="Arial"/>
          <w:bCs/>
          <w:iCs/>
          <w:sz w:val="20"/>
          <w:szCs w:val="20"/>
        </w:rPr>
      </w:pPr>
      <w:r w:rsidRPr="00656D45">
        <w:rPr>
          <w:rFonts w:cs="Arial"/>
          <w:bCs/>
          <w:iCs/>
          <w:sz w:val="20"/>
          <w:szCs w:val="20"/>
        </w:rPr>
        <w:t xml:space="preserve">I remain of the view that this appeal point should not proceed to an oral hearing. </w:t>
      </w:r>
    </w:p>
    <w:p w14:paraId="605206A3" w14:textId="50C2508E" w:rsidR="00A7302C" w:rsidRDefault="00A7302C" w:rsidP="00DB178D">
      <w:pPr>
        <w:pStyle w:val="Paragraph"/>
        <w:numPr>
          <w:ilvl w:val="0"/>
          <w:numId w:val="0"/>
        </w:numPr>
        <w:spacing w:before="120"/>
        <w:jc w:val="both"/>
        <w:rPr>
          <w:rFonts w:cs="Arial"/>
          <w:bCs/>
          <w:iCs/>
          <w:sz w:val="20"/>
          <w:szCs w:val="20"/>
        </w:rPr>
      </w:pPr>
      <w:r>
        <w:rPr>
          <w:rFonts w:cs="Arial"/>
          <w:bCs/>
          <w:iCs/>
          <w:sz w:val="20"/>
          <w:szCs w:val="20"/>
        </w:rPr>
        <w:t xml:space="preserve">I note </w:t>
      </w:r>
      <w:r w:rsidR="00011F1B">
        <w:rPr>
          <w:rFonts w:cs="Arial"/>
          <w:bCs/>
          <w:iCs/>
          <w:sz w:val="20"/>
          <w:szCs w:val="20"/>
        </w:rPr>
        <w:t>your argument in your letter of 25 August that:</w:t>
      </w:r>
    </w:p>
    <w:p w14:paraId="139CE4B2" w14:textId="6886BE79" w:rsidR="00011F1B" w:rsidRPr="00011F1B" w:rsidRDefault="00011F1B" w:rsidP="00011F1B">
      <w:pPr>
        <w:pStyle w:val="Paragraph"/>
        <w:numPr>
          <w:ilvl w:val="0"/>
          <w:numId w:val="0"/>
        </w:numPr>
        <w:spacing w:before="120"/>
        <w:ind w:left="720"/>
        <w:jc w:val="both"/>
        <w:rPr>
          <w:rFonts w:cs="Arial"/>
          <w:bCs/>
          <w:iCs/>
          <w:sz w:val="20"/>
          <w:szCs w:val="20"/>
        </w:rPr>
      </w:pPr>
      <w:r>
        <w:rPr>
          <w:rFonts w:cs="Arial"/>
          <w:bCs/>
          <w:i/>
          <w:sz w:val="20"/>
          <w:szCs w:val="20"/>
        </w:rPr>
        <w:t>"</w:t>
      </w:r>
      <w:proofErr w:type="gramStart"/>
      <w:r w:rsidRPr="00011F1B">
        <w:rPr>
          <w:rFonts w:cs="Arial"/>
          <w:bCs/>
          <w:i/>
          <w:sz w:val="20"/>
          <w:szCs w:val="20"/>
        </w:rPr>
        <w:t>this</w:t>
      </w:r>
      <w:proofErr w:type="gramEnd"/>
      <w:r w:rsidRPr="00011F1B">
        <w:rPr>
          <w:rFonts w:cs="Arial"/>
          <w:bCs/>
          <w:i/>
          <w:sz w:val="20"/>
          <w:szCs w:val="20"/>
        </w:rPr>
        <w:t xml:space="preserve"> point of appeal is limited to whether, contrary to the Committee’s conclusion, a subgroup can be identified.  At paragraph 3.10 of the FDG, the Committee expressed the view that it could not, disregarding the evidence from the clinical experts that when there is a disease response to </w:t>
      </w:r>
      <w:proofErr w:type="spellStart"/>
      <w:r w:rsidRPr="00011F1B">
        <w:rPr>
          <w:rFonts w:cs="Arial"/>
          <w:bCs/>
          <w:i/>
          <w:sz w:val="20"/>
          <w:szCs w:val="20"/>
        </w:rPr>
        <w:t>belantamab</w:t>
      </w:r>
      <w:proofErr w:type="spellEnd"/>
      <w:r w:rsidRPr="00011F1B">
        <w:rPr>
          <w:rFonts w:cs="Arial"/>
          <w:bCs/>
          <w:i/>
          <w:sz w:val="20"/>
          <w:szCs w:val="20"/>
        </w:rPr>
        <w:t xml:space="preserve"> this happens quickly. No explanation is provided to justify rejecting the views of the clinical experts, a requirement of transparency heightened in view of the level of clinical need of affected patients.</w:t>
      </w:r>
      <w:r>
        <w:rPr>
          <w:rFonts w:cs="Arial"/>
          <w:bCs/>
          <w:i/>
          <w:sz w:val="20"/>
          <w:szCs w:val="20"/>
        </w:rPr>
        <w:t>"</w:t>
      </w:r>
    </w:p>
    <w:p w14:paraId="62B69207" w14:textId="0F586160" w:rsidR="00705E89" w:rsidRPr="00705E89" w:rsidRDefault="00705E89" w:rsidP="00DB178D">
      <w:pPr>
        <w:pStyle w:val="Paragraph"/>
        <w:numPr>
          <w:ilvl w:val="0"/>
          <w:numId w:val="0"/>
        </w:numPr>
        <w:spacing w:before="120"/>
        <w:jc w:val="both"/>
        <w:rPr>
          <w:rFonts w:cs="Arial"/>
          <w:bCs/>
          <w:sz w:val="20"/>
          <w:szCs w:val="20"/>
        </w:rPr>
      </w:pPr>
      <w:r>
        <w:rPr>
          <w:rFonts w:cs="Arial"/>
          <w:sz w:val="20"/>
          <w:szCs w:val="20"/>
        </w:rPr>
        <w:t>I</w:t>
      </w:r>
      <w:r w:rsidR="003F5385">
        <w:rPr>
          <w:rFonts w:cs="Arial"/>
          <w:sz w:val="20"/>
          <w:szCs w:val="20"/>
        </w:rPr>
        <w:t xml:space="preserve"> further</w:t>
      </w:r>
      <w:r>
        <w:rPr>
          <w:rFonts w:cs="Arial"/>
          <w:sz w:val="20"/>
          <w:szCs w:val="20"/>
        </w:rPr>
        <w:t xml:space="preserve"> note your explanation in your appeal letter </w:t>
      </w:r>
      <w:proofErr w:type="gramStart"/>
      <w:r>
        <w:rPr>
          <w:rFonts w:cs="Arial"/>
          <w:sz w:val="20"/>
          <w:szCs w:val="20"/>
        </w:rPr>
        <w:t>that</w:t>
      </w:r>
      <w:proofErr w:type="gramEnd"/>
      <w:r>
        <w:rPr>
          <w:rFonts w:cs="Arial"/>
          <w:sz w:val="20"/>
          <w:szCs w:val="20"/>
        </w:rPr>
        <w:t xml:space="preserve"> </w:t>
      </w:r>
    </w:p>
    <w:p w14:paraId="29AD839D" w14:textId="3C43A63A" w:rsidR="00A7302C" w:rsidRDefault="003F5385" w:rsidP="003F5385">
      <w:pPr>
        <w:pStyle w:val="Paragraph"/>
        <w:numPr>
          <w:ilvl w:val="0"/>
          <w:numId w:val="0"/>
        </w:numPr>
        <w:spacing w:before="120"/>
        <w:ind w:left="720"/>
        <w:jc w:val="both"/>
        <w:rPr>
          <w:rFonts w:cs="Arial"/>
          <w:bCs/>
          <w:iCs/>
          <w:sz w:val="20"/>
          <w:szCs w:val="20"/>
        </w:rPr>
      </w:pPr>
      <w:r>
        <w:rPr>
          <w:rFonts w:cs="Arial"/>
          <w:bCs/>
          <w:i/>
          <w:sz w:val="20"/>
          <w:szCs w:val="20"/>
        </w:rPr>
        <w:t>"</w:t>
      </w:r>
      <w:r w:rsidRPr="003F5385">
        <w:rPr>
          <w:rFonts w:cs="Arial"/>
          <w:bCs/>
          <w:i/>
          <w:sz w:val="20"/>
          <w:szCs w:val="20"/>
        </w:rPr>
        <w:t xml:space="preserve">Whilst there is currently no predictive biomarker for response to </w:t>
      </w:r>
      <w:proofErr w:type="spellStart"/>
      <w:r w:rsidRPr="003F5385">
        <w:rPr>
          <w:rFonts w:cs="Arial"/>
          <w:bCs/>
          <w:i/>
          <w:sz w:val="20"/>
          <w:szCs w:val="20"/>
        </w:rPr>
        <w:t>belantamab</w:t>
      </w:r>
      <w:proofErr w:type="spellEnd"/>
      <w:r w:rsidRPr="003F5385">
        <w:rPr>
          <w:rFonts w:cs="Arial"/>
          <w:bCs/>
          <w:i/>
          <w:sz w:val="20"/>
          <w:szCs w:val="20"/>
        </w:rPr>
        <w:t xml:space="preserve">, the clinical experts present at the appraisal Committee meetings explained that when there is disease </w:t>
      </w:r>
      <w:r w:rsidRPr="003F5385">
        <w:rPr>
          <w:rFonts w:cs="Arial"/>
          <w:bCs/>
          <w:i/>
          <w:sz w:val="20"/>
          <w:szCs w:val="20"/>
        </w:rPr>
        <w:lastRenderedPageBreak/>
        <w:t xml:space="preserve">response to </w:t>
      </w:r>
      <w:proofErr w:type="spellStart"/>
      <w:r w:rsidRPr="003F5385">
        <w:rPr>
          <w:rFonts w:cs="Arial"/>
          <w:bCs/>
          <w:i/>
          <w:sz w:val="20"/>
          <w:szCs w:val="20"/>
        </w:rPr>
        <w:t>belantamab</w:t>
      </w:r>
      <w:proofErr w:type="spellEnd"/>
      <w:r w:rsidRPr="003F5385">
        <w:rPr>
          <w:rFonts w:cs="Arial"/>
          <w:bCs/>
          <w:i/>
          <w:sz w:val="20"/>
          <w:szCs w:val="20"/>
        </w:rPr>
        <w:t xml:space="preserve">, it happens quickly (median time to response is 1.5 months [final analysis, 95% CI: 1.0, 2.1]) and has a long duration. This illustrates that the identification of patients who benefit from </w:t>
      </w:r>
      <w:proofErr w:type="spellStart"/>
      <w:r w:rsidRPr="003F5385">
        <w:rPr>
          <w:rFonts w:cs="Arial"/>
          <w:bCs/>
          <w:i/>
          <w:sz w:val="20"/>
          <w:szCs w:val="20"/>
        </w:rPr>
        <w:t>belantamab</w:t>
      </w:r>
      <w:proofErr w:type="spellEnd"/>
      <w:r w:rsidRPr="003F5385">
        <w:rPr>
          <w:rFonts w:cs="Arial"/>
          <w:bCs/>
          <w:i/>
          <w:sz w:val="20"/>
          <w:szCs w:val="20"/>
        </w:rPr>
        <w:t xml:space="preserve"> is feasible and can be done rapidly after treatment initiation</w:t>
      </w:r>
      <w:r w:rsidRPr="003F5385">
        <w:rPr>
          <w:rFonts w:cs="Arial"/>
          <w:bCs/>
          <w:iCs/>
          <w:sz w:val="20"/>
          <w:szCs w:val="20"/>
        </w:rPr>
        <w:t>.</w:t>
      </w:r>
      <w:r>
        <w:rPr>
          <w:rFonts w:cs="Arial"/>
          <w:bCs/>
          <w:iCs/>
          <w:sz w:val="20"/>
          <w:szCs w:val="20"/>
        </w:rPr>
        <w:t>"</w:t>
      </w:r>
    </w:p>
    <w:p w14:paraId="341987DC" w14:textId="77777777" w:rsidR="000530C2" w:rsidRDefault="003F5385" w:rsidP="00EB0998">
      <w:pPr>
        <w:pStyle w:val="Paragraph"/>
        <w:numPr>
          <w:ilvl w:val="0"/>
          <w:numId w:val="0"/>
        </w:numPr>
        <w:spacing w:before="120"/>
        <w:jc w:val="both"/>
        <w:rPr>
          <w:rFonts w:cs="Arial"/>
          <w:sz w:val="20"/>
          <w:szCs w:val="20"/>
        </w:rPr>
      </w:pPr>
      <w:r w:rsidRPr="00A546E7">
        <w:rPr>
          <w:rFonts w:cs="Arial"/>
          <w:bCs/>
          <w:iCs/>
          <w:sz w:val="20"/>
          <w:szCs w:val="20"/>
        </w:rPr>
        <w:t>I understand this</w:t>
      </w:r>
      <w:r w:rsidR="00C36DF3">
        <w:rPr>
          <w:rFonts w:cs="Arial"/>
          <w:bCs/>
          <w:iCs/>
          <w:sz w:val="20"/>
          <w:szCs w:val="20"/>
        </w:rPr>
        <w:t xml:space="preserve"> appeal point</w:t>
      </w:r>
      <w:r w:rsidRPr="00A546E7">
        <w:rPr>
          <w:rFonts w:cs="Arial"/>
          <w:bCs/>
          <w:iCs/>
          <w:sz w:val="20"/>
          <w:szCs w:val="20"/>
        </w:rPr>
        <w:t xml:space="preserve"> relates to the conclusion at 3.10 of the FDG where t</w:t>
      </w:r>
      <w:r w:rsidRPr="00A546E7">
        <w:rPr>
          <w:rFonts w:cs="Arial"/>
          <w:sz w:val="20"/>
          <w:szCs w:val="20"/>
        </w:rPr>
        <w:t xml:space="preserve">he Committee stated that </w:t>
      </w:r>
      <w:r w:rsidRPr="00A546E7">
        <w:rPr>
          <w:rFonts w:cs="Arial"/>
          <w:i/>
          <w:iCs/>
          <w:sz w:val="20"/>
          <w:szCs w:val="20"/>
        </w:rPr>
        <w:t>"it was not possible to define this subgroup of people who would be expected to have greater clinical benefit than the broader eligible population."</w:t>
      </w:r>
      <w:r>
        <w:rPr>
          <w:rFonts w:cs="Arial"/>
          <w:i/>
          <w:iCs/>
          <w:sz w:val="20"/>
          <w:szCs w:val="20"/>
        </w:rPr>
        <w:t xml:space="preserve"> </w:t>
      </w:r>
      <w:r w:rsidR="00C36DF3">
        <w:rPr>
          <w:rFonts w:cs="Arial"/>
          <w:sz w:val="20"/>
          <w:szCs w:val="20"/>
        </w:rPr>
        <w:t>Your appeal letter (quoted above) accepts</w:t>
      </w:r>
      <w:r w:rsidR="00726DFE">
        <w:rPr>
          <w:rFonts w:cs="Arial"/>
          <w:sz w:val="20"/>
          <w:szCs w:val="20"/>
        </w:rPr>
        <w:t xml:space="preserve"> that this </w:t>
      </w:r>
      <w:r w:rsidR="00C36DF3">
        <w:rPr>
          <w:rFonts w:cs="Arial"/>
          <w:sz w:val="20"/>
          <w:szCs w:val="20"/>
        </w:rPr>
        <w:t>subgroup cannot be identified a priori</w:t>
      </w:r>
      <w:r w:rsidR="008C508D">
        <w:rPr>
          <w:rFonts w:cs="Arial"/>
          <w:sz w:val="20"/>
          <w:szCs w:val="20"/>
        </w:rPr>
        <w:t xml:space="preserve">, </w:t>
      </w:r>
      <w:proofErr w:type="gramStart"/>
      <w:r w:rsidR="008C508D">
        <w:rPr>
          <w:rFonts w:cs="Arial"/>
          <w:sz w:val="20"/>
          <w:szCs w:val="20"/>
        </w:rPr>
        <w:t>i.e.</w:t>
      </w:r>
      <w:proofErr w:type="gramEnd"/>
      <w:r w:rsidR="00C36DF3">
        <w:rPr>
          <w:rFonts w:cs="Arial"/>
          <w:sz w:val="20"/>
          <w:szCs w:val="20"/>
        </w:rPr>
        <w:t xml:space="preserve"> in advance of starting treatment with </w:t>
      </w:r>
      <w:proofErr w:type="spellStart"/>
      <w:r w:rsidR="00C36DF3">
        <w:rPr>
          <w:rFonts w:cs="Arial"/>
          <w:sz w:val="20"/>
          <w:szCs w:val="20"/>
        </w:rPr>
        <w:t>belantamab</w:t>
      </w:r>
      <w:proofErr w:type="spellEnd"/>
      <w:r w:rsidR="00726DFE">
        <w:rPr>
          <w:rFonts w:cs="Arial"/>
          <w:sz w:val="20"/>
          <w:szCs w:val="20"/>
        </w:rPr>
        <w:t>.</w:t>
      </w:r>
      <w:r w:rsidR="00E96B87">
        <w:rPr>
          <w:rFonts w:cs="Arial"/>
          <w:sz w:val="20"/>
          <w:szCs w:val="20"/>
        </w:rPr>
        <w:t xml:space="preserve"> I understand that the clinical experts explained that disease response happens quickly, </w:t>
      </w:r>
      <w:r w:rsidR="00AA53FA">
        <w:rPr>
          <w:rFonts w:cs="Arial"/>
          <w:sz w:val="20"/>
          <w:szCs w:val="20"/>
        </w:rPr>
        <w:t>enabling identification of the subgroup shortly after commencing treatment.</w:t>
      </w:r>
      <w:r w:rsidR="009E11D2">
        <w:rPr>
          <w:rFonts w:cs="Arial"/>
          <w:sz w:val="20"/>
          <w:szCs w:val="20"/>
        </w:rPr>
        <w:t xml:space="preserve"> That is not the same as defining the subgroup</w:t>
      </w:r>
      <w:r w:rsidR="000530C2" w:rsidRPr="000530C2">
        <w:t xml:space="preserve"> </w:t>
      </w:r>
      <w:r w:rsidR="000530C2" w:rsidRPr="000530C2">
        <w:rPr>
          <w:rFonts w:cs="Arial"/>
          <w:sz w:val="20"/>
          <w:szCs w:val="20"/>
        </w:rPr>
        <w:t>who would be expected to have greater clinical benefit</w:t>
      </w:r>
      <w:r w:rsidR="009E11D2">
        <w:rPr>
          <w:rFonts w:cs="Arial"/>
          <w:sz w:val="20"/>
          <w:szCs w:val="20"/>
        </w:rPr>
        <w:t xml:space="preserve"> before treatment. I therefore disagree that the Committee disregarded the views of the experts.</w:t>
      </w:r>
      <w:r w:rsidR="00AA53FA">
        <w:rPr>
          <w:rFonts w:cs="Arial"/>
          <w:sz w:val="20"/>
          <w:szCs w:val="20"/>
        </w:rPr>
        <w:t xml:space="preserve"> </w:t>
      </w:r>
    </w:p>
    <w:p w14:paraId="23FF5181" w14:textId="5DA8A75B" w:rsidR="00EB0998" w:rsidRDefault="000530C2" w:rsidP="00EB0998">
      <w:pPr>
        <w:pStyle w:val="Paragraph"/>
        <w:numPr>
          <w:ilvl w:val="0"/>
          <w:numId w:val="0"/>
        </w:numPr>
        <w:spacing w:before="120"/>
        <w:jc w:val="both"/>
        <w:rPr>
          <w:rFonts w:cs="Arial"/>
          <w:sz w:val="20"/>
          <w:szCs w:val="20"/>
        </w:rPr>
      </w:pPr>
      <w:r>
        <w:rPr>
          <w:rFonts w:cs="Arial"/>
          <w:sz w:val="20"/>
          <w:szCs w:val="20"/>
        </w:rPr>
        <w:t>I</w:t>
      </w:r>
      <w:r w:rsidR="00AA53FA">
        <w:rPr>
          <w:rFonts w:cs="Arial"/>
          <w:sz w:val="20"/>
          <w:szCs w:val="20"/>
        </w:rPr>
        <w:t xml:space="preserve">n circumstances </w:t>
      </w:r>
      <w:r>
        <w:rPr>
          <w:rFonts w:cs="Arial"/>
          <w:sz w:val="20"/>
          <w:szCs w:val="20"/>
        </w:rPr>
        <w:t>where</w:t>
      </w:r>
      <w:r w:rsidR="00EC6930">
        <w:rPr>
          <w:rFonts w:cs="Arial"/>
          <w:sz w:val="20"/>
          <w:szCs w:val="20"/>
        </w:rPr>
        <w:t xml:space="preserve"> it is possible to model responders and non-responders to a technology </w:t>
      </w:r>
      <w:r w:rsidR="00AA53FA">
        <w:rPr>
          <w:rFonts w:cs="Arial"/>
          <w:sz w:val="20"/>
          <w:szCs w:val="20"/>
        </w:rPr>
        <w:t xml:space="preserve">– as mentioned in my initial scrutiny letter – it is for the company to </w:t>
      </w:r>
      <w:r w:rsidR="00EC6930">
        <w:rPr>
          <w:rFonts w:cs="Arial"/>
          <w:sz w:val="20"/>
          <w:szCs w:val="20"/>
        </w:rPr>
        <w:t xml:space="preserve">conduct that modelling </w:t>
      </w:r>
      <w:r w:rsidR="00966DF6">
        <w:rPr>
          <w:rFonts w:cs="Arial"/>
          <w:sz w:val="20"/>
          <w:szCs w:val="20"/>
        </w:rPr>
        <w:t xml:space="preserve">using stopping rules. </w:t>
      </w:r>
      <w:r w:rsidR="00EC6930">
        <w:rPr>
          <w:rFonts w:cs="Arial"/>
          <w:sz w:val="20"/>
          <w:szCs w:val="20"/>
        </w:rPr>
        <w:t xml:space="preserve">As the company did not do so, I see no arguable point that the Committee's approach </w:t>
      </w:r>
      <w:r w:rsidR="00601A4A">
        <w:rPr>
          <w:rFonts w:cs="Arial"/>
          <w:sz w:val="20"/>
          <w:szCs w:val="20"/>
        </w:rPr>
        <w:t xml:space="preserve">was procedurally unfair. </w:t>
      </w:r>
    </w:p>
    <w:p w14:paraId="413B738A" w14:textId="06130DA6" w:rsidR="003F5385" w:rsidRPr="00EB0998" w:rsidRDefault="00EB0998" w:rsidP="00EB0998">
      <w:pPr>
        <w:pStyle w:val="Paragraph"/>
        <w:numPr>
          <w:ilvl w:val="0"/>
          <w:numId w:val="0"/>
        </w:numPr>
        <w:spacing w:before="120"/>
        <w:jc w:val="both"/>
        <w:rPr>
          <w:rFonts w:cs="Arial"/>
          <w:sz w:val="20"/>
          <w:szCs w:val="20"/>
        </w:rPr>
      </w:pPr>
      <w:proofErr w:type="gramStart"/>
      <w:r>
        <w:rPr>
          <w:rFonts w:cs="Arial"/>
          <w:sz w:val="20"/>
          <w:szCs w:val="20"/>
        </w:rPr>
        <w:t>In light of</w:t>
      </w:r>
      <w:proofErr w:type="gramEnd"/>
      <w:r>
        <w:rPr>
          <w:rFonts w:cs="Arial"/>
          <w:sz w:val="20"/>
          <w:szCs w:val="20"/>
        </w:rPr>
        <w:t xml:space="preserve"> the above, I still consider it unarguable that it was unreasonable for the committee to conclude that it "</w:t>
      </w:r>
      <w:r w:rsidRPr="00A546E7">
        <w:rPr>
          <w:rFonts w:cs="Arial"/>
          <w:i/>
          <w:iCs/>
          <w:sz w:val="20"/>
          <w:szCs w:val="20"/>
        </w:rPr>
        <w:t>was not possible to define this subgroup of people who would be expected to have greater clinical benefit than the broader eligible population</w:t>
      </w:r>
      <w:r>
        <w:rPr>
          <w:rFonts w:cs="Arial"/>
          <w:i/>
          <w:iCs/>
          <w:sz w:val="20"/>
          <w:szCs w:val="20"/>
        </w:rPr>
        <w:t>".</w:t>
      </w:r>
    </w:p>
    <w:p w14:paraId="4710A553" w14:textId="308FE8CA" w:rsidR="00DB178D" w:rsidRPr="00243EF5" w:rsidRDefault="00DB178D" w:rsidP="00DB178D">
      <w:pPr>
        <w:pStyle w:val="Paragraph"/>
        <w:numPr>
          <w:ilvl w:val="0"/>
          <w:numId w:val="0"/>
        </w:numPr>
        <w:spacing w:before="120"/>
        <w:jc w:val="both"/>
        <w:rPr>
          <w:rFonts w:cs="Arial"/>
          <w:b/>
          <w:i/>
          <w:sz w:val="20"/>
          <w:szCs w:val="20"/>
        </w:rPr>
      </w:pPr>
      <w:r w:rsidRPr="00243EF5">
        <w:rPr>
          <w:rFonts w:cs="Arial"/>
          <w:b/>
          <w:i/>
          <w:sz w:val="20"/>
          <w:szCs w:val="20"/>
        </w:rPr>
        <w:t>Ground 2:</w:t>
      </w:r>
      <w:r w:rsidRPr="00243EF5">
        <w:rPr>
          <w:rFonts w:cs="Arial"/>
          <w:i/>
          <w:sz w:val="20"/>
          <w:szCs w:val="20"/>
        </w:rPr>
        <w:t xml:space="preserve"> </w:t>
      </w:r>
      <w:r w:rsidRPr="00243EF5">
        <w:rPr>
          <w:rFonts w:cs="Arial"/>
          <w:b/>
          <w:i/>
          <w:sz w:val="20"/>
          <w:szCs w:val="20"/>
        </w:rPr>
        <w:t xml:space="preserve">the recommendation is unreasonable in the light of the evidence submitted to </w:t>
      </w:r>
      <w:proofErr w:type="gramStart"/>
      <w:r w:rsidRPr="00243EF5">
        <w:rPr>
          <w:rFonts w:cs="Arial"/>
          <w:b/>
          <w:i/>
          <w:sz w:val="20"/>
          <w:szCs w:val="20"/>
        </w:rPr>
        <w:t>NICE</w:t>
      </w:r>
      <w:proofErr w:type="gramEnd"/>
    </w:p>
    <w:p w14:paraId="5268D53A" w14:textId="76458FAE" w:rsidR="00671EF3" w:rsidRPr="0043022B" w:rsidRDefault="00671EF3" w:rsidP="00671EF3">
      <w:pPr>
        <w:spacing w:before="240" w:after="240"/>
        <w:jc w:val="both"/>
        <w:rPr>
          <w:rFonts w:ascii="Arial" w:hAnsi="Arial" w:cs="Arial"/>
          <w:b/>
          <w:sz w:val="20"/>
          <w:szCs w:val="20"/>
          <w:u w:val="single"/>
        </w:rPr>
      </w:pPr>
      <w:r w:rsidRPr="0043022B">
        <w:rPr>
          <w:rFonts w:ascii="Arial" w:hAnsi="Arial" w:cs="Arial"/>
          <w:b/>
          <w:sz w:val="20"/>
          <w:szCs w:val="20"/>
          <w:u w:val="single"/>
        </w:rPr>
        <w:t xml:space="preserve">Appeal </w:t>
      </w:r>
      <w:proofErr w:type="gramStart"/>
      <w:r w:rsidRPr="0043022B">
        <w:rPr>
          <w:rFonts w:ascii="Arial" w:hAnsi="Arial" w:cs="Arial"/>
          <w:b/>
          <w:sz w:val="20"/>
          <w:szCs w:val="20"/>
          <w:u w:val="single"/>
        </w:rPr>
        <w:t>point</w:t>
      </w:r>
      <w:proofErr w:type="gramEnd"/>
      <w:r w:rsidRPr="0043022B">
        <w:rPr>
          <w:rFonts w:ascii="Arial" w:hAnsi="Arial" w:cs="Arial"/>
          <w:b/>
          <w:sz w:val="20"/>
          <w:szCs w:val="20"/>
          <w:u w:val="single"/>
        </w:rPr>
        <w:t xml:space="preserve"> 2</w:t>
      </w:r>
      <w:r w:rsidR="00202412">
        <w:rPr>
          <w:rFonts w:ascii="Arial" w:hAnsi="Arial" w:cs="Arial"/>
          <w:b/>
          <w:sz w:val="20"/>
          <w:szCs w:val="20"/>
          <w:u w:val="single"/>
        </w:rPr>
        <w:t>.1;</w:t>
      </w:r>
      <w:r w:rsidRPr="0043022B">
        <w:rPr>
          <w:rFonts w:ascii="Arial" w:hAnsi="Arial" w:cs="Arial"/>
          <w:b/>
          <w:sz w:val="20"/>
          <w:szCs w:val="20"/>
          <w:u w:val="single"/>
        </w:rPr>
        <w:t xml:space="preserve"> </w:t>
      </w:r>
      <w:r w:rsidR="00DA2008" w:rsidRPr="00DA2008">
        <w:rPr>
          <w:rFonts w:ascii="Arial" w:hAnsi="Arial" w:cs="Arial"/>
          <w:b/>
          <w:sz w:val="20"/>
          <w:szCs w:val="20"/>
          <w:u w:val="single"/>
        </w:rPr>
        <w:t>The Committee’s conclusion in relation to the data from the DREAMM-3 are unreasonable in the light of the evidence submitted</w:t>
      </w:r>
    </w:p>
    <w:p w14:paraId="5F02C8E2" w14:textId="558BE792" w:rsidR="00202412" w:rsidRPr="00202412" w:rsidRDefault="00202412" w:rsidP="00202412">
      <w:pPr>
        <w:spacing w:before="120" w:after="240"/>
        <w:rPr>
          <w:rFonts w:ascii="Arial" w:hAnsi="Arial" w:cs="Arial"/>
          <w:color w:val="0D0D0D" w:themeColor="text1" w:themeTint="F2"/>
          <w:sz w:val="20"/>
          <w:szCs w:val="20"/>
          <w:lang w:eastAsia="en-GB"/>
        </w:rPr>
      </w:pPr>
      <w:r w:rsidRPr="008C1F3B">
        <w:rPr>
          <w:rFonts w:ascii="Arial" w:eastAsia="Times New Roman" w:hAnsi="Arial" w:cs="Arial"/>
          <w:color w:val="0D0D0D" w:themeColor="text1" w:themeTint="F2"/>
          <w:sz w:val="20"/>
          <w:szCs w:val="20"/>
          <w:lang w:eastAsia="en-GB"/>
        </w:rPr>
        <w:t>Having considered the additional arguments made in your letter of 25 August, I agree that this is a valid appeal point</w:t>
      </w:r>
      <w:r>
        <w:rPr>
          <w:rFonts w:cs="Arial"/>
          <w:color w:val="0D0D0D" w:themeColor="text1" w:themeTint="F2"/>
          <w:sz w:val="20"/>
          <w:szCs w:val="20"/>
        </w:rPr>
        <w:t xml:space="preserve"> </w:t>
      </w:r>
      <w:r>
        <w:rPr>
          <w:rFonts w:ascii="Arial" w:eastAsia="Times New Roman" w:hAnsi="Arial" w:cs="Arial"/>
          <w:color w:val="0D0D0D" w:themeColor="text1" w:themeTint="F2"/>
          <w:sz w:val="20"/>
          <w:szCs w:val="20"/>
          <w:lang w:eastAsia="en-GB"/>
        </w:rPr>
        <w:t xml:space="preserve">and you may make both your arguments (A) and (B). </w:t>
      </w:r>
    </w:p>
    <w:p w14:paraId="277AAAD9" w14:textId="77777777" w:rsidR="00972197" w:rsidRPr="00956BCE" w:rsidRDefault="00972197" w:rsidP="00972197">
      <w:pPr>
        <w:pStyle w:val="Paragraph"/>
        <w:numPr>
          <w:ilvl w:val="0"/>
          <w:numId w:val="0"/>
        </w:numPr>
        <w:jc w:val="both"/>
        <w:rPr>
          <w:rFonts w:cs="Arial"/>
          <w:b/>
          <w:sz w:val="20"/>
          <w:szCs w:val="20"/>
          <w:u w:val="single"/>
        </w:rPr>
      </w:pPr>
      <w:r w:rsidRPr="00956BCE">
        <w:rPr>
          <w:rFonts w:cs="Arial"/>
          <w:b/>
          <w:sz w:val="20"/>
          <w:szCs w:val="20"/>
          <w:u w:val="single"/>
        </w:rPr>
        <w:t xml:space="preserve">Appeal </w:t>
      </w:r>
      <w:proofErr w:type="gramStart"/>
      <w:r w:rsidRPr="00956BCE">
        <w:rPr>
          <w:rFonts w:cs="Arial"/>
          <w:b/>
          <w:sz w:val="20"/>
          <w:szCs w:val="20"/>
          <w:u w:val="single"/>
        </w:rPr>
        <w:t>point</w:t>
      </w:r>
      <w:proofErr w:type="gramEnd"/>
      <w:r w:rsidRPr="00956BCE">
        <w:rPr>
          <w:rFonts w:cs="Arial"/>
          <w:b/>
          <w:sz w:val="20"/>
          <w:szCs w:val="20"/>
          <w:u w:val="single"/>
        </w:rPr>
        <w:t xml:space="preserve"> 2.2: The Committee’s failure to recognise </w:t>
      </w:r>
      <w:proofErr w:type="spellStart"/>
      <w:r w:rsidRPr="00956BCE">
        <w:rPr>
          <w:rFonts w:cs="Arial"/>
          <w:b/>
          <w:sz w:val="20"/>
          <w:szCs w:val="20"/>
          <w:u w:val="single"/>
        </w:rPr>
        <w:t>belantamab</w:t>
      </w:r>
      <w:proofErr w:type="spellEnd"/>
      <w:r w:rsidRPr="00956BCE">
        <w:rPr>
          <w:rFonts w:cs="Arial"/>
          <w:b/>
          <w:sz w:val="20"/>
          <w:szCs w:val="20"/>
          <w:u w:val="single"/>
        </w:rPr>
        <w:t xml:space="preserve"> as an innovative intervention with benefits not captured in the economic modelling is inconsistent with the innovation passport granted by MHRA, the evidence submitted by GSK and stakeholders’ comments in response to the consultation on the draft guidance and is therefore unreasonable.</w:t>
      </w:r>
    </w:p>
    <w:p w14:paraId="0CC19F06" w14:textId="304E0AC6" w:rsidR="00DA2008" w:rsidRDefault="00202412" w:rsidP="00202412">
      <w:pPr>
        <w:pStyle w:val="Paragraph"/>
        <w:numPr>
          <w:ilvl w:val="0"/>
          <w:numId w:val="0"/>
        </w:numPr>
        <w:spacing w:before="120"/>
        <w:jc w:val="both"/>
        <w:rPr>
          <w:rFonts w:cs="Arial"/>
          <w:color w:val="0D0D0D" w:themeColor="text1" w:themeTint="F2"/>
          <w:sz w:val="20"/>
          <w:szCs w:val="20"/>
        </w:rPr>
      </w:pPr>
      <w:r w:rsidRPr="008C1F3B">
        <w:rPr>
          <w:rFonts w:cs="Arial"/>
          <w:color w:val="0D0D0D" w:themeColor="text1" w:themeTint="F2"/>
          <w:sz w:val="20"/>
          <w:szCs w:val="20"/>
        </w:rPr>
        <w:t>Having considered the additional arguments made in your letter of 25 August, I agree that this is a valid appeal point</w:t>
      </w:r>
      <w:r>
        <w:rPr>
          <w:rFonts w:cs="Arial"/>
          <w:color w:val="0D0D0D" w:themeColor="text1" w:themeTint="F2"/>
          <w:sz w:val="20"/>
          <w:szCs w:val="20"/>
        </w:rPr>
        <w:t>.</w:t>
      </w:r>
    </w:p>
    <w:p w14:paraId="2AADAF28" w14:textId="77777777" w:rsidR="005A7A7D" w:rsidRPr="00771051" w:rsidRDefault="005A7A7D" w:rsidP="005A7A7D">
      <w:pPr>
        <w:spacing w:before="120" w:after="240"/>
        <w:jc w:val="both"/>
        <w:rPr>
          <w:rFonts w:ascii="Arial" w:eastAsia="Times New Roman" w:hAnsi="Arial" w:cs="Arial"/>
          <w:sz w:val="20"/>
          <w:szCs w:val="20"/>
          <w:u w:val="single"/>
        </w:rPr>
      </w:pPr>
      <w:r w:rsidRPr="00771051">
        <w:rPr>
          <w:rFonts w:ascii="Arial" w:eastAsia="Times New Roman" w:hAnsi="Arial" w:cs="Arial"/>
          <w:sz w:val="20"/>
          <w:szCs w:val="20"/>
          <w:u w:val="single"/>
        </w:rPr>
        <w:t>Conclusion</w:t>
      </w:r>
    </w:p>
    <w:p w14:paraId="64256DC4" w14:textId="77777777" w:rsidR="005A7A7D" w:rsidRPr="00771051" w:rsidRDefault="005A7A7D" w:rsidP="005A7A7D">
      <w:pPr>
        <w:spacing w:before="120" w:after="240"/>
        <w:jc w:val="both"/>
        <w:rPr>
          <w:rFonts w:ascii="Arial" w:eastAsia="Times New Roman" w:hAnsi="Arial" w:cs="Arial"/>
          <w:sz w:val="20"/>
          <w:szCs w:val="20"/>
        </w:rPr>
      </w:pPr>
      <w:proofErr w:type="gramStart"/>
      <w:r w:rsidRPr="00771051">
        <w:rPr>
          <w:rFonts w:ascii="Arial" w:eastAsia="Times New Roman" w:hAnsi="Arial" w:cs="Arial"/>
          <w:sz w:val="20"/>
          <w:szCs w:val="20"/>
        </w:rPr>
        <w:t>Therefore</w:t>
      </w:r>
      <w:proofErr w:type="gramEnd"/>
      <w:r w:rsidRPr="00771051">
        <w:rPr>
          <w:rFonts w:ascii="Arial" w:eastAsia="Times New Roman" w:hAnsi="Arial" w:cs="Arial"/>
          <w:sz w:val="20"/>
          <w:szCs w:val="20"/>
        </w:rPr>
        <w:t xml:space="preserve"> the valid appeal points are:</w:t>
      </w:r>
    </w:p>
    <w:p w14:paraId="54D9613C" w14:textId="412B43CF" w:rsidR="001F1D7E" w:rsidRPr="00171850" w:rsidRDefault="001879C2" w:rsidP="00583F61">
      <w:pPr>
        <w:pStyle w:val="ListParagraph"/>
        <w:numPr>
          <w:ilvl w:val="0"/>
          <w:numId w:val="11"/>
        </w:numPr>
        <w:spacing w:before="120" w:after="240"/>
        <w:jc w:val="both"/>
        <w:rPr>
          <w:rFonts w:cs="Arial"/>
          <w:u w:val="single"/>
        </w:rPr>
      </w:pPr>
      <w:r w:rsidRPr="00171850">
        <w:rPr>
          <w:rFonts w:cs="Arial"/>
          <w:u w:val="single"/>
        </w:rPr>
        <w:t>1(a).1</w:t>
      </w:r>
      <w:r w:rsidR="00500F47">
        <w:rPr>
          <w:rFonts w:cs="Arial"/>
          <w:u w:val="single"/>
        </w:rPr>
        <w:t>:</w:t>
      </w:r>
      <w:r w:rsidR="001F1D7E" w:rsidRPr="00171850">
        <w:rPr>
          <w:u w:val="single"/>
        </w:rPr>
        <w:t xml:space="preserve"> </w:t>
      </w:r>
      <w:r w:rsidR="00171850" w:rsidRPr="00171850">
        <w:rPr>
          <w:u w:val="single"/>
        </w:rPr>
        <w:t xml:space="preserve">The Committee’s conclusions on the validity of </w:t>
      </w:r>
      <w:proofErr w:type="spellStart"/>
      <w:r w:rsidR="00171850" w:rsidRPr="00171850">
        <w:rPr>
          <w:u w:val="single"/>
        </w:rPr>
        <w:t>belantamab</w:t>
      </w:r>
      <w:proofErr w:type="spellEnd"/>
      <w:r w:rsidR="00171850" w:rsidRPr="00171850">
        <w:rPr>
          <w:u w:val="single"/>
        </w:rPr>
        <w:t xml:space="preserve"> UK RWE and related analyses lack transparency</w:t>
      </w:r>
    </w:p>
    <w:p w14:paraId="37C2FCAB" w14:textId="77777777" w:rsidR="001879C2" w:rsidRDefault="001879C2" w:rsidP="001879C2">
      <w:pPr>
        <w:pStyle w:val="ListParagraph"/>
        <w:spacing w:before="120" w:after="240"/>
        <w:ind w:left="1080"/>
        <w:jc w:val="both"/>
        <w:rPr>
          <w:rFonts w:cs="Arial"/>
          <w:highlight w:val="yellow"/>
          <w:u w:val="single"/>
        </w:rPr>
      </w:pPr>
    </w:p>
    <w:p w14:paraId="0AF0E90C" w14:textId="1373273C" w:rsidR="005A7A7D" w:rsidRPr="008815BD" w:rsidRDefault="005A7A7D" w:rsidP="00097AD7">
      <w:pPr>
        <w:pStyle w:val="ListParagraph"/>
        <w:numPr>
          <w:ilvl w:val="0"/>
          <w:numId w:val="11"/>
        </w:numPr>
        <w:spacing w:before="120" w:after="240"/>
        <w:jc w:val="both"/>
        <w:rPr>
          <w:rFonts w:cs="Arial"/>
          <w:u w:val="single"/>
        </w:rPr>
      </w:pPr>
      <w:r w:rsidRPr="008815BD">
        <w:rPr>
          <w:rFonts w:cs="Arial"/>
          <w:u w:val="single"/>
        </w:rPr>
        <w:t>1(a).</w:t>
      </w:r>
      <w:r w:rsidR="001C7232" w:rsidRPr="008815BD">
        <w:rPr>
          <w:rFonts w:cs="Arial"/>
          <w:u w:val="single"/>
        </w:rPr>
        <w:t>2</w:t>
      </w:r>
      <w:r w:rsidR="00500F47">
        <w:rPr>
          <w:rFonts w:cs="Arial"/>
          <w:u w:val="single"/>
        </w:rPr>
        <w:t>:</w:t>
      </w:r>
      <w:r w:rsidRPr="008815BD">
        <w:rPr>
          <w:rFonts w:cs="Arial"/>
          <w:u w:val="single"/>
        </w:rPr>
        <w:t xml:space="preserve"> </w:t>
      </w:r>
      <w:r w:rsidR="001C7232" w:rsidRPr="008815BD">
        <w:rPr>
          <w:rFonts w:cs="Arial"/>
          <w:u w:val="single"/>
        </w:rPr>
        <w:t xml:space="preserve">The Committee’s decision that </w:t>
      </w:r>
      <w:proofErr w:type="spellStart"/>
      <w:r w:rsidR="001C7232" w:rsidRPr="008815BD">
        <w:rPr>
          <w:rFonts w:cs="Arial"/>
          <w:u w:val="single"/>
        </w:rPr>
        <w:t>belantamab</w:t>
      </w:r>
      <w:proofErr w:type="spellEnd"/>
      <w:r w:rsidR="001C7232" w:rsidRPr="008815BD">
        <w:rPr>
          <w:rFonts w:cs="Arial"/>
          <w:u w:val="single"/>
        </w:rPr>
        <w:t xml:space="preserve"> is not suitable for use through the Cancer Drugs Fund (CDF) is procedurally unfair</w:t>
      </w:r>
      <w:r w:rsidR="00097AD7" w:rsidRPr="008815BD">
        <w:rPr>
          <w:rFonts w:cs="Arial"/>
          <w:u w:val="single"/>
        </w:rPr>
        <w:t xml:space="preserve"> </w:t>
      </w:r>
    </w:p>
    <w:p w14:paraId="3FB2CE7C" w14:textId="77777777" w:rsidR="004A3370" w:rsidRDefault="004A3370" w:rsidP="004A3370">
      <w:pPr>
        <w:pStyle w:val="ListParagraph"/>
        <w:spacing w:before="120" w:after="240"/>
        <w:ind w:left="1080"/>
        <w:jc w:val="both"/>
        <w:rPr>
          <w:rFonts w:cs="Arial"/>
          <w:u w:val="single"/>
        </w:rPr>
      </w:pPr>
    </w:p>
    <w:p w14:paraId="728CD012" w14:textId="43B4D6F4" w:rsidR="004A3370" w:rsidRPr="00415850" w:rsidRDefault="004A3370" w:rsidP="004A3370">
      <w:pPr>
        <w:pStyle w:val="ListParagraph"/>
        <w:numPr>
          <w:ilvl w:val="0"/>
          <w:numId w:val="11"/>
        </w:numPr>
        <w:spacing w:before="120" w:after="240"/>
        <w:jc w:val="both"/>
        <w:rPr>
          <w:rFonts w:cs="Arial"/>
          <w:u w:val="single"/>
        </w:rPr>
      </w:pPr>
      <w:r w:rsidRPr="00415850">
        <w:rPr>
          <w:rFonts w:cs="Arial"/>
          <w:u w:val="single"/>
        </w:rPr>
        <w:t>1(a).3</w:t>
      </w:r>
      <w:r w:rsidR="00500F47">
        <w:rPr>
          <w:rFonts w:cs="Arial"/>
          <w:u w:val="single"/>
        </w:rPr>
        <w:t>:</w:t>
      </w:r>
      <w:r w:rsidRPr="00415850">
        <w:rPr>
          <w:rFonts w:cs="Arial"/>
          <w:u w:val="single"/>
        </w:rPr>
        <w:t xml:space="preserve"> </w:t>
      </w:r>
      <w:r w:rsidR="00EA1A5E" w:rsidRPr="00415850">
        <w:rPr>
          <w:rFonts w:cs="Arial"/>
          <w:u w:val="single"/>
        </w:rPr>
        <w:t xml:space="preserve">The Committee’s conclusion that TA897 should not be </w:t>
      </w:r>
      <w:proofErr w:type="gramStart"/>
      <w:r w:rsidR="00EA1A5E" w:rsidRPr="00415850">
        <w:rPr>
          <w:rFonts w:cs="Arial"/>
          <w:u w:val="single"/>
        </w:rPr>
        <w:t>taken into account</w:t>
      </w:r>
      <w:proofErr w:type="gramEnd"/>
      <w:r w:rsidR="00EA1A5E" w:rsidRPr="00415850">
        <w:rPr>
          <w:rFonts w:cs="Arial"/>
          <w:u w:val="single"/>
        </w:rPr>
        <w:t xml:space="preserve"> in the context of this evaluation is inconsistent with NICE’s processes and is inadequately explained</w:t>
      </w:r>
    </w:p>
    <w:p w14:paraId="1F5415E6" w14:textId="77777777" w:rsidR="001879C2" w:rsidRPr="00415850" w:rsidRDefault="001879C2" w:rsidP="001879C2">
      <w:pPr>
        <w:pStyle w:val="ListParagraph"/>
        <w:rPr>
          <w:rFonts w:cs="Arial"/>
          <w:u w:val="single"/>
        </w:rPr>
      </w:pPr>
    </w:p>
    <w:p w14:paraId="34CC5E8D" w14:textId="10C092A7" w:rsidR="001879C2" w:rsidRPr="00500F47" w:rsidRDefault="001879C2" w:rsidP="004A3370">
      <w:pPr>
        <w:pStyle w:val="ListParagraph"/>
        <w:numPr>
          <w:ilvl w:val="0"/>
          <w:numId w:val="11"/>
        </w:numPr>
        <w:spacing w:before="120" w:after="240"/>
        <w:jc w:val="both"/>
        <w:rPr>
          <w:rFonts w:cs="Arial"/>
          <w:u w:val="single"/>
        </w:rPr>
      </w:pPr>
      <w:r w:rsidRPr="00415850">
        <w:rPr>
          <w:rFonts w:cs="Arial"/>
          <w:u w:val="single"/>
        </w:rPr>
        <w:lastRenderedPageBreak/>
        <w:t>1(a).4</w:t>
      </w:r>
      <w:r w:rsidR="00500F47">
        <w:rPr>
          <w:rFonts w:cs="Arial"/>
          <w:u w:val="single"/>
        </w:rPr>
        <w:t>:</w:t>
      </w:r>
      <w:r w:rsidR="00EA3F70" w:rsidRPr="00415850">
        <w:rPr>
          <w:rFonts w:cs="Arial"/>
          <w:u w:val="single"/>
        </w:rPr>
        <w:t xml:space="preserve"> </w:t>
      </w:r>
      <w:r w:rsidR="00415850" w:rsidRPr="00415850">
        <w:rPr>
          <w:rFonts w:cs="Arial"/>
          <w:u w:val="single"/>
        </w:rPr>
        <w:t xml:space="preserve">The Committee’s conclusion that it would not recommend </w:t>
      </w:r>
      <w:proofErr w:type="spellStart"/>
      <w:r w:rsidR="00415850" w:rsidRPr="00415850">
        <w:rPr>
          <w:rFonts w:cs="Arial"/>
          <w:u w:val="single"/>
        </w:rPr>
        <w:t>belantamab</w:t>
      </w:r>
      <w:proofErr w:type="spellEnd"/>
      <w:r w:rsidR="00415850" w:rsidRPr="00415850">
        <w:rPr>
          <w:rFonts w:cs="Arial"/>
          <w:u w:val="single"/>
        </w:rPr>
        <w:t xml:space="preserve"> in the 5L+ TCR MM post-POM setting due to the uncertainty in the comparative evidence is unfair, given that these limitations were largely driven by the paucity of evidence for the </w:t>
      </w:r>
      <w:r w:rsidR="00415850" w:rsidRPr="00500F47">
        <w:rPr>
          <w:rFonts w:cs="Arial"/>
          <w:u w:val="single"/>
        </w:rPr>
        <w:t>comparator despite being recommended by NICE and in circumstances where the effect of the decision is that patients will be forced to receive a less effective treatment with less evidence of benefit</w:t>
      </w:r>
    </w:p>
    <w:p w14:paraId="1F173F99" w14:textId="77777777" w:rsidR="004A3370" w:rsidRPr="00500F47" w:rsidRDefault="004A3370" w:rsidP="004A3370">
      <w:pPr>
        <w:pStyle w:val="ListParagraph"/>
        <w:rPr>
          <w:rFonts w:cs="Arial"/>
          <w:u w:val="single"/>
        </w:rPr>
      </w:pPr>
    </w:p>
    <w:p w14:paraId="6E2B7F39" w14:textId="46C6BB74" w:rsidR="007A7789" w:rsidRPr="008E60C7" w:rsidRDefault="007A7789" w:rsidP="007A7789">
      <w:pPr>
        <w:pStyle w:val="ListParagraph"/>
        <w:numPr>
          <w:ilvl w:val="0"/>
          <w:numId w:val="11"/>
        </w:numPr>
        <w:spacing w:before="120" w:after="240"/>
        <w:jc w:val="both"/>
        <w:rPr>
          <w:rFonts w:cs="Arial"/>
          <w:u w:val="single"/>
        </w:rPr>
      </w:pPr>
      <w:r w:rsidRPr="008E60C7">
        <w:rPr>
          <w:u w:val="single"/>
        </w:rPr>
        <w:t>2.1</w:t>
      </w:r>
      <w:r w:rsidR="00500F47" w:rsidRPr="008E60C7">
        <w:rPr>
          <w:u w:val="single"/>
        </w:rPr>
        <w:t>:</w:t>
      </w:r>
      <w:r w:rsidRPr="008E60C7">
        <w:rPr>
          <w:u w:val="single"/>
        </w:rPr>
        <w:t xml:space="preserve"> </w:t>
      </w:r>
      <w:r w:rsidR="00C936E1" w:rsidRPr="008E60C7">
        <w:rPr>
          <w:rFonts w:cs="Arial"/>
          <w:u w:val="single"/>
        </w:rPr>
        <w:t>The Committee’s conclusion in relation to the data from the DREAMM-3 are unreasonable in the light of the evidence submitted</w:t>
      </w:r>
    </w:p>
    <w:p w14:paraId="15BCAFEF" w14:textId="77777777" w:rsidR="007A7789" w:rsidRPr="008E60C7" w:rsidRDefault="007A7789" w:rsidP="007A7789">
      <w:pPr>
        <w:pStyle w:val="ListParagraph"/>
        <w:rPr>
          <w:rFonts w:cs="Arial"/>
          <w:u w:val="single"/>
        </w:rPr>
      </w:pPr>
    </w:p>
    <w:p w14:paraId="604DD26C" w14:textId="5112201D" w:rsidR="00222F6F" w:rsidRPr="008E60C7" w:rsidRDefault="00222F6F" w:rsidP="007A7789">
      <w:pPr>
        <w:pStyle w:val="ListParagraph"/>
        <w:numPr>
          <w:ilvl w:val="0"/>
          <w:numId w:val="11"/>
        </w:numPr>
        <w:spacing w:before="120" w:after="240"/>
        <w:jc w:val="both"/>
        <w:rPr>
          <w:rFonts w:cs="Arial"/>
          <w:u w:val="single"/>
        </w:rPr>
      </w:pPr>
      <w:r w:rsidRPr="008E60C7">
        <w:rPr>
          <w:rFonts w:cs="Arial"/>
          <w:u w:val="single"/>
        </w:rPr>
        <w:t>2.2</w:t>
      </w:r>
      <w:r w:rsidR="00500F47" w:rsidRPr="008E60C7">
        <w:rPr>
          <w:rFonts w:cs="Arial"/>
          <w:u w:val="single"/>
        </w:rPr>
        <w:t>:</w:t>
      </w:r>
      <w:r w:rsidR="00EA3F70" w:rsidRPr="008E60C7">
        <w:rPr>
          <w:rFonts w:cs="Arial"/>
          <w:u w:val="single"/>
        </w:rPr>
        <w:t xml:space="preserve"> </w:t>
      </w:r>
      <w:r w:rsidR="00500F47" w:rsidRPr="008E60C7">
        <w:rPr>
          <w:rFonts w:cs="Arial"/>
          <w:u w:val="single"/>
        </w:rPr>
        <w:t xml:space="preserve">The Committee’s failure to recognise </w:t>
      </w:r>
      <w:proofErr w:type="spellStart"/>
      <w:r w:rsidR="00500F47" w:rsidRPr="008E60C7">
        <w:rPr>
          <w:rFonts w:cs="Arial"/>
          <w:u w:val="single"/>
        </w:rPr>
        <w:t>belantamab</w:t>
      </w:r>
      <w:proofErr w:type="spellEnd"/>
      <w:r w:rsidR="00500F47" w:rsidRPr="008E60C7">
        <w:rPr>
          <w:rFonts w:cs="Arial"/>
          <w:u w:val="single"/>
        </w:rPr>
        <w:t xml:space="preserve"> as an innovative intervention with benefits not captured in the economic modelling is inconsistent with the innovation passport granted by MHRA, the evidence submitted by GSK and stakeholders’ comments in response to the consultation on the draft guidance and is therefore unreasonable.</w:t>
      </w:r>
    </w:p>
    <w:p w14:paraId="248E6AAE" w14:textId="77777777" w:rsidR="00222F6F" w:rsidRPr="008E60C7" w:rsidRDefault="00222F6F" w:rsidP="00222F6F">
      <w:pPr>
        <w:pStyle w:val="ListParagraph"/>
        <w:rPr>
          <w:rFonts w:cs="Arial"/>
          <w:u w:val="single"/>
        </w:rPr>
      </w:pPr>
    </w:p>
    <w:p w14:paraId="02B631FA" w14:textId="65329367" w:rsidR="007A7789" w:rsidRDefault="007A7789" w:rsidP="007A7789">
      <w:pPr>
        <w:pStyle w:val="ListParagraph"/>
        <w:numPr>
          <w:ilvl w:val="0"/>
          <w:numId w:val="11"/>
        </w:numPr>
        <w:spacing w:before="120" w:after="240"/>
        <w:jc w:val="both"/>
        <w:rPr>
          <w:rFonts w:cs="Arial"/>
          <w:u w:val="single"/>
        </w:rPr>
      </w:pPr>
      <w:r w:rsidRPr="008E60C7">
        <w:rPr>
          <w:rFonts w:cs="Arial"/>
          <w:u w:val="single"/>
        </w:rPr>
        <w:t>2.3 The Committee’s conclusions on the severity modifiers in the 5L+ TCR post-POM subgroup are unreasonable</w:t>
      </w:r>
      <w:r w:rsidRPr="007A7789">
        <w:rPr>
          <w:rFonts w:cs="Arial"/>
          <w:u w:val="single"/>
        </w:rPr>
        <w:t xml:space="preserve"> given the evidence indicating the applicability of a 1.7 severity weight.</w:t>
      </w:r>
    </w:p>
    <w:p w14:paraId="6599EABC" w14:textId="65C0B584" w:rsidR="005A7A7D" w:rsidRPr="00771051" w:rsidRDefault="005A7A7D" w:rsidP="005A7A7D">
      <w:pPr>
        <w:spacing w:before="120" w:after="240"/>
        <w:jc w:val="both"/>
        <w:rPr>
          <w:rFonts w:ascii="Arial" w:eastAsia="Times New Roman" w:hAnsi="Arial" w:cs="Arial"/>
          <w:sz w:val="20"/>
          <w:szCs w:val="20"/>
        </w:rPr>
      </w:pPr>
      <w:r w:rsidRPr="00771051">
        <w:rPr>
          <w:rFonts w:ascii="Arial" w:eastAsia="Times New Roman" w:hAnsi="Arial" w:cs="Arial"/>
          <w:sz w:val="20"/>
          <w:szCs w:val="20"/>
        </w:rPr>
        <w:t>NICE shares the valid appeal grounds of each appellant with the other appellants to assist with preparation for the hearing.</w:t>
      </w:r>
    </w:p>
    <w:p w14:paraId="5CCF2CB3" w14:textId="77777777" w:rsidR="005A7A7D" w:rsidRPr="00771051" w:rsidRDefault="005A7A7D" w:rsidP="005A7A7D">
      <w:pPr>
        <w:spacing w:before="120" w:after="240"/>
        <w:jc w:val="both"/>
        <w:rPr>
          <w:rFonts w:ascii="Arial" w:eastAsia="Times New Roman" w:hAnsi="Arial" w:cs="Arial"/>
          <w:sz w:val="20"/>
          <w:szCs w:val="20"/>
        </w:rPr>
      </w:pPr>
      <w:r w:rsidRPr="00771051">
        <w:rPr>
          <w:rFonts w:ascii="Arial" w:eastAsia="Times New Roman" w:hAnsi="Arial" w:cs="Arial"/>
          <w:sz w:val="20"/>
          <w:szCs w:val="20"/>
        </w:rPr>
        <w:t xml:space="preserve">NICE will be in contact with you regarding the administration of the appeal, which will be held orally. </w:t>
      </w:r>
    </w:p>
    <w:p w14:paraId="12F2B947" w14:textId="77777777" w:rsidR="005A7A7D" w:rsidRPr="00771051" w:rsidRDefault="005A7A7D" w:rsidP="005A7A7D">
      <w:pPr>
        <w:spacing w:before="120" w:after="240"/>
        <w:jc w:val="both"/>
        <w:rPr>
          <w:rFonts w:ascii="Arial" w:eastAsia="Times New Roman" w:hAnsi="Arial" w:cs="Arial"/>
          <w:sz w:val="20"/>
          <w:szCs w:val="20"/>
          <w:u w:val="single"/>
        </w:rPr>
      </w:pPr>
    </w:p>
    <w:p w14:paraId="04BAA200" w14:textId="77777777" w:rsidR="005A7A7D" w:rsidRPr="00771051" w:rsidRDefault="005A7A7D" w:rsidP="005A7A7D">
      <w:pPr>
        <w:spacing w:before="120" w:after="240"/>
        <w:jc w:val="both"/>
        <w:rPr>
          <w:rFonts w:ascii="Arial" w:eastAsia="Times New Roman" w:hAnsi="Arial" w:cs="Arial"/>
          <w:sz w:val="20"/>
          <w:szCs w:val="20"/>
        </w:rPr>
      </w:pPr>
      <w:r w:rsidRPr="00771051">
        <w:rPr>
          <w:rFonts w:ascii="Arial" w:eastAsia="Times New Roman" w:hAnsi="Arial" w:cs="Arial"/>
          <w:sz w:val="20"/>
          <w:szCs w:val="20"/>
        </w:rPr>
        <w:t>Yours sincerely</w:t>
      </w:r>
    </w:p>
    <w:p w14:paraId="06E59F3D" w14:textId="77777777" w:rsidR="005A7A7D" w:rsidRPr="00771051" w:rsidRDefault="005A7A7D" w:rsidP="005A7A7D">
      <w:pPr>
        <w:spacing w:before="120" w:after="240"/>
        <w:jc w:val="both"/>
        <w:rPr>
          <w:rFonts w:ascii="Arial" w:eastAsia="Times New Roman" w:hAnsi="Arial" w:cs="Arial"/>
          <w:sz w:val="20"/>
          <w:szCs w:val="20"/>
        </w:rPr>
      </w:pPr>
      <w:r w:rsidRPr="00771051">
        <w:rPr>
          <w:rFonts w:ascii="Arial" w:eastAsia="Times New Roman" w:hAnsi="Arial" w:cs="Arial"/>
          <w:sz w:val="20"/>
          <w:szCs w:val="20"/>
        </w:rPr>
        <w:t>Dr Mark Chakravarty</w:t>
      </w:r>
    </w:p>
    <w:p w14:paraId="321A9458" w14:textId="77777777" w:rsidR="005A7A7D" w:rsidRPr="00771051" w:rsidRDefault="005A7A7D" w:rsidP="005A7A7D">
      <w:pPr>
        <w:spacing w:before="120" w:after="240"/>
        <w:jc w:val="both"/>
        <w:rPr>
          <w:rFonts w:ascii="Arial" w:eastAsia="Times New Roman" w:hAnsi="Arial" w:cs="Arial"/>
          <w:sz w:val="20"/>
          <w:szCs w:val="20"/>
        </w:rPr>
      </w:pPr>
      <w:r w:rsidRPr="00771051">
        <w:rPr>
          <w:rFonts w:ascii="Arial" w:eastAsia="Times New Roman" w:hAnsi="Arial" w:cs="Arial"/>
          <w:sz w:val="20"/>
          <w:szCs w:val="20"/>
        </w:rPr>
        <w:t>Lead Non-Executive Director for Appeals &amp; Vice Chairman</w:t>
      </w:r>
    </w:p>
    <w:p w14:paraId="40B9BBC0" w14:textId="77777777" w:rsidR="005A7A7D" w:rsidRPr="00771051" w:rsidRDefault="005A7A7D" w:rsidP="005A7A7D">
      <w:pPr>
        <w:spacing w:before="120" w:after="240"/>
        <w:jc w:val="both"/>
        <w:rPr>
          <w:rFonts w:ascii="Arial" w:eastAsia="Times New Roman" w:hAnsi="Arial" w:cs="Arial"/>
          <w:sz w:val="20"/>
          <w:szCs w:val="20"/>
        </w:rPr>
      </w:pPr>
      <w:r w:rsidRPr="00771051">
        <w:rPr>
          <w:rFonts w:ascii="Arial" w:eastAsia="Times New Roman" w:hAnsi="Arial" w:cs="Arial"/>
          <w:sz w:val="20"/>
          <w:szCs w:val="20"/>
        </w:rPr>
        <w:t>National Institute for Health and Care Excellence</w:t>
      </w:r>
    </w:p>
    <w:p w14:paraId="03E7BAFA" w14:textId="4811D299" w:rsidR="000B36E1" w:rsidRPr="0043022B" w:rsidRDefault="000B36E1" w:rsidP="002B6A0D">
      <w:pPr>
        <w:spacing w:line="360" w:lineRule="auto"/>
        <w:rPr>
          <w:rFonts w:ascii="Arial" w:hAnsi="Arial" w:cs="Arial"/>
          <w:sz w:val="20"/>
          <w:szCs w:val="20"/>
        </w:rPr>
      </w:pPr>
    </w:p>
    <w:sectPr w:rsidR="000B36E1" w:rsidRPr="0043022B" w:rsidSect="000B36E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C0B2" w14:textId="77777777" w:rsidR="00E706B7" w:rsidRDefault="00E706B7" w:rsidP="000B352B">
      <w:pPr>
        <w:spacing w:after="0" w:line="240" w:lineRule="auto"/>
      </w:pPr>
      <w:r>
        <w:separator/>
      </w:r>
    </w:p>
  </w:endnote>
  <w:endnote w:type="continuationSeparator" w:id="0">
    <w:p w14:paraId="01E97037" w14:textId="77777777" w:rsidR="00E706B7" w:rsidRDefault="00E706B7"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CEBF2EA"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2B6A0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433F" w14:textId="77777777" w:rsidR="00E706B7" w:rsidRDefault="00E706B7" w:rsidP="000B352B">
      <w:pPr>
        <w:spacing w:after="0" w:line="240" w:lineRule="auto"/>
      </w:pPr>
      <w:r>
        <w:separator/>
      </w:r>
    </w:p>
  </w:footnote>
  <w:footnote w:type="continuationSeparator" w:id="0">
    <w:p w14:paraId="17867C03" w14:textId="77777777" w:rsidR="00E706B7" w:rsidRDefault="00E706B7"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503FBB81" w:rsidR="000B36E1"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0003729F">
      <w:rPr>
        <w:rFonts w:ascii="Arial" w:hAnsi="Arial" w:cs="Arial"/>
        <w:color w:val="0E0E0E"/>
        <w:sz w:val="20"/>
        <w:szCs w:val="20"/>
      </w:rPr>
      <w:t>2</w:t>
    </w:r>
    <w:r w:rsidR="0003729F" w:rsidRPr="0003729F">
      <w:rPr>
        <w:rFonts w:ascii="Arial" w:hAnsi="Arial" w:cs="Arial"/>
        <w:color w:val="0E0E0E"/>
        <w:sz w:val="20"/>
        <w:szCs w:val="20"/>
        <w:vertAlign w:val="superscript"/>
      </w:rPr>
      <w:t>nd</w:t>
    </w:r>
    <w:r w:rsidR="0003729F">
      <w:rPr>
        <w:rFonts w:ascii="Arial" w:hAnsi="Arial" w:cs="Arial"/>
        <w:color w:val="0E0E0E"/>
        <w:sz w:val="20"/>
        <w:szCs w:val="20"/>
      </w:rPr>
      <w:t xml:space="preserve"> Floor</w:t>
    </w:r>
  </w:p>
  <w:p w14:paraId="3809122A" w14:textId="119E090B" w:rsidR="0003729F"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2 Redm</w:t>
    </w:r>
    <w:r w:rsidR="00E67BD1">
      <w:rPr>
        <w:rFonts w:ascii="Arial" w:hAnsi="Arial" w:cs="Arial"/>
        <w:color w:val="0E0E0E"/>
        <w:sz w:val="20"/>
        <w:szCs w:val="20"/>
      </w:rPr>
      <w:t>an</w:t>
    </w:r>
    <w:r>
      <w:rPr>
        <w:rFonts w:ascii="Arial" w:hAnsi="Arial" w:cs="Arial"/>
        <w:color w:val="0E0E0E"/>
        <w:sz w:val="20"/>
        <w:szCs w:val="20"/>
      </w:rPr>
      <w:t xml:space="preserve"> Place</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20B211D" w:rsidR="000B36E1"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E20 1JQ</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FC32CE"/>
    <w:multiLevelType w:val="hybridMultilevel"/>
    <w:tmpl w:val="82DA7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CB"/>
    <w:multiLevelType w:val="hybridMultilevel"/>
    <w:tmpl w:val="A5EAA86A"/>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4" w15:restartNumberingAfterBreak="0">
    <w:nsid w:val="342F1D0C"/>
    <w:multiLevelType w:val="hybridMultilevel"/>
    <w:tmpl w:val="79C26A16"/>
    <w:lvl w:ilvl="0" w:tplc="B0DA353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E84E79"/>
    <w:multiLevelType w:val="hybridMultilevel"/>
    <w:tmpl w:val="BF92E8B0"/>
    <w:lvl w:ilvl="0" w:tplc="87AE87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5E7943"/>
    <w:multiLevelType w:val="hybridMultilevel"/>
    <w:tmpl w:val="5AC836DC"/>
    <w:lvl w:ilvl="0" w:tplc="6EECC38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6359C"/>
    <w:multiLevelType w:val="hybridMultilevel"/>
    <w:tmpl w:val="1C24E6E4"/>
    <w:lvl w:ilvl="0" w:tplc="9C5CE1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E42DB3"/>
    <w:multiLevelType w:val="hybridMultilevel"/>
    <w:tmpl w:val="4538C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1A545E2"/>
    <w:multiLevelType w:val="hybridMultilevel"/>
    <w:tmpl w:val="9028B44C"/>
    <w:lvl w:ilvl="0" w:tplc="A6907310">
      <w:start w:val="1"/>
      <w:numFmt w:val="lowerRoman"/>
      <w:lvlText w:val="(%1)"/>
      <w:lvlJc w:val="left"/>
      <w:pPr>
        <w:ind w:left="330" w:hanging="720"/>
      </w:pPr>
      <w:rPr>
        <w:rFonts w:hint="default"/>
      </w:rPr>
    </w:lvl>
    <w:lvl w:ilvl="1" w:tplc="08090019" w:tentative="1">
      <w:start w:val="1"/>
      <w:numFmt w:val="lowerLetter"/>
      <w:lvlText w:val="%2."/>
      <w:lvlJc w:val="left"/>
      <w:pPr>
        <w:ind w:left="690" w:hanging="360"/>
      </w:pPr>
    </w:lvl>
    <w:lvl w:ilvl="2" w:tplc="0809001B" w:tentative="1">
      <w:start w:val="1"/>
      <w:numFmt w:val="lowerRoman"/>
      <w:lvlText w:val="%3."/>
      <w:lvlJc w:val="right"/>
      <w:pPr>
        <w:ind w:left="1410" w:hanging="180"/>
      </w:pPr>
    </w:lvl>
    <w:lvl w:ilvl="3" w:tplc="0809000F" w:tentative="1">
      <w:start w:val="1"/>
      <w:numFmt w:val="decimal"/>
      <w:lvlText w:val="%4."/>
      <w:lvlJc w:val="left"/>
      <w:pPr>
        <w:ind w:left="2130" w:hanging="360"/>
      </w:pPr>
    </w:lvl>
    <w:lvl w:ilvl="4" w:tplc="08090019" w:tentative="1">
      <w:start w:val="1"/>
      <w:numFmt w:val="lowerLetter"/>
      <w:lvlText w:val="%5."/>
      <w:lvlJc w:val="left"/>
      <w:pPr>
        <w:ind w:left="2850" w:hanging="360"/>
      </w:pPr>
    </w:lvl>
    <w:lvl w:ilvl="5" w:tplc="0809001B" w:tentative="1">
      <w:start w:val="1"/>
      <w:numFmt w:val="lowerRoman"/>
      <w:lvlText w:val="%6."/>
      <w:lvlJc w:val="right"/>
      <w:pPr>
        <w:ind w:left="3570" w:hanging="180"/>
      </w:pPr>
    </w:lvl>
    <w:lvl w:ilvl="6" w:tplc="0809000F" w:tentative="1">
      <w:start w:val="1"/>
      <w:numFmt w:val="decimal"/>
      <w:lvlText w:val="%7."/>
      <w:lvlJc w:val="left"/>
      <w:pPr>
        <w:ind w:left="4290" w:hanging="360"/>
      </w:pPr>
    </w:lvl>
    <w:lvl w:ilvl="7" w:tplc="08090019" w:tentative="1">
      <w:start w:val="1"/>
      <w:numFmt w:val="lowerLetter"/>
      <w:lvlText w:val="%8."/>
      <w:lvlJc w:val="left"/>
      <w:pPr>
        <w:ind w:left="5010" w:hanging="360"/>
      </w:pPr>
    </w:lvl>
    <w:lvl w:ilvl="8" w:tplc="0809001B" w:tentative="1">
      <w:start w:val="1"/>
      <w:numFmt w:val="lowerRoman"/>
      <w:lvlText w:val="%9."/>
      <w:lvlJc w:val="right"/>
      <w:pPr>
        <w:ind w:left="5730" w:hanging="180"/>
      </w:pPr>
    </w:lvl>
  </w:abstractNum>
  <w:abstractNum w:abstractNumId="11" w15:restartNumberingAfterBreak="0">
    <w:nsid w:val="742D3DD1"/>
    <w:multiLevelType w:val="hybridMultilevel"/>
    <w:tmpl w:val="896A2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4081330">
    <w:abstractNumId w:val="1"/>
  </w:num>
  <w:num w:numId="2" w16cid:durableId="1239897750">
    <w:abstractNumId w:val="9"/>
  </w:num>
  <w:num w:numId="3" w16cid:durableId="724110161">
    <w:abstractNumId w:val="3"/>
  </w:num>
  <w:num w:numId="4" w16cid:durableId="99180155">
    <w:abstractNumId w:val="10"/>
  </w:num>
  <w:num w:numId="5" w16cid:durableId="1481845086">
    <w:abstractNumId w:val="0"/>
  </w:num>
  <w:num w:numId="6" w16cid:durableId="423919277">
    <w:abstractNumId w:val="4"/>
  </w:num>
  <w:num w:numId="7" w16cid:durableId="2008357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3738768">
    <w:abstractNumId w:val="8"/>
  </w:num>
  <w:num w:numId="9" w16cid:durableId="1504122631">
    <w:abstractNumId w:val="11"/>
  </w:num>
  <w:num w:numId="10" w16cid:durableId="153498958">
    <w:abstractNumId w:val="2"/>
  </w:num>
  <w:num w:numId="11" w16cid:durableId="702898113">
    <w:abstractNumId w:val="6"/>
  </w:num>
  <w:num w:numId="12" w16cid:durableId="1942103697">
    <w:abstractNumId w:val="5"/>
  </w:num>
  <w:num w:numId="13" w16cid:durableId="369502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11F1B"/>
    <w:rsid w:val="00016595"/>
    <w:rsid w:val="0002036A"/>
    <w:rsid w:val="0003729F"/>
    <w:rsid w:val="00043B46"/>
    <w:rsid w:val="000468DC"/>
    <w:rsid w:val="000528F9"/>
    <w:rsid w:val="000530C2"/>
    <w:rsid w:val="000641E7"/>
    <w:rsid w:val="0007260D"/>
    <w:rsid w:val="00085181"/>
    <w:rsid w:val="00097AD7"/>
    <w:rsid w:val="000B104A"/>
    <w:rsid w:val="000B352B"/>
    <w:rsid w:val="000B36E1"/>
    <w:rsid w:val="00123F60"/>
    <w:rsid w:val="00126294"/>
    <w:rsid w:val="00144F73"/>
    <w:rsid w:val="0014732A"/>
    <w:rsid w:val="00171850"/>
    <w:rsid w:val="00176AA4"/>
    <w:rsid w:val="001879C2"/>
    <w:rsid w:val="001A78E8"/>
    <w:rsid w:val="001C7232"/>
    <w:rsid w:val="001D5BD2"/>
    <w:rsid w:val="001E0317"/>
    <w:rsid w:val="001F1D7E"/>
    <w:rsid w:val="001F3962"/>
    <w:rsid w:val="00202412"/>
    <w:rsid w:val="00222F6F"/>
    <w:rsid w:val="0022689E"/>
    <w:rsid w:val="00287B05"/>
    <w:rsid w:val="00297D56"/>
    <w:rsid w:val="002B6A0D"/>
    <w:rsid w:val="002C4BFA"/>
    <w:rsid w:val="00320722"/>
    <w:rsid w:val="00321B75"/>
    <w:rsid w:val="00371B99"/>
    <w:rsid w:val="003936B7"/>
    <w:rsid w:val="003A3E2E"/>
    <w:rsid w:val="003A79BD"/>
    <w:rsid w:val="003B2535"/>
    <w:rsid w:val="003D614E"/>
    <w:rsid w:val="003E1D5D"/>
    <w:rsid w:val="003F5385"/>
    <w:rsid w:val="0040409D"/>
    <w:rsid w:val="00415850"/>
    <w:rsid w:val="004215D9"/>
    <w:rsid w:val="0042720B"/>
    <w:rsid w:val="0043022B"/>
    <w:rsid w:val="00453738"/>
    <w:rsid w:val="00453774"/>
    <w:rsid w:val="00472889"/>
    <w:rsid w:val="00476F67"/>
    <w:rsid w:val="00480405"/>
    <w:rsid w:val="00493D2F"/>
    <w:rsid w:val="004A3370"/>
    <w:rsid w:val="004C2D22"/>
    <w:rsid w:val="004D2950"/>
    <w:rsid w:val="004E4493"/>
    <w:rsid w:val="004E4F27"/>
    <w:rsid w:val="004F29D7"/>
    <w:rsid w:val="004F39B0"/>
    <w:rsid w:val="00500F47"/>
    <w:rsid w:val="005079F9"/>
    <w:rsid w:val="00524397"/>
    <w:rsid w:val="00593F3D"/>
    <w:rsid w:val="005A42E5"/>
    <w:rsid w:val="005A7A7D"/>
    <w:rsid w:val="005B078B"/>
    <w:rsid w:val="005C388B"/>
    <w:rsid w:val="005C6FC4"/>
    <w:rsid w:val="005C7480"/>
    <w:rsid w:val="005E0434"/>
    <w:rsid w:val="005E2A58"/>
    <w:rsid w:val="005F2452"/>
    <w:rsid w:val="005F4425"/>
    <w:rsid w:val="00601A4A"/>
    <w:rsid w:val="00602B71"/>
    <w:rsid w:val="00640E4B"/>
    <w:rsid w:val="00641CEB"/>
    <w:rsid w:val="0064409A"/>
    <w:rsid w:val="00645C84"/>
    <w:rsid w:val="00656D45"/>
    <w:rsid w:val="006628FF"/>
    <w:rsid w:val="00671EF3"/>
    <w:rsid w:val="0069376C"/>
    <w:rsid w:val="006D0C62"/>
    <w:rsid w:val="006F031D"/>
    <w:rsid w:val="006F1917"/>
    <w:rsid w:val="00705E89"/>
    <w:rsid w:val="00707121"/>
    <w:rsid w:val="0072138B"/>
    <w:rsid w:val="0072577F"/>
    <w:rsid w:val="00726DFE"/>
    <w:rsid w:val="00732227"/>
    <w:rsid w:val="0073574F"/>
    <w:rsid w:val="00736F94"/>
    <w:rsid w:val="0079326E"/>
    <w:rsid w:val="007A7789"/>
    <w:rsid w:val="007B36FA"/>
    <w:rsid w:val="007C64C6"/>
    <w:rsid w:val="007D4914"/>
    <w:rsid w:val="008107C7"/>
    <w:rsid w:val="00866617"/>
    <w:rsid w:val="008815BD"/>
    <w:rsid w:val="008C081A"/>
    <w:rsid w:val="008C1F3B"/>
    <w:rsid w:val="008C4A8A"/>
    <w:rsid w:val="008C508D"/>
    <w:rsid w:val="008E4AE4"/>
    <w:rsid w:val="008E60C7"/>
    <w:rsid w:val="008F22A5"/>
    <w:rsid w:val="009448FF"/>
    <w:rsid w:val="00961369"/>
    <w:rsid w:val="00966DF6"/>
    <w:rsid w:val="00972197"/>
    <w:rsid w:val="009743B0"/>
    <w:rsid w:val="009A01FD"/>
    <w:rsid w:val="009A5A66"/>
    <w:rsid w:val="009E11D2"/>
    <w:rsid w:val="009E2F15"/>
    <w:rsid w:val="009E5151"/>
    <w:rsid w:val="009F0476"/>
    <w:rsid w:val="00A0226C"/>
    <w:rsid w:val="00A23C63"/>
    <w:rsid w:val="00A546E7"/>
    <w:rsid w:val="00A7302C"/>
    <w:rsid w:val="00A753A7"/>
    <w:rsid w:val="00A84AF4"/>
    <w:rsid w:val="00AA0541"/>
    <w:rsid w:val="00AA53FA"/>
    <w:rsid w:val="00AE303D"/>
    <w:rsid w:val="00AF21B9"/>
    <w:rsid w:val="00B24360"/>
    <w:rsid w:val="00B32B71"/>
    <w:rsid w:val="00B737D4"/>
    <w:rsid w:val="00BC7BE7"/>
    <w:rsid w:val="00BF4A27"/>
    <w:rsid w:val="00C36DF3"/>
    <w:rsid w:val="00C85906"/>
    <w:rsid w:val="00C936E1"/>
    <w:rsid w:val="00C96687"/>
    <w:rsid w:val="00CB4563"/>
    <w:rsid w:val="00CC146C"/>
    <w:rsid w:val="00CE085C"/>
    <w:rsid w:val="00D03309"/>
    <w:rsid w:val="00D22D3F"/>
    <w:rsid w:val="00D26CB9"/>
    <w:rsid w:val="00D37DEC"/>
    <w:rsid w:val="00D43C5C"/>
    <w:rsid w:val="00D740D9"/>
    <w:rsid w:val="00D755E3"/>
    <w:rsid w:val="00D770E0"/>
    <w:rsid w:val="00D845CA"/>
    <w:rsid w:val="00DA2008"/>
    <w:rsid w:val="00DB178D"/>
    <w:rsid w:val="00DD43C2"/>
    <w:rsid w:val="00DE4C65"/>
    <w:rsid w:val="00E03263"/>
    <w:rsid w:val="00E03671"/>
    <w:rsid w:val="00E074A0"/>
    <w:rsid w:val="00E467E2"/>
    <w:rsid w:val="00E51D73"/>
    <w:rsid w:val="00E60FCF"/>
    <w:rsid w:val="00E622D7"/>
    <w:rsid w:val="00E67BD1"/>
    <w:rsid w:val="00E706B7"/>
    <w:rsid w:val="00E70F23"/>
    <w:rsid w:val="00E754A8"/>
    <w:rsid w:val="00E7772A"/>
    <w:rsid w:val="00E955CB"/>
    <w:rsid w:val="00E96B87"/>
    <w:rsid w:val="00EA1A5E"/>
    <w:rsid w:val="00EA3919"/>
    <w:rsid w:val="00EA3F70"/>
    <w:rsid w:val="00EB0998"/>
    <w:rsid w:val="00EC4C0B"/>
    <w:rsid w:val="00EC6930"/>
    <w:rsid w:val="00ED4C56"/>
    <w:rsid w:val="00EE6553"/>
    <w:rsid w:val="00F04994"/>
    <w:rsid w:val="00F1265E"/>
    <w:rsid w:val="00F233EA"/>
    <w:rsid w:val="00F24B1D"/>
    <w:rsid w:val="00F47A04"/>
    <w:rsid w:val="00F51D39"/>
    <w:rsid w:val="00F70A40"/>
    <w:rsid w:val="00F76D23"/>
    <w:rsid w:val="00FB225B"/>
    <w:rsid w:val="00FD577A"/>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customStyle="1" w:styleId="Paragraph">
    <w:name w:val="Paragraph"/>
    <w:basedOn w:val="Normal"/>
    <w:uiPriority w:val="4"/>
    <w:qFormat/>
    <w:rsid w:val="009A01FD"/>
    <w:pPr>
      <w:numPr>
        <w:numId w:val="2"/>
      </w:numPr>
      <w:spacing w:before="240" w:after="240"/>
    </w:pPr>
    <w:rPr>
      <w:rFonts w:ascii="Arial" w:eastAsia="Times New Roman" w:hAnsi="Arial"/>
      <w:sz w:val="24"/>
      <w:szCs w:val="24"/>
      <w:lang w:eastAsia="en-GB"/>
    </w:rPr>
  </w:style>
  <w:style w:type="character" w:styleId="Hyperlink">
    <w:name w:val="Hyperlink"/>
    <w:basedOn w:val="DefaultParagraphFont"/>
    <w:uiPriority w:val="99"/>
    <w:unhideWhenUsed/>
    <w:rsid w:val="009A01FD"/>
    <w:rPr>
      <w:color w:val="0000FF" w:themeColor="hyperlink"/>
      <w:u w:val="single"/>
    </w:rPr>
  </w:style>
  <w:style w:type="character" w:customStyle="1" w:styleId="UnresolvedMention1">
    <w:name w:val="Unresolved Mention1"/>
    <w:basedOn w:val="DefaultParagraphFont"/>
    <w:uiPriority w:val="99"/>
    <w:semiHidden/>
    <w:unhideWhenUsed/>
    <w:rsid w:val="009A01FD"/>
    <w:rPr>
      <w:color w:val="605E5C"/>
      <w:shd w:val="clear" w:color="auto" w:fill="E1DFDD"/>
    </w:rPr>
  </w:style>
  <w:style w:type="paragraph" w:styleId="ListParagraph">
    <w:name w:val="List Paragraph"/>
    <w:basedOn w:val="Normal"/>
    <w:uiPriority w:val="34"/>
    <w:qFormat/>
    <w:rsid w:val="00B737D4"/>
    <w:pPr>
      <w:spacing w:after="0" w:line="288" w:lineRule="auto"/>
      <w:ind w:left="720"/>
      <w:contextualSpacing/>
    </w:pPr>
    <w:rPr>
      <w:rFonts w:ascii="Arial" w:eastAsia="Times New Roman" w:hAnsi="Arial"/>
      <w:sz w:val="20"/>
      <w:szCs w:val="20"/>
    </w:rPr>
  </w:style>
  <w:style w:type="character" w:styleId="CommentReference">
    <w:name w:val="annotation reference"/>
    <w:basedOn w:val="DefaultParagraphFont"/>
    <w:uiPriority w:val="99"/>
    <w:semiHidden/>
    <w:unhideWhenUsed/>
    <w:rsid w:val="00E467E2"/>
    <w:rPr>
      <w:sz w:val="16"/>
      <w:szCs w:val="16"/>
    </w:rPr>
  </w:style>
  <w:style w:type="paragraph" w:styleId="CommentText">
    <w:name w:val="annotation text"/>
    <w:basedOn w:val="Normal"/>
    <w:link w:val="CommentTextChar"/>
    <w:uiPriority w:val="99"/>
    <w:semiHidden/>
    <w:unhideWhenUsed/>
    <w:rsid w:val="00E467E2"/>
    <w:pPr>
      <w:spacing w:line="240" w:lineRule="auto"/>
    </w:pPr>
    <w:rPr>
      <w:sz w:val="20"/>
      <w:szCs w:val="20"/>
    </w:rPr>
  </w:style>
  <w:style w:type="character" w:customStyle="1" w:styleId="CommentTextChar">
    <w:name w:val="Comment Text Char"/>
    <w:basedOn w:val="DefaultParagraphFont"/>
    <w:link w:val="CommentText"/>
    <w:uiPriority w:val="99"/>
    <w:semiHidden/>
    <w:rsid w:val="00E467E2"/>
    <w:rPr>
      <w:lang w:eastAsia="en-US"/>
    </w:rPr>
  </w:style>
  <w:style w:type="paragraph" w:styleId="CommentSubject">
    <w:name w:val="annotation subject"/>
    <w:basedOn w:val="CommentText"/>
    <w:next w:val="CommentText"/>
    <w:link w:val="CommentSubjectChar"/>
    <w:uiPriority w:val="99"/>
    <w:semiHidden/>
    <w:unhideWhenUsed/>
    <w:rsid w:val="00E467E2"/>
    <w:rPr>
      <w:b/>
      <w:bCs/>
    </w:rPr>
  </w:style>
  <w:style w:type="character" w:customStyle="1" w:styleId="CommentSubjectChar">
    <w:name w:val="Comment Subject Char"/>
    <w:basedOn w:val="CommentTextChar"/>
    <w:link w:val="CommentSubject"/>
    <w:uiPriority w:val="99"/>
    <w:semiHidden/>
    <w:rsid w:val="00E467E2"/>
    <w:rPr>
      <w:b/>
      <w:bCs/>
      <w:lang w:eastAsia="en-US"/>
    </w:rPr>
  </w:style>
  <w:style w:type="paragraph" w:styleId="Revision">
    <w:name w:val="Revision"/>
    <w:hidden/>
    <w:uiPriority w:val="99"/>
    <w:semiHidden/>
    <w:rsid w:val="00F70A40"/>
    <w:rPr>
      <w:sz w:val="22"/>
      <w:szCs w:val="22"/>
      <w:lang w:eastAsia="en-US"/>
    </w:rPr>
  </w:style>
  <w:style w:type="paragraph" w:styleId="BodyText">
    <w:name w:val="Body Text"/>
    <w:basedOn w:val="Normal"/>
    <w:link w:val="BodyTextChar"/>
    <w:rsid w:val="00671EF3"/>
    <w:pPr>
      <w:spacing w:line="288" w:lineRule="auto"/>
    </w:pPr>
    <w:rPr>
      <w:rFonts w:ascii="Arial" w:eastAsia="Times New Roman" w:hAnsi="Arial"/>
      <w:color w:val="333333"/>
      <w:sz w:val="20"/>
      <w:szCs w:val="20"/>
    </w:rPr>
  </w:style>
  <w:style w:type="character" w:customStyle="1" w:styleId="BodyTextChar">
    <w:name w:val="Body Text Char"/>
    <w:basedOn w:val="DefaultParagraphFont"/>
    <w:link w:val="BodyText"/>
    <w:rsid w:val="00671EF3"/>
    <w:rPr>
      <w:rFonts w:ascii="Arial" w:eastAsia="Times New Roman" w:hAnsi="Arial"/>
      <w:color w:val="333333"/>
      <w:lang w:eastAsia="en-US"/>
    </w:rPr>
  </w:style>
  <w:style w:type="character" w:styleId="UnresolvedMention">
    <w:name w:val="Unresolved Mention"/>
    <w:basedOn w:val="DefaultParagraphFont"/>
    <w:uiPriority w:val="99"/>
    <w:semiHidden/>
    <w:unhideWhenUsed/>
    <w:rsid w:val="006F1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7571">
      <w:bodyDiv w:val="1"/>
      <w:marLeft w:val="0"/>
      <w:marRight w:val="0"/>
      <w:marTop w:val="0"/>
      <w:marBottom w:val="0"/>
      <w:divBdr>
        <w:top w:val="none" w:sz="0" w:space="0" w:color="auto"/>
        <w:left w:val="none" w:sz="0" w:space="0" w:color="auto"/>
        <w:bottom w:val="none" w:sz="0" w:space="0" w:color="auto"/>
        <w:right w:val="none" w:sz="0" w:space="0" w:color="auto"/>
      </w:divBdr>
    </w:div>
    <w:div w:id="429393891">
      <w:bodyDiv w:val="1"/>
      <w:marLeft w:val="0"/>
      <w:marRight w:val="0"/>
      <w:marTop w:val="0"/>
      <w:marBottom w:val="0"/>
      <w:divBdr>
        <w:top w:val="none" w:sz="0" w:space="0" w:color="auto"/>
        <w:left w:val="none" w:sz="0" w:space="0" w:color="auto"/>
        <w:bottom w:val="none" w:sz="0" w:space="0" w:color="auto"/>
        <w:right w:val="none" w:sz="0" w:space="0" w:color="auto"/>
      </w:divBdr>
    </w:div>
    <w:div w:id="862284590">
      <w:bodyDiv w:val="1"/>
      <w:marLeft w:val="0"/>
      <w:marRight w:val="0"/>
      <w:marTop w:val="0"/>
      <w:marBottom w:val="0"/>
      <w:divBdr>
        <w:top w:val="none" w:sz="0" w:space="0" w:color="auto"/>
        <w:left w:val="none" w:sz="0" w:space="0" w:color="auto"/>
        <w:bottom w:val="none" w:sz="0" w:space="0" w:color="auto"/>
        <w:right w:val="none" w:sz="0" w:space="0" w:color="auto"/>
      </w:divBdr>
    </w:div>
    <w:div w:id="1069428360">
      <w:bodyDiv w:val="1"/>
      <w:marLeft w:val="0"/>
      <w:marRight w:val="0"/>
      <w:marTop w:val="0"/>
      <w:marBottom w:val="0"/>
      <w:divBdr>
        <w:top w:val="none" w:sz="0" w:space="0" w:color="auto"/>
        <w:left w:val="none" w:sz="0" w:space="0" w:color="auto"/>
        <w:bottom w:val="none" w:sz="0" w:space="0" w:color="auto"/>
        <w:right w:val="none" w:sz="0" w:space="0" w:color="auto"/>
      </w:divBdr>
    </w:div>
    <w:div w:id="1076708101">
      <w:bodyDiv w:val="1"/>
      <w:marLeft w:val="0"/>
      <w:marRight w:val="0"/>
      <w:marTop w:val="0"/>
      <w:marBottom w:val="0"/>
      <w:divBdr>
        <w:top w:val="none" w:sz="0" w:space="0" w:color="auto"/>
        <w:left w:val="none" w:sz="0" w:space="0" w:color="auto"/>
        <w:bottom w:val="none" w:sz="0" w:space="0" w:color="auto"/>
        <w:right w:val="none" w:sz="0" w:space="0" w:color="auto"/>
      </w:divBdr>
    </w:div>
    <w:div w:id="1169326003">
      <w:bodyDiv w:val="1"/>
      <w:marLeft w:val="0"/>
      <w:marRight w:val="0"/>
      <w:marTop w:val="0"/>
      <w:marBottom w:val="0"/>
      <w:divBdr>
        <w:top w:val="none" w:sz="0" w:space="0" w:color="auto"/>
        <w:left w:val="none" w:sz="0" w:space="0" w:color="auto"/>
        <w:bottom w:val="none" w:sz="0" w:space="0" w:color="auto"/>
        <w:right w:val="none" w:sz="0" w:space="0" w:color="auto"/>
      </w:divBdr>
    </w:div>
    <w:div w:id="1372998303">
      <w:bodyDiv w:val="1"/>
      <w:marLeft w:val="0"/>
      <w:marRight w:val="0"/>
      <w:marTop w:val="0"/>
      <w:marBottom w:val="0"/>
      <w:divBdr>
        <w:top w:val="none" w:sz="0" w:space="0" w:color="auto"/>
        <w:left w:val="none" w:sz="0" w:space="0" w:color="auto"/>
        <w:bottom w:val="none" w:sz="0" w:space="0" w:color="auto"/>
        <w:right w:val="none" w:sz="0" w:space="0" w:color="auto"/>
      </w:divBdr>
    </w:div>
    <w:div w:id="1740320705">
      <w:bodyDiv w:val="1"/>
      <w:marLeft w:val="0"/>
      <w:marRight w:val="0"/>
      <w:marTop w:val="0"/>
      <w:marBottom w:val="0"/>
      <w:divBdr>
        <w:top w:val="none" w:sz="0" w:space="0" w:color="auto"/>
        <w:left w:val="none" w:sz="0" w:space="0" w:color="auto"/>
        <w:bottom w:val="none" w:sz="0" w:space="0" w:color="auto"/>
        <w:right w:val="none" w:sz="0" w:space="0" w:color="auto"/>
      </w:divBdr>
    </w:div>
    <w:div w:id="21305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261F5-7443-4011-BEFD-A56A5745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7</TotalTime>
  <Pages>4</Pages>
  <Words>1603</Words>
  <Characters>9140</Characters>
  <Application>Microsoft Office Word</Application>
  <DocSecurity>0</DocSecurity>
  <Lines>76</Lines>
  <Paragraphs>21</Paragraphs>
  <ScaleCrop>false</ScaleCrop>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Lyn Davies</cp:lastModifiedBy>
  <cp:revision>4</cp:revision>
  <dcterms:created xsi:type="dcterms:W3CDTF">2023-08-31T15:25:00Z</dcterms:created>
  <dcterms:modified xsi:type="dcterms:W3CDTF">2023-10-10T13:36:00Z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2023-09-01T08:58:43Z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7ad97da7-9a84-40e9-8374-8827ff488cc3</vt:lpwstr>
  </property>
  <property fmtid="{D5CDD505-2E9C-101B-9397-08002B2CF9AE}" pid="8" name="MSIP_Label_c69d85d5-6d9e-4305-a294-1f636ec0f2d6_ContentBits">
    <vt:lpwstr>0</vt:lpwstr>
  </property>
</Properties>
</file>