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5513FB" w14:textId="77777777" w:rsidR="000F48EC" w:rsidRPr="00053853" w:rsidRDefault="000F48EC" w:rsidP="00546310">
      <w:pPr>
        <w:pStyle w:val="Title2"/>
        <w:ind w:firstLine="720"/>
      </w:pPr>
      <w:r w:rsidRPr="00053853">
        <w:t>NATIONAL INSTITUTE FOR HEALTH AND C</w:t>
      </w:r>
      <w:r w:rsidR="00CC63EB" w:rsidRPr="00053853">
        <w:t>ARE</w:t>
      </w:r>
      <w:r w:rsidRPr="00053853">
        <w:t xml:space="preserve"> EXCELLENC</w:t>
      </w:r>
      <w:r w:rsidR="00987C40" w:rsidRPr="00053853">
        <w:t>E</w:t>
      </w:r>
    </w:p>
    <w:p w14:paraId="2DEC654B" w14:textId="43329471" w:rsidR="000E5D65" w:rsidRPr="00053853" w:rsidRDefault="00FE0154" w:rsidP="00A04E6C">
      <w:pPr>
        <w:pStyle w:val="Title2"/>
      </w:pPr>
      <w:r>
        <w:rPr>
          <w:rStyle w:val="PlaceholderText"/>
          <w:color w:val="auto"/>
        </w:rPr>
        <w:t>Final draft</w:t>
      </w:r>
      <w:r w:rsidRPr="0041012C">
        <w:rPr>
          <w:rStyle w:val="PlaceholderText"/>
          <w:color w:val="auto"/>
        </w:rPr>
        <w:t xml:space="preserve"> guidance</w:t>
      </w:r>
    </w:p>
    <w:p w14:paraId="282F3214" w14:textId="66654CF7" w:rsidR="00571098" w:rsidRPr="00053853" w:rsidRDefault="00571098" w:rsidP="00571098">
      <w:pPr>
        <w:pStyle w:val="Title1"/>
      </w:pPr>
      <w:r>
        <w:fldChar w:fldCharType="begin"/>
      </w:r>
      <w:r>
        <w:instrText xml:space="preserve"> REF TechnologySc </w:instrText>
      </w:r>
      <w:r>
        <w:fldChar w:fldCharType="separate"/>
      </w:r>
      <w:r w:rsidRPr="00053853">
        <w:t>Anhydrous sodium thiosulfate</w:t>
      </w:r>
      <w:r>
        <w:fldChar w:fldCharType="end"/>
      </w:r>
      <w:r w:rsidRPr="00053853">
        <w:t xml:space="preserve"> for preventing </w:t>
      </w:r>
      <w:r>
        <w:fldChar w:fldCharType="begin"/>
      </w:r>
      <w:r>
        <w:instrText xml:space="preserve"> REF Indication </w:instrText>
      </w:r>
      <w:r>
        <w:fldChar w:fldCharType="separate"/>
      </w:r>
      <w:r w:rsidRPr="00053853">
        <w:t>hearing loss caused by cisplatin chemotherapy in people 1 month to 17 years with localised solid tumours</w:t>
      </w:r>
      <w:r>
        <w:fldChar w:fldCharType="end"/>
      </w:r>
    </w:p>
    <w:p w14:paraId="2AD79D27" w14:textId="2BFCB400" w:rsidR="000F48EC" w:rsidRPr="00053853" w:rsidRDefault="00B379C5" w:rsidP="002F41EC">
      <w:pPr>
        <w:pStyle w:val="Numberedheading1"/>
      </w:pPr>
      <w:r w:rsidRPr="00053853">
        <w:t>Recommendation</w:t>
      </w:r>
    </w:p>
    <w:p w14:paraId="62AD8F53" w14:textId="3A8113A0" w:rsidR="00084471" w:rsidRPr="00317EA2" w:rsidRDefault="00F4533B" w:rsidP="00AA48CE">
      <w:pPr>
        <w:pStyle w:val="Numberedlevel2text"/>
        <w:numPr>
          <w:ilvl w:val="1"/>
          <w:numId w:val="16"/>
        </w:numPr>
        <w:rPr>
          <w:lang w:val="en-GB"/>
        </w:rPr>
      </w:pPr>
      <w:r w:rsidRPr="00317EA2">
        <w:rPr>
          <w:lang w:val="en-GB"/>
        </w:rPr>
        <w:t xml:space="preserve">Anhydrous sodium thiosulfate </w:t>
      </w:r>
      <w:r w:rsidR="006A13B3">
        <w:rPr>
          <w:lang w:val="en-GB"/>
        </w:rPr>
        <w:t>is</w:t>
      </w:r>
      <w:r w:rsidRPr="00317EA2">
        <w:rPr>
          <w:lang w:val="en-GB"/>
        </w:rPr>
        <w:t xml:space="preserve"> recommended, within its marketing authorisation, for </w:t>
      </w:r>
      <w:r w:rsidR="00A64B08" w:rsidRPr="00317EA2">
        <w:rPr>
          <w:lang w:val="en-GB"/>
        </w:rPr>
        <w:t xml:space="preserve">preventing </w:t>
      </w:r>
      <w:r w:rsidRPr="00317EA2">
        <w:rPr>
          <w:lang w:val="en-GB"/>
        </w:rPr>
        <w:t>hearing loss caused by cisplatin chemotherapy in people 1</w:t>
      </w:r>
      <w:r w:rsidR="00160FD9">
        <w:rPr>
          <w:lang w:val="en-GB"/>
        </w:rPr>
        <w:t> </w:t>
      </w:r>
      <w:r w:rsidRPr="00317EA2">
        <w:rPr>
          <w:lang w:val="en-GB"/>
        </w:rPr>
        <w:t>month to 17</w:t>
      </w:r>
      <w:r w:rsidR="00160FD9">
        <w:rPr>
          <w:lang w:val="en-GB"/>
        </w:rPr>
        <w:t> </w:t>
      </w:r>
      <w:r w:rsidRPr="00317EA2">
        <w:rPr>
          <w:lang w:val="en-GB"/>
        </w:rPr>
        <w:t>years with localised</w:t>
      </w:r>
      <w:r w:rsidR="006D188E" w:rsidRPr="00317EA2">
        <w:rPr>
          <w:lang w:val="en-GB"/>
        </w:rPr>
        <w:t>, non-metastatic</w:t>
      </w:r>
      <w:r w:rsidRPr="00317EA2">
        <w:rPr>
          <w:lang w:val="en-GB"/>
        </w:rPr>
        <w:t xml:space="preserve"> solid tumours.</w:t>
      </w:r>
      <w:r w:rsidR="00317EA2" w:rsidRPr="00317EA2">
        <w:rPr>
          <w:lang w:val="en-GB"/>
        </w:rPr>
        <w:t xml:space="preserve"> It </w:t>
      </w:r>
      <w:r w:rsidR="006A13B3">
        <w:t>is</w:t>
      </w:r>
      <w:r w:rsidR="00317EA2" w:rsidRPr="0005746A">
        <w:t xml:space="preserve"> only recommended if the company provides it according to the commercial arrangement (see </w:t>
      </w:r>
      <w:hyperlink w:anchor="_Price" w:history="1">
        <w:r w:rsidR="00317EA2" w:rsidRPr="00317EA2">
          <w:rPr>
            <w:rStyle w:val="Hyperlink"/>
            <w:rFonts w:eastAsiaTheme="majorEastAsia"/>
          </w:rPr>
          <w:t>section 2</w:t>
        </w:r>
      </w:hyperlink>
      <w:r w:rsidR="00317EA2" w:rsidRPr="0005746A">
        <w:t>)</w:t>
      </w:r>
      <w:r w:rsidR="00317EA2" w:rsidRPr="00925DDE">
        <w:t>.</w:t>
      </w:r>
    </w:p>
    <w:p w14:paraId="45BD9491" w14:textId="57D5D54C" w:rsidR="00925095" w:rsidRPr="00053853" w:rsidRDefault="00C11F58" w:rsidP="008522C6">
      <w:pPr>
        <w:pStyle w:val="NICEnormal"/>
        <w:rPr>
          <w:b/>
        </w:rPr>
      </w:pPr>
      <w:r w:rsidRPr="00053853">
        <w:rPr>
          <w:b/>
        </w:rPr>
        <w:t xml:space="preserve">Why </w:t>
      </w:r>
      <w:r w:rsidR="00A33EC2">
        <w:rPr>
          <w:b/>
        </w:rPr>
        <w:t xml:space="preserve">the committee made </w:t>
      </w:r>
      <w:r w:rsidR="00401707">
        <w:rPr>
          <w:b/>
        </w:rPr>
        <w:t xml:space="preserve">this </w:t>
      </w:r>
      <w:r w:rsidR="00A33EC2">
        <w:rPr>
          <w:b/>
        </w:rPr>
        <w:t>recommendation</w:t>
      </w:r>
    </w:p>
    <w:p w14:paraId="05303D2A" w14:textId="4BD4B6D0" w:rsidR="00C34CA6" w:rsidRPr="00053853" w:rsidRDefault="008C1E9E" w:rsidP="00CA66B9">
      <w:pPr>
        <w:pStyle w:val="NICEnormal"/>
      </w:pPr>
      <w:r w:rsidRPr="00053853">
        <w:t>Babies, children and young people (1</w:t>
      </w:r>
      <w:r w:rsidR="00E20FCE">
        <w:t> </w:t>
      </w:r>
      <w:r w:rsidRPr="00053853">
        <w:t>month to 17</w:t>
      </w:r>
      <w:r w:rsidR="00E20FCE">
        <w:t> </w:t>
      </w:r>
      <w:r w:rsidRPr="00053853">
        <w:t>years) who have</w:t>
      </w:r>
      <w:r w:rsidRPr="00053853" w:rsidDel="003E2B2C">
        <w:t xml:space="preserve"> </w:t>
      </w:r>
      <w:r w:rsidRPr="00053853">
        <w:t>c</w:t>
      </w:r>
      <w:r w:rsidR="00110C5D" w:rsidRPr="00053853">
        <w:t>isplatin chemotherapy</w:t>
      </w:r>
      <w:r w:rsidRPr="00053853">
        <w:t xml:space="preserve"> for localised solid tumours</w:t>
      </w:r>
      <w:r w:rsidR="00110C5D" w:rsidRPr="00053853">
        <w:t xml:space="preserve"> </w:t>
      </w:r>
      <w:r w:rsidR="00F30301" w:rsidRPr="00053853">
        <w:t>can</w:t>
      </w:r>
      <w:r w:rsidR="00CD070F" w:rsidRPr="00053853">
        <w:t xml:space="preserve"> </w:t>
      </w:r>
      <w:r w:rsidR="003F4EF2" w:rsidRPr="00053853">
        <w:t xml:space="preserve">have </w:t>
      </w:r>
      <w:r w:rsidR="00141E3D" w:rsidRPr="00053853">
        <w:t>hearing loss</w:t>
      </w:r>
      <w:r w:rsidR="00B3020F" w:rsidRPr="00053853">
        <w:t>.</w:t>
      </w:r>
      <w:r w:rsidR="00141E3D" w:rsidRPr="00053853">
        <w:t xml:space="preserve"> </w:t>
      </w:r>
      <w:r w:rsidR="00CD3A88" w:rsidRPr="00053853">
        <w:t>T</w:t>
      </w:r>
      <w:r w:rsidR="00C34CA6" w:rsidRPr="00053853">
        <w:t xml:space="preserve">here </w:t>
      </w:r>
      <w:r w:rsidR="00563055" w:rsidRPr="00053853">
        <w:t>is</w:t>
      </w:r>
      <w:r w:rsidR="00110C5D" w:rsidRPr="00053853">
        <w:t xml:space="preserve"> </w:t>
      </w:r>
      <w:r w:rsidR="00C34CA6" w:rsidRPr="00053853">
        <w:t>no</w:t>
      </w:r>
      <w:r w:rsidR="001A6129" w:rsidRPr="00053853">
        <w:t xml:space="preserve"> </w:t>
      </w:r>
      <w:r w:rsidR="00C34CA6" w:rsidRPr="00053853">
        <w:t>treatment</w:t>
      </w:r>
      <w:r w:rsidR="00110C5D" w:rsidRPr="00053853">
        <w:t xml:space="preserve"> </w:t>
      </w:r>
      <w:r w:rsidR="00CD3A88" w:rsidRPr="00053853">
        <w:t xml:space="preserve">to </w:t>
      </w:r>
      <w:r w:rsidR="00B3020F" w:rsidRPr="00053853">
        <w:t>prevent</w:t>
      </w:r>
      <w:r w:rsidR="00563055" w:rsidRPr="00053853">
        <w:t xml:space="preserve"> </w:t>
      </w:r>
      <w:r w:rsidR="00477ABC" w:rsidRPr="00053853">
        <w:t>this</w:t>
      </w:r>
      <w:r w:rsidR="00E733E9" w:rsidRPr="00053853">
        <w:t>.</w:t>
      </w:r>
    </w:p>
    <w:p w14:paraId="461DF37D" w14:textId="77777777" w:rsidR="00A767C9" w:rsidRDefault="00D768EE" w:rsidP="00C52CE9">
      <w:pPr>
        <w:pStyle w:val="NICEnormal"/>
      </w:pPr>
      <w:r w:rsidRPr="00053853">
        <w:t xml:space="preserve">Clinical trial evidence </w:t>
      </w:r>
      <w:sdt>
        <w:sdtPr>
          <w:id w:val="-1714803938"/>
          <w:placeholder>
            <w:docPart w:val="01580F9BB66E4B0496E728F246935287"/>
          </w:placeholder>
          <w:showingPlcHdr/>
          <w:dropDownList>
            <w:listItem w:value="Choose an item."/>
            <w:listItem w:displayText="shows" w:value="shows"/>
            <w:listItem w:displayText="suggests" w:value="suggests"/>
          </w:dropDownList>
        </w:sdtPr>
        <w:sdtEndPr/>
        <w:sdtContent>
          <w:r w:rsidRPr="00053853">
            <w:t>shows</w:t>
          </w:r>
        </w:sdtContent>
      </w:sdt>
      <w:r w:rsidRPr="00053853">
        <w:t xml:space="preserve"> that </w:t>
      </w:r>
      <w:r w:rsidR="00015F43" w:rsidRPr="00053853">
        <w:t>hearing loss is</w:t>
      </w:r>
      <w:r w:rsidR="001D293E" w:rsidRPr="00053853">
        <w:t xml:space="preserve"> less</w:t>
      </w:r>
      <w:r w:rsidR="00015F43" w:rsidRPr="00053853">
        <w:t xml:space="preserve"> likely in </w:t>
      </w:r>
      <w:r w:rsidR="001D293E" w:rsidRPr="00053853">
        <w:t xml:space="preserve">people having </w:t>
      </w:r>
      <w:r w:rsidRPr="00053853">
        <w:t xml:space="preserve">anhydrous sodium thiosulfate </w:t>
      </w:r>
      <w:r w:rsidR="00D0330E" w:rsidRPr="00053853">
        <w:t>after cisplatin</w:t>
      </w:r>
      <w:r w:rsidR="00110394" w:rsidRPr="00053853">
        <w:t xml:space="preserve">. </w:t>
      </w:r>
      <w:r w:rsidR="00CB03F7" w:rsidRPr="00053853">
        <w:t>If hearing loss</w:t>
      </w:r>
      <w:r w:rsidR="00FE66D0" w:rsidRPr="00053853">
        <w:t xml:space="preserve"> develops</w:t>
      </w:r>
      <w:r w:rsidR="00CB03F7" w:rsidRPr="00053853">
        <w:t xml:space="preserve">, it </w:t>
      </w:r>
      <w:r w:rsidR="00B20F34" w:rsidRPr="00053853">
        <w:t>is</w:t>
      </w:r>
      <w:r w:rsidR="00507E58" w:rsidRPr="00053853">
        <w:t xml:space="preserve"> less severe </w:t>
      </w:r>
      <w:r w:rsidR="00B20F34" w:rsidRPr="00053853">
        <w:t>in</w:t>
      </w:r>
      <w:r w:rsidR="00BA6E2B" w:rsidRPr="00053853">
        <w:t xml:space="preserve"> </w:t>
      </w:r>
      <w:r w:rsidR="00CB03F7" w:rsidRPr="00053853">
        <w:t>those</w:t>
      </w:r>
      <w:r w:rsidR="00295FC3" w:rsidRPr="00053853">
        <w:t xml:space="preserve"> who</w:t>
      </w:r>
      <w:r w:rsidR="00BA6E2B" w:rsidRPr="00053853">
        <w:t xml:space="preserve"> </w:t>
      </w:r>
      <w:r w:rsidR="00630A27" w:rsidRPr="00053853">
        <w:t>have</w:t>
      </w:r>
      <w:r w:rsidR="00C9496A" w:rsidRPr="00053853">
        <w:t xml:space="preserve"> had</w:t>
      </w:r>
      <w:r w:rsidR="00630A27" w:rsidRPr="00053853">
        <w:t xml:space="preserve"> anhydrous sodium thiosulfate</w:t>
      </w:r>
      <w:r w:rsidR="00BA6E2B" w:rsidRPr="00053853">
        <w:t>.</w:t>
      </w:r>
      <w:r w:rsidR="00630A27" w:rsidRPr="00053853">
        <w:t xml:space="preserve"> </w:t>
      </w:r>
    </w:p>
    <w:p w14:paraId="3333E92E" w14:textId="2D4834CA" w:rsidR="00CA66B9" w:rsidRPr="00053853" w:rsidRDefault="005435E7" w:rsidP="00C52CE9">
      <w:pPr>
        <w:pStyle w:val="NICEnormal"/>
      </w:pPr>
      <w:r>
        <w:t xml:space="preserve">There are </w:t>
      </w:r>
      <w:r w:rsidR="00653BFA">
        <w:t xml:space="preserve">some </w:t>
      </w:r>
      <w:r>
        <w:t xml:space="preserve">uncertainties in the clinical evidence and in the economic model. </w:t>
      </w:r>
      <w:r w:rsidR="00F63D60" w:rsidRPr="00053853">
        <w:t xml:space="preserve">But </w:t>
      </w:r>
      <w:r w:rsidR="00E2078D">
        <w:t>t</w:t>
      </w:r>
      <w:r w:rsidR="00D768EE" w:rsidRPr="00053853">
        <w:t xml:space="preserve">he cost-effectiveness estimates are </w:t>
      </w:r>
      <w:r w:rsidR="005D3304">
        <w:t>within</w:t>
      </w:r>
      <w:r w:rsidR="005D3304" w:rsidRPr="00053853">
        <w:t xml:space="preserve"> </w:t>
      </w:r>
      <w:r w:rsidR="00D768EE" w:rsidRPr="00053853">
        <w:t xml:space="preserve">the range that NICE considers an acceptable use of NHS resources. So, anhydrous sodium thiosulfate is </w:t>
      </w:r>
      <w:r w:rsidR="00DC36BC" w:rsidRPr="00053853">
        <w:t>recommended</w:t>
      </w:r>
      <w:r w:rsidR="00D768EE" w:rsidRPr="00053853">
        <w:t>.</w:t>
      </w:r>
    </w:p>
    <w:p w14:paraId="698568DE" w14:textId="4CD05932" w:rsidR="00EA1CB1" w:rsidRPr="00053853" w:rsidRDefault="00EA1CB1" w:rsidP="00802BD9">
      <w:pPr>
        <w:pStyle w:val="Numberedheading1"/>
        <w:keepLines/>
      </w:pPr>
      <w:r w:rsidRPr="00053853">
        <w:lastRenderedPageBreak/>
        <w:t xml:space="preserve">Information about </w:t>
      </w:r>
      <w:r w:rsidR="00105138" w:rsidRPr="00053853">
        <w:fldChar w:fldCharType="begin"/>
      </w:r>
      <w:r w:rsidR="00105138" w:rsidRPr="00053853">
        <w:instrText xml:space="preserve"> REF technology \h </w:instrText>
      </w:r>
      <w:r w:rsidR="00105138" w:rsidRPr="00053853">
        <w:fldChar w:fldCharType="separate"/>
      </w:r>
      <w:r w:rsidR="00860E76" w:rsidRPr="00053853">
        <w:t>anhydrous sodium thiosulfate</w:t>
      </w:r>
      <w:r w:rsidR="00105138" w:rsidRPr="00053853">
        <w:fldChar w:fldCharType="end"/>
      </w:r>
    </w:p>
    <w:p w14:paraId="3E1500B6" w14:textId="49F82D87" w:rsidR="00B82A82" w:rsidRPr="00053853" w:rsidRDefault="00C63013" w:rsidP="00B82A82">
      <w:pPr>
        <w:pStyle w:val="Heading2"/>
      </w:pPr>
      <w:r w:rsidRPr="0004538C">
        <w:t>Marketing authorisation indication</w:t>
      </w:r>
    </w:p>
    <w:p w14:paraId="2EEF93C0" w14:textId="09DCC882" w:rsidR="001B4507" w:rsidRPr="00053853" w:rsidRDefault="008A3AAF" w:rsidP="00F5347B">
      <w:pPr>
        <w:pStyle w:val="Numberedlevel2text"/>
        <w:numPr>
          <w:ilvl w:val="1"/>
          <w:numId w:val="33"/>
        </w:numPr>
        <w:rPr>
          <w:lang w:val="en-GB"/>
        </w:rPr>
      </w:pPr>
      <w:r w:rsidRPr="00053853">
        <w:rPr>
          <w:lang w:val="en-GB"/>
        </w:rPr>
        <w:t>Anhydrous sodium thiosulfate (</w:t>
      </w:r>
      <w:r w:rsidR="00651E34" w:rsidRPr="00053853">
        <w:rPr>
          <w:lang w:val="en-GB"/>
        </w:rPr>
        <w:t>Pedmarqsi</w:t>
      </w:r>
      <w:r w:rsidRPr="00053853">
        <w:rPr>
          <w:lang w:val="en-GB"/>
        </w:rPr>
        <w:t xml:space="preserve">, Norgine) is indicated for </w:t>
      </w:r>
      <w:r w:rsidR="005E4DE8" w:rsidRPr="00053853">
        <w:rPr>
          <w:lang w:val="en-GB"/>
        </w:rPr>
        <w:t>‘the prevention of ototoxicity induced by cisplatin chemotherapy in patients 1</w:t>
      </w:r>
      <w:r w:rsidR="00A75656" w:rsidRPr="00053853">
        <w:rPr>
          <w:lang w:val="en-GB"/>
        </w:rPr>
        <w:t> </w:t>
      </w:r>
      <w:r w:rsidR="005E4DE8" w:rsidRPr="00053853">
        <w:rPr>
          <w:lang w:val="en-GB"/>
        </w:rPr>
        <w:t>month to &lt;18</w:t>
      </w:r>
      <w:r w:rsidR="00A75656" w:rsidRPr="00053853">
        <w:rPr>
          <w:lang w:val="en-GB"/>
        </w:rPr>
        <w:t> </w:t>
      </w:r>
      <w:r w:rsidR="005E4DE8" w:rsidRPr="00053853">
        <w:rPr>
          <w:lang w:val="en-GB"/>
        </w:rPr>
        <w:t>years of age with localised, non-metastatic, solid tumours’</w:t>
      </w:r>
      <w:r w:rsidRPr="00053853">
        <w:rPr>
          <w:lang w:val="en-GB"/>
        </w:rPr>
        <w:t>.</w:t>
      </w:r>
    </w:p>
    <w:p w14:paraId="38040B03" w14:textId="77777777" w:rsidR="00B82A82" w:rsidRPr="00053853" w:rsidRDefault="00B82A82" w:rsidP="00B82A82">
      <w:pPr>
        <w:pStyle w:val="Heading2"/>
      </w:pPr>
      <w:r w:rsidRPr="00053853">
        <w:t>Dosage in the marketing authorisation</w:t>
      </w:r>
    </w:p>
    <w:p w14:paraId="0E2738E7" w14:textId="49EFDC77" w:rsidR="00B82A82" w:rsidRPr="00053853" w:rsidRDefault="00FE2CE3" w:rsidP="00C63013">
      <w:pPr>
        <w:pStyle w:val="Numberedlevel2text"/>
        <w:rPr>
          <w:rFonts w:cs="Arial"/>
          <w:b/>
          <w:lang w:val="en-GB"/>
        </w:rPr>
      </w:pPr>
      <w:r w:rsidRPr="00053853">
        <w:rPr>
          <w:lang w:val="en-GB"/>
        </w:rPr>
        <w:t xml:space="preserve">The dosage schedule </w:t>
      </w:r>
      <w:r w:rsidR="00E144E3" w:rsidRPr="00053853">
        <w:rPr>
          <w:lang w:val="en-GB"/>
        </w:rPr>
        <w:t xml:space="preserve">is </w:t>
      </w:r>
      <w:r w:rsidR="00570524" w:rsidRPr="00053853">
        <w:rPr>
          <w:lang w:val="en-GB"/>
        </w:rPr>
        <w:t xml:space="preserve">available in the </w:t>
      </w:r>
      <w:hyperlink r:id="rId11" w:history="1">
        <w:r w:rsidR="00433263">
          <w:rPr>
            <w:rStyle w:val="Hyperlink"/>
            <w:lang w:val="en-GB"/>
          </w:rPr>
          <w:t>summary of product characteristics for anhydrous sodium thiosulfate</w:t>
        </w:r>
      </w:hyperlink>
      <w:r w:rsidR="00993304" w:rsidRPr="00053853">
        <w:rPr>
          <w:lang w:val="en-GB"/>
        </w:rPr>
        <w:t>.</w:t>
      </w:r>
    </w:p>
    <w:p w14:paraId="11BE9BFC" w14:textId="77777777" w:rsidR="00B82A82" w:rsidRPr="00053853" w:rsidRDefault="00B82A82" w:rsidP="00B82A82">
      <w:pPr>
        <w:pStyle w:val="Heading2"/>
      </w:pPr>
      <w:bookmarkStart w:id="0" w:name="_Price"/>
      <w:bookmarkEnd w:id="0"/>
      <w:r w:rsidRPr="00053853">
        <w:t>Price</w:t>
      </w:r>
    </w:p>
    <w:p w14:paraId="2F205E47" w14:textId="0E33651A" w:rsidR="007B3E3E" w:rsidRPr="00053853" w:rsidRDefault="006C0813" w:rsidP="0035781F">
      <w:pPr>
        <w:pStyle w:val="Numberedlevel2text"/>
        <w:rPr>
          <w:lang w:val="en-GB"/>
        </w:rPr>
      </w:pPr>
      <w:bookmarkStart w:id="1" w:name="_Hlk66279522"/>
      <w:r w:rsidRPr="00053853">
        <w:rPr>
          <w:rStyle w:val="NICEnormalChar"/>
          <w:szCs w:val="28"/>
        </w:rPr>
        <w:t>The list price for a</w:t>
      </w:r>
      <w:r w:rsidR="00651DC2" w:rsidRPr="00053853">
        <w:rPr>
          <w:rStyle w:val="NICEnormalChar"/>
          <w:szCs w:val="28"/>
        </w:rPr>
        <w:t xml:space="preserve">nhydrous sodium thiosulfate </w:t>
      </w:r>
      <w:r w:rsidRPr="00053853">
        <w:rPr>
          <w:rStyle w:val="NICEnormalChar"/>
          <w:szCs w:val="28"/>
        </w:rPr>
        <w:t>is</w:t>
      </w:r>
      <w:r w:rsidR="00F002E6" w:rsidRPr="00053853">
        <w:rPr>
          <w:rStyle w:val="NICEnormalChar"/>
          <w:szCs w:val="28"/>
        </w:rPr>
        <w:t xml:space="preserve"> </w:t>
      </w:r>
      <w:r w:rsidR="00987399" w:rsidRPr="00987399">
        <w:rPr>
          <w:rStyle w:val="NICEnormalChar"/>
          <w:szCs w:val="28"/>
        </w:rPr>
        <w:t>£8,277.71</w:t>
      </w:r>
      <w:r w:rsidR="0003169E">
        <w:rPr>
          <w:rStyle w:val="NICEnormalChar"/>
          <w:szCs w:val="28"/>
        </w:rPr>
        <w:t xml:space="preserve"> per </w:t>
      </w:r>
      <w:r w:rsidR="00FF4CE4">
        <w:rPr>
          <w:rStyle w:val="NICEnormalChar"/>
          <w:szCs w:val="28"/>
        </w:rPr>
        <w:t>8 g vial</w:t>
      </w:r>
      <w:r w:rsidR="00651DC2" w:rsidRPr="00053853">
        <w:rPr>
          <w:rStyle w:val="NICEnormalChar"/>
          <w:szCs w:val="28"/>
        </w:rPr>
        <w:t>.</w:t>
      </w:r>
      <w:r w:rsidR="00B43E09" w:rsidRPr="00053853">
        <w:rPr>
          <w:rStyle w:val="NICEnormalChar"/>
          <w:szCs w:val="28"/>
        </w:rPr>
        <w:t xml:space="preserve"> </w:t>
      </w:r>
      <w:r w:rsidR="00B43E09" w:rsidRPr="00053853">
        <w:rPr>
          <w:lang w:val="en-GB"/>
        </w:rPr>
        <w:t>The company has a commercial arrangement</w:t>
      </w:r>
      <w:r w:rsidR="000D106D">
        <w:rPr>
          <w:lang w:val="en-GB"/>
        </w:rPr>
        <w:t xml:space="preserve"> (simple discount patient access scheme).</w:t>
      </w:r>
      <w:r w:rsidR="00B43E09" w:rsidRPr="00053853">
        <w:rPr>
          <w:lang w:val="en-GB"/>
        </w:rPr>
        <w:t xml:space="preserve"> </w:t>
      </w:r>
      <w:r w:rsidR="000D106D">
        <w:rPr>
          <w:lang w:val="en-GB"/>
        </w:rPr>
        <w:t>This makes anhydrous sodium thiosulfate available to the NHS with a discount</w:t>
      </w:r>
      <w:r w:rsidR="00B43E09" w:rsidRPr="00053853">
        <w:rPr>
          <w:lang w:val="en-GB"/>
        </w:rPr>
        <w:t>.</w:t>
      </w:r>
      <w:r w:rsidR="00294591">
        <w:rPr>
          <w:lang w:val="en-GB"/>
        </w:rPr>
        <w:t xml:space="preserve"> The size of the discount is commercial in confidence.</w:t>
      </w:r>
    </w:p>
    <w:bookmarkEnd w:id="1"/>
    <w:p w14:paraId="07CDA61C" w14:textId="77777777" w:rsidR="00F130AD" w:rsidRPr="00053853" w:rsidRDefault="00222BEA" w:rsidP="00802BD9">
      <w:pPr>
        <w:pStyle w:val="Numberedheading1"/>
        <w:numPr>
          <w:ilvl w:val="0"/>
          <w:numId w:val="19"/>
        </w:numPr>
      </w:pPr>
      <w:r w:rsidRPr="00053853">
        <w:t>Committee discussion</w:t>
      </w:r>
    </w:p>
    <w:p w14:paraId="32FE46B2" w14:textId="096A4AF8" w:rsidR="00375255" w:rsidRPr="00053853" w:rsidRDefault="00375255" w:rsidP="00F95A2F">
      <w:pPr>
        <w:pStyle w:val="NICEnormal"/>
      </w:pPr>
      <w:r w:rsidRPr="00053853">
        <w:t xml:space="preserve">The </w:t>
      </w:r>
      <w:hyperlink w:anchor="_Appraisal_committee_members" w:history="1">
        <w:r w:rsidRPr="00053853">
          <w:rPr>
            <w:rStyle w:val="Hyperlink"/>
            <w:rFonts w:eastAsiaTheme="majorEastAsia"/>
          </w:rPr>
          <w:t>evaluation committee</w:t>
        </w:r>
      </w:hyperlink>
      <w:r w:rsidRPr="00053853">
        <w:t xml:space="preserve"> considered evidence submitted by Norgine, a review of this submission by the external assessment group (EAG), and responses from stakeholders. See the </w:t>
      </w:r>
      <w:hyperlink r:id="rId12" w:history="1">
        <w:r w:rsidRPr="00053853">
          <w:rPr>
            <w:rStyle w:val="Hyperlink"/>
            <w:rFonts w:eastAsiaTheme="majorEastAsia"/>
          </w:rPr>
          <w:t>committee papers</w:t>
        </w:r>
      </w:hyperlink>
      <w:r w:rsidRPr="00053853">
        <w:t xml:space="preserve"> for full details of the evidence.</w:t>
      </w:r>
    </w:p>
    <w:p w14:paraId="532BB09D" w14:textId="77777777" w:rsidR="00375255" w:rsidRPr="00053853" w:rsidRDefault="00375255" w:rsidP="00F95A2F">
      <w:pPr>
        <w:pStyle w:val="Heading2"/>
      </w:pPr>
      <w:bookmarkStart w:id="2" w:name="_Hlk176960711"/>
      <w:r w:rsidRPr="00053853">
        <w:t>The condition</w:t>
      </w:r>
    </w:p>
    <w:p w14:paraId="4E23524C" w14:textId="4F27A9A8" w:rsidR="00375255" w:rsidRPr="00053853" w:rsidRDefault="00690862" w:rsidP="00F95A2F">
      <w:pPr>
        <w:pStyle w:val="Heading3"/>
      </w:pPr>
      <w:r w:rsidRPr="00053853">
        <w:t>Cisplatin-induced ototoxicity</w:t>
      </w:r>
      <w:r w:rsidR="00A869EB" w:rsidRPr="00053853">
        <w:t xml:space="preserve"> (hearing loss)</w:t>
      </w:r>
    </w:p>
    <w:bookmarkEnd w:id="2"/>
    <w:p w14:paraId="2369561C" w14:textId="15F94DED" w:rsidR="009E0CC3" w:rsidRPr="00053853" w:rsidRDefault="002071F4" w:rsidP="00020768">
      <w:pPr>
        <w:pStyle w:val="Numberedlevel2text"/>
        <w:numPr>
          <w:ilvl w:val="1"/>
          <w:numId w:val="42"/>
        </w:numPr>
        <w:rPr>
          <w:lang w:val="en-GB"/>
        </w:rPr>
      </w:pPr>
      <w:r w:rsidRPr="00053853">
        <w:rPr>
          <w:lang w:val="en-GB"/>
        </w:rPr>
        <w:t xml:space="preserve">Cisplatin is </w:t>
      </w:r>
      <w:r w:rsidR="008A38EA" w:rsidRPr="00053853">
        <w:rPr>
          <w:lang w:val="en-GB"/>
        </w:rPr>
        <w:t xml:space="preserve">routinely </w:t>
      </w:r>
      <w:r w:rsidRPr="00053853">
        <w:rPr>
          <w:lang w:val="en-GB"/>
        </w:rPr>
        <w:t xml:space="preserve">used to treat different cancers in </w:t>
      </w:r>
      <w:r w:rsidR="00F603D3" w:rsidRPr="00053853">
        <w:rPr>
          <w:lang w:val="en-GB"/>
        </w:rPr>
        <w:t xml:space="preserve">babies, </w:t>
      </w:r>
      <w:r w:rsidRPr="00053853">
        <w:rPr>
          <w:lang w:val="en-GB"/>
        </w:rPr>
        <w:t xml:space="preserve">children and young </w:t>
      </w:r>
      <w:r w:rsidRPr="00CE081A">
        <w:rPr>
          <w:lang w:val="en-GB"/>
        </w:rPr>
        <w:t>people.</w:t>
      </w:r>
      <w:r w:rsidRPr="00053853">
        <w:rPr>
          <w:lang w:val="en-GB"/>
        </w:rPr>
        <w:t xml:space="preserve"> </w:t>
      </w:r>
      <w:r w:rsidR="000A6FBC" w:rsidRPr="00053853">
        <w:rPr>
          <w:lang w:val="en-GB"/>
        </w:rPr>
        <w:t>A</w:t>
      </w:r>
      <w:r w:rsidRPr="00053853">
        <w:rPr>
          <w:lang w:val="en-GB"/>
        </w:rPr>
        <w:t>fter it enters the cochlea (inner ear) it can cause inflammation and damage, known as ototoxicity (referred to as hearing loss</w:t>
      </w:r>
      <w:r w:rsidR="000A6FBC" w:rsidRPr="00053853">
        <w:rPr>
          <w:lang w:val="en-GB"/>
        </w:rPr>
        <w:t xml:space="preserve"> from </w:t>
      </w:r>
      <w:r w:rsidR="00533059" w:rsidRPr="00053853">
        <w:rPr>
          <w:lang w:val="en-GB"/>
        </w:rPr>
        <w:t>here</w:t>
      </w:r>
      <w:r w:rsidRPr="00053853">
        <w:rPr>
          <w:lang w:val="en-GB"/>
        </w:rPr>
        <w:t>)</w:t>
      </w:r>
      <w:r w:rsidR="000A6FBC" w:rsidRPr="00053853">
        <w:rPr>
          <w:lang w:val="en-GB"/>
        </w:rPr>
        <w:t xml:space="preserve">. </w:t>
      </w:r>
      <w:r w:rsidRPr="00053853">
        <w:rPr>
          <w:lang w:val="en-GB"/>
        </w:rPr>
        <w:t xml:space="preserve">Risk factors for more severe hearing loss </w:t>
      </w:r>
      <w:r w:rsidR="00726572" w:rsidRPr="00053853">
        <w:rPr>
          <w:lang w:val="en-GB"/>
        </w:rPr>
        <w:t xml:space="preserve">in </w:t>
      </w:r>
      <w:r w:rsidR="00CB7AF0" w:rsidRPr="00053853">
        <w:rPr>
          <w:lang w:val="en-GB"/>
        </w:rPr>
        <w:t xml:space="preserve">children with cancer </w:t>
      </w:r>
      <w:r w:rsidRPr="00053853">
        <w:rPr>
          <w:lang w:val="en-GB"/>
        </w:rPr>
        <w:t xml:space="preserve">include younger age and </w:t>
      </w:r>
      <w:r w:rsidR="00860B63" w:rsidRPr="00053853">
        <w:rPr>
          <w:lang w:val="en-GB"/>
        </w:rPr>
        <w:t xml:space="preserve">a </w:t>
      </w:r>
      <w:r w:rsidRPr="00053853">
        <w:rPr>
          <w:lang w:val="en-GB"/>
        </w:rPr>
        <w:t>high cisplatin dosage</w:t>
      </w:r>
      <w:r w:rsidR="00567F16" w:rsidRPr="00053853">
        <w:rPr>
          <w:lang w:val="en-GB"/>
        </w:rPr>
        <w:t>.</w:t>
      </w:r>
      <w:r w:rsidR="00082F63" w:rsidRPr="00053853">
        <w:rPr>
          <w:lang w:val="en-GB"/>
        </w:rPr>
        <w:t xml:space="preserve"> </w:t>
      </w:r>
      <w:r w:rsidR="00B358FD" w:rsidRPr="00053853">
        <w:rPr>
          <w:lang w:val="en-GB"/>
        </w:rPr>
        <w:t>The clinical experts noted that</w:t>
      </w:r>
      <w:r w:rsidR="00DC6295" w:rsidRPr="00053853">
        <w:rPr>
          <w:lang w:val="en-GB"/>
        </w:rPr>
        <w:t xml:space="preserve"> although</w:t>
      </w:r>
      <w:r w:rsidR="00B358FD" w:rsidRPr="00053853">
        <w:rPr>
          <w:lang w:val="en-GB"/>
        </w:rPr>
        <w:t xml:space="preserve"> </w:t>
      </w:r>
      <w:r w:rsidR="001667DC" w:rsidRPr="00053853">
        <w:rPr>
          <w:lang w:val="en-GB"/>
        </w:rPr>
        <w:t>cancer in</w:t>
      </w:r>
      <w:r w:rsidR="0044653E" w:rsidRPr="00053853">
        <w:rPr>
          <w:lang w:val="en-GB"/>
        </w:rPr>
        <w:t xml:space="preserve"> </w:t>
      </w:r>
      <w:r w:rsidR="001667DC" w:rsidRPr="00053853">
        <w:rPr>
          <w:lang w:val="en-GB"/>
        </w:rPr>
        <w:t xml:space="preserve">children and young people is rare, </w:t>
      </w:r>
      <w:r w:rsidR="001C3981" w:rsidRPr="00053853">
        <w:rPr>
          <w:lang w:val="en-GB"/>
        </w:rPr>
        <w:lastRenderedPageBreak/>
        <w:t xml:space="preserve">cisplatin chemotherapy is commonly used </w:t>
      </w:r>
      <w:r w:rsidR="00C63B2D" w:rsidRPr="00053853">
        <w:rPr>
          <w:lang w:val="en-GB"/>
        </w:rPr>
        <w:t xml:space="preserve">to </w:t>
      </w:r>
      <w:r w:rsidR="003D7A85" w:rsidRPr="00053853">
        <w:rPr>
          <w:lang w:val="en-GB"/>
        </w:rPr>
        <w:t>treat cancer in this population.</w:t>
      </w:r>
      <w:r w:rsidR="004A0E62" w:rsidRPr="00053853">
        <w:rPr>
          <w:lang w:val="en-GB"/>
        </w:rPr>
        <w:t xml:space="preserve"> </w:t>
      </w:r>
      <w:r w:rsidR="006C2B1B" w:rsidRPr="00053853">
        <w:rPr>
          <w:lang w:val="en-GB"/>
        </w:rPr>
        <w:t>A</w:t>
      </w:r>
      <w:r w:rsidRPr="00053853">
        <w:rPr>
          <w:lang w:val="en-GB"/>
        </w:rPr>
        <w:t>bout 60% of children having cisplatin-based treatment develop irreversible hearing loss</w:t>
      </w:r>
      <w:r w:rsidR="002D06DF" w:rsidRPr="00053853">
        <w:rPr>
          <w:lang w:val="en-GB"/>
        </w:rPr>
        <w:t>, and</w:t>
      </w:r>
      <w:r w:rsidR="0053394F" w:rsidRPr="00053853">
        <w:rPr>
          <w:lang w:val="en-GB"/>
        </w:rPr>
        <w:t xml:space="preserve"> </w:t>
      </w:r>
      <w:r w:rsidRPr="00053853">
        <w:rPr>
          <w:lang w:val="en-GB"/>
        </w:rPr>
        <w:t xml:space="preserve">283 new cases of ototoxic hearing loss were diagnosed in people under 18 in England </w:t>
      </w:r>
      <w:r w:rsidR="00D31808" w:rsidRPr="00053853">
        <w:rPr>
          <w:lang w:val="en-GB"/>
        </w:rPr>
        <w:t xml:space="preserve">in </w:t>
      </w:r>
      <w:r w:rsidRPr="00053853">
        <w:rPr>
          <w:lang w:val="en-GB"/>
        </w:rPr>
        <w:t>2022</w:t>
      </w:r>
      <w:r w:rsidR="009C1EFE" w:rsidRPr="00053853">
        <w:rPr>
          <w:lang w:val="en-GB"/>
        </w:rPr>
        <w:t xml:space="preserve"> to 20</w:t>
      </w:r>
      <w:r w:rsidRPr="00053853">
        <w:rPr>
          <w:lang w:val="en-GB"/>
        </w:rPr>
        <w:t>23</w:t>
      </w:r>
      <w:r w:rsidR="00D31808" w:rsidRPr="00053853">
        <w:rPr>
          <w:lang w:val="en-GB"/>
        </w:rPr>
        <w:t xml:space="preserve">. </w:t>
      </w:r>
      <w:r w:rsidR="00ED0951" w:rsidRPr="00053853">
        <w:rPr>
          <w:lang w:val="en-GB"/>
        </w:rPr>
        <w:t>But d</w:t>
      </w:r>
      <w:r w:rsidR="00D31808" w:rsidRPr="00053853">
        <w:rPr>
          <w:lang w:val="en-GB"/>
        </w:rPr>
        <w:t xml:space="preserve">iagnosis is often delayed </w:t>
      </w:r>
      <w:r w:rsidR="00216699" w:rsidRPr="00053853">
        <w:rPr>
          <w:lang w:val="en-GB"/>
        </w:rPr>
        <w:t xml:space="preserve">because </w:t>
      </w:r>
      <w:r w:rsidRPr="00053853">
        <w:rPr>
          <w:lang w:val="en-GB"/>
        </w:rPr>
        <w:t>early signs of hearing loss may be missed</w:t>
      </w:r>
      <w:r w:rsidR="00216699" w:rsidRPr="00053853">
        <w:rPr>
          <w:lang w:val="en-GB"/>
        </w:rPr>
        <w:t>.</w:t>
      </w:r>
    </w:p>
    <w:p w14:paraId="0CA5E9E5" w14:textId="37896CFF" w:rsidR="00A95471" w:rsidRPr="00053853" w:rsidRDefault="00A95471" w:rsidP="00A95471">
      <w:pPr>
        <w:pStyle w:val="Heading3"/>
      </w:pPr>
      <w:r w:rsidRPr="00053853">
        <w:t>Burden of the condition</w:t>
      </w:r>
    </w:p>
    <w:p w14:paraId="788B6179" w14:textId="2DB5ED88" w:rsidR="00CF322F" w:rsidRPr="00053853" w:rsidRDefault="00022CDC" w:rsidP="00CF322F">
      <w:pPr>
        <w:pStyle w:val="Numberedlevel2text"/>
        <w:rPr>
          <w:lang w:val="en-GB"/>
        </w:rPr>
      </w:pPr>
      <w:r w:rsidRPr="00053853">
        <w:rPr>
          <w:lang w:val="en-GB"/>
        </w:rPr>
        <w:t>The patient expert explained that</w:t>
      </w:r>
      <w:r w:rsidR="0076004B" w:rsidRPr="00053853">
        <w:rPr>
          <w:lang w:val="en-GB"/>
        </w:rPr>
        <w:t>,</w:t>
      </w:r>
      <w:r w:rsidRPr="00053853">
        <w:rPr>
          <w:lang w:val="en-GB"/>
        </w:rPr>
        <w:t xml:space="preserve"> </w:t>
      </w:r>
      <w:r w:rsidR="00BC400A" w:rsidRPr="00053853">
        <w:rPr>
          <w:lang w:val="en-GB"/>
        </w:rPr>
        <w:t>w</w:t>
      </w:r>
      <w:r w:rsidR="009F3139" w:rsidRPr="00053853">
        <w:rPr>
          <w:lang w:val="en-GB"/>
        </w:rPr>
        <w:t>hen children develop h</w:t>
      </w:r>
      <w:r w:rsidR="00FF6467" w:rsidRPr="00053853">
        <w:rPr>
          <w:lang w:val="en-GB"/>
        </w:rPr>
        <w:t>earing loss</w:t>
      </w:r>
      <w:r w:rsidR="009F3139" w:rsidRPr="00053853">
        <w:rPr>
          <w:lang w:val="en-GB"/>
        </w:rPr>
        <w:t>,</w:t>
      </w:r>
      <w:r w:rsidR="00FF6467" w:rsidRPr="00053853">
        <w:rPr>
          <w:lang w:val="en-GB"/>
        </w:rPr>
        <w:t xml:space="preserve"> </w:t>
      </w:r>
      <w:r w:rsidR="009F3139" w:rsidRPr="00053853">
        <w:rPr>
          <w:lang w:val="en-GB"/>
        </w:rPr>
        <w:t>it</w:t>
      </w:r>
      <w:r w:rsidR="00FF6467" w:rsidRPr="00053853">
        <w:rPr>
          <w:lang w:val="en-GB"/>
        </w:rPr>
        <w:t xml:space="preserve"> </w:t>
      </w:r>
      <w:r w:rsidR="00BC400A" w:rsidRPr="00053853">
        <w:rPr>
          <w:lang w:val="en-GB"/>
        </w:rPr>
        <w:t xml:space="preserve">goes beyond not being able to hear. It </w:t>
      </w:r>
      <w:r w:rsidR="0085483E" w:rsidRPr="00053853">
        <w:rPr>
          <w:lang w:val="en-GB"/>
        </w:rPr>
        <w:t xml:space="preserve">can </w:t>
      </w:r>
      <w:r w:rsidR="00FF6467" w:rsidRPr="00053853">
        <w:rPr>
          <w:lang w:val="en-GB"/>
        </w:rPr>
        <w:t xml:space="preserve">affect </w:t>
      </w:r>
      <w:r w:rsidR="009F3139" w:rsidRPr="00053853">
        <w:rPr>
          <w:lang w:val="en-GB"/>
        </w:rPr>
        <w:t xml:space="preserve">their </w:t>
      </w:r>
      <w:r w:rsidR="00FF6467" w:rsidRPr="00053853">
        <w:rPr>
          <w:lang w:val="en-GB"/>
        </w:rPr>
        <w:t xml:space="preserve">speech and language development, </w:t>
      </w:r>
      <w:r w:rsidR="00327DEC" w:rsidRPr="00053853">
        <w:rPr>
          <w:lang w:val="en-GB"/>
        </w:rPr>
        <w:t xml:space="preserve">ability to communicate, </w:t>
      </w:r>
      <w:r w:rsidR="00FF6467" w:rsidRPr="00053853">
        <w:rPr>
          <w:lang w:val="en-GB"/>
        </w:rPr>
        <w:t>performance</w:t>
      </w:r>
      <w:r w:rsidR="0085483E" w:rsidRPr="00053853">
        <w:rPr>
          <w:lang w:val="en-GB"/>
        </w:rPr>
        <w:t xml:space="preserve"> at school</w:t>
      </w:r>
      <w:r w:rsidR="00FF6467" w:rsidRPr="00053853">
        <w:rPr>
          <w:lang w:val="en-GB"/>
        </w:rPr>
        <w:t xml:space="preserve"> and psychosocial functioning</w:t>
      </w:r>
      <w:r w:rsidR="00A86B32" w:rsidRPr="00053853">
        <w:rPr>
          <w:lang w:val="en-GB"/>
        </w:rPr>
        <w:t>, especially</w:t>
      </w:r>
      <w:r w:rsidR="00FF6467" w:rsidRPr="00053853">
        <w:rPr>
          <w:lang w:val="en-GB"/>
        </w:rPr>
        <w:t xml:space="preserve"> in younger children</w:t>
      </w:r>
      <w:r w:rsidR="00A86B32" w:rsidRPr="00053853">
        <w:rPr>
          <w:lang w:val="en-GB"/>
        </w:rPr>
        <w:t>.</w:t>
      </w:r>
      <w:r w:rsidR="008D2CA7" w:rsidRPr="00053853">
        <w:rPr>
          <w:lang w:val="en-GB"/>
        </w:rPr>
        <w:t xml:space="preserve"> </w:t>
      </w:r>
      <w:r w:rsidR="0054762E" w:rsidRPr="00053853">
        <w:rPr>
          <w:lang w:val="en-GB"/>
        </w:rPr>
        <w:t xml:space="preserve">They explained that even </w:t>
      </w:r>
      <w:r w:rsidR="000D73A8" w:rsidRPr="00053853">
        <w:rPr>
          <w:lang w:val="en-GB"/>
        </w:rPr>
        <w:t xml:space="preserve">mild </w:t>
      </w:r>
      <w:r w:rsidR="0054762E" w:rsidRPr="00053853">
        <w:rPr>
          <w:lang w:val="en-GB"/>
        </w:rPr>
        <w:t>hearing loss means it is difficult to hear quiet conversation when</w:t>
      </w:r>
      <w:r w:rsidR="007F6BD5" w:rsidRPr="00053853">
        <w:rPr>
          <w:lang w:val="en-GB"/>
        </w:rPr>
        <w:t xml:space="preserve"> there is</w:t>
      </w:r>
      <w:r w:rsidR="0054762E" w:rsidRPr="00053853" w:rsidDel="007F6BD5">
        <w:rPr>
          <w:lang w:val="en-GB"/>
        </w:rPr>
        <w:t xml:space="preserve"> </w:t>
      </w:r>
      <w:r w:rsidR="0054762E" w:rsidRPr="00053853">
        <w:rPr>
          <w:lang w:val="en-GB"/>
        </w:rPr>
        <w:t>background noise, for example</w:t>
      </w:r>
      <w:r w:rsidR="00DA3EDD">
        <w:rPr>
          <w:lang w:val="en-GB"/>
        </w:rPr>
        <w:t>,</w:t>
      </w:r>
      <w:r w:rsidR="0054762E" w:rsidRPr="00053853">
        <w:rPr>
          <w:lang w:val="en-GB"/>
        </w:rPr>
        <w:t xml:space="preserve"> in a classroom. </w:t>
      </w:r>
      <w:r w:rsidR="00F358BC" w:rsidRPr="00053853">
        <w:rPr>
          <w:lang w:val="en-GB"/>
        </w:rPr>
        <w:t>So</w:t>
      </w:r>
      <w:r w:rsidR="007D556B" w:rsidRPr="00053853">
        <w:rPr>
          <w:lang w:val="en-GB"/>
        </w:rPr>
        <w:t>,</w:t>
      </w:r>
      <w:r w:rsidR="00F358BC" w:rsidRPr="00053853">
        <w:rPr>
          <w:lang w:val="en-GB"/>
        </w:rPr>
        <w:t xml:space="preserve"> even with mild hearing loss, the</w:t>
      </w:r>
      <w:r w:rsidR="009E673A" w:rsidRPr="00053853">
        <w:rPr>
          <w:lang w:val="en-GB"/>
        </w:rPr>
        <w:t>re is a high</w:t>
      </w:r>
      <w:r w:rsidR="00F358BC" w:rsidRPr="00053853">
        <w:rPr>
          <w:lang w:val="en-GB"/>
        </w:rPr>
        <w:t xml:space="preserve"> risk of social and emotional difficulties. </w:t>
      </w:r>
      <w:r w:rsidR="00F774DB" w:rsidRPr="00053853">
        <w:rPr>
          <w:lang w:val="en-GB"/>
        </w:rPr>
        <w:t>P</w:t>
      </w:r>
      <w:r w:rsidR="0054762E" w:rsidRPr="00053853">
        <w:rPr>
          <w:lang w:val="en-GB"/>
        </w:rPr>
        <w:t xml:space="preserve">eople </w:t>
      </w:r>
      <w:r w:rsidR="00F774DB" w:rsidRPr="00053853">
        <w:rPr>
          <w:lang w:val="en-GB"/>
        </w:rPr>
        <w:t xml:space="preserve">with hearing loss above 40 dB </w:t>
      </w:r>
      <w:r w:rsidR="0054762E" w:rsidRPr="00053853">
        <w:rPr>
          <w:lang w:val="en-GB"/>
        </w:rPr>
        <w:t xml:space="preserve">will </w:t>
      </w:r>
      <w:r w:rsidR="00F774DB" w:rsidRPr="00053853">
        <w:rPr>
          <w:lang w:val="en-GB"/>
        </w:rPr>
        <w:t xml:space="preserve">find it difficult to </w:t>
      </w:r>
      <w:r w:rsidR="004E6DDB" w:rsidRPr="00053853">
        <w:rPr>
          <w:lang w:val="en-GB"/>
        </w:rPr>
        <w:t>follow</w:t>
      </w:r>
      <w:r w:rsidR="0054762E" w:rsidRPr="00053853">
        <w:rPr>
          <w:lang w:val="en-GB"/>
        </w:rPr>
        <w:t xml:space="preserve"> any conversation. </w:t>
      </w:r>
      <w:r w:rsidR="007B2798" w:rsidRPr="00053853">
        <w:rPr>
          <w:lang w:val="en-GB"/>
        </w:rPr>
        <w:t xml:space="preserve">The patient expert </w:t>
      </w:r>
      <w:r w:rsidR="007B2F75" w:rsidRPr="00053853">
        <w:rPr>
          <w:lang w:val="en-GB"/>
        </w:rPr>
        <w:t xml:space="preserve">also </w:t>
      </w:r>
      <w:r w:rsidR="00AD4EB2" w:rsidRPr="00053853">
        <w:rPr>
          <w:lang w:val="en-GB"/>
        </w:rPr>
        <w:t xml:space="preserve">noted the limitations </w:t>
      </w:r>
      <w:r w:rsidR="00E914E5" w:rsidRPr="00053853">
        <w:rPr>
          <w:lang w:val="en-GB"/>
        </w:rPr>
        <w:t xml:space="preserve">with </w:t>
      </w:r>
      <w:r w:rsidR="0054762E" w:rsidRPr="00053853">
        <w:rPr>
          <w:lang w:val="en-GB"/>
        </w:rPr>
        <w:t>the</w:t>
      </w:r>
      <w:r w:rsidR="00705406" w:rsidRPr="00053853">
        <w:rPr>
          <w:lang w:val="en-GB"/>
        </w:rPr>
        <w:t xml:space="preserve"> technologies available to help</w:t>
      </w:r>
      <w:r w:rsidR="003D099A">
        <w:rPr>
          <w:lang w:val="en-GB"/>
        </w:rPr>
        <w:t xml:space="preserve"> people with hearing loss</w:t>
      </w:r>
      <w:r w:rsidR="00705406" w:rsidRPr="00053853">
        <w:rPr>
          <w:lang w:val="en-GB"/>
        </w:rPr>
        <w:t xml:space="preserve">. </w:t>
      </w:r>
      <w:r w:rsidR="008148FB" w:rsidRPr="00053853">
        <w:rPr>
          <w:lang w:val="en-GB"/>
        </w:rPr>
        <w:t>H</w:t>
      </w:r>
      <w:r w:rsidR="00FF6467" w:rsidRPr="00053853">
        <w:rPr>
          <w:lang w:val="en-GB"/>
        </w:rPr>
        <w:t>earing aids and cochlear implants</w:t>
      </w:r>
      <w:r w:rsidR="00705406" w:rsidRPr="00053853">
        <w:rPr>
          <w:lang w:val="en-GB"/>
        </w:rPr>
        <w:t xml:space="preserve"> do</w:t>
      </w:r>
      <w:r w:rsidR="005134EE" w:rsidRPr="00053853">
        <w:rPr>
          <w:lang w:val="en-GB"/>
        </w:rPr>
        <w:t xml:space="preserve"> </w:t>
      </w:r>
      <w:r w:rsidR="00705406" w:rsidRPr="00053853">
        <w:rPr>
          <w:lang w:val="en-GB"/>
        </w:rPr>
        <w:t>n</w:t>
      </w:r>
      <w:r w:rsidR="005134EE" w:rsidRPr="00053853">
        <w:rPr>
          <w:lang w:val="en-GB"/>
        </w:rPr>
        <w:t>o</w:t>
      </w:r>
      <w:r w:rsidR="00705406" w:rsidRPr="00053853">
        <w:rPr>
          <w:lang w:val="en-GB"/>
        </w:rPr>
        <w:t>t work well when there is a lot of background noise</w:t>
      </w:r>
      <w:r w:rsidR="00EE4BC4" w:rsidRPr="00053853">
        <w:rPr>
          <w:lang w:val="en-GB"/>
        </w:rPr>
        <w:t>, and implants require invasive surgery.</w:t>
      </w:r>
      <w:r w:rsidR="00A86B32" w:rsidRPr="00053853">
        <w:rPr>
          <w:lang w:val="en-GB"/>
        </w:rPr>
        <w:t xml:space="preserve"> </w:t>
      </w:r>
      <w:r w:rsidR="00EE4BC4" w:rsidRPr="00053853">
        <w:rPr>
          <w:lang w:val="en-GB"/>
        </w:rPr>
        <w:t xml:space="preserve">Medical devices need ongoing </w:t>
      </w:r>
      <w:r w:rsidR="00056392" w:rsidRPr="00053853">
        <w:rPr>
          <w:lang w:val="en-GB"/>
        </w:rPr>
        <w:t>maintenance</w:t>
      </w:r>
      <w:r w:rsidR="003C6412" w:rsidRPr="00053853">
        <w:rPr>
          <w:lang w:val="en-GB"/>
        </w:rPr>
        <w:t>,</w:t>
      </w:r>
      <w:r w:rsidR="00056392" w:rsidRPr="00053853">
        <w:rPr>
          <w:lang w:val="en-GB"/>
        </w:rPr>
        <w:t xml:space="preserve"> and technology in school</w:t>
      </w:r>
      <w:r w:rsidR="007961EE">
        <w:rPr>
          <w:lang w:val="en-GB"/>
        </w:rPr>
        <w:t>s</w:t>
      </w:r>
      <w:r w:rsidR="00056392" w:rsidRPr="00053853">
        <w:rPr>
          <w:lang w:val="en-GB"/>
        </w:rPr>
        <w:t xml:space="preserve"> </w:t>
      </w:r>
      <w:r w:rsidR="004E6DDB" w:rsidRPr="00053853">
        <w:rPr>
          <w:lang w:val="en-GB"/>
        </w:rPr>
        <w:t xml:space="preserve">requires </w:t>
      </w:r>
      <w:r w:rsidR="00056392" w:rsidRPr="00053853">
        <w:rPr>
          <w:lang w:val="en-GB"/>
        </w:rPr>
        <w:t xml:space="preserve">teachers who </w:t>
      </w:r>
      <w:r w:rsidR="004E6DDB" w:rsidRPr="00053853">
        <w:rPr>
          <w:lang w:val="en-GB"/>
        </w:rPr>
        <w:t>are familiar with and trained in using it</w:t>
      </w:r>
      <w:r w:rsidR="00A86B32" w:rsidRPr="00053853">
        <w:rPr>
          <w:lang w:val="en-GB"/>
        </w:rPr>
        <w:t>.</w:t>
      </w:r>
      <w:r w:rsidR="00F86E5A" w:rsidRPr="00053853">
        <w:rPr>
          <w:lang w:val="en-GB"/>
        </w:rPr>
        <w:t xml:space="preserve"> </w:t>
      </w:r>
      <w:r w:rsidR="004A29A8" w:rsidRPr="00053853">
        <w:rPr>
          <w:lang w:val="en-GB"/>
        </w:rPr>
        <w:t>W</w:t>
      </w:r>
      <w:r w:rsidR="00FF6467" w:rsidRPr="00053853">
        <w:rPr>
          <w:lang w:val="en-GB"/>
        </w:rPr>
        <w:t xml:space="preserve">aiting times to </w:t>
      </w:r>
      <w:r w:rsidR="00F86E5A" w:rsidRPr="00053853">
        <w:rPr>
          <w:lang w:val="en-GB"/>
        </w:rPr>
        <w:t xml:space="preserve">get </w:t>
      </w:r>
      <w:r w:rsidR="00FF6467" w:rsidRPr="00053853">
        <w:rPr>
          <w:lang w:val="en-GB"/>
        </w:rPr>
        <w:t>support</w:t>
      </w:r>
      <w:r w:rsidR="004A29A8" w:rsidRPr="00053853">
        <w:rPr>
          <w:lang w:val="en-GB"/>
        </w:rPr>
        <w:t xml:space="preserve"> can be long, and when people </w:t>
      </w:r>
      <w:r w:rsidR="003C6412" w:rsidRPr="00053853">
        <w:rPr>
          <w:lang w:val="en-GB"/>
        </w:rPr>
        <w:t xml:space="preserve">do </w:t>
      </w:r>
      <w:r w:rsidR="004A29A8" w:rsidRPr="00053853">
        <w:rPr>
          <w:lang w:val="en-GB"/>
        </w:rPr>
        <w:t xml:space="preserve">get support it </w:t>
      </w:r>
      <w:r w:rsidR="004E6DDB" w:rsidRPr="00053853">
        <w:rPr>
          <w:lang w:val="en-GB"/>
        </w:rPr>
        <w:t xml:space="preserve">may </w:t>
      </w:r>
      <w:r w:rsidR="004A29A8" w:rsidRPr="00053853">
        <w:rPr>
          <w:lang w:val="en-GB"/>
        </w:rPr>
        <w:t xml:space="preserve">not be </w:t>
      </w:r>
      <w:r w:rsidR="00FF6467" w:rsidRPr="00053853">
        <w:rPr>
          <w:lang w:val="en-GB"/>
        </w:rPr>
        <w:t>adequate</w:t>
      </w:r>
      <w:r w:rsidR="007C6DFF" w:rsidRPr="00053853">
        <w:rPr>
          <w:lang w:val="en-GB"/>
        </w:rPr>
        <w:t>. This can</w:t>
      </w:r>
      <w:r w:rsidR="00FF6467" w:rsidRPr="00053853">
        <w:rPr>
          <w:lang w:val="en-GB"/>
        </w:rPr>
        <w:t xml:space="preserve"> affect quality of life and increase health inequalities compared </w:t>
      </w:r>
      <w:r w:rsidR="007C6DFF" w:rsidRPr="00053853">
        <w:rPr>
          <w:lang w:val="en-GB"/>
        </w:rPr>
        <w:t>with</w:t>
      </w:r>
      <w:r w:rsidR="00FF6467" w:rsidRPr="00053853">
        <w:rPr>
          <w:lang w:val="en-GB"/>
        </w:rPr>
        <w:t xml:space="preserve"> people without hearing loss</w:t>
      </w:r>
      <w:r w:rsidR="007C6DFF" w:rsidRPr="00053853">
        <w:rPr>
          <w:lang w:val="en-GB"/>
        </w:rPr>
        <w:t>.</w:t>
      </w:r>
    </w:p>
    <w:p w14:paraId="45C7090B" w14:textId="44F9F670" w:rsidR="00D82CB1" w:rsidRPr="00053853" w:rsidRDefault="00E25432" w:rsidP="00D87040">
      <w:pPr>
        <w:pStyle w:val="Heading3"/>
      </w:pPr>
      <w:bookmarkStart w:id="3" w:name="_Hearing_loss_grading"/>
      <w:bookmarkEnd w:id="3"/>
      <w:r w:rsidRPr="00053853">
        <w:t>Hearing loss grading scales</w:t>
      </w:r>
    </w:p>
    <w:p w14:paraId="3A44A0C2" w14:textId="3DB2E45D" w:rsidR="00826518" w:rsidRPr="00053853" w:rsidRDefault="00676E66" w:rsidP="00E50EED">
      <w:pPr>
        <w:pStyle w:val="Numberedlevel2text"/>
        <w:rPr>
          <w:lang w:val="en-GB"/>
        </w:rPr>
      </w:pPr>
      <w:r w:rsidRPr="00053853">
        <w:rPr>
          <w:lang w:val="en-GB"/>
        </w:rPr>
        <w:t xml:space="preserve">The clinical experts explained that </w:t>
      </w:r>
      <w:r w:rsidR="00457914" w:rsidRPr="00053853">
        <w:rPr>
          <w:lang w:val="en-GB"/>
        </w:rPr>
        <w:t xml:space="preserve">the degree of </w:t>
      </w:r>
      <w:r w:rsidR="00EB6BCB" w:rsidRPr="00053853">
        <w:rPr>
          <w:lang w:val="en-GB"/>
        </w:rPr>
        <w:t>h</w:t>
      </w:r>
      <w:r w:rsidR="00A87CA3" w:rsidRPr="00053853">
        <w:rPr>
          <w:lang w:val="en-GB"/>
        </w:rPr>
        <w:t xml:space="preserve">earing loss </w:t>
      </w:r>
      <w:r w:rsidR="00EB6BCB" w:rsidRPr="00053853">
        <w:rPr>
          <w:lang w:val="en-GB"/>
        </w:rPr>
        <w:t>could be</w:t>
      </w:r>
      <w:r w:rsidR="00A87CA3" w:rsidRPr="00053853">
        <w:rPr>
          <w:lang w:val="en-GB"/>
        </w:rPr>
        <w:t xml:space="preserve"> assessed using s</w:t>
      </w:r>
      <w:r w:rsidR="00826518" w:rsidRPr="00053853">
        <w:rPr>
          <w:lang w:val="en-GB"/>
        </w:rPr>
        <w:t>everal grading scales</w:t>
      </w:r>
      <w:r w:rsidR="00826518" w:rsidRPr="00053853" w:rsidDel="00FF7050">
        <w:rPr>
          <w:lang w:val="en-GB"/>
        </w:rPr>
        <w:t xml:space="preserve">. </w:t>
      </w:r>
      <w:r w:rsidR="00AC771E" w:rsidRPr="00053853">
        <w:rPr>
          <w:lang w:val="en-GB"/>
        </w:rPr>
        <w:t>Th</w:t>
      </w:r>
      <w:r w:rsidR="00EB6BCB" w:rsidRPr="00053853">
        <w:rPr>
          <w:lang w:val="en-GB"/>
        </w:rPr>
        <w:t>ese scales</w:t>
      </w:r>
      <w:r w:rsidR="00AC771E" w:rsidRPr="00053853">
        <w:rPr>
          <w:lang w:val="en-GB"/>
        </w:rPr>
        <w:t xml:space="preserve"> </w:t>
      </w:r>
      <w:r w:rsidR="00207C6C" w:rsidRPr="00053853">
        <w:rPr>
          <w:lang w:val="en-GB"/>
        </w:rPr>
        <w:t>measure how much hearing loss people have at different decibels</w:t>
      </w:r>
      <w:r w:rsidR="00FD13C9" w:rsidRPr="00053853">
        <w:rPr>
          <w:lang w:val="en-GB"/>
        </w:rPr>
        <w:t xml:space="preserve"> (loudness)</w:t>
      </w:r>
      <w:r w:rsidR="00207C6C" w:rsidRPr="00053853">
        <w:rPr>
          <w:lang w:val="en-GB"/>
        </w:rPr>
        <w:t xml:space="preserve">, at different </w:t>
      </w:r>
      <w:r w:rsidR="00FD13C9" w:rsidRPr="00053853">
        <w:rPr>
          <w:lang w:val="en-GB"/>
        </w:rPr>
        <w:t>frequencies (how high or low a sound is)</w:t>
      </w:r>
      <w:r w:rsidR="00207C6C" w:rsidRPr="00053853">
        <w:rPr>
          <w:lang w:val="en-GB"/>
        </w:rPr>
        <w:t xml:space="preserve">, or both. </w:t>
      </w:r>
      <w:r w:rsidR="00985B3E" w:rsidRPr="00053853">
        <w:rPr>
          <w:lang w:val="en-GB"/>
        </w:rPr>
        <w:t xml:space="preserve">The </w:t>
      </w:r>
      <w:r w:rsidR="00826518" w:rsidRPr="00053853">
        <w:rPr>
          <w:lang w:val="en-GB"/>
        </w:rPr>
        <w:t>Brock</w:t>
      </w:r>
      <w:r w:rsidR="00862042" w:rsidRPr="00053853">
        <w:rPr>
          <w:lang w:val="en-GB"/>
        </w:rPr>
        <w:t xml:space="preserve"> </w:t>
      </w:r>
      <w:r w:rsidR="00985B3E" w:rsidRPr="00053853">
        <w:rPr>
          <w:lang w:val="en-GB"/>
        </w:rPr>
        <w:t xml:space="preserve">and </w:t>
      </w:r>
      <w:r w:rsidR="009A6C89" w:rsidRPr="00053853">
        <w:rPr>
          <w:lang w:val="en-GB"/>
        </w:rPr>
        <w:t>I</w:t>
      </w:r>
      <w:r w:rsidR="00DD6576" w:rsidRPr="00053853">
        <w:rPr>
          <w:lang w:val="en-GB"/>
        </w:rPr>
        <w:t>nternational Society of P</w:t>
      </w:r>
      <w:r w:rsidR="00983B7A" w:rsidRPr="00053853">
        <w:rPr>
          <w:lang w:val="en-GB"/>
        </w:rPr>
        <w:t>a</w:t>
      </w:r>
      <w:r w:rsidR="00DD6576" w:rsidRPr="00053853">
        <w:rPr>
          <w:lang w:val="en-GB"/>
        </w:rPr>
        <w:t>ediatric Oncology</w:t>
      </w:r>
      <w:r w:rsidR="009A6C89" w:rsidRPr="00053853">
        <w:rPr>
          <w:lang w:val="en-GB"/>
        </w:rPr>
        <w:t xml:space="preserve"> (SIOP)</w:t>
      </w:r>
      <w:r w:rsidR="00DD6576" w:rsidRPr="00053853">
        <w:rPr>
          <w:lang w:val="en-GB"/>
        </w:rPr>
        <w:t xml:space="preserve"> </w:t>
      </w:r>
      <w:r w:rsidR="000C5534" w:rsidRPr="00053853">
        <w:rPr>
          <w:lang w:val="en-GB"/>
        </w:rPr>
        <w:t xml:space="preserve">Boston </w:t>
      </w:r>
      <w:r w:rsidR="00985B3E" w:rsidRPr="00053853">
        <w:rPr>
          <w:lang w:val="en-GB"/>
        </w:rPr>
        <w:t xml:space="preserve">scales are </w:t>
      </w:r>
      <w:r w:rsidR="00862042" w:rsidRPr="00053853">
        <w:rPr>
          <w:lang w:val="en-GB"/>
        </w:rPr>
        <w:lastRenderedPageBreak/>
        <w:t xml:space="preserve">more common in </w:t>
      </w:r>
      <w:r w:rsidR="009A2DC9" w:rsidRPr="00053853">
        <w:rPr>
          <w:lang w:val="en-GB"/>
        </w:rPr>
        <w:t xml:space="preserve">the </w:t>
      </w:r>
      <w:r w:rsidR="00862042" w:rsidRPr="00053853">
        <w:rPr>
          <w:lang w:val="en-GB"/>
        </w:rPr>
        <w:t>UK</w:t>
      </w:r>
      <w:r w:rsidR="002D7601" w:rsidRPr="00053853">
        <w:rPr>
          <w:lang w:val="en-GB"/>
        </w:rPr>
        <w:t xml:space="preserve">, </w:t>
      </w:r>
      <w:r w:rsidR="003A617A" w:rsidRPr="00053853">
        <w:rPr>
          <w:lang w:val="en-GB"/>
        </w:rPr>
        <w:t xml:space="preserve">whereas </w:t>
      </w:r>
      <w:r w:rsidR="002D7601" w:rsidRPr="00053853">
        <w:rPr>
          <w:lang w:val="en-GB"/>
        </w:rPr>
        <w:t>t</w:t>
      </w:r>
      <w:r w:rsidR="00985B3E" w:rsidRPr="00053853">
        <w:rPr>
          <w:lang w:val="en-GB"/>
        </w:rPr>
        <w:t xml:space="preserve">he </w:t>
      </w:r>
      <w:r w:rsidR="00866FF4" w:rsidRPr="00053853">
        <w:rPr>
          <w:lang w:val="en-GB"/>
        </w:rPr>
        <w:t>American Speech-Language-Hearing Association</w:t>
      </w:r>
      <w:r w:rsidR="009A6C89" w:rsidRPr="00053853">
        <w:rPr>
          <w:lang w:val="en-GB"/>
        </w:rPr>
        <w:t xml:space="preserve"> (ASHA</w:t>
      </w:r>
      <w:r w:rsidR="00866FF4" w:rsidRPr="00053853">
        <w:rPr>
          <w:lang w:val="en-GB"/>
        </w:rPr>
        <w:t xml:space="preserve">) </w:t>
      </w:r>
      <w:r w:rsidR="00985B3E" w:rsidRPr="00053853">
        <w:rPr>
          <w:lang w:val="en-GB"/>
        </w:rPr>
        <w:t xml:space="preserve">scale is </w:t>
      </w:r>
      <w:r w:rsidR="00862042" w:rsidRPr="00053853">
        <w:rPr>
          <w:lang w:val="en-GB"/>
        </w:rPr>
        <w:t>more common in the US</w:t>
      </w:r>
      <w:r w:rsidR="00985B3E" w:rsidRPr="00053853">
        <w:rPr>
          <w:lang w:val="en-GB"/>
        </w:rPr>
        <w:t xml:space="preserve">. </w:t>
      </w:r>
      <w:r w:rsidR="009A6C89" w:rsidRPr="00053853">
        <w:rPr>
          <w:lang w:val="en-GB"/>
        </w:rPr>
        <w:t>A clinical expert confirmed that</w:t>
      </w:r>
      <w:r w:rsidR="003A3B0C" w:rsidRPr="00053853">
        <w:rPr>
          <w:lang w:val="en-GB"/>
        </w:rPr>
        <w:t>,</w:t>
      </w:r>
      <w:r w:rsidR="009A6C89" w:rsidRPr="00053853">
        <w:rPr>
          <w:lang w:val="en-GB"/>
        </w:rPr>
        <w:t xml:space="preserve"> </w:t>
      </w:r>
      <w:r w:rsidR="00191A2C" w:rsidRPr="00053853">
        <w:rPr>
          <w:lang w:val="en-GB"/>
        </w:rPr>
        <w:t>in their experience, the Brock scale was mo</w:t>
      </w:r>
      <w:r w:rsidR="003A617A" w:rsidRPr="00053853">
        <w:rPr>
          <w:lang w:val="en-GB"/>
        </w:rPr>
        <w:t>st</w:t>
      </w:r>
      <w:r w:rsidR="00191A2C" w:rsidRPr="00053853">
        <w:rPr>
          <w:lang w:val="en-GB"/>
        </w:rPr>
        <w:t xml:space="preserve"> commonly used</w:t>
      </w:r>
      <w:r w:rsidR="002D7601" w:rsidRPr="00053853">
        <w:rPr>
          <w:lang w:val="en-GB"/>
        </w:rPr>
        <w:t xml:space="preserve"> in the NHS</w:t>
      </w:r>
      <w:r w:rsidR="00191A2C" w:rsidRPr="00053853">
        <w:rPr>
          <w:lang w:val="en-GB"/>
        </w:rPr>
        <w:t xml:space="preserve">. </w:t>
      </w:r>
    </w:p>
    <w:p w14:paraId="5B56C3D4" w14:textId="1DE25F92" w:rsidR="00375255" w:rsidRPr="00053853" w:rsidRDefault="00375255" w:rsidP="00473611">
      <w:pPr>
        <w:pStyle w:val="Heading3"/>
      </w:pPr>
      <w:r w:rsidRPr="00053853">
        <w:t>Clinical management</w:t>
      </w:r>
    </w:p>
    <w:p w14:paraId="3CDE51D7" w14:textId="75D00414" w:rsidR="008B019C" w:rsidRPr="00053853" w:rsidRDefault="009A2DC9" w:rsidP="00843C19">
      <w:pPr>
        <w:pStyle w:val="Numberedlevel2text"/>
        <w:rPr>
          <w:lang w:val="en-GB"/>
        </w:rPr>
      </w:pPr>
      <w:r w:rsidRPr="00053853">
        <w:rPr>
          <w:lang w:val="en-GB"/>
        </w:rPr>
        <w:t>T</w:t>
      </w:r>
      <w:r w:rsidR="005157B0" w:rsidRPr="00053853">
        <w:rPr>
          <w:lang w:val="en-GB"/>
        </w:rPr>
        <w:t xml:space="preserve">here is no treatment to prevent </w:t>
      </w:r>
      <w:r w:rsidR="00E92C89" w:rsidRPr="00053853">
        <w:rPr>
          <w:lang w:val="en-GB"/>
        </w:rPr>
        <w:t xml:space="preserve">or reduce </w:t>
      </w:r>
      <w:r w:rsidR="00F03A1B" w:rsidRPr="00053853">
        <w:rPr>
          <w:lang w:val="en-GB"/>
        </w:rPr>
        <w:t>hearing loss</w:t>
      </w:r>
      <w:r w:rsidR="001F7E40">
        <w:rPr>
          <w:lang w:val="en-GB"/>
        </w:rPr>
        <w:t xml:space="preserve"> caused by cisplatin chemotherapy</w:t>
      </w:r>
      <w:r w:rsidR="00F03A1B" w:rsidRPr="00053853">
        <w:rPr>
          <w:lang w:val="en-GB"/>
        </w:rPr>
        <w:t xml:space="preserve"> in </w:t>
      </w:r>
      <w:r w:rsidR="00601F6D" w:rsidRPr="00053853">
        <w:rPr>
          <w:lang w:val="en-GB"/>
        </w:rPr>
        <w:t xml:space="preserve">babies, </w:t>
      </w:r>
      <w:r w:rsidR="00F03A1B" w:rsidRPr="00053853">
        <w:rPr>
          <w:lang w:val="en-GB"/>
        </w:rPr>
        <w:t>children and young people with localised solid tumours</w:t>
      </w:r>
      <w:r w:rsidR="005157B0" w:rsidRPr="00053853">
        <w:rPr>
          <w:lang w:val="en-GB"/>
        </w:rPr>
        <w:t>.</w:t>
      </w:r>
      <w:r w:rsidR="00A668D0" w:rsidRPr="00053853">
        <w:rPr>
          <w:lang w:val="en-GB"/>
        </w:rPr>
        <w:t xml:space="preserve"> </w:t>
      </w:r>
      <w:r w:rsidR="00FE3223" w:rsidRPr="00053853">
        <w:rPr>
          <w:lang w:val="en-GB"/>
        </w:rPr>
        <w:t xml:space="preserve">The clinical experts explained </w:t>
      </w:r>
      <w:r w:rsidR="007E0A7D" w:rsidRPr="00053853">
        <w:rPr>
          <w:lang w:val="en-GB"/>
        </w:rPr>
        <w:t xml:space="preserve">that </w:t>
      </w:r>
      <w:r w:rsidR="005261DB">
        <w:rPr>
          <w:lang w:val="en-GB"/>
        </w:rPr>
        <w:t xml:space="preserve">cisplatin </w:t>
      </w:r>
      <w:r w:rsidR="007E0A7D" w:rsidRPr="00053853">
        <w:rPr>
          <w:lang w:val="en-GB"/>
        </w:rPr>
        <w:t>treatment is sometimes changed to</w:t>
      </w:r>
      <w:r w:rsidR="00BA2C03" w:rsidRPr="00053853">
        <w:rPr>
          <w:lang w:val="en-GB"/>
        </w:rPr>
        <w:t xml:space="preserve"> carboplatin</w:t>
      </w:r>
      <w:r w:rsidR="00E41E86" w:rsidRPr="00053853">
        <w:rPr>
          <w:lang w:val="en-GB"/>
        </w:rPr>
        <w:t>. This is</w:t>
      </w:r>
      <w:r w:rsidR="00BA2C03" w:rsidRPr="00053853">
        <w:rPr>
          <w:lang w:val="en-GB"/>
        </w:rPr>
        <w:t xml:space="preserve"> because </w:t>
      </w:r>
      <w:r w:rsidR="00E41E86" w:rsidRPr="00053853">
        <w:rPr>
          <w:lang w:val="en-GB"/>
        </w:rPr>
        <w:t xml:space="preserve">carboplatin </w:t>
      </w:r>
      <w:r w:rsidR="00BA2C03" w:rsidRPr="00053853">
        <w:rPr>
          <w:lang w:val="en-GB"/>
        </w:rPr>
        <w:t xml:space="preserve">is less likely to cause hearing loss, but </w:t>
      </w:r>
      <w:r w:rsidR="00F41EEF" w:rsidRPr="00053853">
        <w:rPr>
          <w:lang w:val="en-GB"/>
        </w:rPr>
        <w:t>it</w:t>
      </w:r>
      <w:r w:rsidR="00BA2C03" w:rsidRPr="00053853" w:rsidDel="00FE3223">
        <w:rPr>
          <w:lang w:val="en-GB"/>
        </w:rPr>
        <w:t xml:space="preserve"> </w:t>
      </w:r>
      <w:r w:rsidR="00F41EEF" w:rsidRPr="00053853">
        <w:rPr>
          <w:lang w:val="en-GB"/>
        </w:rPr>
        <w:t xml:space="preserve">can </w:t>
      </w:r>
      <w:r w:rsidR="00FE3223" w:rsidRPr="00053853">
        <w:rPr>
          <w:lang w:val="en-GB"/>
        </w:rPr>
        <w:t xml:space="preserve">be </w:t>
      </w:r>
      <w:r w:rsidR="00BA2C03" w:rsidRPr="00053853">
        <w:rPr>
          <w:lang w:val="en-GB"/>
        </w:rPr>
        <w:t>less effective than cisplatin.</w:t>
      </w:r>
      <w:r w:rsidR="005600C8" w:rsidRPr="00053853">
        <w:rPr>
          <w:lang w:val="en-GB"/>
        </w:rPr>
        <w:t xml:space="preserve"> Once a child </w:t>
      </w:r>
      <w:r w:rsidR="00E41E86" w:rsidRPr="00053853">
        <w:rPr>
          <w:lang w:val="en-GB"/>
        </w:rPr>
        <w:t>loses their hearing</w:t>
      </w:r>
      <w:r w:rsidR="005600C8" w:rsidRPr="00053853">
        <w:rPr>
          <w:lang w:val="en-GB"/>
        </w:rPr>
        <w:t xml:space="preserve">, they </w:t>
      </w:r>
      <w:r w:rsidR="00E41E86" w:rsidRPr="00053853">
        <w:rPr>
          <w:lang w:val="en-GB"/>
        </w:rPr>
        <w:t xml:space="preserve">are usually </w:t>
      </w:r>
      <w:r w:rsidR="005600C8" w:rsidRPr="00053853">
        <w:rPr>
          <w:lang w:val="en-GB"/>
        </w:rPr>
        <w:t>offered hearing aids</w:t>
      </w:r>
      <w:r w:rsidR="0089531E" w:rsidRPr="00053853">
        <w:rPr>
          <w:lang w:val="en-GB"/>
        </w:rPr>
        <w:t xml:space="preserve"> and other technologies to amplify sound at home and at school. </w:t>
      </w:r>
      <w:r w:rsidR="004A2AC7" w:rsidRPr="00053853">
        <w:rPr>
          <w:lang w:val="en-GB"/>
        </w:rPr>
        <w:t xml:space="preserve">Children with severe hearing loss </w:t>
      </w:r>
      <w:r w:rsidR="00D84329" w:rsidRPr="00053853">
        <w:rPr>
          <w:lang w:val="en-GB"/>
        </w:rPr>
        <w:t xml:space="preserve">may </w:t>
      </w:r>
      <w:r w:rsidR="004A2AC7" w:rsidRPr="00053853">
        <w:rPr>
          <w:lang w:val="en-GB"/>
        </w:rPr>
        <w:t xml:space="preserve">be offered a cochlear implant. </w:t>
      </w:r>
      <w:r w:rsidR="00D80857" w:rsidRPr="00053853">
        <w:rPr>
          <w:lang w:val="en-GB"/>
        </w:rPr>
        <w:t>The patient expert noted that they</w:t>
      </w:r>
      <w:r w:rsidR="008F5F77" w:rsidRPr="00053853">
        <w:rPr>
          <w:lang w:val="en-GB"/>
        </w:rPr>
        <w:t xml:space="preserve"> would welcome treatment strategies that recover hearing loss, as well as treatment</w:t>
      </w:r>
      <w:r w:rsidR="00D84329" w:rsidRPr="00053853">
        <w:rPr>
          <w:lang w:val="en-GB"/>
        </w:rPr>
        <w:t>s</w:t>
      </w:r>
      <w:r w:rsidR="008F5F77" w:rsidRPr="00053853">
        <w:rPr>
          <w:lang w:val="en-GB"/>
        </w:rPr>
        <w:t xml:space="preserve"> that prevent hearing loss. The committee understood </w:t>
      </w:r>
      <w:r w:rsidR="007707EA" w:rsidRPr="00053853">
        <w:rPr>
          <w:lang w:val="en-GB"/>
        </w:rPr>
        <w:t xml:space="preserve">that </w:t>
      </w:r>
      <w:r w:rsidR="008F5F77" w:rsidRPr="00053853">
        <w:rPr>
          <w:lang w:val="en-GB"/>
        </w:rPr>
        <w:t>there is an unmet need in preventing hearing loss</w:t>
      </w:r>
      <w:r w:rsidR="00B66F7C">
        <w:rPr>
          <w:lang w:val="en-GB"/>
        </w:rPr>
        <w:t xml:space="preserve"> caused by</w:t>
      </w:r>
      <w:r w:rsidR="003F6246">
        <w:rPr>
          <w:lang w:val="en-GB"/>
        </w:rPr>
        <w:t xml:space="preserve"> cisplatin</w:t>
      </w:r>
      <w:r w:rsidR="008F5F77" w:rsidRPr="00053853">
        <w:rPr>
          <w:lang w:val="en-GB"/>
        </w:rPr>
        <w:t xml:space="preserve"> in </w:t>
      </w:r>
      <w:r w:rsidR="00BE0B3A" w:rsidRPr="00053853">
        <w:rPr>
          <w:lang w:val="en-GB"/>
        </w:rPr>
        <w:t xml:space="preserve">babies, </w:t>
      </w:r>
      <w:r w:rsidR="008F5F77" w:rsidRPr="00053853">
        <w:rPr>
          <w:lang w:val="en-GB"/>
        </w:rPr>
        <w:t xml:space="preserve">children and young people with </w:t>
      </w:r>
      <w:r w:rsidR="002B6C5C" w:rsidRPr="00053853">
        <w:rPr>
          <w:lang w:val="en-GB"/>
        </w:rPr>
        <w:t>localise</w:t>
      </w:r>
      <w:r w:rsidR="00E13C5C" w:rsidRPr="00053853">
        <w:rPr>
          <w:lang w:val="en-GB"/>
        </w:rPr>
        <w:t>d solid tumours</w:t>
      </w:r>
      <w:r w:rsidR="008F5F77" w:rsidRPr="00053853">
        <w:rPr>
          <w:lang w:val="en-GB"/>
        </w:rPr>
        <w:t>.</w:t>
      </w:r>
    </w:p>
    <w:p w14:paraId="25E6310F" w14:textId="77777777" w:rsidR="00375255" w:rsidRPr="00053853" w:rsidRDefault="00375255" w:rsidP="00F95A2F">
      <w:pPr>
        <w:pStyle w:val="Heading2"/>
      </w:pPr>
      <w:r w:rsidRPr="00053853">
        <w:t>Clinical effectiveness</w:t>
      </w:r>
    </w:p>
    <w:p w14:paraId="0AEBDDE1" w14:textId="44B26964" w:rsidR="00522387" w:rsidRPr="00053853" w:rsidRDefault="00522387" w:rsidP="00EA45B5">
      <w:pPr>
        <w:pStyle w:val="Heading3"/>
      </w:pPr>
      <w:bookmarkStart w:id="4" w:name="_Key_clinical_trials:"/>
      <w:bookmarkEnd w:id="4"/>
      <w:r w:rsidRPr="00053853">
        <w:t>Key clinical trial</w:t>
      </w:r>
      <w:r w:rsidR="00EA45B5" w:rsidRPr="00053853">
        <w:t>s: SIOPEL</w:t>
      </w:r>
      <w:r w:rsidR="009724FF" w:rsidRPr="00053853">
        <w:t> </w:t>
      </w:r>
      <w:r w:rsidR="00EA45B5" w:rsidRPr="00053853">
        <w:t>6 and COG</w:t>
      </w:r>
      <w:r w:rsidR="009724FF" w:rsidRPr="00053853">
        <w:t> </w:t>
      </w:r>
      <w:r w:rsidR="00EA45B5" w:rsidRPr="00053853">
        <w:t>ACCL0431</w:t>
      </w:r>
    </w:p>
    <w:p w14:paraId="4FB6E2E8" w14:textId="6263E2D9" w:rsidR="008A3260" w:rsidRPr="00053853" w:rsidRDefault="006A7F95" w:rsidP="008A3260">
      <w:pPr>
        <w:pStyle w:val="Numberedlevel2text"/>
        <w:rPr>
          <w:lang w:val="en-GB"/>
        </w:rPr>
      </w:pPr>
      <w:r w:rsidRPr="00053853">
        <w:rPr>
          <w:lang w:val="en-GB"/>
        </w:rPr>
        <w:t xml:space="preserve">The clinical trial evidence for </w:t>
      </w:r>
      <w:r w:rsidR="00165193" w:rsidRPr="00053853">
        <w:rPr>
          <w:lang w:val="en-GB"/>
        </w:rPr>
        <w:t xml:space="preserve">anhydrous sodium thiosulfate </w:t>
      </w:r>
      <w:r w:rsidR="00561976" w:rsidRPr="00053853">
        <w:rPr>
          <w:lang w:val="en-GB"/>
        </w:rPr>
        <w:t>is from 2</w:t>
      </w:r>
      <w:r w:rsidR="007B7C72">
        <w:rPr>
          <w:lang w:val="en-GB"/>
        </w:rPr>
        <w:t> </w:t>
      </w:r>
      <w:r w:rsidR="00561976" w:rsidRPr="00053853">
        <w:rPr>
          <w:lang w:val="en-GB"/>
        </w:rPr>
        <w:t>phase</w:t>
      </w:r>
      <w:r w:rsidR="003B5B3D" w:rsidRPr="00053853">
        <w:rPr>
          <w:lang w:val="en-GB"/>
        </w:rPr>
        <w:t> </w:t>
      </w:r>
      <w:r w:rsidR="00561976" w:rsidRPr="00053853">
        <w:rPr>
          <w:lang w:val="en-GB"/>
        </w:rPr>
        <w:t>3, open-label, randomise</w:t>
      </w:r>
      <w:r w:rsidR="00DD32B1" w:rsidRPr="00053853">
        <w:rPr>
          <w:lang w:val="en-GB"/>
        </w:rPr>
        <w:t>d</w:t>
      </w:r>
      <w:r w:rsidR="00DE273E" w:rsidRPr="00053853">
        <w:rPr>
          <w:lang w:val="en-GB"/>
        </w:rPr>
        <w:t xml:space="preserve"> controlled</w:t>
      </w:r>
      <w:r w:rsidR="00561976" w:rsidRPr="00053853" w:rsidDel="00DE273E">
        <w:rPr>
          <w:lang w:val="en-GB"/>
        </w:rPr>
        <w:t xml:space="preserve"> </w:t>
      </w:r>
      <w:r w:rsidR="00FB6E53" w:rsidRPr="00053853">
        <w:rPr>
          <w:lang w:val="en-GB"/>
        </w:rPr>
        <w:t xml:space="preserve">trials </w:t>
      </w:r>
      <w:r w:rsidR="006C47B2" w:rsidRPr="00053853">
        <w:rPr>
          <w:lang w:val="en-GB"/>
        </w:rPr>
        <w:t>comparing cisplatin-based chemotherapy plus anhydrous sodium thiosulfate with cisplatin-based chemotherapy without anhydrous sodium thiosulfate.</w:t>
      </w:r>
    </w:p>
    <w:p w14:paraId="3FE9BE6D" w14:textId="209B4330" w:rsidR="002F1CAD" w:rsidRPr="00053853" w:rsidRDefault="00DF7E49" w:rsidP="00483527">
      <w:pPr>
        <w:pStyle w:val="Bulletindent1"/>
      </w:pPr>
      <w:r w:rsidRPr="00053853">
        <w:t>SIOPEL</w:t>
      </w:r>
      <w:r w:rsidR="00970765" w:rsidRPr="00053853">
        <w:t> </w:t>
      </w:r>
      <w:r w:rsidRPr="00053853">
        <w:t>6 included 109</w:t>
      </w:r>
      <w:r w:rsidR="0076291C">
        <w:t> </w:t>
      </w:r>
      <w:r w:rsidRPr="00053853">
        <w:t xml:space="preserve">children aged </w:t>
      </w:r>
      <w:r w:rsidR="00912E1F" w:rsidRPr="00053853">
        <w:t xml:space="preserve">older than </w:t>
      </w:r>
      <w:r w:rsidRPr="00053853">
        <w:t>1</w:t>
      </w:r>
      <w:r w:rsidR="00A36DD3">
        <w:t> </w:t>
      </w:r>
      <w:r w:rsidRPr="00053853">
        <w:t>month to 1</w:t>
      </w:r>
      <w:r w:rsidR="002E3485" w:rsidRPr="00053853">
        <w:t>8</w:t>
      </w:r>
      <w:r w:rsidR="00A36DD3">
        <w:t> </w:t>
      </w:r>
      <w:r w:rsidRPr="00053853">
        <w:t>years</w:t>
      </w:r>
      <w:r w:rsidR="002416D1" w:rsidRPr="00053853">
        <w:t xml:space="preserve"> (mean </w:t>
      </w:r>
      <w:r w:rsidR="00D7542A" w:rsidRPr="00053853">
        <w:t>18.5 months)</w:t>
      </w:r>
      <w:r w:rsidRPr="00053853">
        <w:t xml:space="preserve"> </w:t>
      </w:r>
      <w:r w:rsidR="007468B0" w:rsidRPr="00053853">
        <w:t xml:space="preserve">with </w:t>
      </w:r>
      <w:r w:rsidRPr="00053853">
        <w:t>hepatoblastoma</w:t>
      </w:r>
      <w:r w:rsidR="001E3337" w:rsidRPr="00053853">
        <w:t xml:space="preserve"> </w:t>
      </w:r>
      <w:r w:rsidR="00B26B3F" w:rsidRPr="00053853">
        <w:t>(localised disease)</w:t>
      </w:r>
      <w:r w:rsidR="001E3337" w:rsidRPr="00053853">
        <w:t xml:space="preserve"> from 12</w:t>
      </w:r>
      <w:r w:rsidR="00AE4CB4">
        <w:t> </w:t>
      </w:r>
      <w:r w:rsidR="001E3337" w:rsidRPr="00053853">
        <w:t>countries, including the UK</w:t>
      </w:r>
      <w:r w:rsidR="0048387F" w:rsidRPr="00053853">
        <w:t>, having single-agent cisplatin chemotherapy</w:t>
      </w:r>
      <w:r w:rsidR="002051B8" w:rsidRPr="00053853">
        <w:t>.</w:t>
      </w:r>
      <w:r w:rsidR="00AB35F2" w:rsidRPr="00053853">
        <w:t xml:space="preserve"> </w:t>
      </w:r>
      <w:r w:rsidR="00CE71B7" w:rsidRPr="00053853">
        <w:t>The m</w:t>
      </w:r>
      <w:r w:rsidR="00F46FFF" w:rsidRPr="00053853">
        <w:t>edian follow</w:t>
      </w:r>
      <w:r w:rsidR="00290669">
        <w:t xml:space="preserve"> </w:t>
      </w:r>
      <w:r w:rsidR="00F46FFF" w:rsidRPr="00053853">
        <w:t>up was 4.27</w:t>
      </w:r>
      <w:r w:rsidR="00D15671" w:rsidRPr="00053853">
        <w:t> </w:t>
      </w:r>
      <w:r w:rsidR="00F46FFF" w:rsidRPr="00053853">
        <w:t xml:space="preserve">years and the primary outcome was </w:t>
      </w:r>
      <w:r w:rsidR="0043745C" w:rsidRPr="00053853">
        <w:t xml:space="preserve">incidence of </w:t>
      </w:r>
      <w:r w:rsidR="00F46FFF" w:rsidRPr="00053853">
        <w:t>hearing loss</w:t>
      </w:r>
      <w:r w:rsidR="00900633" w:rsidRPr="00053853">
        <w:t xml:space="preserve">, measured on the Brock scale </w:t>
      </w:r>
      <w:r w:rsidR="00900633" w:rsidRPr="00053853">
        <w:lastRenderedPageBreak/>
        <w:t>(graded 0 for no hearing loss to 4 for the most severe hearing loss). Secondary outcomes were overall survival and adverse events.</w:t>
      </w:r>
    </w:p>
    <w:p w14:paraId="7D541239" w14:textId="739BC232" w:rsidR="006B05BD" w:rsidRPr="00053853" w:rsidRDefault="00343B17" w:rsidP="006B05BD">
      <w:pPr>
        <w:pStyle w:val="Bulletindent1last"/>
      </w:pPr>
      <w:r w:rsidRPr="00053853">
        <w:t>COG</w:t>
      </w:r>
      <w:r w:rsidR="009724FF" w:rsidRPr="00053853">
        <w:t> </w:t>
      </w:r>
      <w:r w:rsidRPr="00053853">
        <w:t>ACCL0431 included 125</w:t>
      </w:r>
      <w:r w:rsidR="00DE0AE7">
        <w:t> </w:t>
      </w:r>
      <w:r w:rsidRPr="00053853">
        <w:t>children aged 1</w:t>
      </w:r>
      <w:r w:rsidR="00906597" w:rsidRPr="00053853">
        <w:t> </w:t>
      </w:r>
      <w:r w:rsidR="001F5352" w:rsidRPr="00053853">
        <w:t xml:space="preserve">year </w:t>
      </w:r>
      <w:r w:rsidRPr="00053853">
        <w:t xml:space="preserve">to </w:t>
      </w:r>
      <w:r w:rsidR="00E42D62" w:rsidRPr="00053853">
        <w:t>18</w:t>
      </w:r>
      <w:r w:rsidR="00906597" w:rsidRPr="00053853">
        <w:t> </w:t>
      </w:r>
      <w:r w:rsidR="00E42D62" w:rsidRPr="00053853">
        <w:t>years</w:t>
      </w:r>
      <w:r w:rsidR="00D7542A" w:rsidRPr="00053853">
        <w:t xml:space="preserve"> (mean 9.2</w:t>
      </w:r>
      <w:r w:rsidR="00906597" w:rsidRPr="00053853">
        <w:t> </w:t>
      </w:r>
      <w:r w:rsidR="00D7542A" w:rsidRPr="00053853">
        <w:t>years)</w:t>
      </w:r>
      <w:r w:rsidR="001F5352" w:rsidRPr="00053853">
        <w:t xml:space="preserve"> </w:t>
      </w:r>
      <w:r w:rsidR="00BB1847" w:rsidRPr="00053853">
        <w:t>with germ cell tumour, hepatoblastoma, medulloblastoma, neuroblastoma, osteosarcoma or other solid malignancy (localised and metastatic</w:t>
      </w:r>
      <w:r w:rsidR="00B26B3F" w:rsidRPr="00053853">
        <w:t xml:space="preserve"> disease</w:t>
      </w:r>
      <w:r w:rsidR="00BB1847" w:rsidRPr="00053853">
        <w:t>)</w:t>
      </w:r>
      <w:r w:rsidR="00F01C9E" w:rsidRPr="00053853">
        <w:t xml:space="preserve"> from the US and Canada. They had</w:t>
      </w:r>
      <w:r w:rsidR="00BB1847" w:rsidRPr="00053853">
        <w:t xml:space="preserve"> </w:t>
      </w:r>
      <w:r w:rsidR="00D20F6B" w:rsidRPr="00053853">
        <w:t xml:space="preserve">any cisplatin-containing </w:t>
      </w:r>
      <w:r w:rsidR="00BB1847" w:rsidRPr="00053853">
        <w:t>chemotherapy</w:t>
      </w:r>
      <w:r w:rsidR="00A90B31" w:rsidRPr="00053853">
        <w:t xml:space="preserve">. </w:t>
      </w:r>
      <w:r w:rsidR="00DB376A" w:rsidRPr="00053853">
        <w:t>The m</w:t>
      </w:r>
      <w:r w:rsidR="00F01C9E" w:rsidRPr="00053853">
        <w:t>edian follow</w:t>
      </w:r>
      <w:r w:rsidR="00290669">
        <w:t xml:space="preserve"> </w:t>
      </w:r>
      <w:r w:rsidR="00F01C9E" w:rsidRPr="00053853">
        <w:t>up was 5.33</w:t>
      </w:r>
      <w:r w:rsidR="00906597" w:rsidRPr="00053853">
        <w:t> </w:t>
      </w:r>
      <w:r w:rsidR="00F01C9E" w:rsidRPr="00053853">
        <w:t xml:space="preserve">years </w:t>
      </w:r>
      <w:r w:rsidR="000F1C76" w:rsidRPr="00053853">
        <w:t xml:space="preserve">and the primary outcome was </w:t>
      </w:r>
      <w:r w:rsidR="00934E52" w:rsidRPr="00053853">
        <w:t xml:space="preserve">incidence of </w:t>
      </w:r>
      <w:r w:rsidR="000F1C76" w:rsidRPr="00053853">
        <w:t>hearing loss, measured using ASHA criteria</w:t>
      </w:r>
      <w:r w:rsidR="008C399B" w:rsidRPr="00053853">
        <w:t xml:space="preserve">. </w:t>
      </w:r>
      <w:r w:rsidR="00E2761C" w:rsidRPr="00053853">
        <w:t>Secondary outcomes were overall survival and adverse events.</w:t>
      </w:r>
      <w:r w:rsidR="001E05C1" w:rsidRPr="00053853">
        <w:t xml:space="preserve"> </w:t>
      </w:r>
      <w:r w:rsidR="004B6C76" w:rsidRPr="00053853">
        <w:t>The committee was aware that</w:t>
      </w:r>
      <w:r w:rsidR="0031333F" w:rsidRPr="00053853">
        <w:t xml:space="preserve"> the</w:t>
      </w:r>
      <w:r w:rsidR="004B6C76" w:rsidRPr="00053853">
        <w:t xml:space="preserve"> ASHA </w:t>
      </w:r>
      <w:r w:rsidR="0031333F" w:rsidRPr="00053853">
        <w:t>scale can be used to measure grades of hearing loss</w:t>
      </w:r>
      <w:r w:rsidR="001810F0" w:rsidRPr="00053853">
        <w:t xml:space="preserve">, </w:t>
      </w:r>
      <w:r w:rsidR="0031333F" w:rsidRPr="00053853">
        <w:t xml:space="preserve">but in this trial it was used as a binary measure to detect </w:t>
      </w:r>
      <w:r w:rsidR="003A5104" w:rsidRPr="00053853">
        <w:t xml:space="preserve">whether or not </w:t>
      </w:r>
      <w:r w:rsidR="0031333F" w:rsidRPr="00053853">
        <w:t>hearing loss had happened.</w:t>
      </w:r>
      <w:r w:rsidR="00082F63" w:rsidRPr="00053853">
        <w:t xml:space="preserve"> </w:t>
      </w:r>
    </w:p>
    <w:p w14:paraId="4B9FDECF" w14:textId="5971C9B5" w:rsidR="00444074" w:rsidRPr="00053853" w:rsidRDefault="006406FD" w:rsidP="006406FD">
      <w:pPr>
        <w:pStyle w:val="Heading3"/>
      </w:pPr>
      <w:bookmarkStart w:id="5" w:name="_Clinical_trial_results:"/>
      <w:bookmarkEnd w:id="5"/>
      <w:r w:rsidRPr="00053853">
        <w:t>Clinical trial results: hearing loss</w:t>
      </w:r>
    </w:p>
    <w:p w14:paraId="16B72267" w14:textId="03B7EFAD" w:rsidR="00F03175" w:rsidRPr="00053853" w:rsidRDefault="007D078F">
      <w:pPr>
        <w:pStyle w:val="Numberedlevel2text"/>
        <w:rPr>
          <w:lang w:val="en-GB"/>
        </w:rPr>
      </w:pPr>
      <w:r w:rsidRPr="00053853">
        <w:rPr>
          <w:lang w:val="en-GB"/>
        </w:rPr>
        <w:t xml:space="preserve">Both </w:t>
      </w:r>
      <w:r w:rsidR="005837C2" w:rsidRPr="00053853">
        <w:rPr>
          <w:lang w:val="en-GB"/>
        </w:rPr>
        <w:t xml:space="preserve">trials showed a statistically significant reduction in </w:t>
      </w:r>
      <w:r w:rsidR="00C05C27" w:rsidRPr="00053853">
        <w:rPr>
          <w:lang w:val="en-GB"/>
        </w:rPr>
        <w:t xml:space="preserve">the </w:t>
      </w:r>
      <w:r w:rsidR="00FD70D9" w:rsidRPr="00053853">
        <w:rPr>
          <w:lang w:val="en-GB"/>
        </w:rPr>
        <w:t xml:space="preserve">incidence </w:t>
      </w:r>
      <w:r w:rsidR="00AF1F09" w:rsidRPr="00053853">
        <w:rPr>
          <w:lang w:val="en-GB"/>
        </w:rPr>
        <w:t>of</w:t>
      </w:r>
      <w:r w:rsidR="00FD70D9" w:rsidRPr="00053853">
        <w:rPr>
          <w:lang w:val="en-GB"/>
        </w:rPr>
        <w:t xml:space="preserve"> </w:t>
      </w:r>
      <w:r w:rsidR="005837C2" w:rsidRPr="00053853">
        <w:rPr>
          <w:lang w:val="en-GB"/>
        </w:rPr>
        <w:t xml:space="preserve">hearing loss </w:t>
      </w:r>
      <w:r w:rsidR="002B4F23" w:rsidRPr="00053853">
        <w:rPr>
          <w:lang w:val="en-GB"/>
        </w:rPr>
        <w:t xml:space="preserve">in </w:t>
      </w:r>
      <w:r w:rsidR="0009221D" w:rsidRPr="00053853">
        <w:rPr>
          <w:lang w:val="en-GB"/>
        </w:rPr>
        <w:t>children</w:t>
      </w:r>
      <w:r w:rsidR="006C0FFD" w:rsidRPr="00053853">
        <w:rPr>
          <w:lang w:val="en-GB"/>
        </w:rPr>
        <w:t xml:space="preserve"> and young people</w:t>
      </w:r>
      <w:r w:rsidR="0009221D" w:rsidRPr="00053853">
        <w:rPr>
          <w:lang w:val="en-GB"/>
        </w:rPr>
        <w:t xml:space="preserve"> who had anhydrous sodium thiosulfate</w:t>
      </w:r>
      <w:r w:rsidRPr="00053853">
        <w:rPr>
          <w:lang w:val="en-GB"/>
        </w:rPr>
        <w:t xml:space="preserve"> after cisplatin chemotherapy</w:t>
      </w:r>
      <w:r w:rsidR="0009221D" w:rsidRPr="00053853">
        <w:rPr>
          <w:lang w:val="en-GB"/>
        </w:rPr>
        <w:t>.</w:t>
      </w:r>
      <w:r w:rsidR="00D96D7E" w:rsidRPr="00053853">
        <w:rPr>
          <w:lang w:val="en-GB"/>
        </w:rPr>
        <w:t xml:space="preserve"> </w:t>
      </w:r>
      <w:r w:rsidR="00491225" w:rsidRPr="00053853">
        <w:rPr>
          <w:lang w:val="en-GB"/>
        </w:rPr>
        <w:t>The analysis for SI</w:t>
      </w:r>
      <w:r w:rsidR="00700A39" w:rsidRPr="00053853">
        <w:rPr>
          <w:lang w:val="en-GB"/>
        </w:rPr>
        <w:t>OPEL</w:t>
      </w:r>
      <w:r w:rsidR="006C0FFD" w:rsidRPr="00053853">
        <w:rPr>
          <w:lang w:val="en-GB"/>
        </w:rPr>
        <w:t> </w:t>
      </w:r>
      <w:r w:rsidR="00700A39" w:rsidRPr="00053853">
        <w:rPr>
          <w:lang w:val="en-GB"/>
        </w:rPr>
        <w:t xml:space="preserve">6 was </w:t>
      </w:r>
      <w:r w:rsidR="00D33FC1" w:rsidRPr="00053853">
        <w:rPr>
          <w:lang w:val="en-GB"/>
        </w:rPr>
        <w:t xml:space="preserve">for </w:t>
      </w:r>
      <w:r w:rsidR="00700A39" w:rsidRPr="00053853">
        <w:rPr>
          <w:lang w:val="en-GB"/>
        </w:rPr>
        <w:t>the whole</w:t>
      </w:r>
      <w:r w:rsidR="006C0FFD" w:rsidRPr="00053853">
        <w:rPr>
          <w:lang w:val="en-GB"/>
        </w:rPr>
        <w:t>-</w:t>
      </w:r>
      <w:r w:rsidR="00700A39" w:rsidRPr="00053853">
        <w:rPr>
          <w:lang w:val="en-GB"/>
        </w:rPr>
        <w:t>trial population and showed that</w:t>
      </w:r>
      <w:r w:rsidR="00493BCC" w:rsidRPr="00053853">
        <w:rPr>
          <w:lang w:val="en-GB"/>
        </w:rPr>
        <w:t xml:space="preserve"> </w:t>
      </w:r>
      <w:r w:rsidR="00FD6ADB" w:rsidRPr="00053853">
        <w:rPr>
          <w:lang w:val="en-GB"/>
        </w:rPr>
        <w:t>h</w:t>
      </w:r>
      <w:r w:rsidR="00F03175" w:rsidRPr="00053853">
        <w:rPr>
          <w:lang w:val="en-GB"/>
        </w:rPr>
        <w:t>earing loss</w:t>
      </w:r>
      <w:r w:rsidR="007E4919" w:rsidRPr="00053853">
        <w:rPr>
          <w:lang w:val="en-GB"/>
        </w:rPr>
        <w:t xml:space="preserve">, </w:t>
      </w:r>
      <w:r w:rsidRPr="00053853">
        <w:rPr>
          <w:lang w:val="en-GB"/>
        </w:rPr>
        <w:t xml:space="preserve">measured using the </w:t>
      </w:r>
      <w:r w:rsidR="00492A29" w:rsidRPr="00053853">
        <w:rPr>
          <w:lang w:val="en-GB"/>
        </w:rPr>
        <w:t>Brock</w:t>
      </w:r>
      <w:r w:rsidRPr="00053853">
        <w:rPr>
          <w:lang w:val="en-GB"/>
        </w:rPr>
        <w:t xml:space="preserve"> scale</w:t>
      </w:r>
      <w:r w:rsidR="00234CD1" w:rsidRPr="00053853">
        <w:rPr>
          <w:lang w:val="en-GB"/>
        </w:rPr>
        <w:t xml:space="preserve"> </w:t>
      </w:r>
      <w:r w:rsidRPr="00053853">
        <w:rPr>
          <w:lang w:val="en-GB"/>
        </w:rPr>
        <w:t>in</w:t>
      </w:r>
      <w:r w:rsidR="000921A2" w:rsidRPr="00053853">
        <w:rPr>
          <w:lang w:val="en-GB"/>
        </w:rPr>
        <w:t xml:space="preserve"> </w:t>
      </w:r>
      <w:r w:rsidR="00234CD1" w:rsidRPr="00053853">
        <w:rPr>
          <w:lang w:val="en-GB"/>
        </w:rPr>
        <w:t>children</w:t>
      </w:r>
      <w:r w:rsidR="006C0FFD" w:rsidRPr="00053853">
        <w:rPr>
          <w:lang w:val="en-GB"/>
        </w:rPr>
        <w:t xml:space="preserve"> and young people</w:t>
      </w:r>
      <w:r w:rsidR="00234CD1" w:rsidRPr="00053853">
        <w:rPr>
          <w:lang w:val="en-GB"/>
        </w:rPr>
        <w:t xml:space="preserve"> with localised</w:t>
      </w:r>
      <w:r w:rsidR="00BB62AC" w:rsidRPr="00053853">
        <w:rPr>
          <w:lang w:val="en-GB"/>
        </w:rPr>
        <w:t xml:space="preserve"> hepatoblastoma</w:t>
      </w:r>
      <w:r w:rsidR="00234CD1" w:rsidRPr="00053853">
        <w:rPr>
          <w:lang w:val="en-GB"/>
        </w:rPr>
        <w:t xml:space="preserve"> only</w:t>
      </w:r>
      <w:r w:rsidR="007E4919" w:rsidRPr="00053853">
        <w:rPr>
          <w:lang w:val="en-GB"/>
        </w:rPr>
        <w:t>,</w:t>
      </w:r>
      <w:r w:rsidR="00082F63" w:rsidRPr="00053853">
        <w:rPr>
          <w:lang w:val="en-GB"/>
        </w:rPr>
        <w:t xml:space="preserve"> </w:t>
      </w:r>
      <w:r w:rsidR="00964830" w:rsidRPr="00053853">
        <w:rPr>
          <w:lang w:val="en-GB"/>
        </w:rPr>
        <w:t xml:space="preserve">occurred </w:t>
      </w:r>
      <w:r w:rsidR="008B6E9B" w:rsidRPr="00053853">
        <w:rPr>
          <w:lang w:val="en-GB"/>
        </w:rPr>
        <w:t>in</w:t>
      </w:r>
      <w:r w:rsidR="00F03175" w:rsidRPr="00053853">
        <w:rPr>
          <w:lang w:val="en-GB"/>
        </w:rPr>
        <w:t>:</w:t>
      </w:r>
    </w:p>
    <w:p w14:paraId="603F6A18" w14:textId="3ACB27BA" w:rsidR="00F03175" w:rsidRPr="00053853" w:rsidRDefault="004722C7" w:rsidP="00483527">
      <w:pPr>
        <w:pStyle w:val="Bulletindent1"/>
      </w:pPr>
      <w:r w:rsidRPr="00053853">
        <w:t>63</w:t>
      </w:r>
      <w:r w:rsidR="00171964" w:rsidRPr="00053853">
        <w:t>.0</w:t>
      </w:r>
      <w:r w:rsidRPr="00053853">
        <w:t xml:space="preserve">% </w:t>
      </w:r>
      <w:r w:rsidR="00153511" w:rsidRPr="00053853">
        <w:t xml:space="preserve">(n=29) </w:t>
      </w:r>
      <w:r w:rsidRPr="00053853">
        <w:t>of children who had cisplatin</w:t>
      </w:r>
      <w:r w:rsidR="006851FD" w:rsidRPr="00053853">
        <w:t xml:space="preserve"> only</w:t>
      </w:r>
    </w:p>
    <w:p w14:paraId="2740DE28" w14:textId="3E92AF85" w:rsidR="00CD0789" w:rsidRPr="00053853" w:rsidRDefault="00F03175">
      <w:pPr>
        <w:pStyle w:val="Bulletindent1last"/>
      </w:pPr>
      <w:r w:rsidRPr="00053853">
        <w:t>32.7% (n=</w:t>
      </w:r>
      <w:r w:rsidR="00D744B0" w:rsidRPr="00053853">
        <w:t>18)</w:t>
      </w:r>
      <w:r w:rsidRPr="00053853">
        <w:t xml:space="preserve"> of children who had cisplatin </w:t>
      </w:r>
      <w:r w:rsidR="004B2588" w:rsidRPr="00053853">
        <w:t>then</w:t>
      </w:r>
      <w:r w:rsidRPr="00053853">
        <w:t xml:space="preserve"> anhydrous sodium thiosulfate</w:t>
      </w:r>
      <w:r w:rsidR="00751A33" w:rsidRPr="00053853">
        <w:t xml:space="preserve"> (relative risk 0.52</w:t>
      </w:r>
      <w:r w:rsidR="00FE196D" w:rsidRPr="00053853">
        <w:t>,</w:t>
      </w:r>
      <w:r w:rsidR="00751A33" w:rsidRPr="00053853">
        <w:t xml:space="preserve"> </w:t>
      </w:r>
      <w:r w:rsidR="006B2583" w:rsidRPr="00053853">
        <w:t>95%</w:t>
      </w:r>
      <w:r w:rsidR="00751A33" w:rsidRPr="00053853">
        <w:t xml:space="preserve"> confidence interval</w:t>
      </w:r>
      <w:r w:rsidR="00B35F39" w:rsidRPr="00053853">
        <w:t xml:space="preserve"> [</w:t>
      </w:r>
      <w:r w:rsidR="006B2583" w:rsidRPr="00053853">
        <w:t>CI</w:t>
      </w:r>
      <w:r w:rsidR="00B35F39" w:rsidRPr="00053853">
        <w:t>]</w:t>
      </w:r>
      <w:r w:rsidR="00751A33" w:rsidRPr="00053853">
        <w:t xml:space="preserve"> </w:t>
      </w:r>
      <w:r w:rsidR="008C0D4F" w:rsidRPr="00053853">
        <w:t>0.3</w:t>
      </w:r>
      <w:r w:rsidR="00E8761C" w:rsidRPr="00053853">
        <w:t>4</w:t>
      </w:r>
      <w:r w:rsidR="008C0D4F" w:rsidRPr="00053853">
        <w:t xml:space="preserve"> to 0.</w:t>
      </w:r>
      <w:r w:rsidR="0015154B" w:rsidRPr="00053853">
        <w:t>79</w:t>
      </w:r>
      <w:r w:rsidR="00FE196D" w:rsidRPr="00053853">
        <w:t xml:space="preserve">; </w:t>
      </w:r>
      <w:r w:rsidR="00C50275" w:rsidRPr="00053853">
        <w:t>p</w:t>
      </w:r>
      <w:r w:rsidR="0098717E" w:rsidRPr="00053853">
        <w:t>=</w:t>
      </w:r>
      <w:r w:rsidR="00C50275" w:rsidRPr="00053853">
        <w:t>0.00</w:t>
      </w:r>
      <w:r w:rsidR="0098717E" w:rsidRPr="00053853">
        <w:t>2</w:t>
      </w:r>
      <w:r w:rsidR="008C0D4F" w:rsidRPr="00053853">
        <w:t>)</w:t>
      </w:r>
      <w:r w:rsidR="00D96D7E" w:rsidRPr="00053853">
        <w:t>.</w:t>
      </w:r>
    </w:p>
    <w:p w14:paraId="24D0CD39" w14:textId="3A8E5689" w:rsidR="007319DE" w:rsidRPr="00053853" w:rsidRDefault="007319DE" w:rsidP="00CD0789">
      <w:pPr>
        <w:pStyle w:val="NICEnormalindented"/>
      </w:pPr>
      <w:r w:rsidRPr="00053853">
        <w:t>SIOPEL</w:t>
      </w:r>
      <w:r w:rsidR="006C0FFD" w:rsidRPr="00053853">
        <w:t> </w:t>
      </w:r>
      <w:r w:rsidRPr="00053853">
        <w:t xml:space="preserve">6 also showed that, if children did develop hearing loss, it was less severe overall </w:t>
      </w:r>
      <w:r w:rsidR="00D74848" w:rsidRPr="00053853">
        <w:t xml:space="preserve">in </w:t>
      </w:r>
      <w:r w:rsidRPr="00053853">
        <w:t xml:space="preserve">children who had anhydrous sodium thiosulfate. </w:t>
      </w:r>
    </w:p>
    <w:p w14:paraId="2F94BB62" w14:textId="0971AD5A" w:rsidR="00D744B0" w:rsidRPr="00053853" w:rsidRDefault="005F0338" w:rsidP="00CD0789">
      <w:pPr>
        <w:pStyle w:val="NICEnormalindented"/>
      </w:pPr>
      <w:r w:rsidRPr="00053853">
        <w:t>I</w:t>
      </w:r>
      <w:r w:rsidR="00D744B0" w:rsidRPr="00053853">
        <w:t>n COG</w:t>
      </w:r>
      <w:r w:rsidR="006C0FFD" w:rsidRPr="00053853">
        <w:t> </w:t>
      </w:r>
      <w:r w:rsidR="00D744B0" w:rsidRPr="00053853">
        <w:t>ACCL0431</w:t>
      </w:r>
      <w:r w:rsidR="00F5678B" w:rsidRPr="00053853">
        <w:t>,</w:t>
      </w:r>
      <w:r w:rsidRPr="00053853">
        <w:t xml:space="preserve"> </w:t>
      </w:r>
      <w:r w:rsidR="000D1AEA" w:rsidRPr="00053853">
        <w:t>analysis based on the whole</w:t>
      </w:r>
      <w:r w:rsidR="006C0FFD" w:rsidRPr="00053853">
        <w:t>-</w:t>
      </w:r>
      <w:r w:rsidR="000D1AEA" w:rsidRPr="00053853">
        <w:t xml:space="preserve">trial population showed that hearing loss </w:t>
      </w:r>
      <w:r w:rsidR="00D744B0" w:rsidRPr="00053853" w:rsidDel="005F0338">
        <w:t>(</w:t>
      </w:r>
      <w:r w:rsidR="00B45ECF" w:rsidRPr="00053853">
        <w:t xml:space="preserve">measured using the </w:t>
      </w:r>
      <w:r w:rsidR="00234CD1" w:rsidRPr="00053853">
        <w:t>ASHA</w:t>
      </w:r>
      <w:r w:rsidR="00B45ECF" w:rsidRPr="00053853">
        <w:t xml:space="preserve"> scale in</w:t>
      </w:r>
      <w:r w:rsidR="00234CD1" w:rsidRPr="00053853">
        <w:t xml:space="preserve"> children with </w:t>
      </w:r>
      <w:r w:rsidR="00BB62AC" w:rsidRPr="00053853">
        <w:t xml:space="preserve">different tumour types and </w:t>
      </w:r>
      <w:r w:rsidR="00234CD1" w:rsidRPr="00053853">
        <w:t>localised and metastatic disease</w:t>
      </w:r>
      <w:r w:rsidR="00E66395" w:rsidRPr="00053853">
        <w:t>)</w:t>
      </w:r>
      <w:r w:rsidR="00F4140E" w:rsidRPr="00053853">
        <w:t xml:space="preserve"> developed in</w:t>
      </w:r>
      <w:r w:rsidR="00A317E9" w:rsidRPr="00053853">
        <w:t>:</w:t>
      </w:r>
    </w:p>
    <w:p w14:paraId="249DF5BE" w14:textId="43A306EF" w:rsidR="00B04F27" w:rsidRPr="00053853" w:rsidRDefault="00171964" w:rsidP="00B04F27">
      <w:pPr>
        <w:pStyle w:val="Bulletindent1"/>
      </w:pPr>
      <w:r w:rsidRPr="00053853">
        <w:t>56.4% (n=</w:t>
      </w:r>
      <w:r w:rsidR="00CE1E51" w:rsidRPr="00053853">
        <w:t>31)</w:t>
      </w:r>
      <w:r w:rsidRPr="00053853">
        <w:t xml:space="preserve"> of children who had cisplatin</w:t>
      </w:r>
      <w:r w:rsidR="006851FD" w:rsidRPr="00053853">
        <w:t xml:space="preserve"> only</w:t>
      </w:r>
    </w:p>
    <w:p w14:paraId="41D90E2D" w14:textId="4BA26539" w:rsidR="00CD0789" w:rsidRPr="00053853" w:rsidRDefault="00CE1E51">
      <w:pPr>
        <w:pStyle w:val="Bulletindent1last"/>
      </w:pPr>
      <w:r w:rsidRPr="00053853">
        <w:lastRenderedPageBreak/>
        <w:t xml:space="preserve">28.6% (n=14) of children who had cisplatin </w:t>
      </w:r>
      <w:r w:rsidR="004B2588" w:rsidRPr="00053853">
        <w:t>then</w:t>
      </w:r>
      <w:r w:rsidRPr="00053853">
        <w:t xml:space="preserve"> anhydrous sodium thiosulfate</w:t>
      </w:r>
      <w:r w:rsidR="00376C3D" w:rsidRPr="00053853">
        <w:t xml:space="preserve"> (odds ratio 0.27</w:t>
      </w:r>
      <w:r w:rsidR="0096338A" w:rsidRPr="00053853">
        <w:t xml:space="preserve">, </w:t>
      </w:r>
      <w:r w:rsidR="006F4A4A" w:rsidRPr="00053853">
        <w:t>95% CI</w:t>
      </w:r>
      <w:r w:rsidR="0096338A" w:rsidRPr="00053853">
        <w:t xml:space="preserve"> 0.11 to 0.66</w:t>
      </w:r>
      <w:r w:rsidR="0068371C" w:rsidRPr="00053853">
        <w:t>,</w:t>
      </w:r>
      <w:r w:rsidR="0096338A" w:rsidRPr="00053853">
        <w:t xml:space="preserve"> p</w:t>
      </w:r>
      <w:r w:rsidR="00B13403" w:rsidRPr="00053853">
        <w:t>=0.0039</w:t>
      </w:r>
      <w:r w:rsidR="002A0266" w:rsidRPr="00053853">
        <w:t xml:space="preserve">; relative risk </w:t>
      </w:r>
      <w:r w:rsidR="009E6B73" w:rsidRPr="00053853">
        <w:t xml:space="preserve">0.52, 95% </w:t>
      </w:r>
      <w:r w:rsidR="00B35F39" w:rsidRPr="00053853">
        <w:t>CI</w:t>
      </w:r>
      <w:r w:rsidR="009E6B73" w:rsidRPr="00053853">
        <w:t xml:space="preserve"> 0.32 to 0.84, p=0.004</w:t>
      </w:r>
      <w:r w:rsidR="00C810AB" w:rsidRPr="00053853">
        <w:t>)</w:t>
      </w:r>
      <w:r w:rsidRPr="00053853">
        <w:t>.</w:t>
      </w:r>
    </w:p>
    <w:p w14:paraId="5A440EC1" w14:textId="74C24C2B" w:rsidR="00D8221B" w:rsidRPr="00053853" w:rsidRDefault="00442264" w:rsidP="00DF5796">
      <w:pPr>
        <w:pStyle w:val="NICEnormalindented"/>
      </w:pPr>
      <w:r w:rsidRPr="00053853">
        <w:t xml:space="preserve">In </w:t>
      </w:r>
      <w:r w:rsidR="005550FA" w:rsidRPr="00053853">
        <w:t xml:space="preserve">the </w:t>
      </w:r>
      <w:r w:rsidR="008A505D" w:rsidRPr="00053853">
        <w:t>sub</w:t>
      </w:r>
      <w:r w:rsidR="005550FA" w:rsidRPr="00053853">
        <w:t xml:space="preserve">group of </w:t>
      </w:r>
      <w:r w:rsidR="00384259" w:rsidRPr="00053853">
        <w:t xml:space="preserve">people </w:t>
      </w:r>
      <w:r w:rsidR="005550FA" w:rsidRPr="00053853">
        <w:t xml:space="preserve">with localised disease </w:t>
      </w:r>
      <w:r w:rsidR="0096611D" w:rsidRPr="00053853">
        <w:t xml:space="preserve">in </w:t>
      </w:r>
      <w:r w:rsidR="00B855EB" w:rsidRPr="00053853">
        <w:t>COG</w:t>
      </w:r>
      <w:r w:rsidR="006C0FFD" w:rsidRPr="00053853">
        <w:t> </w:t>
      </w:r>
      <w:r w:rsidR="00B855EB" w:rsidRPr="00053853">
        <w:t>ACCL0431</w:t>
      </w:r>
      <w:r w:rsidR="00133EC7" w:rsidRPr="00053853">
        <w:t xml:space="preserve">, </w:t>
      </w:r>
      <w:r w:rsidR="005550FA" w:rsidRPr="00053853">
        <w:t xml:space="preserve">the treatment effect of </w:t>
      </w:r>
      <w:r w:rsidR="00120E31" w:rsidRPr="00053853">
        <w:t xml:space="preserve">anhydrous sodium thiosulfate after cisplatin chemotherapy </w:t>
      </w:r>
      <w:r w:rsidR="008A505D" w:rsidRPr="00053853">
        <w:t>was</w:t>
      </w:r>
      <w:r w:rsidR="00CE0EAC" w:rsidRPr="00053853">
        <w:t xml:space="preserve"> largely in the same direction as in the whole</w:t>
      </w:r>
      <w:r w:rsidR="006C0FFD" w:rsidRPr="00053853">
        <w:t>-</w:t>
      </w:r>
      <w:r w:rsidR="00CE0EAC" w:rsidRPr="00053853">
        <w:t>trial population</w:t>
      </w:r>
      <w:r w:rsidR="00D87493" w:rsidRPr="00053853">
        <w:t>.</w:t>
      </w:r>
      <w:r w:rsidR="0077269E" w:rsidRPr="00053853">
        <w:t xml:space="preserve"> </w:t>
      </w:r>
      <w:r w:rsidR="00D87493" w:rsidRPr="00053853">
        <w:t>T</w:t>
      </w:r>
      <w:r w:rsidR="00D8221B" w:rsidRPr="00053853">
        <w:t xml:space="preserve">he results were not statistically </w:t>
      </w:r>
      <w:r w:rsidR="00D87493" w:rsidRPr="00053853">
        <w:t>significantly</w:t>
      </w:r>
      <w:r w:rsidR="001742CA">
        <w:t xml:space="preserve"> different</w:t>
      </w:r>
      <w:r w:rsidR="00D8221B" w:rsidRPr="00053853">
        <w:t xml:space="preserve"> (</w:t>
      </w:r>
      <w:r w:rsidR="00803304" w:rsidRPr="00053853">
        <w:t xml:space="preserve">the company considers this </w:t>
      </w:r>
      <w:r w:rsidR="00D8221B" w:rsidRPr="00053853">
        <w:t>data confidential</w:t>
      </w:r>
      <w:r w:rsidR="00AF641F" w:rsidRPr="00053853">
        <w:t>,</w:t>
      </w:r>
      <w:r w:rsidR="00D8221B" w:rsidRPr="00053853">
        <w:t xml:space="preserve"> so </w:t>
      </w:r>
      <w:r w:rsidR="00D87493" w:rsidRPr="00053853">
        <w:t xml:space="preserve">it is </w:t>
      </w:r>
      <w:r w:rsidR="00D8221B" w:rsidRPr="00053853">
        <w:t>not reported here)</w:t>
      </w:r>
      <w:r w:rsidR="00B13403" w:rsidRPr="00053853">
        <w:t>.</w:t>
      </w:r>
    </w:p>
    <w:p w14:paraId="5AE8A914" w14:textId="3554B061" w:rsidR="00206580" w:rsidRPr="00053853" w:rsidRDefault="00287E4E" w:rsidP="00DF5796">
      <w:pPr>
        <w:pStyle w:val="NICEnormalindented"/>
      </w:pPr>
      <w:r w:rsidRPr="00053853">
        <w:t>Because</w:t>
      </w:r>
      <w:r w:rsidR="00C6407B" w:rsidRPr="00053853">
        <w:t xml:space="preserve"> the</w:t>
      </w:r>
      <w:r w:rsidRPr="00053853">
        <w:t xml:space="preserve"> ASHA</w:t>
      </w:r>
      <w:r w:rsidR="006C0FFD" w:rsidRPr="00053853">
        <w:t xml:space="preserve"> scale</w:t>
      </w:r>
      <w:r w:rsidRPr="00053853">
        <w:t xml:space="preserve"> </w:t>
      </w:r>
      <w:r w:rsidR="00605005" w:rsidRPr="00053853">
        <w:t xml:space="preserve">was used </w:t>
      </w:r>
      <w:r w:rsidR="00B54464" w:rsidRPr="00053853">
        <w:t>in COG</w:t>
      </w:r>
      <w:r w:rsidR="006C0FFD" w:rsidRPr="00053853">
        <w:t> </w:t>
      </w:r>
      <w:r w:rsidR="00B54464" w:rsidRPr="00053853">
        <w:t xml:space="preserve">ACCL0431 </w:t>
      </w:r>
      <w:r w:rsidR="00CB4140" w:rsidRPr="00053853">
        <w:t xml:space="preserve">as a binary outcome </w:t>
      </w:r>
      <w:r w:rsidR="00C04C4C" w:rsidRPr="00053853">
        <w:t xml:space="preserve">to </w:t>
      </w:r>
      <w:r w:rsidR="00C93B40" w:rsidRPr="00053853">
        <w:t xml:space="preserve">detect </w:t>
      </w:r>
      <w:r w:rsidR="003E2AFB" w:rsidRPr="00053853">
        <w:t xml:space="preserve">incidence of </w:t>
      </w:r>
      <w:r w:rsidR="005F6F4A" w:rsidRPr="00053853">
        <w:t>hearing loss</w:t>
      </w:r>
      <w:r w:rsidR="00954171" w:rsidRPr="00053853">
        <w:t xml:space="preserve"> and</w:t>
      </w:r>
      <w:r w:rsidR="004F1CBD" w:rsidRPr="00053853">
        <w:t xml:space="preserve"> did not capture the </w:t>
      </w:r>
      <w:r w:rsidR="00FF41E2" w:rsidRPr="00053853">
        <w:t>severity of</w:t>
      </w:r>
      <w:r w:rsidR="004F1CBD" w:rsidRPr="00053853">
        <w:t xml:space="preserve"> hearing loss</w:t>
      </w:r>
      <w:r w:rsidR="00A12C30" w:rsidRPr="00053853">
        <w:t xml:space="preserve"> (see </w:t>
      </w:r>
      <w:hyperlink w:anchor="_Key_clinical_trials:" w:history="1">
        <w:r w:rsidR="00A12C30" w:rsidRPr="00053853">
          <w:rPr>
            <w:rStyle w:val="Hyperlink"/>
          </w:rPr>
          <w:t>section</w:t>
        </w:r>
        <w:r w:rsidR="00D65FA9">
          <w:rPr>
            <w:rStyle w:val="Hyperlink"/>
          </w:rPr>
          <w:t> </w:t>
        </w:r>
        <w:r w:rsidR="00FD7549" w:rsidRPr="00053853">
          <w:rPr>
            <w:rStyle w:val="Hyperlink"/>
          </w:rPr>
          <w:t>3.</w:t>
        </w:r>
        <w:r w:rsidR="0035525D" w:rsidRPr="00053853">
          <w:rPr>
            <w:rStyle w:val="Hyperlink"/>
          </w:rPr>
          <w:t>5</w:t>
        </w:r>
      </w:hyperlink>
      <w:r w:rsidR="00A12C30" w:rsidRPr="00053853">
        <w:t>)</w:t>
      </w:r>
      <w:r w:rsidR="004F1CBD" w:rsidRPr="00053853">
        <w:t xml:space="preserve">, </w:t>
      </w:r>
      <w:r w:rsidR="005F6F4A" w:rsidRPr="00053853">
        <w:t xml:space="preserve">the company also presented evidence from </w:t>
      </w:r>
      <w:r w:rsidR="00467EE1" w:rsidRPr="00053853">
        <w:t xml:space="preserve">Orgel et al. </w:t>
      </w:r>
      <w:r w:rsidR="00AF641F" w:rsidRPr="00053853">
        <w:t>(</w:t>
      </w:r>
      <w:r w:rsidR="00467EE1" w:rsidRPr="00053853">
        <w:t>2023</w:t>
      </w:r>
      <w:r w:rsidR="00AF641F" w:rsidRPr="00053853">
        <w:t>)</w:t>
      </w:r>
      <w:r w:rsidR="00642654" w:rsidRPr="00053853">
        <w:t>.</w:t>
      </w:r>
      <w:r w:rsidR="00EF3771" w:rsidRPr="00053853">
        <w:t xml:space="preserve"> </w:t>
      </w:r>
      <w:r w:rsidR="00642654" w:rsidRPr="00053853">
        <w:t>This</w:t>
      </w:r>
      <w:r w:rsidR="00EF3771" w:rsidRPr="00053853">
        <w:t xml:space="preserve"> was a post</w:t>
      </w:r>
      <w:r w:rsidR="006E2314" w:rsidRPr="00053853">
        <w:t xml:space="preserve"> </w:t>
      </w:r>
      <w:r w:rsidR="00EF3771" w:rsidRPr="00053853">
        <w:t xml:space="preserve">hoc analysis of </w:t>
      </w:r>
      <w:r w:rsidR="00702504" w:rsidRPr="00053853">
        <w:t xml:space="preserve">the audiology data from </w:t>
      </w:r>
      <w:r w:rsidR="00EF3771" w:rsidRPr="00053853">
        <w:t>COG</w:t>
      </w:r>
      <w:r w:rsidR="00702504" w:rsidRPr="00053853">
        <w:t> </w:t>
      </w:r>
      <w:r w:rsidR="00EF3771" w:rsidRPr="00053853">
        <w:t>ACCL</w:t>
      </w:r>
      <w:r w:rsidR="00144F09" w:rsidRPr="00053853">
        <w:t>0431</w:t>
      </w:r>
      <w:r w:rsidR="003635F6" w:rsidRPr="00053853">
        <w:t xml:space="preserve"> </w:t>
      </w:r>
      <w:r w:rsidR="00F509F3" w:rsidRPr="00053853">
        <w:t xml:space="preserve">using </w:t>
      </w:r>
      <w:r w:rsidR="00FD7549" w:rsidRPr="00053853">
        <w:t xml:space="preserve">the </w:t>
      </w:r>
      <w:r w:rsidR="00F509F3" w:rsidRPr="00053853">
        <w:t>SIOP scale</w:t>
      </w:r>
      <w:r w:rsidR="001C0C72" w:rsidRPr="00053853">
        <w:t xml:space="preserve"> based on the whole</w:t>
      </w:r>
      <w:r w:rsidR="00702504" w:rsidRPr="00053853">
        <w:t>-</w:t>
      </w:r>
      <w:r w:rsidR="001C0C72" w:rsidRPr="00053853">
        <w:t>trial population</w:t>
      </w:r>
      <w:r w:rsidR="00642654" w:rsidRPr="00053853">
        <w:t>. It</w:t>
      </w:r>
      <w:r w:rsidR="0016060F" w:rsidRPr="00053853">
        <w:t xml:space="preserve"> reported </w:t>
      </w:r>
      <w:r w:rsidR="00756141" w:rsidRPr="00053853">
        <w:t xml:space="preserve">hearing loss </w:t>
      </w:r>
      <w:r w:rsidR="00EC56A5" w:rsidRPr="00053853">
        <w:t xml:space="preserve">using thresholds of </w:t>
      </w:r>
      <w:r w:rsidR="004F4848" w:rsidRPr="00053853">
        <w:t>SIOP grade</w:t>
      </w:r>
      <w:r w:rsidR="009F5D25">
        <w:t> </w:t>
      </w:r>
      <w:r w:rsidR="004F4848" w:rsidRPr="00053853">
        <w:t xml:space="preserve">1 and </w:t>
      </w:r>
      <w:r w:rsidR="00EF2F86" w:rsidRPr="00053853">
        <w:t>above</w:t>
      </w:r>
      <w:r w:rsidR="004F4848" w:rsidRPr="00053853">
        <w:t xml:space="preserve"> and </w:t>
      </w:r>
      <w:r w:rsidR="00F17455" w:rsidRPr="00053853">
        <w:t xml:space="preserve">SIOP </w:t>
      </w:r>
      <w:r w:rsidR="009F5D25" w:rsidRPr="00053853">
        <w:t>grade</w:t>
      </w:r>
      <w:r w:rsidR="009F5D25">
        <w:t> </w:t>
      </w:r>
      <w:r w:rsidR="00F17455" w:rsidRPr="00053853">
        <w:t>2 and above.</w:t>
      </w:r>
      <w:r w:rsidR="001D41D8" w:rsidRPr="00053853">
        <w:t xml:space="preserve"> </w:t>
      </w:r>
      <w:r w:rsidR="00B65E1B" w:rsidRPr="00053853">
        <w:t xml:space="preserve">This post hoc analysis </w:t>
      </w:r>
      <w:r w:rsidR="001D41D8" w:rsidRPr="00053853">
        <w:t xml:space="preserve">also showed a statistically significant </w:t>
      </w:r>
      <w:r w:rsidR="00170355" w:rsidRPr="00053853">
        <w:t xml:space="preserve">reduction in </w:t>
      </w:r>
      <w:r w:rsidR="002A557A" w:rsidRPr="00053853">
        <w:t>risk of</w:t>
      </w:r>
      <w:r w:rsidR="00EB1819">
        <w:t xml:space="preserve"> either</w:t>
      </w:r>
      <w:r w:rsidR="00D10766" w:rsidRPr="00053853">
        <w:t xml:space="preserve"> </w:t>
      </w:r>
      <w:r w:rsidR="00667262" w:rsidRPr="00053853">
        <w:t>SIOP grade</w:t>
      </w:r>
      <w:r w:rsidR="00667262">
        <w:t> </w:t>
      </w:r>
      <w:r w:rsidR="00667262" w:rsidRPr="00053853">
        <w:t>1 and above or SIOP grade</w:t>
      </w:r>
      <w:r w:rsidR="00667262">
        <w:t> </w:t>
      </w:r>
      <w:r w:rsidR="00667262" w:rsidRPr="00053853">
        <w:t xml:space="preserve">2 and above </w:t>
      </w:r>
      <w:r w:rsidR="00170355" w:rsidRPr="00053853">
        <w:t xml:space="preserve">hearing loss in </w:t>
      </w:r>
      <w:r w:rsidR="001D41D8" w:rsidRPr="00053853">
        <w:t>children who had anhydrous sodium thiosulfate</w:t>
      </w:r>
      <w:r w:rsidR="00430372" w:rsidRPr="00053853">
        <w:t xml:space="preserve"> </w:t>
      </w:r>
      <w:r w:rsidR="00224463" w:rsidRPr="00053853">
        <w:t>in the whole</w:t>
      </w:r>
      <w:r w:rsidR="003424A6" w:rsidRPr="00053853">
        <w:t>-</w:t>
      </w:r>
      <w:r w:rsidR="00224463" w:rsidRPr="00053853">
        <w:t>trial population</w:t>
      </w:r>
      <w:r w:rsidR="00602DCE" w:rsidRPr="00053853">
        <w:t xml:space="preserve"> of COG</w:t>
      </w:r>
      <w:r w:rsidR="003424A6" w:rsidRPr="00053853">
        <w:t> </w:t>
      </w:r>
      <w:r w:rsidR="00602DCE" w:rsidRPr="00053853">
        <w:t>ACCL0431</w:t>
      </w:r>
      <w:r w:rsidR="001D41D8" w:rsidRPr="00053853">
        <w:t>.</w:t>
      </w:r>
    </w:p>
    <w:p w14:paraId="6C4BE2B7" w14:textId="4C761B93" w:rsidR="007F4CB4" w:rsidRPr="00053853" w:rsidRDefault="00D96D7E" w:rsidP="00DF5796">
      <w:pPr>
        <w:pStyle w:val="NICEnormalindented"/>
      </w:pPr>
      <w:r w:rsidRPr="00053853">
        <w:t>The EAG</w:t>
      </w:r>
      <w:r w:rsidR="00FA48DE" w:rsidRPr="00053853">
        <w:t xml:space="preserve"> </w:t>
      </w:r>
      <w:r w:rsidR="00623FD0" w:rsidRPr="00053853">
        <w:t>commented</w:t>
      </w:r>
      <w:r w:rsidR="00FA48DE" w:rsidRPr="00053853">
        <w:t xml:space="preserve"> tha</w:t>
      </w:r>
      <w:r w:rsidR="00D32716" w:rsidRPr="00053853">
        <w:t xml:space="preserve">t both </w:t>
      </w:r>
      <w:r w:rsidR="00FF6E6F" w:rsidRPr="00053853">
        <w:t>SIOPEL</w:t>
      </w:r>
      <w:r w:rsidR="003424A6" w:rsidRPr="00053853">
        <w:t> 6</w:t>
      </w:r>
      <w:r w:rsidR="00FF6E6F" w:rsidRPr="00053853">
        <w:t xml:space="preserve"> (n=</w:t>
      </w:r>
      <w:r w:rsidR="00287863">
        <w:t>114</w:t>
      </w:r>
      <w:r w:rsidR="00FF6E6F" w:rsidRPr="00053853">
        <w:t xml:space="preserve">) and </w:t>
      </w:r>
      <w:r w:rsidR="003424A6" w:rsidRPr="00053853">
        <w:t>COG </w:t>
      </w:r>
      <w:r w:rsidR="00FF6E6F" w:rsidRPr="00053853">
        <w:t>ACCL0431 (n=125)</w:t>
      </w:r>
      <w:r w:rsidR="00D32716" w:rsidRPr="00053853">
        <w:t xml:space="preserve"> </w:t>
      </w:r>
      <w:r w:rsidR="00AA7055">
        <w:t>included</w:t>
      </w:r>
      <w:r w:rsidR="00AA7055" w:rsidRPr="00053853">
        <w:t xml:space="preserve"> </w:t>
      </w:r>
      <w:r w:rsidR="00D32716" w:rsidRPr="00053853">
        <w:t xml:space="preserve">a small number of </w:t>
      </w:r>
      <w:r w:rsidR="00384259" w:rsidRPr="00053853">
        <w:t>people</w:t>
      </w:r>
      <w:r w:rsidR="0049559C" w:rsidRPr="00053853">
        <w:t>,</w:t>
      </w:r>
      <w:r w:rsidR="00D32716" w:rsidRPr="00053853">
        <w:t xml:space="preserve"> </w:t>
      </w:r>
      <w:r w:rsidR="00602DCE" w:rsidRPr="00053853">
        <w:t xml:space="preserve">and </w:t>
      </w:r>
      <w:r w:rsidR="0049559C" w:rsidRPr="00053853">
        <w:t xml:space="preserve">that </w:t>
      </w:r>
      <w:r w:rsidR="00602DCE" w:rsidRPr="00053853">
        <w:t xml:space="preserve">there are </w:t>
      </w:r>
      <w:r w:rsidR="0049559C" w:rsidRPr="00053853">
        <w:t>uncertainties</w:t>
      </w:r>
      <w:r w:rsidR="00602DCE" w:rsidRPr="00053853">
        <w:t xml:space="preserve"> in the evidence. </w:t>
      </w:r>
      <w:r w:rsidR="00EB5F5E" w:rsidRPr="00053853">
        <w:t xml:space="preserve">The company </w:t>
      </w:r>
      <w:r w:rsidR="00416BF7" w:rsidRPr="00053853">
        <w:t xml:space="preserve">explained </w:t>
      </w:r>
      <w:r w:rsidR="00EB5F5E" w:rsidRPr="00053853">
        <w:t xml:space="preserve">that the sample sizes were </w:t>
      </w:r>
      <w:r w:rsidR="001428A2" w:rsidRPr="00053853">
        <w:t xml:space="preserve">relatively </w:t>
      </w:r>
      <w:r w:rsidR="003302F9" w:rsidRPr="00053853">
        <w:t xml:space="preserve">large </w:t>
      </w:r>
      <w:r w:rsidR="001428A2" w:rsidRPr="00053853">
        <w:t xml:space="preserve">considering </w:t>
      </w:r>
      <w:r w:rsidR="001428A2" w:rsidRPr="00053853" w:rsidDel="00416BF7">
        <w:t xml:space="preserve">that </w:t>
      </w:r>
      <w:r w:rsidR="001428A2" w:rsidRPr="00053853">
        <w:t>tumours in children are rare.</w:t>
      </w:r>
      <w:r w:rsidR="00D35877" w:rsidRPr="00053853">
        <w:t xml:space="preserve"> </w:t>
      </w:r>
      <w:r w:rsidR="00740E76" w:rsidRPr="00053853">
        <w:t>COG</w:t>
      </w:r>
      <w:r w:rsidR="00E455D2" w:rsidRPr="00053853">
        <w:t> </w:t>
      </w:r>
      <w:r w:rsidR="00740E76" w:rsidRPr="00053853">
        <w:t>ACCL0431 was not powered to detect the difference in</w:t>
      </w:r>
      <w:r w:rsidR="00FF09B3" w:rsidRPr="00053853">
        <w:t xml:space="preserve"> prevention of</w:t>
      </w:r>
      <w:r w:rsidR="00740E76" w:rsidRPr="00053853">
        <w:t xml:space="preserve"> hearing loss with anhydrous sodium thiosulfate</w:t>
      </w:r>
      <w:r w:rsidR="004F4A10">
        <w:t xml:space="preserve"> after cisplatin</w:t>
      </w:r>
      <w:r w:rsidR="00740E76" w:rsidRPr="00053853">
        <w:t xml:space="preserve"> in the subgroup with localised disease only. </w:t>
      </w:r>
      <w:r w:rsidR="00E455D2" w:rsidRPr="00053853">
        <w:t>But</w:t>
      </w:r>
      <w:r w:rsidR="003601C0" w:rsidRPr="00053853">
        <w:t xml:space="preserve">, the company </w:t>
      </w:r>
      <w:r w:rsidR="00085DC6" w:rsidRPr="00053853">
        <w:t>explained</w:t>
      </w:r>
      <w:r w:rsidR="003601C0" w:rsidRPr="00053853">
        <w:t xml:space="preserve"> that </w:t>
      </w:r>
      <w:r w:rsidR="006903D5" w:rsidRPr="00053853">
        <w:t>evidence from both trial</w:t>
      </w:r>
      <w:r w:rsidR="00ED4443" w:rsidRPr="00053853">
        <w:t>s</w:t>
      </w:r>
      <w:r w:rsidR="006903D5" w:rsidRPr="00053853">
        <w:t xml:space="preserve"> showed that anhydrous sodium thiosulfate after </w:t>
      </w:r>
      <w:r w:rsidR="00181AA8" w:rsidRPr="00053853">
        <w:t>cisplatin was effective in reducing</w:t>
      </w:r>
      <w:r w:rsidR="00E455D2" w:rsidRPr="00053853">
        <w:t xml:space="preserve"> the</w:t>
      </w:r>
      <w:r w:rsidR="00181AA8" w:rsidRPr="00053853">
        <w:t xml:space="preserve"> </w:t>
      </w:r>
      <w:r w:rsidR="00BE6DC2" w:rsidRPr="00053853">
        <w:t xml:space="preserve">occurrence of </w:t>
      </w:r>
      <w:r w:rsidR="00181AA8" w:rsidRPr="00053853">
        <w:t xml:space="preserve">hearing loss across children </w:t>
      </w:r>
      <w:r w:rsidR="004328E1" w:rsidRPr="00053853">
        <w:t xml:space="preserve">and young people </w:t>
      </w:r>
      <w:r w:rsidR="00181AA8" w:rsidRPr="00053853">
        <w:t>with different types and stages of cancers having cisplatin</w:t>
      </w:r>
      <w:r w:rsidR="00ED4443" w:rsidRPr="00053853">
        <w:t>,</w:t>
      </w:r>
      <w:r w:rsidR="00C85066" w:rsidRPr="00053853">
        <w:t xml:space="preserve"> despite difference</w:t>
      </w:r>
      <w:r w:rsidR="006B5D0D" w:rsidRPr="00053853">
        <w:t>s</w:t>
      </w:r>
      <w:r w:rsidR="00C85066" w:rsidRPr="00053853">
        <w:t xml:space="preserve"> in baseline characteristics</w:t>
      </w:r>
      <w:r w:rsidR="004328E1" w:rsidRPr="00053853">
        <w:t>.</w:t>
      </w:r>
    </w:p>
    <w:p w14:paraId="134891B5" w14:textId="2F7AC43C" w:rsidR="002558D9" w:rsidRPr="00053853" w:rsidRDefault="00836F8A" w:rsidP="003B70F0">
      <w:pPr>
        <w:pStyle w:val="NICEnormalindented"/>
      </w:pPr>
      <w:r w:rsidRPr="00053853">
        <w:lastRenderedPageBreak/>
        <w:t xml:space="preserve">The company, in response to clarification, </w:t>
      </w:r>
      <w:r w:rsidR="00AB510A" w:rsidRPr="00053853">
        <w:t>also provided a pooled analysis of SIOPEL</w:t>
      </w:r>
      <w:r w:rsidR="00E455D2" w:rsidRPr="00053853">
        <w:t> </w:t>
      </w:r>
      <w:r w:rsidR="00AB510A" w:rsidRPr="00053853">
        <w:t>6 and COG</w:t>
      </w:r>
      <w:r w:rsidR="00E455D2" w:rsidRPr="00053853">
        <w:t> </w:t>
      </w:r>
      <w:r w:rsidR="00AB510A" w:rsidRPr="00053853">
        <w:t>ACCL0431 trial data based on the whole</w:t>
      </w:r>
      <w:r w:rsidR="00E455D2" w:rsidRPr="00053853">
        <w:t>-</w:t>
      </w:r>
      <w:r w:rsidR="00AB510A" w:rsidRPr="00053853">
        <w:t>trial population</w:t>
      </w:r>
      <w:r w:rsidR="00E159ED" w:rsidRPr="00053853">
        <w:t>s</w:t>
      </w:r>
      <w:r w:rsidR="00AB510A" w:rsidRPr="00053853">
        <w:t xml:space="preserve"> </w:t>
      </w:r>
      <w:r w:rsidR="008B7DE4" w:rsidRPr="00053853">
        <w:t xml:space="preserve">that </w:t>
      </w:r>
      <w:r w:rsidR="00AB510A" w:rsidRPr="00053853">
        <w:t>includ</w:t>
      </w:r>
      <w:r w:rsidR="008B7DE4" w:rsidRPr="00053853">
        <w:t>ed</w:t>
      </w:r>
      <w:r w:rsidR="00AB510A" w:rsidRPr="00053853">
        <w:t xml:space="preserve"> </w:t>
      </w:r>
      <w:r w:rsidR="008B7DE4" w:rsidRPr="00053853">
        <w:t xml:space="preserve">both </w:t>
      </w:r>
      <w:r w:rsidR="00EA0DE1" w:rsidRPr="00053853">
        <w:t>people with</w:t>
      </w:r>
      <w:r w:rsidR="00AB510A" w:rsidRPr="00053853">
        <w:t xml:space="preserve"> localised </w:t>
      </w:r>
      <w:r w:rsidR="000202E5" w:rsidRPr="00053853">
        <w:t xml:space="preserve">tumours </w:t>
      </w:r>
      <w:r w:rsidR="00AB510A" w:rsidRPr="00053853">
        <w:t xml:space="preserve">and </w:t>
      </w:r>
      <w:r w:rsidR="008B7DE4" w:rsidRPr="00053853">
        <w:t xml:space="preserve">people with </w:t>
      </w:r>
      <w:r w:rsidR="00AB510A" w:rsidRPr="00053853">
        <w:t xml:space="preserve">metastatic </w:t>
      </w:r>
      <w:r w:rsidR="00EA0DE1" w:rsidRPr="00053853">
        <w:t>tumours</w:t>
      </w:r>
      <w:r w:rsidR="009758DD" w:rsidRPr="00053853">
        <w:t>.</w:t>
      </w:r>
      <w:r w:rsidR="00B84B0A" w:rsidRPr="00053853">
        <w:t xml:space="preserve"> </w:t>
      </w:r>
      <w:r w:rsidR="00E455D2" w:rsidRPr="00053853">
        <w:t>I</w:t>
      </w:r>
      <w:r w:rsidR="009758DD" w:rsidRPr="00053853">
        <w:t xml:space="preserve">t </w:t>
      </w:r>
      <w:r w:rsidR="00E455D2" w:rsidRPr="00053853">
        <w:t xml:space="preserve">also </w:t>
      </w:r>
      <w:r w:rsidR="009758DD" w:rsidRPr="00053853">
        <w:t>provided</w:t>
      </w:r>
      <w:r w:rsidR="00B84B0A" w:rsidRPr="00053853">
        <w:t xml:space="preserve"> </w:t>
      </w:r>
      <w:r w:rsidR="00902690" w:rsidRPr="00053853">
        <w:t>another</w:t>
      </w:r>
      <w:r w:rsidR="00B84B0A" w:rsidRPr="00053853">
        <w:t xml:space="preserve"> pooled analysis of the 2 trials for the localised, non-metastatic subgroup only (the population in the licensed indication). </w:t>
      </w:r>
      <w:r w:rsidR="00D338EA" w:rsidRPr="00053853">
        <w:t>The a</w:t>
      </w:r>
      <w:r w:rsidR="00832E14" w:rsidRPr="00053853">
        <w:t>nalyses</w:t>
      </w:r>
      <w:r w:rsidR="00D25E99" w:rsidRPr="00053853">
        <w:t xml:space="preserve"> </w:t>
      </w:r>
      <w:r w:rsidR="00F52AEA" w:rsidRPr="00053853">
        <w:t xml:space="preserve">showed that </w:t>
      </w:r>
      <w:r w:rsidR="00C61DAD" w:rsidRPr="00053853">
        <w:t xml:space="preserve">cisplatin </w:t>
      </w:r>
      <w:r w:rsidR="00944E20" w:rsidRPr="00053853">
        <w:t xml:space="preserve">followed by </w:t>
      </w:r>
      <w:r w:rsidR="00C61DAD" w:rsidRPr="00053853">
        <w:t xml:space="preserve">anhydrous sodium thiosulfate was associated with a lower risk of hearing loss </w:t>
      </w:r>
      <w:r w:rsidR="001A4AA5" w:rsidRPr="00053853">
        <w:t>than</w:t>
      </w:r>
      <w:r w:rsidR="00C61DAD" w:rsidRPr="00053853">
        <w:t xml:space="preserve"> </w:t>
      </w:r>
      <w:r w:rsidR="0073688E" w:rsidRPr="00053853">
        <w:t>cisplatin without anhydrous sodium thiosulfate</w:t>
      </w:r>
      <w:r w:rsidR="003F1089" w:rsidRPr="00053853">
        <w:t>,</w:t>
      </w:r>
      <w:r w:rsidR="0073688E" w:rsidRPr="00053853">
        <w:t xml:space="preserve"> </w:t>
      </w:r>
      <w:r w:rsidR="00051DBE" w:rsidRPr="00053853">
        <w:t xml:space="preserve">and the results were statistically significant (the company </w:t>
      </w:r>
      <w:r w:rsidR="00902690" w:rsidRPr="00053853">
        <w:t xml:space="preserve">considers the data confidential </w:t>
      </w:r>
      <w:r w:rsidR="00051DBE" w:rsidRPr="00053853">
        <w:t>so</w:t>
      </w:r>
      <w:r w:rsidR="00240159" w:rsidRPr="00053853">
        <w:t xml:space="preserve"> it is</w:t>
      </w:r>
      <w:r w:rsidR="00051DBE" w:rsidRPr="00053853">
        <w:t xml:space="preserve"> not reported here). </w:t>
      </w:r>
      <w:r w:rsidR="003F1089" w:rsidRPr="00053853">
        <w:t>But</w:t>
      </w:r>
      <w:r w:rsidR="00916A54" w:rsidRPr="00053853">
        <w:t xml:space="preserve">, </w:t>
      </w:r>
      <w:r w:rsidR="003B70F0" w:rsidRPr="00053853">
        <w:t xml:space="preserve">both the company and the EAG </w:t>
      </w:r>
      <w:r w:rsidR="007B7F23" w:rsidRPr="00053853">
        <w:t xml:space="preserve">thought </w:t>
      </w:r>
      <w:r w:rsidR="003B70F0" w:rsidRPr="00053853">
        <w:t xml:space="preserve">that pooling the </w:t>
      </w:r>
      <w:r w:rsidR="00681E0A" w:rsidRPr="00053853">
        <w:t>2</w:t>
      </w:r>
      <w:r w:rsidR="00C25C99">
        <w:t> </w:t>
      </w:r>
      <w:r w:rsidR="00681E0A" w:rsidRPr="00053853">
        <w:t>trials may not be appropriate because of the differen</w:t>
      </w:r>
      <w:r w:rsidR="003F1089" w:rsidRPr="00053853">
        <w:t>t</w:t>
      </w:r>
      <w:r w:rsidR="00681E0A" w:rsidRPr="00053853">
        <w:t xml:space="preserve"> population</w:t>
      </w:r>
      <w:r w:rsidR="003F1089" w:rsidRPr="00053853">
        <w:t>s</w:t>
      </w:r>
      <w:r w:rsidR="00681E0A" w:rsidRPr="00053853">
        <w:t xml:space="preserve"> and grading scales used.</w:t>
      </w:r>
      <w:r w:rsidR="00051DBE" w:rsidRPr="00053853">
        <w:t xml:space="preserve"> </w:t>
      </w:r>
      <w:r w:rsidR="003E5AF8" w:rsidRPr="00053853">
        <w:t xml:space="preserve">The committee noted the uncertainties in the evidence. </w:t>
      </w:r>
      <w:r w:rsidR="00512265" w:rsidRPr="00053853">
        <w:t xml:space="preserve">Considering </w:t>
      </w:r>
      <w:r w:rsidR="00E61443" w:rsidRPr="00053853">
        <w:t>all</w:t>
      </w:r>
      <w:r w:rsidR="00512265" w:rsidRPr="00053853">
        <w:t xml:space="preserve"> the evidence, </w:t>
      </w:r>
      <w:r w:rsidR="003E5AF8" w:rsidRPr="00053853">
        <w:t>it</w:t>
      </w:r>
      <w:r w:rsidR="003B70F0" w:rsidRPr="00053853">
        <w:t xml:space="preserve"> concluded that </w:t>
      </w:r>
      <w:r w:rsidR="00807046" w:rsidRPr="00053853">
        <w:t xml:space="preserve">anhydrous sodium thiosulfate was effective in </w:t>
      </w:r>
      <w:r w:rsidR="00512265" w:rsidRPr="00053853">
        <w:t xml:space="preserve">preventing </w:t>
      </w:r>
      <w:r w:rsidR="00807046" w:rsidRPr="00053853">
        <w:t xml:space="preserve">hearing loss in </w:t>
      </w:r>
      <w:r w:rsidR="000B18DF" w:rsidRPr="00053853">
        <w:t xml:space="preserve">babies, </w:t>
      </w:r>
      <w:r w:rsidR="00807046" w:rsidRPr="00053853">
        <w:t xml:space="preserve">children </w:t>
      </w:r>
      <w:r w:rsidR="000B18DF" w:rsidRPr="00053853">
        <w:t xml:space="preserve">and young people </w:t>
      </w:r>
      <w:r w:rsidR="00807046" w:rsidRPr="00053853">
        <w:t xml:space="preserve">with cancer </w:t>
      </w:r>
      <w:r w:rsidR="00E61443" w:rsidRPr="00053853">
        <w:t xml:space="preserve">who are </w:t>
      </w:r>
      <w:r w:rsidR="00807046" w:rsidRPr="00053853">
        <w:t xml:space="preserve">having cisplatin. </w:t>
      </w:r>
    </w:p>
    <w:p w14:paraId="53D45BF3" w14:textId="77777777" w:rsidR="00A47CCA" w:rsidRPr="00053853" w:rsidRDefault="00A47CCA" w:rsidP="00A47CCA">
      <w:pPr>
        <w:pStyle w:val="Heading3"/>
      </w:pPr>
      <w:bookmarkStart w:id="6" w:name="_Clinical_trial_results:_1"/>
      <w:bookmarkEnd w:id="6"/>
      <w:r w:rsidRPr="00053853">
        <w:t>Clinical trial results: overall survival</w:t>
      </w:r>
    </w:p>
    <w:p w14:paraId="3F550DAC" w14:textId="77777777" w:rsidR="00807D49" w:rsidRPr="00053853" w:rsidRDefault="001833F0">
      <w:pPr>
        <w:pStyle w:val="Numberedlevel2text"/>
        <w:rPr>
          <w:lang w:val="en-GB"/>
        </w:rPr>
      </w:pPr>
      <w:r w:rsidRPr="00053853">
        <w:rPr>
          <w:lang w:val="en-GB"/>
        </w:rPr>
        <w:t xml:space="preserve">Overall survival was a secondary outcome in </w:t>
      </w:r>
      <w:r w:rsidR="001A5092" w:rsidRPr="00053853">
        <w:rPr>
          <w:lang w:val="en-GB"/>
        </w:rPr>
        <w:t xml:space="preserve">SIOPEL 6 and </w:t>
      </w:r>
      <w:r w:rsidRPr="00053853">
        <w:rPr>
          <w:lang w:val="en-GB"/>
        </w:rPr>
        <w:t>C</w:t>
      </w:r>
      <w:r w:rsidR="001A5092" w:rsidRPr="00053853">
        <w:rPr>
          <w:lang w:val="en-GB"/>
        </w:rPr>
        <w:t>OG ACCL0431</w:t>
      </w:r>
      <w:r w:rsidRPr="00053853">
        <w:rPr>
          <w:lang w:val="en-GB"/>
        </w:rPr>
        <w:t xml:space="preserve">. </w:t>
      </w:r>
    </w:p>
    <w:p w14:paraId="49217DFA" w14:textId="7FD49A49" w:rsidR="005F750C" w:rsidRPr="00053853" w:rsidRDefault="00361FE6" w:rsidP="000A710C">
      <w:pPr>
        <w:pStyle w:val="Bulletindent1"/>
      </w:pPr>
      <w:r w:rsidRPr="00053853">
        <w:t>Analysis based on the whole</w:t>
      </w:r>
      <w:r w:rsidR="005526AE" w:rsidRPr="00053853">
        <w:t>-</w:t>
      </w:r>
      <w:r w:rsidRPr="00053853">
        <w:t xml:space="preserve">trial population of </w:t>
      </w:r>
      <w:r w:rsidR="001833F0" w:rsidRPr="00053853">
        <w:t xml:space="preserve">SIOPEL 6 </w:t>
      </w:r>
      <w:r w:rsidR="003D1E81" w:rsidRPr="00053853">
        <w:t>showed that</w:t>
      </w:r>
      <w:r w:rsidR="00B353A5" w:rsidRPr="00053853">
        <w:t xml:space="preserve"> </w:t>
      </w:r>
      <w:r w:rsidR="005458B3" w:rsidRPr="00053853">
        <w:t>few</w:t>
      </w:r>
      <w:r w:rsidR="005D0A7F" w:rsidRPr="00053853">
        <w:t>er</w:t>
      </w:r>
      <w:r w:rsidR="005458B3" w:rsidRPr="00053853">
        <w:t xml:space="preserve"> </w:t>
      </w:r>
      <w:r w:rsidR="00EA0DE1" w:rsidRPr="00053853">
        <w:t xml:space="preserve">people </w:t>
      </w:r>
      <w:r w:rsidR="005526AE" w:rsidRPr="00053853">
        <w:t xml:space="preserve">having </w:t>
      </w:r>
      <w:r w:rsidR="005458B3" w:rsidRPr="00053853">
        <w:t>cisplatin with anhydrous sodium thiosulfate</w:t>
      </w:r>
      <w:r w:rsidR="005D0A7F" w:rsidRPr="00053853">
        <w:t xml:space="preserve"> died </w:t>
      </w:r>
      <w:r w:rsidR="00C66033" w:rsidRPr="00053853">
        <w:t>than</w:t>
      </w:r>
      <w:r w:rsidR="005D0A7F" w:rsidRPr="00053853">
        <w:t xml:space="preserve"> those </w:t>
      </w:r>
      <w:r w:rsidR="0094460A" w:rsidRPr="00053853">
        <w:t xml:space="preserve">having </w:t>
      </w:r>
      <w:r w:rsidR="00DA1C96" w:rsidRPr="00053853">
        <w:t xml:space="preserve">cisplatin </w:t>
      </w:r>
      <w:r w:rsidR="00AF6372" w:rsidRPr="00053853">
        <w:t>without anhydrous sodium thiosulfate</w:t>
      </w:r>
      <w:r w:rsidR="0094460A" w:rsidRPr="00053853">
        <w:t>.</w:t>
      </w:r>
      <w:r w:rsidR="00DA1C96" w:rsidRPr="00053853">
        <w:t xml:space="preserve"> </w:t>
      </w:r>
      <w:r w:rsidR="0094460A" w:rsidRPr="00053853">
        <w:t>B</w:t>
      </w:r>
      <w:r w:rsidR="00DA1C96" w:rsidRPr="00053853">
        <w:t>ut the difference was not</w:t>
      </w:r>
      <w:r w:rsidR="00082F63" w:rsidRPr="00053853">
        <w:t xml:space="preserve"> </w:t>
      </w:r>
      <w:r w:rsidR="00B353A5" w:rsidRPr="00053853">
        <w:t xml:space="preserve">statistically significant </w:t>
      </w:r>
      <w:r w:rsidR="000840E6" w:rsidRPr="00053853">
        <w:t>(</w:t>
      </w:r>
      <w:r w:rsidR="00E955A5" w:rsidRPr="00053853">
        <w:t xml:space="preserve">the company considers the </w:t>
      </w:r>
      <w:r w:rsidR="00781493" w:rsidRPr="00053853">
        <w:t>results confidential</w:t>
      </w:r>
      <w:r w:rsidR="00E955A5" w:rsidRPr="00053853">
        <w:t xml:space="preserve"> so they are not reported here</w:t>
      </w:r>
      <w:r w:rsidR="00781493" w:rsidRPr="00053853">
        <w:t>)</w:t>
      </w:r>
      <w:r w:rsidR="00E955A5" w:rsidRPr="00053853">
        <w:t xml:space="preserve">. </w:t>
      </w:r>
    </w:p>
    <w:p w14:paraId="6C6FDAA5" w14:textId="7D0B8F48" w:rsidR="005F750C" w:rsidRPr="00053853" w:rsidRDefault="0016390A" w:rsidP="000A710C">
      <w:pPr>
        <w:pStyle w:val="Bulletindent1"/>
      </w:pPr>
      <w:r w:rsidRPr="00053853">
        <w:t xml:space="preserve">In the </w:t>
      </w:r>
      <w:r w:rsidR="009E31A2" w:rsidRPr="00053853">
        <w:t>COG</w:t>
      </w:r>
      <w:r w:rsidR="00E27175" w:rsidRPr="00053853">
        <w:t> </w:t>
      </w:r>
      <w:r w:rsidR="009E31A2" w:rsidRPr="00053853">
        <w:t xml:space="preserve">ACCL0431 </w:t>
      </w:r>
      <w:r w:rsidR="00A40BF1" w:rsidRPr="00053853">
        <w:t>whole</w:t>
      </w:r>
      <w:r w:rsidR="00E27175" w:rsidRPr="00053853">
        <w:t>-</w:t>
      </w:r>
      <w:r w:rsidR="00A40BF1" w:rsidRPr="00053853">
        <w:t xml:space="preserve">trial </w:t>
      </w:r>
      <w:r w:rsidR="009E31A2" w:rsidRPr="00053853">
        <w:t>population</w:t>
      </w:r>
      <w:r w:rsidRPr="00053853">
        <w:t>,</w:t>
      </w:r>
      <w:r w:rsidR="009E31A2" w:rsidRPr="00053853">
        <w:t xml:space="preserve"> </w:t>
      </w:r>
      <w:r w:rsidRPr="00053853">
        <w:t>a</w:t>
      </w:r>
      <w:r w:rsidR="009E31A2" w:rsidRPr="00053853">
        <w:t>t the median 5.33</w:t>
      </w:r>
      <w:r w:rsidR="009A06EE">
        <w:noBreakHyphen/>
      </w:r>
      <w:r w:rsidR="009E31A2" w:rsidRPr="00053853">
        <w:t>year follow</w:t>
      </w:r>
      <w:r w:rsidR="00290669">
        <w:t xml:space="preserve"> </w:t>
      </w:r>
      <w:r w:rsidR="009E31A2" w:rsidRPr="00053853">
        <w:t>up, 18</w:t>
      </w:r>
      <w:r w:rsidR="009A06EE">
        <w:t> </w:t>
      </w:r>
      <w:r w:rsidR="009E31A2" w:rsidRPr="00053853">
        <w:t xml:space="preserve">children (29.5%) in the cisplatin with </w:t>
      </w:r>
      <w:r w:rsidRPr="00053853">
        <w:t>anhydrous sodium thiosulfate</w:t>
      </w:r>
      <w:r w:rsidR="009E31A2" w:rsidRPr="00053853">
        <w:t xml:space="preserve"> arm and 12</w:t>
      </w:r>
      <w:r w:rsidR="009A06EE">
        <w:t> </w:t>
      </w:r>
      <w:r w:rsidR="009E31A2" w:rsidRPr="00053853">
        <w:t xml:space="preserve">children (18.8%) in the cisplatin without </w:t>
      </w:r>
      <w:r w:rsidRPr="00053853">
        <w:t xml:space="preserve">anhydrous sodium thiosulfate </w:t>
      </w:r>
      <w:r w:rsidR="009E31A2" w:rsidRPr="00053853">
        <w:t xml:space="preserve">arm </w:t>
      </w:r>
      <w:r w:rsidRPr="00053853">
        <w:t xml:space="preserve">had </w:t>
      </w:r>
      <w:r w:rsidR="009E31A2" w:rsidRPr="00053853">
        <w:t>died</w:t>
      </w:r>
      <w:r w:rsidR="00B1480C" w:rsidRPr="00053853">
        <w:t>, but the difference was not</w:t>
      </w:r>
      <w:r w:rsidR="009E31A2" w:rsidRPr="00053853">
        <w:t xml:space="preserve"> statistically significant (hazard ratio 1.79</w:t>
      </w:r>
      <w:r w:rsidR="00E27175" w:rsidRPr="00053853">
        <w:t>,</w:t>
      </w:r>
      <w:r w:rsidR="009E31A2" w:rsidRPr="00053853">
        <w:t xml:space="preserve"> 95% </w:t>
      </w:r>
      <w:r w:rsidR="00B35F39" w:rsidRPr="00053853">
        <w:t>CI</w:t>
      </w:r>
      <w:r w:rsidR="009E31A2" w:rsidRPr="00053853">
        <w:t xml:space="preserve"> 0.86</w:t>
      </w:r>
      <w:r w:rsidR="00B54A24" w:rsidRPr="00053853">
        <w:t xml:space="preserve"> to </w:t>
      </w:r>
      <w:r w:rsidR="009E31A2" w:rsidRPr="00053853">
        <w:t>3.72</w:t>
      </w:r>
      <w:r w:rsidR="00E27175" w:rsidRPr="00053853">
        <w:t>,</w:t>
      </w:r>
      <w:r w:rsidR="009E31A2" w:rsidRPr="00053853">
        <w:t xml:space="preserve"> p=0.1132).</w:t>
      </w:r>
      <w:r w:rsidR="007E13B9" w:rsidRPr="00053853">
        <w:t xml:space="preserve"> </w:t>
      </w:r>
      <w:r w:rsidR="00F2363E" w:rsidRPr="00053853">
        <w:t>Results</w:t>
      </w:r>
      <w:r w:rsidR="0021503E" w:rsidRPr="00053853">
        <w:t xml:space="preserve"> </w:t>
      </w:r>
      <w:r w:rsidR="00F2363E" w:rsidRPr="00053853">
        <w:t xml:space="preserve">based on the subgroup with localised disease </w:t>
      </w:r>
      <w:r w:rsidR="00D515B4" w:rsidRPr="00053853">
        <w:t>also showed no</w:t>
      </w:r>
      <w:r w:rsidR="007E13B9" w:rsidRPr="00053853">
        <w:t xml:space="preserve"> statistically significant difference in overall survival</w:t>
      </w:r>
      <w:r w:rsidR="00CF203B" w:rsidRPr="00053853">
        <w:t xml:space="preserve"> between </w:t>
      </w:r>
      <w:r w:rsidR="00CF203B" w:rsidRPr="00053853">
        <w:lastRenderedPageBreak/>
        <w:t>the 2</w:t>
      </w:r>
      <w:r w:rsidR="0007332E">
        <w:t> </w:t>
      </w:r>
      <w:r w:rsidR="00CF203B" w:rsidRPr="00053853">
        <w:t>arms</w:t>
      </w:r>
      <w:r w:rsidR="007E13B9" w:rsidRPr="00053853">
        <w:t xml:space="preserve"> (the company considers the results confidential so they are not reported here).</w:t>
      </w:r>
    </w:p>
    <w:p w14:paraId="03754A8B" w14:textId="3F84AFCC" w:rsidR="00CD684D" w:rsidRPr="00053853" w:rsidRDefault="00CD684D" w:rsidP="000A710C">
      <w:pPr>
        <w:pStyle w:val="Bulletindent1last"/>
      </w:pPr>
      <w:r w:rsidRPr="00053853">
        <w:t xml:space="preserve">In the </w:t>
      </w:r>
      <w:r w:rsidR="00011B55" w:rsidRPr="00053853">
        <w:t>2</w:t>
      </w:r>
      <w:r w:rsidR="004042E8">
        <w:t> </w:t>
      </w:r>
      <w:r w:rsidRPr="00053853">
        <w:t>pooled analys</w:t>
      </w:r>
      <w:r w:rsidR="00011B55" w:rsidRPr="00053853">
        <w:t>e</w:t>
      </w:r>
      <w:r w:rsidRPr="00053853">
        <w:t xml:space="preserve">s of </w:t>
      </w:r>
      <w:r w:rsidR="00011B55" w:rsidRPr="00053853">
        <w:t>SIOPEL 6 and COG ACCL0431, there wa</w:t>
      </w:r>
      <w:r w:rsidR="005B34F5" w:rsidRPr="00053853">
        <w:t>s no statistically significant difference in overall survival</w:t>
      </w:r>
      <w:r w:rsidR="00011B55" w:rsidRPr="00053853">
        <w:t xml:space="preserve"> in </w:t>
      </w:r>
      <w:r w:rsidR="0094460A" w:rsidRPr="00053853">
        <w:t xml:space="preserve">either those </w:t>
      </w:r>
      <w:r w:rsidR="006F23B3" w:rsidRPr="00053853">
        <w:t>with localised and metastatic disease or</w:t>
      </w:r>
      <w:r w:rsidR="0094460A" w:rsidRPr="00053853">
        <w:t xml:space="preserve"> those with</w:t>
      </w:r>
      <w:r w:rsidR="006F23B3" w:rsidRPr="00053853">
        <w:t xml:space="preserve"> localised disease only (the company considers the results confidential so they are not reported here)</w:t>
      </w:r>
      <w:r w:rsidR="005B34F5" w:rsidRPr="00053853">
        <w:t xml:space="preserve">. </w:t>
      </w:r>
    </w:p>
    <w:p w14:paraId="14D85DE9" w14:textId="35B85BCC" w:rsidR="00A47CCA" w:rsidRPr="00053853" w:rsidRDefault="00A47CCA" w:rsidP="000A710C">
      <w:pPr>
        <w:pStyle w:val="NICEnormalindented"/>
      </w:pPr>
      <w:r w:rsidRPr="00053853">
        <w:t xml:space="preserve">A clinical expert noted that there were some concerns over </w:t>
      </w:r>
      <w:r w:rsidR="0014581E" w:rsidRPr="00053853">
        <w:t xml:space="preserve">the </w:t>
      </w:r>
      <w:r w:rsidR="00DB2992" w:rsidRPr="00053853">
        <w:t>analysis o</w:t>
      </w:r>
      <w:r w:rsidR="0014581E" w:rsidRPr="00053853">
        <w:t>n</w:t>
      </w:r>
      <w:r w:rsidR="00DB2992" w:rsidRPr="00053853">
        <w:t xml:space="preserve"> </w:t>
      </w:r>
      <w:r w:rsidRPr="00053853">
        <w:t xml:space="preserve">overall survival </w:t>
      </w:r>
      <w:r w:rsidR="00DB2992" w:rsidRPr="00053853">
        <w:t>based on the whole</w:t>
      </w:r>
      <w:r w:rsidR="00870C1E" w:rsidRPr="00053853">
        <w:t>-</w:t>
      </w:r>
      <w:r w:rsidR="00DB2992" w:rsidRPr="00053853">
        <w:t>trial population of COG</w:t>
      </w:r>
      <w:r w:rsidR="00E27175" w:rsidRPr="00053853">
        <w:t> </w:t>
      </w:r>
      <w:r w:rsidR="00DB2992" w:rsidRPr="00053853">
        <w:t>ACCL0431</w:t>
      </w:r>
      <w:r w:rsidR="00972E53" w:rsidRPr="00053853">
        <w:t xml:space="preserve"> compared with that </w:t>
      </w:r>
      <w:r w:rsidR="00FF7DBD" w:rsidRPr="00053853">
        <w:t xml:space="preserve">done </w:t>
      </w:r>
      <w:r w:rsidR="00972E53" w:rsidRPr="00053853">
        <w:t>in the subgroup with localised disease alone. This</w:t>
      </w:r>
      <w:r w:rsidRPr="00053853">
        <w:t xml:space="preserve"> led to </w:t>
      </w:r>
      <w:r w:rsidR="0014581E" w:rsidRPr="00053853">
        <w:t xml:space="preserve">metastatic disease </w:t>
      </w:r>
      <w:r w:rsidRPr="00053853">
        <w:t xml:space="preserve">being excluded from the licensed population. But they added that this was likely to be down to the underlying aggressive disease and metastatic stage. The company </w:t>
      </w:r>
      <w:r w:rsidR="002C4ACD" w:rsidRPr="00053853">
        <w:t>explained</w:t>
      </w:r>
      <w:r w:rsidRPr="00053853">
        <w:t xml:space="preserve"> that the pharmacological effects of cisplatin in the body were cleared in 4 hours</w:t>
      </w:r>
      <w:r w:rsidR="002A6D29" w:rsidRPr="00053853">
        <w:t>, after which</w:t>
      </w:r>
      <w:r w:rsidRPr="00053853">
        <w:t xml:space="preserve"> there was no biologically plausible mechanism by which anhydrous sodium thiosulfate could affect its efficacy. It added that </w:t>
      </w:r>
      <w:r w:rsidR="0071103A" w:rsidRPr="00053853">
        <w:t xml:space="preserve">the randomisation </w:t>
      </w:r>
      <w:r w:rsidR="00DE3867" w:rsidRPr="00053853">
        <w:t xml:space="preserve">in </w:t>
      </w:r>
      <w:r w:rsidRPr="00053853">
        <w:t>COG</w:t>
      </w:r>
      <w:r w:rsidR="002A6D29" w:rsidRPr="00053853">
        <w:t> </w:t>
      </w:r>
      <w:r w:rsidRPr="00053853">
        <w:t xml:space="preserve">ACCL0431 </w:t>
      </w:r>
      <w:r w:rsidR="006D06E8" w:rsidRPr="00053853">
        <w:t>was not stratified by stage of cancer</w:t>
      </w:r>
      <w:r w:rsidR="007E7B27" w:rsidRPr="00053853">
        <w:t>,</w:t>
      </w:r>
      <w:r w:rsidR="006D06E8" w:rsidRPr="00053853">
        <w:t xml:space="preserve"> so </w:t>
      </w:r>
      <w:r w:rsidR="00136285" w:rsidRPr="00053853">
        <w:t xml:space="preserve">some prognostic factors </w:t>
      </w:r>
      <w:r w:rsidR="00C75609" w:rsidRPr="00053853">
        <w:t xml:space="preserve">may </w:t>
      </w:r>
      <w:r w:rsidR="00136285" w:rsidRPr="00053853">
        <w:t xml:space="preserve">not </w:t>
      </w:r>
      <w:r w:rsidR="00C75609" w:rsidRPr="00053853">
        <w:t xml:space="preserve">be </w:t>
      </w:r>
      <w:r w:rsidR="00136285" w:rsidRPr="00053853">
        <w:t xml:space="preserve">balanced between the treatment arms. </w:t>
      </w:r>
      <w:r w:rsidRPr="00053853">
        <w:t xml:space="preserve">The company </w:t>
      </w:r>
      <w:r w:rsidR="00C75609" w:rsidRPr="00053853">
        <w:t>also explained</w:t>
      </w:r>
      <w:r w:rsidR="00082F63" w:rsidRPr="00053853">
        <w:t xml:space="preserve"> </w:t>
      </w:r>
      <w:r w:rsidRPr="00053853">
        <w:t>that 67% of the children in the anhydrous sodium thiosulfate</w:t>
      </w:r>
      <w:r w:rsidR="00503255" w:rsidRPr="00053853">
        <w:t xml:space="preserve"> with cisplatin</w:t>
      </w:r>
      <w:r w:rsidRPr="00053853">
        <w:t xml:space="preserve"> group had markers of more aggressive tumours</w:t>
      </w:r>
      <w:r w:rsidR="007E7B27" w:rsidRPr="00053853">
        <w:t>,</w:t>
      </w:r>
      <w:r w:rsidRPr="00053853">
        <w:t xml:space="preserve"> and it believed the overall survival outcomes were related to tumour type. The committee concluded that</w:t>
      </w:r>
      <w:r w:rsidR="009A137D" w:rsidRPr="00053853">
        <w:t xml:space="preserve">, </w:t>
      </w:r>
      <w:r w:rsidR="00D05592">
        <w:t xml:space="preserve">while there are uncertainties, </w:t>
      </w:r>
      <w:r w:rsidR="009A137D" w:rsidRPr="00053853">
        <w:t xml:space="preserve">anhydrous sodium thiosulfate was unlikely to affect overall survival in the licensed </w:t>
      </w:r>
      <w:r w:rsidR="0015705A">
        <w:t>population</w:t>
      </w:r>
      <w:r w:rsidR="00D05592">
        <w:t>.</w:t>
      </w:r>
    </w:p>
    <w:p w14:paraId="10CBF581" w14:textId="77777777" w:rsidR="00FC4972" w:rsidRPr="00053853" w:rsidRDefault="00FC4972" w:rsidP="00FC4972">
      <w:pPr>
        <w:pStyle w:val="Heading3"/>
      </w:pPr>
      <w:bookmarkStart w:id="7" w:name="_Generalisability"/>
      <w:bookmarkEnd w:id="7"/>
      <w:r w:rsidRPr="00053853">
        <w:t>Generalisability</w:t>
      </w:r>
    </w:p>
    <w:p w14:paraId="48D92393" w14:textId="35AE4421" w:rsidR="00967CCF" w:rsidRPr="00053853" w:rsidRDefault="006E4783" w:rsidP="00967CCF">
      <w:pPr>
        <w:pStyle w:val="Heading4"/>
      </w:pPr>
      <w:bookmarkStart w:id="8" w:name="_Population"/>
      <w:bookmarkEnd w:id="8"/>
      <w:r w:rsidRPr="00053853">
        <w:t>Population</w:t>
      </w:r>
      <w:r w:rsidR="00C112B0" w:rsidRPr="00053853">
        <w:t xml:space="preserve"> </w:t>
      </w:r>
    </w:p>
    <w:p w14:paraId="6A0824B4" w14:textId="1AD83EF2" w:rsidR="00967CCF" w:rsidRPr="00053853" w:rsidRDefault="00967CCF">
      <w:pPr>
        <w:pStyle w:val="Numberedlevel2text"/>
        <w:rPr>
          <w:lang w:val="en-GB"/>
        </w:rPr>
      </w:pPr>
      <w:r w:rsidRPr="00053853">
        <w:rPr>
          <w:lang w:val="en-GB"/>
        </w:rPr>
        <w:t>T</w:t>
      </w:r>
      <w:r w:rsidR="00FC4972" w:rsidRPr="00053853">
        <w:rPr>
          <w:lang w:val="en-GB"/>
        </w:rPr>
        <w:t>he EAG commented that the generalisability of the trial results to the NHS was unclear. In SIOPEL</w:t>
      </w:r>
      <w:r w:rsidR="00A25840" w:rsidRPr="00053853">
        <w:rPr>
          <w:lang w:val="en-GB"/>
        </w:rPr>
        <w:t> </w:t>
      </w:r>
      <w:r w:rsidR="00FC4972" w:rsidRPr="00053853">
        <w:rPr>
          <w:lang w:val="en-GB"/>
        </w:rPr>
        <w:t>6 the participants all had one type of localised tumour, standard</w:t>
      </w:r>
      <w:r w:rsidR="00A25840" w:rsidRPr="00053853">
        <w:rPr>
          <w:lang w:val="en-GB"/>
        </w:rPr>
        <w:t>-</w:t>
      </w:r>
      <w:r w:rsidR="00FC4972" w:rsidRPr="00053853">
        <w:rPr>
          <w:lang w:val="en-GB"/>
        </w:rPr>
        <w:t>risk hepatoblastoma. In COG</w:t>
      </w:r>
      <w:r w:rsidR="00A25840" w:rsidRPr="00053853">
        <w:rPr>
          <w:lang w:val="en-GB"/>
        </w:rPr>
        <w:t> </w:t>
      </w:r>
      <w:r w:rsidR="00FC4972" w:rsidRPr="00053853">
        <w:rPr>
          <w:lang w:val="en-GB"/>
        </w:rPr>
        <w:t>ACCL043 they had a mix</w:t>
      </w:r>
      <w:r w:rsidR="00177938" w:rsidRPr="00053853">
        <w:rPr>
          <w:lang w:val="en-GB"/>
        </w:rPr>
        <w:t>ture</w:t>
      </w:r>
      <w:r w:rsidR="00FC4972" w:rsidRPr="00053853">
        <w:rPr>
          <w:lang w:val="en-GB"/>
        </w:rPr>
        <w:t xml:space="preserve"> of localised and metastatic cancer</w:t>
      </w:r>
      <w:r w:rsidR="00E02AC7">
        <w:rPr>
          <w:lang w:val="en-GB"/>
        </w:rPr>
        <w:t>s</w:t>
      </w:r>
      <w:r w:rsidR="00FC4972" w:rsidRPr="00053853">
        <w:rPr>
          <w:lang w:val="en-GB"/>
        </w:rPr>
        <w:t xml:space="preserve"> of different tumour </w:t>
      </w:r>
      <w:r w:rsidR="00FC4972" w:rsidRPr="00053853">
        <w:rPr>
          <w:lang w:val="en-GB"/>
        </w:rPr>
        <w:lastRenderedPageBreak/>
        <w:t xml:space="preserve">types, which is broader than the licensed indication (localised, non-metastatic cancer). The company explained that </w:t>
      </w:r>
      <w:r w:rsidR="000D2577" w:rsidRPr="00053853">
        <w:rPr>
          <w:lang w:val="en-GB"/>
        </w:rPr>
        <w:t xml:space="preserve">evidence </w:t>
      </w:r>
      <w:r w:rsidR="00AA1ADD" w:rsidRPr="00053853">
        <w:rPr>
          <w:lang w:val="en-GB"/>
        </w:rPr>
        <w:t xml:space="preserve">from </w:t>
      </w:r>
      <w:r w:rsidR="00D94787" w:rsidRPr="00053853">
        <w:rPr>
          <w:lang w:val="en-GB"/>
        </w:rPr>
        <w:t xml:space="preserve">the </w:t>
      </w:r>
      <w:r w:rsidR="00E57C75" w:rsidRPr="00053853">
        <w:rPr>
          <w:lang w:val="en-GB"/>
        </w:rPr>
        <w:t>2</w:t>
      </w:r>
      <w:r w:rsidR="00E02AC7">
        <w:rPr>
          <w:lang w:val="en-GB"/>
        </w:rPr>
        <w:t> </w:t>
      </w:r>
      <w:r w:rsidR="00AA1ADD" w:rsidRPr="00053853">
        <w:rPr>
          <w:lang w:val="en-GB"/>
        </w:rPr>
        <w:t xml:space="preserve">trials </w:t>
      </w:r>
      <w:r w:rsidR="000D2577" w:rsidRPr="00053853">
        <w:rPr>
          <w:lang w:val="en-GB"/>
        </w:rPr>
        <w:t xml:space="preserve">showed that the treatment </w:t>
      </w:r>
      <w:r w:rsidR="00387343" w:rsidRPr="00053853">
        <w:rPr>
          <w:lang w:val="en-GB"/>
        </w:rPr>
        <w:t>effect</w:t>
      </w:r>
      <w:r w:rsidR="00DE3598" w:rsidRPr="00053853">
        <w:rPr>
          <w:lang w:val="en-GB"/>
        </w:rPr>
        <w:t xml:space="preserve"> </w:t>
      </w:r>
      <w:r w:rsidR="00CD4B84" w:rsidRPr="00053853">
        <w:rPr>
          <w:lang w:val="en-GB"/>
        </w:rPr>
        <w:t xml:space="preserve">of </w:t>
      </w:r>
      <w:r w:rsidR="00CD4B84" w:rsidRPr="00597460">
        <w:rPr>
          <w:lang w:val="en-GB"/>
        </w:rPr>
        <w:t xml:space="preserve">anhydrous sodium thiosulfate with cisplatin </w:t>
      </w:r>
      <w:r w:rsidR="00DE3598" w:rsidRPr="00053853">
        <w:rPr>
          <w:lang w:val="en-GB"/>
        </w:rPr>
        <w:t>in preventing hearing loss</w:t>
      </w:r>
      <w:r w:rsidR="00FC4972" w:rsidRPr="00053853">
        <w:rPr>
          <w:lang w:val="en-GB"/>
        </w:rPr>
        <w:t xml:space="preserve"> </w:t>
      </w:r>
      <w:r w:rsidR="00387343" w:rsidRPr="00053853">
        <w:rPr>
          <w:lang w:val="en-GB"/>
        </w:rPr>
        <w:t xml:space="preserve">was similar </w:t>
      </w:r>
      <w:r w:rsidR="00FC4972" w:rsidRPr="00053853">
        <w:rPr>
          <w:lang w:val="en-GB"/>
        </w:rPr>
        <w:t xml:space="preserve">across </w:t>
      </w:r>
      <w:r w:rsidR="00286E44" w:rsidRPr="00053853">
        <w:rPr>
          <w:lang w:val="en-GB"/>
        </w:rPr>
        <w:t>the populations with different</w:t>
      </w:r>
      <w:r w:rsidR="00FC4972" w:rsidRPr="00053853">
        <w:rPr>
          <w:lang w:val="en-GB"/>
        </w:rPr>
        <w:t xml:space="preserve"> characteristics</w:t>
      </w:r>
      <w:r w:rsidR="00286E44" w:rsidRPr="00053853">
        <w:rPr>
          <w:lang w:val="en-GB"/>
        </w:rPr>
        <w:t xml:space="preserve"> at baseline</w:t>
      </w:r>
      <w:r w:rsidR="00FC4972" w:rsidRPr="00053853">
        <w:rPr>
          <w:lang w:val="en-GB"/>
        </w:rPr>
        <w:t xml:space="preserve"> (age from 1.2</w:t>
      </w:r>
      <w:r w:rsidR="00A25840" w:rsidRPr="00053853">
        <w:rPr>
          <w:lang w:val="en-GB"/>
        </w:rPr>
        <w:t> </w:t>
      </w:r>
      <w:r w:rsidR="00FC4972" w:rsidRPr="00053853">
        <w:rPr>
          <w:lang w:val="en-GB"/>
        </w:rPr>
        <w:t>months to 18</w:t>
      </w:r>
      <w:r w:rsidR="00A25840" w:rsidRPr="00053853">
        <w:rPr>
          <w:lang w:val="en-GB"/>
        </w:rPr>
        <w:t> </w:t>
      </w:r>
      <w:r w:rsidR="00FC4972" w:rsidRPr="00053853">
        <w:rPr>
          <w:lang w:val="en-GB"/>
        </w:rPr>
        <w:t>years, weights from 2.6</w:t>
      </w:r>
      <w:r w:rsidR="00A25840" w:rsidRPr="00053853">
        <w:rPr>
          <w:lang w:val="en-GB"/>
        </w:rPr>
        <w:t> </w:t>
      </w:r>
      <w:r w:rsidR="00FC4972" w:rsidRPr="00053853">
        <w:rPr>
          <w:lang w:val="en-GB"/>
        </w:rPr>
        <w:t>kg to 127.9</w:t>
      </w:r>
      <w:r w:rsidR="00A25840" w:rsidRPr="00053853">
        <w:rPr>
          <w:lang w:val="en-GB"/>
        </w:rPr>
        <w:t> </w:t>
      </w:r>
      <w:r w:rsidR="00FC4972" w:rsidRPr="00053853">
        <w:rPr>
          <w:lang w:val="en-GB"/>
        </w:rPr>
        <w:t>kg</w:t>
      </w:r>
      <w:r w:rsidR="00D210F7" w:rsidRPr="00053853">
        <w:rPr>
          <w:lang w:val="en-GB"/>
        </w:rPr>
        <w:t xml:space="preserve">, </w:t>
      </w:r>
      <w:r w:rsidR="00FC4972" w:rsidRPr="00053853">
        <w:rPr>
          <w:lang w:val="en-GB"/>
        </w:rPr>
        <w:t>and different tumour types</w:t>
      </w:r>
      <w:r w:rsidR="00D210F7" w:rsidRPr="00053853">
        <w:rPr>
          <w:lang w:val="en-GB"/>
        </w:rPr>
        <w:t xml:space="preserve"> at different stages</w:t>
      </w:r>
      <w:r w:rsidR="00FC4972" w:rsidRPr="00053853">
        <w:rPr>
          <w:lang w:val="en-GB"/>
        </w:rPr>
        <w:t>)</w:t>
      </w:r>
      <w:r w:rsidR="00387343" w:rsidRPr="00053853">
        <w:rPr>
          <w:lang w:val="en-GB"/>
        </w:rPr>
        <w:t>.</w:t>
      </w:r>
      <w:r w:rsidR="00082F63" w:rsidRPr="00053853">
        <w:rPr>
          <w:lang w:val="en-GB"/>
        </w:rPr>
        <w:t xml:space="preserve"> </w:t>
      </w:r>
      <w:r w:rsidR="00FC4972" w:rsidRPr="00053853">
        <w:rPr>
          <w:lang w:val="en-GB"/>
        </w:rPr>
        <w:t>The clinical experts explained that treatment with anhydrous sodium thiosulfate would not vary by tumour type. The EAG was also concerned that the 2</w:t>
      </w:r>
      <w:r w:rsidR="00F705B9">
        <w:rPr>
          <w:lang w:val="en-GB"/>
        </w:rPr>
        <w:t> </w:t>
      </w:r>
      <w:r w:rsidR="00FC4972" w:rsidRPr="00053853">
        <w:rPr>
          <w:lang w:val="en-GB"/>
        </w:rPr>
        <w:t>trials also used different hearing loss scales</w:t>
      </w:r>
      <w:r w:rsidR="00396A19" w:rsidRPr="00053853">
        <w:rPr>
          <w:lang w:val="en-GB"/>
        </w:rPr>
        <w:t>. These</w:t>
      </w:r>
      <w:r w:rsidR="00FC4972" w:rsidRPr="00053853">
        <w:rPr>
          <w:lang w:val="en-GB"/>
        </w:rPr>
        <w:t xml:space="preserve"> may not be generalisable to the NHS, which is mo</w:t>
      </w:r>
      <w:r w:rsidR="00396A19" w:rsidRPr="00053853">
        <w:rPr>
          <w:lang w:val="en-GB"/>
        </w:rPr>
        <w:t>st</w:t>
      </w:r>
      <w:r w:rsidR="00FC4972" w:rsidRPr="00053853">
        <w:rPr>
          <w:lang w:val="en-GB"/>
        </w:rPr>
        <w:t xml:space="preserve"> likely to use the Brock scale (see </w:t>
      </w:r>
      <w:hyperlink w:anchor="_Hearing_loss_grading" w:history="1">
        <w:r w:rsidR="00FC4972" w:rsidRPr="00053853">
          <w:rPr>
            <w:rStyle w:val="Hyperlink"/>
            <w:lang w:val="en-GB"/>
          </w:rPr>
          <w:t>section</w:t>
        </w:r>
        <w:r w:rsidR="00F705B9">
          <w:rPr>
            <w:rStyle w:val="Hyperlink"/>
            <w:lang w:val="en-GB"/>
          </w:rPr>
          <w:t> </w:t>
        </w:r>
        <w:r w:rsidR="00FC4972" w:rsidRPr="00053853">
          <w:rPr>
            <w:rStyle w:val="Hyperlink"/>
            <w:lang w:val="en-GB"/>
          </w:rPr>
          <w:t>3.3</w:t>
        </w:r>
      </w:hyperlink>
      <w:r w:rsidR="00FC4972" w:rsidRPr="00053853">
        <w:rPr>
          <w:lang w:val="en-GB"/>
        </w:rPr>
        <w:t xml:space="preserve">). </w:t>
      </w:r>
      <w:r w:rsidR="007D13B3" w:rsidRPr="00053853">
        <w:rPr>
          <w:lang w:val="en-GB"/>
        </w:rPr>
        <w:t>The committee was aware that the ASHA scale was used only to judge whether</w:t>
      </w:r>
      <w:r w:rsidR="00396A19" w:rsidRPr="00053853">
        <w:rPr>
          <w:lang w:val="en-GB"/>
        </w:rPr>
        <w:t xml:space="preserve"> </w:t>
      </w:r>
      <w:r w:rsidR="007D13B3" w:rsidRPr="00053853">
        <w:rPr>
          <w:lang w:val="en-GB"/>
        </w:rPr>
        <w:t xml:space="preserve">hearing loss </w:t>
      </w:r>
      <w:r w:rsidR="00396A19" w:rsidRPr="00053853">
        <w:rPr>
          <w:lang w:val="en-GB"/>
        </w:rPr>
        <w:t xml:space="preserve">had </w:t>
      </w:r>
      <w:r w:rsidR="007D13B3" w:rsidRPr="00053853">
        <w:rPr>
          <w:lang w:val="en-GB"/>
        </w:rPr>
        <w:t>happened in COG</w:t>
      </w:r>
      <w:r w:rsidR="00396A19" w:rsidRPr="00053853">
        <w:rPr>
          <w:lang w:val="en-GB"/>
        </w:rPr>
        <w:t> </w:t>
      </w:r>
      <w:r w:rsidR="007D13B3" w:rsidRPr="00053853">
        <w:rPr>
          <w:lang w:val="en-GB"/>
        </w:rPr>
        <w:t>ACCL0431</w:t>
      </w:r>
      <w:r w:rsidR="00807CC5" w:rsidRPr="00053853">
        <w:rPr>
          <w:lang w:val="en-GB"/>
        </w:rPr>
        <w:t xml:space="preserve"> (see </w:t>
      </w:r>
      <w:hyperlink w:anchor="_Key_clinical_trials:" w:history="1">
        <w:r w:rsidR="00807CC5" w:rsidRPr="00053853">
          <w:rPr>
            <w:rStyle w:val="Hyperlink"/>
            <w:lang w:val="en-GB"/>
          </w:rPr>
          <w:t>section</w:t>
        </w:r>
        <w:r w:rsidR="00F705B9">
          <w:rPr>
            <w:rStyle w:val="Hyperlink"/>
            <w:lang w:val="en-GB"/>
          </w:rPr>
          <w:t> </w:t>
        </w:r>
        <w:r w:rsidR="00807CC5" w:rsidRPr="00053853">
          <w:rPr>
            <w:rStyle w:val="Hyperlink"/>
            <w:lang w:val="en-GB"/>
          </w:rPr>
          <w:t>3.</w:t>
        </w:r>
        <w:r w:rsidR="0035525D" w:rsidRPr="00053853">
          <w:rPr>
            <w:rStyle w:val="Hyperlink"/>
            <w:lang w:val="en-GB"/>
          </w:rPr>
          <w:t>5</w:t>
        </w:r>
      </w:hyperlink>
      <w:r w:rsidR="00807CC5" w:rsidRPr="00053853">
        <w:rPr>
          <w:lang w:val="en-GB"/>
        </w:rPr>
        <w:t>)</w:t>
      </w:r>
      <w:r w:rsidR="007D13B3" w:rsidRPr="00053853">
        <w:rPr>
          <w:lang w:val="en-GB"/>
        </w:rPr>
        <w:t xml:space="preserve">. </w:t>
      </w:r>
      <w:r w:rsidR="00396A19" w:rsidRPr="00053853">
        <w:rPr>
          <w:lang w:val="en-GB"/>
        </w:rPr>
        <w:t xml:space="preserve">The trial’s </w:t>
      </w:r>
      <w:r w:rsidR="007D13B3" w:rsidRPr="00053853">
        <w:rPr>
          <w:lang w:val="en-GB"/>
        </w:rPr>
        <w:t xml:space="preserve">audiology data </w:t>
      </w:r>
      <w:r w:rsidR="00396A19" w:rsidRPr="00053853">
        <w:rPr>
          <w:lang w:val="en-GB"/>
        </w:rPr>
        <w:t xml:space="preserve">were reanalysed </w:t>
      </w:r>
      <w:r w:rsidR="007D13B3" w:rsidRPr="00053853">
        <w:rPr>
          <w:lang w:val="en-GB"/>
        </w:rPr>
        <w:t xml:space="preserve">using </w:t>
      </w:r>
      <w:r w:rsidR="00F2587A" w:rsidRPr="00053853">
        <w:rPr>
          <w:lang w:val="en-GB"/>
        </w:rPr>
        <w:t xml:space="preserve">the </w:t>
      </w:r>
      <w:r w:rsidR="007D13B3" w:rsidRPr="00053853">
        <w:rPr>
          <w:lang w:val="en-GB"/>
        </w:rPr>
        <w:t>SIOP scale (Orgel et al. 2023</w:t>
      </w:r>
      <w:r w:rsidR="000B09D1" w:rsidRPr="00053853">
        <w:rPr>
          <w:lang w:val="en-GB"/>
        </w:rPr>
        <w:t xml:space="preserve">; see </w:t>
      </w:r>
      <w:hyperlink w:anchor="_Clinical_trial_results:" w:history="1">
        <w:r w:rsidR="000B09D1" w:rsidRPr="00053853">
          <w:rPr>
            <w:rStyle w:val="Hyperlink"/>
            <w:lang w:val="en-GB"/>
          </w:rPr>
          <w:t>section</w:t>
        </w:r>
        <w:r w:rsidR="00F705B9">
          <w:rPr>
            <w:rStyle w:val="Hyperlink"/>
            <w:lang w:val="en-GB"/>
          </w:rPr>
          <w:t> </w:t>
        </w:r>
        <w:r w:rsidR="000B09D1" w:rsidRPr="00053853">
          <w:rPr>
            <w:rStyle w:val="Hyperlink"/>
            <w:lang w:val="en-GB"/>
          </w:rPr>
          <w:t>3.</w:t>
        </w:r>
        <w:r w:rsidR="0035525D" w:rsidRPr="00053853">
          <w:rPr>
            <w:rStyle w:val="Hyperlink"/>
            <w:lang w:val="en-GB"/>
          </w:rPr>
          <w:t>6</w:t>
        </w:r>
      </w:hyperlink>
      <w:r w:rsidR="007D13B3" w:rsidRPr="00053853">
        <w:rPr>
          <w:lang w:val="en-GB"/>
        </w:rPr>
        <w:t xml:space="preserve">), but the results were graded into SIOP grade </w:t>
      </w:r>
      <w:r w:rsidR="00F2587A" w:rsidRPr="00053853">
        <w:rPr>
          <w:lang w:val="en-GB"/>
        </w:rPr>
        <w:t>of</w:t>
      </w:r>
      <w:r w:rsidR="007D13B3" w:rsidRPr="00053853">
        <w:rPr>
          <w:lang w:val="en-GB"/>
        </w:rPr>
        <w:t xml:space="preserve"> 1</w:t>
      </w:r>
      <w:r w:rsidR="00F2587A" w:rsidRPr="00053853">
        <w:rPr>
          <w:lang w:val="en-GB"/>
        </w:rPr>
        <w:t xml:space="preserve"> or above</w:t>
      </w:r>
      <w:r w:rsidR="007D13B3" w:rsidRPr="00053853">
        <w:rPr>
          <w:lang w:val="en-GB"/>
        </w:rPr>
        <w:t xml:space="preserve"> and 2 and above only without capturing other level</w:t>
      </w:r>
      <w:r w:rsidR="000B09D1" w:rsidRPr="00053853">
        <w:rPr>
          <w:lang w:val="en-GB"/>
        </w:rPr>
        <w:t>s</w:t>
      </w:r>
      <w:r w:rsidR="007D13B3" w:rsidRPr="00053853">
        <w:rPr>
          <w:lang w:val="en-GB"/>
        </w:rPr>
        <w:t xml:space="preserve"> of hearing loss. The Brock scale used in SIOPEL</w:t>
      </w:r>
      <w:r w:rsidR="00396A19" w:rsidRPr="00053853">
        <w:rPr>
          <w:lang w:val="en-GB"/>
        </w:rPr>
        <w:t> </w:t>
      </w:r>
      <w:r w:rsidR="007D13B3" w:rsidRPr="00053853">
        <w:rPr>
          <w:lang w:val="en-GB"/>
        </w:rPr>
        <w:t>6 measures severity</w:t>
      </w:r>
      <w:r w:rsidR="001C2CAB" w:rsidRPr="00053853">
        <w:rPr>
          <w:lang w:val="en-GB"/>
        </w:rPr>
        <w:t>.</w:t>
      </w:r>
      <w:r w:rsidR="007D13B3" w:rsidRPr="00053853">
        <w:rPr>
          <w:lang w:val="en-GB"/>
        </w:rPr>
        <w:t xml:space="preserve"> </w:t>
      </w:r>
      <w:r w:rsidR="001C2CAB" w:rsidRPr="00053853">
        <w:rPr>
          <w:lang w:val="en-GB"/>
        </w:rPr>
        <w:t>B</w:t>
      </w:r>
      <w:r w:rsidR="007D13B3" w:rsidRPr="00053853">
        <w:rPr>
          <w:lang w:val="en-GB"/>
        </w:rPr>
        <w:t>ut it only starts at 40</w:t>
      </w:r>
      <w:r w:rsidR="00396A19" w:rsidRPr="00053853">
        <w:rPr>
          <w:lang w:val="en-GB"/>
        </w:rPr>
        <w:t> </w:t>
      </w:r>
      <w:r w:rsidR="007D13B3" w:rsidRPr="00053853">
        <w:rPr>
          <w:lang w:val="en-GB"/>
        </w:rPr>
        <w:t xml:space="preserve">dB, so </w:t>
      </w:r>
      <w:r w:rsidR="001C2CAB" w:rsidRPr="00053853">
        <w:rPr>
          <w:lang w:val="en-GB"/>
        </w:rPr>
        <w:t xml:space="preserve">it </w:t>
      </w:r>
      <w:r w:rsidR="007D13B3" w:rsidRPr="00053853">
        <w:rPr>
          <w:lang w:val="en-GB"/>
        </w:rPr>
        <w:t xml:space="preserve">is less sensitive to early hearing loss and does not detect mild hearing loss. </w:t>
      </w:r>
      <w:r w:rsidR="00FC4972" w:rsidRPr="00053853">
        <w:rPr>
          <w:lang w:val="en-GB"/>
        </w:rPr>
        <w:t>The company pointed to a study (Clemens et al. 2019) that suggested good concordance between the Brock</w:t>
      </w:r>
      <w:r w:rsidR="00C236D0" w:rsidRPr="00053853">
        <w:rPr>
          <w:lang w:val="en-GB"/>
        </w:rPr>
        <w:t xml:space="preserve"> and</w:t>
      </w:r>
      <w:r w:rsidR="00FC4972" w:rsidRPr="00053853">
        <w:rPr>
          <w:lang w:val="en-GB"/>
        </w:rPr>
        <w:t xml:space="preserve"> SIOP scales. The committee concluded that</w:t>
      </w:r>
      <w:r w:rsidR="0050707E" w:rsidRPr="00053853">
        <w:rPr>
          <w:lang w:val="en-GB"/>
        </w:rPr>
        <w:t>,</w:t>
      </w:r>
      <w:r w:rsidR="00FC4972" w:rsidRPr="00053853">
        <w:rPr>
          <w:lang w:val="en-GB"/>
        </w:rPr>
        <w:t xml:space="preserve"> although there were uncertainties, overall the</w:t>
      </w:r>
      <w:r w:rsidR="00960F73" w:rsidRPr="00053853">
        <w:rPr>
          <w:lang w:val="en-GB"/>
        </w:rPr>
        <w:t xml:space="preserve"> populations and</w:t>
      </w:r>
      <w:r w:rsidR="00301077" w:rsidRPr="00053853">
        <w:rPr>
          <w:lang w:val="en-GB"/>
        </w:rPr>
        <w:t xml:space="preserve"> </w:t>
      </w:r>
      <w:r w:rsidR="007F16C3" w:rsidRPr="00053853">
        <w:rPr>
          <w:lang w:val="en-GB"/>
        </w:rPr>
        <w:t xml:space="preserve">results of the trials </w:t>
      </w:r>
      <w:r w:rsidR="00FC4972" w:rsidRPr="00053853">
        <w:rPr>
          <w:lang w:val="en-GB"/>
        </w:rPr>
        <w:t>could be generalised to NHS clinical practice.</w:t>
      </w:r>
    </w:p>
    <w:p w14:paraId="56516334" w14:textId="0D5E2960" w:rsidR="00967CCF" w:rsidRPr="00053853" w:rsidRDefault="0053175F" w:rsidP="00967CCF">
      <w:pPr>
        <w:pStyle w:val="Heading4"/>
      </w:pPr>
      <w:bookmarkStart w:id="9" w:name="_Timing_and_administration"/>
      <w:bookmarkEnd w:id="9"/>
      <w:r w:rsidRPr="00053853">
        <w:t>Timing and administration</w:t>
      </w:r>
    </w:p>
    <w:p w14:paraId="07624C75" w14:textId="6A7884BC" w:rsidR="00967CCF" w:rsidRPr="00053853" w:rsidRDefault="00967CCF">
      <w:pPr>
        <w:pStyle w:val="Numberedlevel2text"/>
        <w:rPr>
          <w:lang w:val="en-GB"/>
        </w:rPr>
      </w:pPr>
      <w:r w:rsidRPr="00053853">
        <w:rPr>
          <w:lang w:val="en-GB"/>
        </w:rPr>
        <w:t>A</w:t>
      </w:r>
      <w:r w:rsidR="00E4756D" w:rsidRPr="00053853">
        <w:rPr>
          <w:lang w:val="en-GB"/>
        </w:rPr>
        <w:t xml:space="preserve">ccording to </w:t>
      </w:r>
      <w:r w:rsidR="003C6580">
        <w:rPr>
          <w:lang w:val="en-GB"/>
        </w:rPr>
        <w:t>its</w:t>
      </w:r>
      <w:r w:rsidR="003C6580" w:rsidRPr="00053853">
        <w:rPr>
          <w:lang w:val="en-GB"/>
        </w:rPr>
        <w:t xml:space="preserve"> </w:t>
      </w:r>
      <w:r w:rsidR="003C6580">
        <w:rPr>
          <w:lang w:val="en-GB"/>
        </w:rPr>
        <w:t>summary of product characteristics</w:t>
      </w:r>
      <w:r w:rsidR="00E4756D" w:rsidRPr="00053853">
        <w:rPr>
          <w:lang w:val="en-GB"/>
        </w:rPr>
        <w:t xml:space="preserve">, </w:t>
      </w:r>
      <w:r w:rsidR="0053175F" w:rsidRPr="00053853">
        <w:rPr>
          <w:lang w:val="en-GB"/>
        </w:rPr>
        <w:t>anhydrous sodium thiosulfate should be given as a 15</w:t>
      </w:r>
      <w:r w:rsidR="003C6580">
        <w:rPr>
          <w:lang w:val="en-GB"/>
        </w:rPr>
        <w:noBreakHyphen/>
      </w:r>
      <w:r w:rsidR="0053175F" w:rsidRPr="00053853">
        <w:rPr>
          <w:lang w:val="en-GB"/>
        </w:rPr>
        <w:t>minute infusion exactly 6</w:t>
      </w:r>
      <w:r w:rsidR="00F21DF3">
        <w:rPr>
          <w:lang w:val="en-GB"/>
        </w:rPr>
        <w:t> </w:t>
      </w:r>
      <w:r w:rsidR="0053175F" w:rsidRPr="00053853">
        <w:rPr>
          <w:lang w:val="en-GB"/>
        </w:rPr>
        <w:t xml:space="preserve">hours after the cisplatin infusion finishes. </w:t>
      </w:r>
      <w:r w:rsidR="0050707E" w:rsidRPr="00053853">
        <w:rPr>
          <w:lang w:val="en-GB"/>
        </w:rPr>
        <w:t>If it is g</w:t>
      </w:r>
      <w:r w:rsidR="0053175F" w:rsidRPr="00053853">
        <w:rPr>
          <w:lang w:val="en-GB"/>
        </w:rPr>
        <w:t>iven any earlier the cisplatin</w:t>
      </w:r>
      <w:r w:rsidR="005323E4" w:rsidRPr="00053853">
        <w:rPr>
          <w:lang w:val="en-GB"/>
        </w:rPr>
        <w:t xml:space="preserve"> could be less effective</w:t>
      </w:r>
      <w:r w:rsidR="001E3B0E" w:rsidRPr="00053853">
        <w:rPr>
          <w:lang w:val="en-GB"/>
        </w:rPr>
        <w:t>, and if it is given</w:t>
      </w:r>
      <w:r w:rsidR="0053175F" w:rsidRPr="00053853">
        <w:rPr>
          <w:lang w:val="en-GB"/>
        </w:rPr>
        <w:t xml:space="preserve"> any later it may not prevent hearing loss. The company </w:t>
      </w:r>
      <w:r w:rsidR="00FA176D" w:rsidRPr="00053853">
        <w:rPr>
          <w:lang w:val="en-GB"/>
        </w:rPr>
        <w:t xml:space="preserve">explained </w:t>
      </w:r>
      <w:r w:rsidR="0053175F" w:rsidRPr="00053853">
        <w:rPr>
          <w:lang w:val="en-GB"/>
        </w:rPr>
        <w:t>that there were some instances of delayed administration in SIOPEL 6 (the company considers the exact figure confidential</w:t>
      </w:r>
      <w:r w:rsidR="00EB0E44" w:rsidRPr="00053853">
        <w:rPr>
          <w:lang w:val="en-GB"/>
        </w:rPr>
        <w:t xml:space="preserve"> so </w:t>
      </w:r>
      <w:r w:rsidR="00EA4DE1" w:rsidRPr="00053853">
        <w:rPr>
          <w:lang w:val="en-GB"/>
        </w:rPr>
        <w:t>it is</w:t>
      </w:r>
      <w:r w:rsidR="00EB0E44" w:rsidRPr="00053853">
        <w:rPr>
          <w:lang w:val="en-GB"/>
        </w:rPr>
        <w:t xml:space="preserve"> not reported here</w:t>
      </w:r>
      <w:r w:rsidR="0053175F" w:rsidRPr="00053853">
        <w:rPr>
          <w:lang w:val="en-GB"/>
        </w:rPr>
        <w:t>)</w:t>
      </w:r>
      <w:r w:rsidR="00D84D8E">
        <w:rPr>
          <w:lang w:val="en-GB"/>
        </w:rPr>
        <w:t>. These were</w:t>
      </w:r>
      <w:r w:rsidR="0053175F" w:rsidRPr="00053853">
        <w:rPr>
          <w:lang w:val="en-GB"/>
        </w:rPr>
        <w:t xml:space="preserve"> mainly because of delays in getting the anhydrous sodium thiosulfate from the pharmacy, </w:t>
      </w:r>
      <w:r w:rsidR="0053175F" w:rsidRPr="00053853">
        <w:rPr>
          <w:lang w:val="en-GB"/>
        </w:rPr>
        <w:lastRenderedPageBreak/>
        <w:t xml:space="preserve">ward staff changeovers, and blocked or unusable infusion lines. The committee asked if delays were likely in clinical practice in the NHS. A clinical expert said that if cisplatin was delayed, </w:t>
      </w:r>
      <w:r w:rsidR="00EA2E60" w:rsidRPr="00053853">
        <w:rPr>
          <w:lang w:val="en-GB"/>
        </w:rPr>
        <w:t xml:space="preserve">anhydrous sodium thiosulfate </w:t>
      </w:r>
      <w:r w:rsidR="0053175F" w:rsidRPr="00053853">
        <w:rPr>
          <w:lang w:val="en-GB"/>
        </w:rPr>
        <w:t xml:space="preserve">would still be </w:t>
      </w:r>
      <w:r w:rsidR="00855BFA" w:rsidRPr="00053853">
        <w:rPr>
          <w:lang w:val="en-GB"/>
        </w:rPr>
        <w:t>offered</w:t>
      </w:r>
      <w:r w:rsidR="0053175F" w:rsidRPr="00053853">
        <w:rPr>
          <w:lang w:val="en-GB"/>
        </w:rPr>
        <w:t xml:space="preserve"> 6</w:t>
      </w:r>
      <w:r w:rsidR="001E3B0E" w:rsidRPr="00053853">
        <w:rPr>
          <w:lang w:val="en-GB"/>
        </w:rPr>
        <w:t> </w:t>
      </w:r>
      <w:r w:rsidR="0053175F" w:rsidRPr="00053853">
        <w:rPr>
          <w:lang w:val="en-GB"/>
        </w:rPr>
        <w:t xml:space="preserve">hours later to maintain the treatment gap. </w:t>
      </w:r>
      <w:r w:rsidR="001E3B0E" w:rsidRPr="00053853">
        <w:rPr>
          <w:lang w:val="en-GB"/>
        </w:rPr>
        <w:t>T</w:t>
      </w:r>
      <w:r w:rsidR="0053175F" w:rsidRPr="00053853">
        <w:rPr>
          <w:lang w:val="en-GB"/>
        </w:rPr>
        <w:t xml:space="preserve">he Cancer Drugs Fund lead </w:t>
      </w:r>
      <w:r w:rsidR="00C714FD" w:rsidRPr="00053853">
        <w:rPr>
          <w:lang w:val="en-GB"/>
        </w:rPr>
        <w:t xml:space="preserve">explained </w:t>
      </w:r>
      <w:r w:rsidR="0053175F" w:rsidRPr="00053853">
        <w:rPr>
          <w:lang w:val="en-GB"/>
        </w:rPr>
        <w:t xml:space="preserve">that centres that use </w:t>
      </w:r>
      <w:r w:rsidR="001E3B0E" w:rsidRPr="00053853">
        <w:rPr>
          <w:lang w:val="en-GB"/>
        </w:rPr>
        <w:t xml:space="preserve">anhydrous sodium thiosulfate </w:t>
      </w:r>
      <w:r w:rsidR="0053175F" w:rsidRPr="00053853">
        <w:rPr>
          <w:lang w:val="en-GB"/>
        </w:rPr>
        <w:t>to prevent cisplatin-related hearing loss have re</w:t>
      </w:r>
      <w:r w:rsidR="00A55A08">
        <w:rPr>
          <w:lang w:val="en-GB"/>
        </w:rPr>
        <w:t>vised</w:t>
      </w:r>
      <w:r w:rsidR="0053175F" w:rsidRPr="00053853">
        <w:rPr>
          <w:lang w:val="en-GB"/>
        </w:rPr>
        <w:t xml:space="preserve"> protocols to minimise </w:t>
      </w:r>
      <w:r w:rsidR="001E3B0E" w:rsidRPr="00053853">
        <w:rPr>
          <w:lang w:val="en-GB"/>
        </w:rPr>
        <w:t>delays to administration</w:t>
      </w:r>
      <w:r w:rsidR="006E5230" w:rsidRPr="00053853">
        <w:rPr>
          <w:lang w:val="en-GB"/>
        </w:rPr>
        <w:t xml:space="preserve">. </w:t>
      </w:r>
      <w:r w:rsidR="0024636C" w:rsidRPr="00053853">
        <w:rPr>
          <w:lang w:val="en-GB"/>
        </w:rPr>
        <w:t>The prefer</w:t>
      </w:r>
      <w:r w:rsidR="004660A7" w:rsidRPr="00053853">
        <w:rPr>
          <w:lang w:val="en-GB"/>
        </w:rPr>
        <w:t xml:space="preserve">red </w:t>
      </w:r>
      <w:r w:rsidR="00A14DD6" w:rsidRPr="00053853">
        <w:rPr>
          <w:lang w:val="en-GB"/>
        </w:rPr>
        <w:t xml:space="preserve">protocol </w:t>
      </w:r>
      <w:r w:rsidR="0024636C" w:rsidRPr="00053853">
        <w:rPr>
          <w:lang w:val="en-GB"/>
        </w:rPr>
        <w:t>is</w:t>
      </w:r>
      <w:r w:rsidR="00A14DD6" w:rsidRPr="00053853">
        <w:rPr>
          <w:lang w:val="en-GB"/>
        </w:rPr>
        <w:t xml:space="preserve"> to use cisplatin during the day</w:t>
      </w:r>
      <w:r w:rsidR="0024636C" w:rsidRPr="00053853">
        <w:rPr>
          <w:lang w:val="en-GB"/>
        </w:rPr>
        <w:t>,</w:t>
      </w:r>
      <w:r w:rsidR="00A14DD6" w:rsidRPr="00053853">
        <w:rPr>
          <w:lang w:val="en-GB"/>
        </w:rPr>
        <w:t xml:space="preserve"> to </w:t>
      </w:r>
      <w:r w:rsidR="00AA64A1" w:rsidRPr="00053853">
        <w:rPr>
          <w:lang w:val="en-GB"/>
        </w:rPr>
        <w:t xml:space="preserve">minimise </w:t>
      </w:r>
      <w:r w:rsidR="00EA2E60" w:rsidRPr="00053853">
        <w:rPr>
          <w:lang w:val="en-GB"/>
        </w:rPr>
        <w:t xml:space="preserve">potential </w:t>
      </w:r>
      <w:r w:rsidR="00A14DD6" w:rsidRPr="00053853">
        <w:rPr>
          <w:lang w:val="en-GB"/>
        </w:rPr>
        <w:t xml:space="preserve">delays in </w:t>
      </w:r>
      <w:r w:rsidR="00CE5690" w:rsidRPr="00053853">
        <w:rPr>
          <w:lang w:val="en-GB"/>
        </w:rPr>
        <w:t xml:space="preserve">either </w:t>
      </w:r>
      <w:r w:rsidR="00A14DD6" w:rsidRPr="00053853">
        <w:rPr>
          <w:lang w:val="en-GB"/>
        </w:rPr>
        <w:t xml:space="preserve">administration of cisplatin or </w:t>
      </w:r>
      <w:r w:rsidR="00EA2E60" w:rsidRPr="00053853">
        <w:rPr>
          <w:lang w:val="en-GB"/>
        </w:rPr>
        <w:t xml:space="preserve">timing of anhydrous sodium thiosulfate. </w:t>
      </w:r>
      <w:r w:rsidR="0053175F" w:rsidRPr="00053853">
        <w:rPr>
          <w:lang w:val="en-GB"/>
        </w:rPr>
        <w:t xml:space="preserve">The clinical expert </w:t>
      </w:r>
      <w:r w:rsidR="00BB72E5" w:rsidRPr="00053853">
        <w:rPr>
          <w:lang w:val="en-GB"/>
        </w:rPr>
        <w:t>also noted</w:t>
      </w:r>
      <w:r w:rsidR="0053175F" w:rsidRPr="00053853">
        <w:rPr>
          <w:lang w:val="en-GB"/>
        </w:rPr>
        <w:t xml:space="preserve"> that if there was a delay</w:t>
      </w:r>
      <w:r w:rsidR="00D03633" w:rsidRPr="00053853">
        <w:rPr>
          <w:lang w:val="en-GB"/>
        </w:rPr>
        <w:t xml:space="preserve"> </w:t>
      </w:r>
      <w:r w:rsidR="000F116B" w:rsidRPr="00053853">
        <w:rPr>
          <w:lang w:val="en-GB"/>
        </w:rPr>
        <w:t>in administering</w:t>
      </w:r>
      <w:r w:rsidR="00D03633" w:rsidRPr="00053853">
        <w:rPr>
          <w:lang w:val="en-GB"/>
        </w:rPr>
        <w:t xml:space="preserve"> anhydrous sodium thiosulfate</w:t>
      </w:r>
      <w:r w:rsidR="009B7BE0">
        <w:rPr>
          <w:lang w:val="en-GB"/>
        </w:rPr>
        <w:t xml:space="preserve">, it would </w:t>
      </w:r>
      <w:r w:rsidR="00601324">
        <w:rPr>
          <w:lang w:val="en-GB"/>
        </w:rPr>
        <w:t>generally be given unless the delay was substantial</w:t>
      </w:r>
      <w:r w:rsidR="0053175F" w:rsidRPr="00053853">
        <w:rPr>
          <w:lang w:val="en-GB"/>
        </w:rPr>
        <w:t xml:space="preserve">. The company </w:t>
      </w:r>
      <w:r w:rsidR="00E0043D" w:rsidRPr="00053853">
        <w:rPr>
          <w:lang w:val="en-GB"/>
        </w:rPr>
        <w:t>explained</w:t>
      </w:r>
      <w:r w:rsidR="0053175F" w:rsidRPr="00053853">
        <w:rPr>
          <w:lang w:val="en-GB"/>
        </w:rPr>
        <w:t xml:space="preserve"> that the </w:t>
      </w:r>
      <w:r w:rsidR="00A55A08">
        <w:rPr>
          <w:lang w:val="en-GB"/>
        </w:rPr>
        <w:t>summary of product characteristics</w:t>
      </w:r>
      <w:r w:rsidR="00A55A08" w:rsidRPr="00053853">
        <w:rPr>
          <w:lang w:val="en-GB"/>
        </w:rPr>
        <w:t xml:space="preserve"> </w:t>
      </w:r>
      <w:r w:rsidR="0053175F" w:rsidRPr="00053853">
        <w:rPr>
          <w:lang w:val="en-GB"/>
        </w:rPr>
        <w:t>gives clear instructions about ensuring a 6</w:t>
      </w:r>
      <w:r w:rsidR="00A55A08">
        <w:rPr>
          <w:vertAlign w:val="subscript"/>
          <w:lang w:val="en-GB"/>
        </w:rPr>
        <w:noBreakHyphen/>
      </w:r>
      <w:r w:rsidR="0053175F" w:rsidRPr="00053853">
        <w:rPr>
          <w:lang w:val="en-GB"/>
        </w:rPr>
        <w:t xml:space="preserve">hour gap between </w:t>
      </w:r>
      <w:r w:rsidR="006E35FC" w:rsidRPr="00053853">
        <w:rPr>
          <w:lang w:val="en-GB"/>
        </w:rPr>
        <w:t xml:space="preserve">cisplatin infusions and </w:t>
      </w:r>
      <w:r w:rsidR="00621665" w:rsidRPr="00053853">
        <w:rPr>
          <w:lang w:val="en-GB"/>
        </w:rPr>
        <w:t xml:space="preserve">giving </w:t>
      </w:r>
      <w:r w:rsidR="0053175F" w:rsidRPr="00053853">
        <w:rPr>
          <w:lang w:val="en-GB"/>
        </w:rPr>
        <w:t>anhydrous sodium thiosulfate</w:t>
      </w:r>
      <w:r w:rsidR="000F116B" w:rsidRPr="00053853">
        <w:rPr>
          <w:lang w:val="en-GB"/>
        </w:rPr>
        <w:t xml:space="preserve">. It </w:t>
      </w:r>
      <w:r w:rsidR="007F3C81" w:rsidRPr="00053853">
        <w:rPr>
          <w:lang w:val="en-GB"/>
        </w:rPr>
        <w:t xml:space="preserve">also stated that, if </w:t>
      </w:r>
      <w:r w:rsidR="00203460" w:rsidRPr="00053853">
        <w:rPr>
          <w:lang w:val="en-GB"/>
        </w:rPr>
        <w:t xml:space="preserve">anhydrous sodium thiosulfate with cisplatin was recommended, it </w:t>
      </w:r>
      <w:r w:rsidR="00CD2228" w:rsidRPr="00053853">
        <w:rPr>
          <w:lang w:val="en-GB"/>
        </w:rPr>
        <w:t xml:space="preserve">would continue to support the delivery of the </w:t>
      </w:r>
      <w:r w:rsidR="002365F4" w:rsidRPr="00053853">
        <w:rPr>
          <w:lang w:val="en-GB"/>
        </w:rPr>
        <w:t>protocol or adaptation</w:t>
      </w:r>
      <w:r w:rsidR="00203460" w:rsidRPr="00053853">
        <w:rPr>
          <w:lang w:val="en-GB"/>
        </w:rPr>
        <w:t>s</w:t>
      </w:r>
      <w:r w:rsidR="002365F4" w:rsidRPr="00053853">
        <w:rPr>
          <w:lang w:val="en-GB"/>
        </w:rPr>
        <w:t xml:space="preserve"> in local areas.</w:t>
      </w:r>
      <w:r w:rsidR="00CC5245" w:rsidRPr="00053853">
        <w:rPr>
          <w:lang w:val="en-GB"/>
        </w:rPr>
        <w:t xml:space="preserve"> </w:t>
      </w:r>
      <w:r w:rsidR="0053175F" w:rsidRPr="00053853">
        <w:rPr>
          <w:lang w:val="en-GB"/>
        </w:rPr>
        <w:t xml:space="preserve">The committee </w:t>
      </w:r>
      <w:r w:rsidR="002447CA" w:rsidRPr="00053853">
        <w:rPr>
          <w:lang w:val="en-GB"/>
        </w:rPr>
        <w:t>noted</w:t>
      </w:r>
      <w:r w:rsidR="0053175F" w:rsidRPr="00053853">
        <w:rPr>
          <w:lang w:val="en-GB"/>
        </w:rPr>
        <w:t xml:space="preserve"> that there were likely to be delays in clinical practice and therefore loss of efficacy</w:t>
      </w:r>
      <w:r w:rsidR="007F67F2" w:rsidRPr="00053853">
        <w:rPr>
          <w:lang w:val="en-GB"/>
        </w:rPr>
        <w:t>, as</w:t>
      </w:r>
      <w:r w:rsidR="00621665" w:rsidRPr="00053853">
        <w:rPr>
          <w:lang w:val="en-GB"/>
        </w:rPr>
        <w:t xml:space="preserve"> the evidence</w:t>
      </w:r>
      <w:r w:rsidR="007F67F2" w:rsidRPr="00053853">
        <w:rPr>
          <w:lang w:val="en-GB"/>
        </w:rPr>
        <w:t xml:space="preserve"> suggest</w:t>
      </w:r>
      <w:r w:rsidR="00621665" w:rsidRPr="00053853">
        <w:rPr>
          <w:lang w:val="en-GB"/>
        </w:rPr>
        <w:t>s</w:t>
      </w:r>
      <w:r w:rsidR="00FA1E97" w:rsidRPr="00053853">
        <w:rPr>
          <w:lang w:val="en-GB"/>
        </w:rPr>
        <w:t>.</w:t>
      </w:r>
      <w:r w:rsidR="00BD61B2" w:rsidRPr="00053853">
        <w:rPr>
          <w:lang w:val="en-GB"/>
        </w:rPr>
        <w:t xml:space="preserve"> </w:t>
      </w:r>
      <w:r w:rsidR="00FA1E97" w:rsidRPr="00053853">
        <w:rPr>
          <w:lang w:val="en-GB"/>
        </w:rPr>
        <w:t>I</w:t>
      </w:r>
      <w:r w:rsidR="00BD61B2" w:rsidRPr="00053853">
        <w:rPr>
          <w:lang w:val="en-GB"/>
        </w:rPr>
        <w:t>t</w:t>
      </w:r>
      <w:r w:rsidR="000F7EBC" w:rsidRPr="00053853">
        <w:rPr>
          <w:lang w:val="en-GB"/>
        </w:rPr>
        <w:t xml:space="preserve"> </w:t>
      </w:r>
      <w:r w:rsidR="0053175F" w:rsidRPr="00053853">
        <w:rPr>
          <w:lang w:val="en-GB"/>
        </w:rPr>
        <w:t xml:space="preserve">concluded that </w:t>
      </w:r>
      <w:r w:rsidR="00550483">
        <w:rPr>
          <w:lang w:val="en-GB"/>
        </w:rPr>
        <w:t xml:space="preserve">although there was </w:t>
      </w:r>
      <w:r w:rsidR="00F72848">
        <w:rPr>
          <w:lang w:val="en-GB"/>
        </w:rPr>
        <w:t xml:space="preserve">uncertainty, </w:t>
      </w:r>
      <w:r w:rsidR="0053175F" w:rsidRPr="00053853">
        <w:rPr>
          <w:lang w:val="en-GB"/>
        </w:rPr>
        <w:t xml:space="preserve">the </w:t>
      </w:r>
      <w:r w:rsidR="000F7EBC" w:rsidRPr="00053853">
        <w:rPr>
          <w:lang w:val="en-GB"/>
        </w:rPr>
        <w:t xml:space="preserve">timing and administration </w:t>
      </w:r>
      <w:r w:rsidR="00FA374C" w:rsidRPr="00053853">
        <w:rPr>
          <w:lang w:val="en-GB"/>
        </w:rPr>
        <w:t xml:space="preserve">of anhydrous sodium thiosulfate after cisplatin in the trials may be </w:t>
      </w:r>
      <w:r w:rsidR="00764499" w:rsidRPr="00053853">
        <w:rPr>
          <w:lang w:val="en-GB"/>
        </w:rPr>
        <w:t>applicable to the NHS</w:t>
      </w:r>
      <w:r w:rsidR="00F64041" w:rsidRPr="00053853">
        <w:rPr>
          <w:lang w:val="en-GB"/>
        </w:rPr>
        <w:t>. I</w:t>
      </w:r>
      <w:r w:rsidR="00764499" w:rsidRPr="00053853">
        <w:rPr>
          <w:lang w:val="en-GB"/>
        </w:rPr>
        <w:t xml:space="preserve">t </w:t>
      </w:r>
      <w:r w:rsidR="00F64041" w:rsidRPr="00053853">
        <w:rPr>
          <w:lang w:val="en-GB"/>
        </w:rPr>
        <w:t>took this</w:t>
      </w:r>
      <w:r w:rsidR="003A341F" w:rsidRPr="00053853">
        <w:rPr>
          <w:lang w:val="en-GB"/>
        </w:rPr>
        <w:t xml:space="preserve"> </w:t>
      </w:r>
      <w:r w:rsidR="004673A9" w:rsidRPr="00053853">
        <w:rPr>
          <w:lang w:val="en-GB"/>
        </w:rPr>
        <w:t xml:space="preserve">into account </w:t>
      </w:r>
      <w:r w:rsidR="00FA1E97" w:rsidRPr="00053853">
        <w:rPr>
          <w:lang w:val="en-GB"/>
        </w:rPr>
        <w:t xml:space="preserve">in </w:t>
      </w:r>
      <w:r w:rsidR="004673A9" w:rsidRPr="00053853">
        <w:rPr>
          <w:lang w:val="en-GB"/>
        </w:rPr>
        <w:t xml:space="preserve">its </w:t>
      </w:r>
      <w:r w:rsidR="00F12FF3" w:rsidRPr="00053853">
        <w:rPr>
          <w:lang w:val="en-GB"/>
        </w:rPr>
        <w:t>decision making.</w:t>
      </w:r>
    </w:p>
    <w:p w14:paraId="617FCD5A" w14:textId="1D374B6A" w:rsidR="00967CCF" w:rsidRPr="00053853" w:rsidRDefault="00B80318" w:rsidP="00967CCF">
      <w:pPr>
        <w:pStyle w:val="Heading4"/>
      </w:pPr>
      <w:bookmarkStart w:id="10" w:name="_Population_appropriate_for"/>
      <w:bookmarkEnd w:id="10"/>
      <w:r w:rsidRPr="00053853">
        <w:t>Population appropriate for decision making</w:t>
      </w:r>
    </w:p>
    <w:p w14:paraId="6E47DD07" w14:textId="26C2666F" w:rsidR="009006A0" w:rsidRPr="00053853" w:rsidRDefault="00364BAC">
      <w:pPr>
        <w:pStyle w:val="Numberedlevel2text"/>
        <w:rPr>
          <w:lang w:val="en-GB"/>
        </w:rPr>
      </w:pPr>
      <w:r w:rsidRPr="00053853">
        <w:rPr>
          <w:lang w:val="en-GB"/>
        </w:rPr>
        <w:t xml:space="preserve">The company and EAG had different views on the population appropriate for decision making, as well as the population that informs the model (see </w:t>
      </w:r>
      <w:hyperlink w:anchor="_Sources_of_efficacy" w:history="1">
        <w:r w:rsidRPr="00053853">
          <w:rPr>
            <w:rStyle w:val="Hyperlink"/>
            <w:lang w:val="en-GB"/>
          </w:rPr>
          <w:t>section</w:t>
        </w:r>
        <w:r w:rsidR="001B7476">
          <w:rPr>
            <w:rStyle w:val="Hyperlink"/>
            <w:lang w:val="en-GB"/>
          </w:rPr>
          <w:t> </w:t>
        </w:r>
        <w:r w:rsidR="0088187F" w:rsidRPr="00053853">
          <w:rPr>
            <w:rStyle w:val="Hyperlink"/>
            <w:lang w:val="en-GB"/>
          </w:rPr>
          <w:t>3.12</w:t>
        </w:r>
      </w:hyperlink>
      <w:r w:rsidRPr="00053853">
        <w:rPr>
          <w:lang w:val="en-GB"/>
        </w:rPr>
        <w:t xml:space="preserve">). </w:t>
      </w:r>
      <w:r w:rsidR="00FB18B9" w:rsidRPr="00053853">
        <w:rPr>
          <w:lang w:val="en-GB"/>
        </w:rPr>
        <w:t>The EAG</w:t>
      </w:r>
      <w:r w:rsidR="00991C09" w:rsidRPr="00053853">
        <w:rPr>
          <w:lang w:val="en-GB"/>
        </w:rPr>
        <w:t xml:space="preserve"> noted that the efficacy data from COG</w:t>
      </w:r>
      <w:r w:rsidR="00621665" w:rsidRPr="00053853">
        <w:rPr>
          <w:lang w:val="en-GB"/>
        </w:rPr>
        <w:t> </w:t>
      </w:r>
      <w:r w:rsidR="00991C09" w:rsidRPr="00053853">
        <w:rPr>
          <w:lang w:val="en-GB"/>
        </w:rPr>
        <w:t xml:space="preserve">ACCL0431 was from children with localised and metastatic cancer, </w:t>
      </w:r>
      <w:r w:rsidR="000D34CB" w:rsidRPr="00053853">
        <w:rPr>
          <w:lang w:val="en-GB"/>
        </w:rPr>
        <w:t>although</w:t>
      </w:r>
      <w:r w:rsidR="00991C09" w:rsidRPr="00053853">
        <w:rPr>
          <w:lang w:val="en-GB"/>
        </w:rPr>
        <w:t xml:space="preserve"> the marketing authorisation was for localised disease only. </w:t>
      </w:r>
      <w:r w:rsidR="00B23FE9" w:rsidRPr="00053853">
        <w:rPr>
          <w:lang w:val="en-GB"/>
        </w:rPr>
        <w:t>Noting the differences in population characteristics at base</w:t>
      </w:r>
      <w:r w:rsidR="006E20CC" w:rsidRPr="00053853">
        <w:rPr>
          <w:lang w:val="en-GB"/>
        </w:rPr>
        <w:t>l</w:t>
      </w:r>
      <w:r w:rsidR="00B23FE9" w:rsidRPr="00053853">
        <w:rPr>
          <w:lang w:val="en-GB"/>
        </w:rPr>
        <w:t>ine in SIOPEL</w:t>
      </w:r>
      <w:r w:rsidR="00794977" w:rsidRPr="00053853">
        <w:rPr>
          <w:lang w:val="en-GB"/>
        </w:rPr>
        <w:t> </w:t>
      </w:r>
      <w:r w:rsidR="00B23FE9" w:rsidRPr="00053853">
        <w:rPr>
          <w:lang w:val="en-GB"/>
        </w:rPr>
        <w:t>6 and COG</w:t>
      </w:r>
      <w:r w:rsidR="001B1E46" w:rsidRPr="00053853">
        <w:rPr>
          <w:lang w:val="en-GB"/>
        </w:rPr>
        <w:t> </w:t>
      </w:r>
      <w:r w:rsidR="00B23FE9" w:rsidRPr="00053853">
        <w:rPr>
          <w:lang w:val="en-GB"/>
        </w:rPr>
        <w:t xml:space="preserve">ACCL0431 (see </w:t>
      </w:r>
      <w:hyperlink w:anchor="_Key_clinical_trials:" w:history="1">
        <w:r w:rsidR="00B23FE9" w:rsidRPr="00053853">
          <w:rPr>
            <w:rStyle w:val="Hyperlink"/>
            <w:lang w:val="en-GB"/>
          </w:rPr>
          <w:t>section</w:t>
        </w:r>
        <w:r w:rsidR="001B7476">
          <w:rPr>
            <w:rStyle w:val="Hyperlink"/>
            <w:lang w:val="en-GB"/>
          </w:rPr>
          <w:t> </w:t>
        </w:r>
        <w:r w:rsidR="0015627D" w:rsidRPr="00053853">
          <w:rPr>
            <w:rStyle w:val="Hyperlink"/>
            <w:lang w:val="en-GB"/>
          </w:rPr>
          <w:t>3.5</w:t>
        </w:r>
      </w:hyperlink>
      <w:r w:rsidR="00B23FE9" w:rsidRPr="00053853">
        <w:rPr>
          <w:lang w:val="en-GB"/>
        </w:rPr>
        <w:t>), t</w:t>
      </w:r>
      <w:r w:rsidR="008E1E29" w:rsidRPr="00053853">
        <w:rPr>
          <w:lang w:val="en-GB"/>
        </w:rPr>
        <w:t xml:space="preserve">he EAG </w:t>
      </w:r>
      <w:r w:rsidR="007B7F23" w:rsidRPr="00053853">
        <w:rPr>
          <w:lang w:val="en-GB"/>
        </w:rPr>
        <w:t xml:space="preserve">thought </w:t>
      </w:r>
      <w:r w:rsidR="00B23FE9" w:rsidRPr="00053853">
        <w:rPr>
          <w:lang w:val="en-GB"/>
        </w:rPr>
        <w:t>that</w:t>
      </w:r>
      <w:r w:rsidR="008E1E29" w:rsidRPr="00053853">
        <w:rPr>
          <w:lang w:val="en-GB"/>
        </w:rPr>
        <w:t xml:space="preserve"> the localised disease subgroup </w:t>
      </w:r>
      <w:r w:rsidR="00355006" w:rsidRPr="00053853">
        <w:rPr>
          <w:lang w:val="en-GB"/>
        </w:rPr>
        <w:t>from COG</w:t>
      </w:r>
      <w:r w:rsidR="001B1E46" w:rsidRPr="00053853">
        <w:rPr>
          <w:lang w:val="en-GB"/>
        </w:rPr>
        <w:t> </w:t>
      </w:r>
      <w:r w:rsidR="00355006" w:rsidRPr="00053853">
        <w:rPr>
          <w:lang w:val="en-GB"/>
        </w:rPr>
        <w:t xml:space="preserve">ACCL0431 </w:t>
      </w:r>
      <w:r w:rsidR="00C91800" w:rsidRPr="00053853">
        <w:rPr>
          <w:lang w:val="en-GB"/>
        </w:rPr>
        <w:t>was</w:t>
      </w:r>
      <w:r w:rsidR="00B23FE9" w:rsidRPr="00053853">
        <w:rPr>
          <w:lang w:val="en-GB"/>
        </w:rPr>
        <w:t xml:space="preserve"> more appropriate for </w:t>
      </w:r>
      <w:r w:rsidR="00B23FE9" w:rsidRPr="00053853">
        <w:rPr>
          <w:lang w:val="en-GB"/>
        </w:rPr>
        <w:lastRenderedPageBreak/>
        <w:t>decision making</w:t>
      </w:r>
      <w:r w:rsidR="00355006" w:rsidRPr="00053853">
        <w:rPr>
          <w:lang w:val="en-GB"/>
        </w:rPr>
        <w:t xml:space="preserve"> and inform</w:t>
      </w:r>
      <w:r w:rsidR="001B1E46" w:rsidRPr="00053853">
        <w:rPr>
          <w:lang w:val="en-GB"/>
        </w:rPr>
        <w:t>ing</w:t>
      </w:r>
      <w:r w:rsidR="00355006" w:rsidRPr="00053853">
        <w:rPr>
          <w:lang w:val="en-GB"/>
        </w:rPr>
        <w:t xml:space="preserve"> the model</w:t>
      </w:r>
      <w:r w:rsidR="001F1A41" w:rsidRPr="00053853">
        <w:rPr>
          <w:lang w:val="en-GB"/>
        </w:rPr>
        <w:t>.</w:t>
      </w:r>
      <w:r w:rsidR="00991C09" w:rsidRPr="00053853">
        <w:rPr>
          <w:lang w:val="en-GB"/>
        </w:rPr>
        <w:t xml:space="preserve"> </w:t>
      </w:r>
      <w:r w:rsidR="00E9637F" w:rsidRPr="00053853">
        <w:rPr>
          <w:lang w:val="en-GB"/>
        </w:rPr>
        <w:t>It</w:t>
      </w:r>
      <w:r w:rsidR="00355006" w:rsidRPr="00053853">
        <w:rPr>
          <w:lang w:val="en-GB"/>
        </w:rPr>
        <w:t xml:space="preserve"> also noted that </w:t>
      </w:r>
      <w:r w:rsidR="001B1E46" w:rsidRPr="00053853">
        <w:rPr>
          <w:lang w:val="en-GB"/>
        </w:rPr>
        <w:t xml:space="preserve">the </w:t>
      </w:r>
      <w:r w:rsidR="00831A47" w:rsidRPr="00053853">
        <w:rPr>
          <w:lang w:val="en-GB"/>
        </w:rPr>
        <w:t>reduction in hearing loss was not statistically significant for the localised disease subgroup</w:t>
      </w:r>
      <w:r w:rsidR="00E9637F" w:rsidRPr="00053853">
        <w:rPr>
          <w:lang w:val="en-GB"/>
        </w:rPr>
        <w:t xml:space="preserve"> in COG</w:t>
      </w:r>
      <w:r w:rsidR="001B1E46" w:rsidRPr="00053853">
        <w:rPr>
          <w:lang w:val="en-GB"/>
        </w:rPr>
        <w:t> </w:t>
      </w:r>
      <w:r w:rsidR="00E9637F" w:rsidRPr="00053853">
        <w:rPr>
          <w:lang w:val="en-GB"/>
        </w:rPr>
        <w:t>ACCL0431. The</w:t>
      </w:r>
      <w:r w:rsidR="00B33D20" w:rsidRPr="00053853" w:rsidDel="00E9637F">
        <w:rPr>
          <w:lang w:val="en-GB"/>
        </w:rPr>
        <w:t xml:space="preserve"> </w:t>
      </w:r>
      <w:r w:rsidR="00B33D20" w:rsidRPr="00053853">
        <w:rPr>
          <w:lang w:val="en-GB"/>
        </w:rPr>
        <w:t xml:space="preserve">company </w:t>
      </w:r>
      <w:r w:rsidR="00B56753" w:rsidRPr="00053853">
        <w:rPr>
          <w:lang w:val="en-GB"/>
        </w:rPr>
        <w:t>explained</w:t>
      </w:r>
      <w:r w:rsidR="00B33D20" w:rsidRPr="00053853">
        <w:rPr>
          <w:lang w:val="en-GB"/>
        </w:rPr>
        <w:t xml:space="preserve"> that the study was not powered to detect efficacy in this subgroup</w:t>
      </w:r>
      <w:r w:rsidR="00831A47" w:rsidRPr="00053853">
        <w:rPr>
          <w:lang w:val="en-GB"/>
        </w:rPr>
        <w:t xml:space="preserve">. </w:t>
      </w:r>
      <w:r w:rsidR="002257D5" w:rsidRPr="00053853">
        <w:rPr>
          <w:lang w:val="en-GB"/>
        </w:rPr>
        <w:t xml:space="preserve">The committee was aware that </w:t>
      </w:r>
      <w:r w:rsidR="00053140" w:rsidRPr="00053853">
        <w:rPr>
          <w:lang w:val="en-GB"/>
        </w:rPr>
        <w:t>both the company and EAG did not consider the pooled analysis of children with localised disease only from COG</w:t>
      </w:r>
      <w:r w:rsidR="001B1E46" w:rsidRPr="00053853">
        <w:rPr>
          <w:lang w:val="en-GB"/>
        </w:rPr>
        <w:t> </w:t>
      </w:r>
      <w:r w:rsidR="00053140" w:rsidRPr="00053853">
        <w:rPr>
          <w:lang w:val="en-GB"/>
        </w:rPr>
        <w:t xml:space="preserve">ACCL0431 and SIOPEL 6 appropriate (see </w:t>
      </w:r>
      <w:hyperlink w:anchor="_Clinical_trial_results:" w:history="1">
        <w:r w:rsidR="00053140" w:rsidRPr="00053853">
          <w:rPr>
            <w:rStyle w:val="Hyperlink"/>
            <w:lang w:val="en-GB"/>
          </w:rPr>
          <w:t>section</w:t>
        </w:r>
        <w:r w:rsidR="00887A56">
          <w:rPr>
            <w:rStyle w:val="Hyperlink"/>
            <w:lang w:val="en-GB"/>
          </w:rPr>
          <w:t> </w:t>
        </w:r>
        <w:r w:rsidR="00C71BEA" w:rsidRPr="00053853">
          <w:rPr>
            <w:rStyle w:val="Hyperlink"/>
            <w:lang w:val="en-GB"/>
          </w:rPr>
          <w:t>3.6</w:t>
        </w:r>
      </w:hyperlink>
      <w:r w:rsidR="00053140" w:rsidRPr="00053853">
        <w:rPr>
          <w:lang w:val="en-GB"/>
        </w:rPr>
        <w:t>).</w:t>
      </w:r>
      <w:r w:rsidR="001E637A" w:rsidRPr="00053853">
        <w:rPr>
          <w:lang w:val="en-GB"/>
        </w:rPr>
        <w:t xml:space="preserve"> </w:t>
      </w:r>
      <w:r w:rsidR="005B2A3C" w:rsidRPr="00053853">
        <w:rPr>
          <w:lang w:val="en-GB"/>
        </w:rPr>
        <w:t xml:space="preserve">The committee asked if </w:t>
      </w:r>
      <w:r w:rsidR="00251B69" w:rsidRPr="00053853">
        <w:rPr>
          <w:lang w:val="en-GB"/>
        </w:rPr>
        <w:t xml:space="preserve">the </w:t>
      </w:r>
      <w:r w:rsidR="00CC5825" w:rsidRPr="00053853">
        <w:rPr>
          <w:lang w:val="en-GB"/>
        </w:rPr>
        <w:t>efficacy</w:t>
      </w:r>
      <w:r w:rsidR="00251B69" w:rsidRPr="00053853">
        <w:rPr>
          <w:lang w:val="en-GB"/>
        </w:rPr>
        <w:t xml:space="preserve"> data for </w:t>
      </w:r>
      <w:r w:rsidR="00E3658C" w:rsidRPr="00053853">
        <w:rPr>
          <w:lang w:val="en-GB"/>
        </w:rPr>
        <w:t xml:space="preserve">the overall population </w:t>
      </w:r>
      <w:r w:rsidR="00251B69" w:rsidRPr="00053853">
        <w:rPr>
          <w:lang w:val="en-GB"/>
        </w:rPr>
        <w:t xml:space="preserve">could be extrapolated to </w:t>
      </w:r>
      <w:r w:rsidR="00E3658C" w:rsidRPr="00053853">
        <w:rPr>
          <w:lang w:val="en-GB"/>
        </w:rPr>
        <w:t>localised cancer</w:t>
      </w:r>
      <w:r w:rsidR="00CC5825" w:rsidRPr="00053853">
        <w:rPr>
          <w:lang w:val="en-GB"/>
        </w:rPr>
        <w:t xml:space="preserve">. </w:t>
      </w:r>
      <w:r w:rsidR="00764314" w:rsidRPr="00053853">
        <w:rPr>
          <w:lang w:val="en-GB"/>
        </w:rPr>
        <w:t xml:space="preserve">The clinical experts </w:t>
      </w:r>
      <w:r w:rsidR="00926A28" w:rsidRPr="00053853">
        <w:rPr>
          <w:lang w:val="en-GB"/>
        </w:rPr>
        <w:t>explained</w:t>
      </w:r>
      <w:r w:rsidR="00764314" w:rsidRPr="00053853">
        <w:rPr>
          <w:lang w:val="en-GB"/>
        </w:rPr>
        <w:t xml:space="preserve"> </w:t>
      </w:r>
      <w:r w:rsidR="00BF0DB7" w:rsidRPr="00053853">
        <w:rPr>
          <w:lang w:val="en-GB"/>
        </w:rPr>
        <w:t xml:space="preserve">there were differences in the </w:t>
      </w:r>
      <w:r w:rsidR="000E70BB" w:rsidRPr="00053853">
        <w:rPr>
          <w:lang w:val="en-GB"/>
        </w:rPr>
        <w:t>chemotherapy</w:t>
      </w:r>
      <w:r w:rsidR="00BF0DB7" w:rsidRPr="00053853">
        <w:rPr>
          <w:lang w:val="en-GB"/>
        </w:rPr>
        <w:t xml:space="preserve"> that children with different types of cancer had. They </w:t>
      </w:r>
      <w:r w:rsidR="00CC6557" w:rsidRPr="00053853">
        <w:rPr>
          <w:lang w:val="en-GB"/>
        </w:rPr>
        <w:t xml:space="preserve">added </w:t>
      </w:r>
      <w:r w:rsidR="00764314" w:rsidRPr="00053853">
        <w:rPr>
          <w:lang w:val="en-GB"/>
        </w:rPr>
        <w:t>that</w:t>
      </w:r>
      <w:r w:rsidR="00432AEE" w:rsidRPr="00053853">
        <w:rPr>
          <w:lang w:val="en-GB"/>
        </w:rPr>
        <w:t xml:space="preserve"> children with hepatoblastoma, as in SIOPEL</w:t>
      </w:r>
      <w:r w:rsidR="0091305D" w:rsidRPr="00053853">
        <w:rPr>
          <w:lang w:val="en-GB"/>
        </w:rPr>
        <w:t> </w:t>
      </w:r>
      <w:r w:rsidR="00432AEE" w:rsidRPr="00053853">
        <w:rPr>
          <w:lang w:val="en-GB"/>
        </w:rPr>
        <w:t xml:space="preserve">6, </w:t>
      </w:r>
      <w:r w:rsidR="00D47C65" w:rsidRPr="00053853">
        <w:rPr>
          <w:lang w:val="en-GB"/>
        </w:rPr>
        <w:t>usually</w:t>
      </w:r>
      <w:r w:rsidR="0091305D" w:rsidRPr="00053853">
        <w:rPr>
          <w:lang w:val="en-GB"/>
        </w:rPr>
        <w:t xml:space="preserve"> have cisplatin monotherapy. If they have other types of cancer, or metastatic cancer, as in COG</w:t>
      </w:r>
      <w:r w:rsidR="00CC6557" w:rsidRPr="00053853">
        <w:rPr>
          <w:lang w:val="en-GB"/>
        </w:rPr>
        <w:t> </w:t>
      </w:r>
      <w:r w:rsidR="0091305D" w:rsidRPr="00053853">
        <w:rPr>
          <w:lang w:val="en-GB"/>
        </w:rPr>
        <w:t xml:space="preserve">ACCL0431, </w:t>
      </w:r>
      <w:r w:rsidR="00B60F43" w:rsidRPr="00053853">
        <w:rPr>
          <w:lang w:val="en-GB"/>
        </w:rPr>
        <w:t>they may have</w:t>
      </w:r>
      <w:r w:rsidR="00A61C8F" w:rsidRPr="00053853">
        <w:rPr>
          <w:lang w:val="en-GB"/>
        </w:rPr>
        <w:t xml:space="preserve"> radiotherapy and</w:t>
      </w:r>
      <w:r w:rsidR="00B60F43" w:rsidRPr="00053853">
        <w:rPr>
          <w:lang w:val="en-GB"/>
        </w:rPr>
        <w:t xml:space="preserve"> other types of chemotherapy</w:t>
      </w:r>
      <w:r w:rsidR="004606FE" w:rsidRPr="00053853">
        <w:rPr>
          <w:lang w:val="en-GB"/>
        </w:rPr>
        <w:t>,</w:t>
      </w:r>
      <w:r w:rsidR="00A61C8F" w:rsidRPr="00053853">
        <w:rPr>
          <w:lang w:val="en-GB"/>
        </w:rPr>
        <w:t xml:space="preserve"> as well as cisplatin</w:t>
      </w:r>
      <w:r w:rsidR="00B70EB3" w:rsidRPr="00053853">
        <w:rPr>
          <w:lang w:val="en-GB"/>
        </w:rPr>
        <w:t>. These treatments</w:t>
      </w:r>
      <w:r w:rsidR="00B60F43" w:rsidRPr="00053853">
        <w:rPr>
          <w:lang w:val="en-GB"/>
        </w:rPr>
        <w:t xml:space="preserve"> may also cause hearing loss.</w:t>
      </w:r>
      <w:r w:rsidR="00C972A5" w:rsidRPr="00053853">
        <w:rPr>
          <w:lang w:val="en-GB"/>
        </w:rPr>
        <w:t xml:space="preserve"> </w:t>
      </w:r>
      <w:r w:rsidR="000E70BB" w:rsidRPr="00053853">
        <w:rPr>
          <w:lang w:val="en-GB"/>
        </w:rPr>
        <w:t>But t</w:t>
      </w:r>
      <w:r w:rsidR="000A5CDE" w:rsidRPr="00053853">
        <w:rPr>
          <w:lang w:val="en-GB"/>
        </w:rPr>
        <w:t xml:space="preserve">he clinical experts </w:t>
      </w:r>
      <w:r w:rsidR="00A2749A" w:rsidRPr="00053853">
        <w:rPr>
          <w:lang w:val="en-GB"/>
        </w:rPr>
        <w:t xml:space="preserve">noted </w:t>
      </w:r>
      <w:r w:rsidR="008E02F4" w:rsidRPr="00053853">
        <w:rPr>
          <w:lang w:val="en-GB"/>
        </w:rPr>
        <w:t xml:space="preserve">no reason to exclude the results from </w:t>
      </w:r>
      <w:r w:rsidR="004E7104" w:rsidRPr="00053853">
        <w:rPr>
          <w:lang w:val="en-GB"/>
        </w:rPr>
        <w:t>children with metastatic cancer</w:t>
      </w:r>
      <w:r w:rsidR="004606FE" w:rsidRPr="00053853">
        <w:rPr>
          <w:lang w:val="en-GB"/>
        </w:rPr>
        <w:t>. This is</w:t>
      </w:r>
      <w:r w:rsidR="004E7104" w:rsidRPr="00053853">
        <w:rPr>
          <w:lang w:val="en-GB"/>
        </w:rPr>
        <w:t xml:space="preserve"> </w:t>
      </w:r>
      <w:r w:rsidR="00493C40" w:rsidRPr="00053853">
        <w:rPr>
          <w:lang w:val="en-GB"/>
        </w:rPr>
        <w:t>because hearing loss outcomes were similar</w:t>
      </w:r>
      <w:r w:rsidR="00290394" w:rsidRPr="00053853">
        <w:rPr>
          <w:lang w:val="en-GB"/>
        </w:rPr>
        <w:t xml:space="preserve"> overall</w:t>
      </w:r>
      <w:r w:rsidR="00493C40" w:rsidRPr="00053853">
        <w:rPr>
          <w:lang w:val="en-GB"/>
        </w:rPr>
        <w:t xml:space="preserve"> for localised and metastatic cancer</w:t>
      </w:r>
      <w:r w:rsidR="00493C40" w:rsidRPr="00053853" w:rsidDel="00505868">
        <w:rPr>
          <w:lang w:val="en-GB"/>
        </w:rPr>
        <w:t xml:space="preserve">. </w:t>
      </w:r>
      <w:r w:rsidR="00BD3658" w:rsidRPr="00053853">
        <w:rPr>
          <w:lang w:val="en-GB"/>
        </w:rPr>
        <w:t xml:space="preserve">The company said there was no </w:t>
      </w:r>
      <w:r w:rsidR="00764314" w:rsidRPr="00053853">
        <w:rPr>
          <w:lang w:val="en-GB"/>
        </w:rPr>
        <w:t>biological</w:t>
      </w:r>
      <w:r w:rsidR="00BD3658" w:rsidRPr="00053853">
        <w:rPr>
          <w:lang w:val="en-GB"/>
        </w:rPr>
        <w:t>ly</w:t>
      </w:r>
      <w:r w:rsidR="00764314" w:rsidRPr="00053853">
        <w:rPr>
          <w:lang w:val="en-GB"/>
        </w:rPr>
        <w:t xml:space="preserve"> plausible reason why hearing loss would be different</w:t>
      </w:r>
      <w:r w:rsidR="008F20D8" w:rsidRPr="00053853">
        <w:rPr>
          <w:lang w:val="en-GB"/>
        </w:rPr>
        <w:t xml:space="preserve"> between </w:t>
      </w:r>
      <w:r w:rsidR="00F31DC9" w:rsidRPr="00053853">
        <w:rPr>
          <w:lang w:val="en-GB"/>
        </w:rPr>
        <w:t>people with</w:t>
      </w:r>
      <w:r w:rsidR="008F20D8" w:rsidRPr="00053853">
        <w:rPr>
          <w:lang w:val="en-GB"/>
        </w:rPr>
        <w:t xml:space="preserve"> localised and metastatic disease</w:t>
      </w:r>
      <w:r w:rsidR="00764314" w:rsidRPr="00053853">
        <w:rPr>
          <w:lang w:val="en-GB"/>
        </w:rPr>
        <w:t xml:space="preserve">. </w:t>
      </w:r>
      <w:r w:rsidR="0078139D" w:rsidRPr="00053853">
        <w:rPr>
          <w:lang w:val="en-GB"/>
        </w:rPr>
        <w:t>The committee</w:t>
      </w:r>
      <w:r w:rsidR="00337839" w:rsidRPr="00053853">
        <w:rPr>
          <w:lang w:val="en-GB"/>
        </w:rPr>
        <w:t xml:space="preserve"> </w:t>
      </w:r>
      <w:r w:rsidR="00181AC7" w:rsidRPr="00053853">
        <w:rPr>
          <w:lang w:val="en-GB"/>
        </w:rPr>
        <w:t xml:space="preserve">noted </w:t>
      </w:r>
      <w:r w:rsidR="00337839" w:rsidRPr="00053853">
        <w:rPr>
          <w:lang w:val="en-GB"/>
        </w:rPr>
        <w:t>that the</w:t>
      </w:r>
      <w:r w:rsidR="00AE43FF" w:rsidRPr="00053853">
        <w:rPr>
          <w:lang w:val="en-GB"/>
        </w:rPr>
        <w:t xml:space="preserve"> </w:t>
      </w:r>
      <w:r w:rsidR="00337839" w:rsidRPr="00053853">
        <w:rPr>
          <w:lang w:val="en-GB"/>
        </w:rPr>
        <w:t>evidence</w:t>
      </w:r>
      <w:r w:rsidR="002B5DCA" w:rsidRPr="00053853">
        <w:rPr>
          <w:lang w:val="en-GB"/>
        </w:rPr>
        <w:t xml:space="preserve"> across </w:t>
      </w:r>
      <w:r w:rsidR="005A4EF2" w:rsidRPr="00053853">
        <w:rPr>
          <w:lang w:val="en-GB"/>
        </w:rPr>
        <w:t>the</w:t>
      </w:r>
      <w:r w:rsidR="002B5DCA" w:rsidRPr="00053853">
        <w:rPr>
          <w:lang w:val="en-GB"/>
        </w:rPr>
        <w:t xml:space="preserve"> trials</w:t>
      </w:r>
      <w:r w:rsidR="005A4EF2" w:rsidRPr="00053853">
        <w:rPr>
          <w:lang w:val="en-GB"/>
        </w:rPr>
        <w:t xml:space="preserve"> and different analyses</w:t>
      </w:r>
      <w:r w:rsidR="00337839" w:rsidRPr="00053853">
        <w:rPr>
          <w:lang w:val="en-GB"/>
        </w:rPr>
        <w:t xml:space="preserve"> showed a consistent efficacy benefit from anhydrous sodium thiosulfate </w:t>
      </w:r>
      <w:r w:rsidR="00F33144" w:rsidRPr="00053853">
        <w:rPr>
          <w:lang w:val="en-GB"/>
        </w:rPr>
        <w:t>in preventing hearing loss in</w:t>
      </w:r>
      <w:r w:rsidR="00082F63" w:rsidRPr="00053853">
        <w:rPr>
          <w:lang w:val="en-GB"/>
        </w:rPr>
        <w:t xml:space="preserve"> </w:t>
      </w:r>
      <w:r w:rsidR="00337839" w:rsidRPr="00053853">
        <w:rPr>
          <w:lang w:val="en-GB"/>
        </w:rPr>
        <w:t xml:space="preserve">children </w:t>
      </w:r>
      <w:r w:rsidR="00A91454" w:rsidRPr="00053853">
        <w:rPr>
          <w:lang w:val="en-GB"/>
        </w:rPr>
        <w:t>having cisplatin</w:t>
      </w:r>
      <w:r w:rsidR="006A0642" w:rsidRPr="00053853">
        <w:rPr>
          <w:lang w:val="en-GB"/>
        </w:rPr>
        <w:t>, and this was likely to be similar</w:t>
      </w:r>
      <w:r w:rsidR="00355391" w:rsidRPr="00053853">
        <w:rPr>
          <w:lang w:val="en-GB"/>
        </w:rPr>
        <w:t xml:space="preserve"> in different tumour types and in localised and metastatic cancer</w:t>
      </w:r>
      <w:r w:rsidR="00B735EC" w:rsidRPr="00053853">
        <w:rPr>
          <w:lang w:val="en-GB"/>
        </w:rPr>
        <w:t>.</w:t>
      </w:r>
      <w:r w:rsidR="00355391" w:rsidRPr="00053853">
        <w:rPr>
          <w:lang w:val="en-GB"/>
        </w:rPr>
        <w:t xml:space="preserve"> </w:t>
      </w:r>
      <w:r w:rsidR="00490C66" w:rsidRPr="00053853">
        <w:rPr>
          <w:lang w:val="en-GB"/>
        </w:rPr>
        <w:t xml:space="preserve">It </w:t>
      </w:r>
      <w:r w:rsidR="003F7C6D" w:rsidRPr="00053853">
        <w:rPr>
          <w:lang w:val="en-GB"/>
        </w:rPr>
        <w:t xml:space="preserve">also </w:t>
      </w:r>
      <w:r w:rsidR="00490C66" w:rsidRPr="00053853">
        <w:rPr>
          <w:lang w:val="en-GB"/>
        </w:rPr>
        <w:t xml:space="preserve">noted the different </w:t>
      </w:r>
      <w:r w:rsidR="00BF0EC0" w:rsidRPr="00053853">
        <w:rPr>
          <w:lang w:val="en-GB"/>
        </w:rPr>
        <w:t xml:space="preserve">study designs, </w:t>
      </w:r>
      <w:r w:rsidR="00814C1E" w:rsidRPr="00053853">
        <w:rPr>
          <w:lang w:val="en-GB"/>
        </w:rPr>
        <w:t xml:space="preserve">population characteristics </w:t>
      </w:r>
      <w:r w:rsidR="00A14FB5" w:rsidRPr="00053853">
        <w:rPr>
          <w:lang w:val="en-GB"/>
        </w:rPr>
        <w:t xml:space="preserve">and </w:t>
      </w:r>
      <w:r w:rsidR="00490C66" w:rsidRPr="00053853">
        <w:rPr>
          <w:lang w:val="en-GB"/>
        </w:rPr>
        <w:t xml:space="preserve">grading scales used </w:t>
      </w:r>
      <w:r w:rsidR="00BF0EC0" w:rsidRPr="00053853">
        <w:rPr>
          <w:lang w:val="en-GB"/>
        </w:rPr>
        <w:t xml:space="preserve">in </w:t>
      </w:r>
      <w:r w:rsidR="00903332" w:rsidRPr="00053853">
        <w:rPr>
          <w:lang w:val="en-GB"/>
        </w:rPr>
        <w:t>SIOPEL</w:t>
      </w:r>
      <w:r w:rsidR="00C064BD" w:rsidRPr="00053853">
        <w:rPr>
          <w:lang w:val="en-GB"/>
        </w:rPr>
        <w:t> </w:t>
      </w:r>
      <w:r w:rsidR="00903332" w:rsidRPr="00053853">
        <w:rPr>
          <w:lang w:val="en-GB"/>
        </w:rPr>
        <w:t>6 and COG</w:t>
      </w:r>
      <w:r w:rsidR="00C064BD" w:rsidRPr="00053853">
        <w:rPr>
          <w:lang w:val="en-GB"/>
        </w:rPr>
        <w:t> </w:t>
      </w:r>
      <w:r w:rsidR="00903332" w:rsidRPr="00053853">
        <w:rPr>
          <w:lang w:val="en-GB"/>
        </w:rPr>
        <w:t>ACCL0431</w:t>
      </w:r>
      <w:r w:rsidR="00BF0EC0" w:rsidRPr="00053853">
        <w:rPr>
          <w:lang w:val="en-GB"/>
        </w:rPr>
        <w:t>.</w:t>
      </w:r>
      <w:r w:rsidR="00A14FB5" w:rsidRPr="00053853">
        <w:rPr>
          <w:lang w:val="en-GB"/>
        </w:rPr>
        <w:t xml:space="preserve"> </w:t>
      </w:r>
      <w:r w:rsidR="00BF0EC0" w:rsidRPr="00053853">
        <w:rPr>
          <w:lang w:val="en-GB"/>
        </w:rPr>
        <w:t>So</w:t>
      </w:r>
      <w:r w:rsidR="00C064BD" w:rsidRPr="00053853">
        <w:rPr>
          <w:lang w:val="en-GB"/>
        </w:rPr>
        <w:t>,</w:t>
      </w:r>
      <w:r w:rsidR="00BF0EC0" w:rsidRPr="00053853">
        <w:rPr>
          <w:lang w:val="en-GB"/>
        </w:rPr>
        <w:t xml:space="preserve"> it </w:t>
      </w:r>
      <w:r w:rsidR="00B735EC" w:rsidRPr="00053853">
        <w:rPr>
          <w:lang w:val="en-GB"/>
        </w:rPr>
        <w:t>concluded that</w:t>
      </w:r>
      <w:r w:rsidR="00C064BD" w:rsidRPr="00053853">
        <w:rPr>
          <w:lang w:val="en-GB"/>
        </w:rPr>
        <w:t xml:space="preserve"> the</w:t>
      </w:r>
      <w:r w:rsidR="00355391" w:rsidRPr="00053853">
        <w:rPr>
          <w:lang w:val="en-GB"/>
        </w:rPr>
        <w:t xml:space="preserve"> </w:t>
      </w:r>
      <w:r w:rsidR="00DF3904" w:rsidRPr="00053853">
        <w:rPr>
          <w:lang w:val="en-GB"/>
        </w:rPr>
        <w:t>COG</w:t>
      </w:r>
      <w:r w:rsidR="00C064BD" w:rsidRPr="00053853">
        <w:rPr>
          <w:lang w:val="en-GB"/>
        </w:rPr>
        <w:t> </w:t>
      </w:r>
      <w:r w:rsidR="00DF3904" w:rsidRPr="00053853">
        <w:rPr>
          <w:lang w:val="en-GB"/>
        </w:rPr>
        <w:t xml:space="preserve">ACCL0431 </w:t>
      </w:r>
      <w:r w:rsidR="00C064BD" w:rsidRPr="00053853">
        <w:rPr>
          <w:lang w:val="en-GB"/>
        </w:rPr>
        <w:t>whole-</w:t>
      </w:r>
      <w:r w:rsidR="00DF3904" w:rsidRPr="00053853">
        <w:rPr>
          <w:lang w:val="en-GB"/>
        </w:rPr>
        <w:t>trial population was appr</w:t>
      </w:r>
      <w:r w:rsidR="00E62786" w:rsidRPr="00053853">
        <w:rPr>
          <w:lang w:val="en-GB"/>
        </w:rPr>
        <w:t>opriate for decision making</w:t>
      </w:r>
      <w:r w:rsidR="00C064BD" w:rsidRPr="00053853">
        <w:rPr>
          <w:lang w:val="en-GB"/>
        </w:rPr>
        <w:t>,</w:t>
      </w:r>
      <w:r w:rsidR="0026697F" w:rsidRPr="00053853">
        <w:rPr>
          <w:lang w:val="en-GB"/>
        </w:rPr>
        <w:t xml:space="preserve"> but there </w:t>
      </w:r>
      <w:r w:rsidR="00C064BD" w:rsidRPr="00053853">
        <w:rPr>
          <w:lang w:val="en-GB"/>
        </w:rPr>
        <w:t>wa</w:t>
      </w:r>
      <w:r w:rsidR="0026697F" w:rsidRPr="00053853">
        <w:rPr>
          <w:lang w:val="en-GB"/>
        </w:rPr>
        <w:t xml:space="preserve">s uncertainty. It took this into account in its decision making. </w:t>
      </w:r>
    </w:p>
    <w:p w14:paraId="14BCCCB4" w14:textId="4B0E52B6" w:rsidR="00375255" w:rsidRPr="00053853" w:rsidRDefault="00375255" w:rsidP="00F95A2F">
      <w:pPr>
        <w:pStyle w:val="Heading2"/>
      </w:pPr>
      <w:r w:rsidRPr="00053853">
        <w:lastRenderedPageBreak/>
        <w:t>Economic model</w:t>
      </w:r>
    </w:p>
    <w:p w14:paraId="2A05CA84" w14:textId="77777777" w:rsidR="00375255" w:rsidRPr="00053853" w:rsidRDefault="00375255" w:rsidP="00F95A2F">
      <w:pPr>
        <w:pStyle w:val="Heading3"/>
      </w:pPr>
      <w:r w:rsidRPr="00053853">
        <w:t>Company's modelling approach</w:t>
      </w:r>
    </w:p>
    <w:p w14:paraId="78B92F6A" w14:textId="4A337476" w:rsidR="00237140" w:rsidRPr="00053853" w:rsidRDefault="00237140" w:rsidP="00B313C8">
      <w:pPr>
        <w:pStyle w:val="Numberedlevel2text"/>
        <w:rPr>
          <w:lang w:val="en-GB"/>
        </w:rPr>
      </w:pPr>
      <w:r w:rsidRPr="00053853">
        <w:rPr>
          <w:lang w:val="en-GB"/>
        </w:rPr>
        <w:t>The company</w:t>
      </w:r>
      <w:r w:rsidR="00B313C8" w:rsidRPr="00053853">
        <w:rPr>
          <w:lang w:val="en-GB"/>
        </w:rPr>
        <w:t>’s</w:t>
      </w:r>
      <w:r w:rsidRPr="00053853">
        <w:rPr>
          <w:lang w:val="en-GB"/>
        </w:rPr>
        <w:t xml:space="preserve"> </w:t>
      </w:r>
      <w:r w:rsidR="00B313C8" w:rsidRPr="00053853">
        <w:rPr>
          <w:lang w:val="en-GB"/>
        </w:rPr>
        <w:t xml:space="preserve">model </w:t>
      </w:r>
      <w:r w:rsidR="00D76A3E" w:rsidRPr="00053853">
        <w:rPr>
          <w:lang w:val="en-GB"/>
        </w:rPr>
        <w:t>had a decision tree structure in the first year</w:t>
      </w:r>
      <w:r w:rsidR="00FB6B8C" w:rsidRPr="00053853">
        <w:rPr>
          <w:lang w:val="en-GB"/>
        </w:rPr>
        <w:t xml:space="preserve"> with 5</w:t>
      </w:r>
      <w:r w:rsidR="00957B80">
        <w:rPr>
          <w:lang w:val="en-GB"/>
        </w:rPr>
        <w:t> </w:t>
      </w:r>
      <w:r w:rsidR="00FB6B8C" w:rsidRPr="00053853">
        <w:rPr>
          <w:lang w:val="en-GB"/>
        </w:rPr>
        <w:t>health states: minimal or no hearing loss, mild</w:t>
      </w:r>
      <w:r w:rsidR="000D116B" w:rsidRPr="00053853">
        <w:rPr>
          <w:lang w:val="en-GB"/>
        </w:rPr>
        <w:t xml:space="preserve"> hearing loss</w:t>
      </w:r>
      <w:r w:rsidR="007D3976" w:rsidRPr="00053853">
        <w:rPr>
          <w:lang w:val="en-GB"/>
        </w:rPr>
        <w:t>,</w:t>
      </w:r>
      <w:r w:rsidR="00FB6B8C" w:rsidRPr="00053853">
        <w:rPr>
          <w:lang w:val="en-GB"/>
        </w:rPr>
        <w:t xml:space="preserve"> moderate</w:t>
      </w:r>
      <w:r w:rsidR="000D116B" w:rsidRPr="00053853">
        <w:rPr>
          <w:lang w:val="en-GB"/>
        </w:rPr>
        <w:t xml:space="preserve"> hearing loss</w:t>
      </w:r>
      <w:r w:rsidR="007D3976" w:rsidRPr="00053853">
        <w:rPr>
          <w:lang w:val="en-GB"/>
        </w:rPr>
        <w:t>, marked</w:t>
      </w:r>
      <w:r w:rsidR="000D116B" w:rsidRPr="00053853">
        <w:rPr>
          <w:lang w:val="en-GB"/>
        </w:rPr>
        <w:t xml:space="preserve"> hearing loss</w:t>
      </w:r>
      <w:r w:rsidR="00C064BD" w:rsidRPr="00053853">
        <w:rPr>
          <w:lang w:val="en-GB"/>
        </w:rPr>
        <w:t>,</w:t>
      </w:r>
      <w:r w:rsidR="007D3976" w:rsidRPr="00053853">
        <w:rPr>
          <w:lang w:val="en-GB"/>
        </w:rPr>
        <w:t xml:space="preserve"> and severe hearing loss. </w:t>
      </w:r>
      <w:r w:rsidR="004346E1" w:rsidRPr="00053853">
        <w:rPr>
          <w:lang w:val="en-GB"/>
        </w:rPr>
        <w:t>After this first year, people enter a Markov model</w:t>
      </w:r>
      <w:r w:rsidR="005221A9" w:rsidRPr="00053853">
        <w:rPr>
          <w:lang w:val="en-GB"/>
        </w:rPr>
        <w:t xml:space="preserve"> in one of those states. At that point they cannot move between states, that is, no further hearing loss or improvement is </w:t>
      </w:r>
      <w:r w:rsidR="00E76262" w:rsidRPr="00053853">
        <w:rPr>
          <w:lang w:val="en-GB"/>
        </w:rPr>
        <w:t>possible</w:t>
      </w:r>
      <w:r w:rsidR="005221A9" w:rsidRPr="00053853">
        <w:rPr>
          <w:lang w:val="en-GB"/>
        </w:rPr>
        <w:t xml:space="preserve">. </w:t>
      </w:r>
      <w:r w:rsidR="00A015FD" w:rsidRPr="00053853">
        <w:rPr>
          <w:lang w:val="en-GB"/>
        </w:rPr>
        <w:t xml:space="preserve">Anhydrous sodium thiosulfate was assumed to increase costs </w:t>
      </w:r>
      <w:r w:rsidR="00637842" w:rsidRPr="00053853">
        <w:rPr>
          <w:lang w:val="en-GB"/>
        </w:rPr>
        <w:t xml:space="preserve">through the cost of the drug itself and reduce the costs of managing hearing loss and depression linked to hearing loss. </w:t>
      </w:r>
      <w:r w:rsidR="00361919" w:rsidRPr="00053853">
        <w:rPr>
          <w:lang w:val="en-GB"/>
        </w:rPr>
        <w:t xml:space="preserve">It was modelled to </w:t>
      </w:r>
      <w:r w:rsidR="00B3480B" w:rsidRPr="00053853">
        <w:rPr>
          <w:lang w:val="en-GB"/>
        </w:rPr>
        <w:t xml:space="preserve">increase health-related quality of life </w:t>
      </w:r>
      <w:r w:rsidR="009D45C5" w:rsidRPr="00053853">
        <w:rPr>
          <w:lang w:val="en-GB"/>
        </w:rPr>
        <w:t xml:space="preserve">by </w:t>
      </w:r>
      <w:r w:rsidR="00D15795" w:rsidRPr="00053853">
        <w:rPr>
          <w:lang w:val="en-GB"/>
        </w:rPr>
        <w:t>reducing the number of people with cisplatin</w:t>
      </w:r>
      <w:r w:rsidR="00914282" w:rsidRPr="00053853">
        <w:rPr>
          <w:lang w:val="en-GB"/>
        </w:rPr>
        <w:t xml:space="preserve"> </w:t>
      </w:r>
      <w:r w:rsidR="00D15795" w:rsidRPr="00053853">
        <w:rPr>
          <w:lang w:val="en-GB"/>
        </w:rPr>
        <w:t>chemotherapy</w:t>
      </w:r>
      <w:r w:rsidR="00914282" w:rsidRPr="00053853">
        <w:rPr>
          <w:lang w:val="en-GB"/>
        </w:rPr>
        <w:t>-</w:t>
      </w:r>
      <w:r w:rsidR="00D15795" w:rsidRPr="00053853">
        <w:rPr>
          <w:lang w:val="en-GB"/>
        </w:rPr>
        <w:t>related hearing loss, and reducing its severity in people who did develop it.</w:t>
      </w:r>
      <w:r w:rsidR="00582351" w:rsidRPr="00053853">
        <w:rPr>
          <w:lang w:val="en-GB"/>
        </w:rPr>
        <w:t xml:space="preserve"> The model ha</w:t>
      </w:r>
      <w:r w:rsidR="006E6560" w:rsidRPr="00053853">
        <w:rPr>
          <w:lang w:val="en-GB"/>
        </w:rPr>
        <w:t>s</w:t>
      </w:r>
      <w:r w:rsidR="00582351" w:rsidRPr="00053853">
        <w:rPr>
          <w:lang w:val="en-GB"/>
        </w:rPr>
        <w:t xml:space="preserve"> a lifetime time horizon</w:t>
      </w:r>
      <w:r w:rsidR="00955636" w:rsidRPr="00053853">
        <w:rPr>
          <w:lang w:val="en-GB"/>
        </w:rPr>
        <w:t xml:space="preserve"> and a cycle length of 1</w:t>
      </w:r>
      <w:r w:rsidR="009F39CE">
        <w:rPr>
          <w:lang w:val="en-GB"/>
        </w:rPr>
        <w:t> </w:t>
      </w:r>
      <w:r w:rsidR="00955636" w:rsidRPr="00053853">
        <w:rPr>
          <w:lang w:val="en-GB"/>
        </w:rPr>
        <w:t>year with a half</w:t>
      </w:r>
      <w:r w:rsidR="00914282" w:rsidRPr="00053853">
        <w:rPr>
          <w:lang w:val="en-GB"/>
        </w:rPr>
        <w:t>-</w:t>
      </w:r>
      <w:r w:rsidR="00955636" w:rsidRPr="00053853">
        <w:rPr>
          <w:lang w:val="en-GB"/>
        </w:rPr>
        <w:t>cycle correcti</w:t>
      </w:r>
      <w:r w:rsidR="00262D9F" w:rsidRPr="00053853">
        <w:rPr>
          <w:lang w:val="en-GB"/>
        </w:rPr>
        <w:t>o</w:t>
      </w:r>
      <w:r w:rsidR="00955636" w:rsidRPr="00053853">
        <w:rPr>
          <w:lang w:val="en-GB"/>
        </w:rPr>
        <w:t>n</w:t>
      </w:r>
      <w:r w:rsidR="007F47DF" w:rsidRPr="00053853">
        <w:rPr>
          <w:lang w:val="en-GB"/>
        </w:rPr>
        <w:t>.</w:t>
      </w:r>
      <w:r w:rsidR="00A52A12" w:rsidRPr="00053853">
        <w:rPr>
          <w:lang w:val="en-GB"/>
        </w:rPr>
        <w:t xml:space="preserve"> Baseline characteristics are from the localised disease subgroup of </w:t>
      </w:r>
      <w:r w:rsidR="00955636" w:rsidRPr="00053853">
        <w:rPr>
          <w:lang w:val="en-GB"/>
        </w:rPr>
        <w:t>COG</w:t>
      </w:r>
      <w:r w:rsidR="00DD4596" w:rsidRPr="00053853">
        <w:rPr>
          <w:lang w:val="en-GB"/>
        </w:rPr>
        <w:t> </w:t>
      </w:r>
      <w:r w:rsidR="00955636" w:rsidRPr="00053853">
        <w:rPr>
          <w:lang w:val="en-GB"/>
        </w:rPr>
        <w:t>ACCL0431</w:t>
      </w:r>
      <w:r w:rsidR="00262D9F" w:rsidRPr="00053853">
        <w:rPr>
          <w:lang w:val="en-GB"/>
        </w:rPr>
        <w:t>.</w:t>
      </w:r>
    </w:p>
    <w:p w14:paraId="34D2C694" w14:textId="58BA658E" w:rsidR="00B27A4F" w:rsidRPr="00053853" w:rsidRDefault="0032516F" w:rsidP="00B27A4F">
      <w:pPr>
        <w:pStyle w:val="Heading3"/>
      </w:pPr>
      <w:bookmarkStart w:id="11" w:name="_Sources_of_efficacy"/>
      <w:bookmarkEnd w:id="11"/>
      <w:r w:rsidRPr="00053853">
        <w:t>Source</w:t>
      </w:r>
      <w:r w:rsidR="00007602" w:rsidRPr="00053853">
        <w:t>s</w:t>
      </w:r>
      <w:r w:rsidRPr="00053853">
        <w:t xml:space="preserve"> of efficacy data</w:t>
      </w:r>
    </w:p>
    <w:p w14:paraId="0D0C68B4" w14:textId="7E375070" w:rsidR="000B0FD0" w:rsidRPr="00053853" w:rsidRDefault="00372863" w:rsidP="00673023">
      <w:pPr>
        <w:pStyle w:val="Numberedlevel2text"/>
        <w:rPr>
          <w:lang w:val="en-GB"/>
        </w:rPr>
      </w:pPr>
      <w:r w:rsidRPr="00053853">
        <w:rPr>
          <w:lang w:val="en-GB"/>
        </w:rPr>
        <w:t>The company’s model uses 3</w:t>
      </w:r>
      <w:r w:rsidR="007A203E">
        <w:rPr>
          <w:lang w:val="en-GB"/>
        </w:rPr>
        <w:t> </w:t>
      </w:r>
      <w:r w:rsidRPr="00053853">
        <w:rPr>
          <w:lang w:val="en-GB"/>
        </w:rPr>
        <w:t xml:space="preserve">different sources </w:t>
      </w:r>
      <w:r w:rsidR="00007602" w:rsidRPr="00053853">
        <w:rPr>
          <w:lang w:val="en-GB"/>
        </w:rPr>
        <w:t xml:space="preserve">of </w:t>
      </w:r>
      <w:r w:rsidRPr="00053853">
        <w:rPr>
          <w:lang w:val="en-GB"/>
        </w:rPr>
        <w:t>efficacy data. I</w:t>
      </w:r>
      <w:r w:rsidR="000B0FD0" w:rsidRPr="00053853">
        <w:rPr>
          <w:lang w:val="en-GB"/>
        </w:rPr>
        <w:t>ncidence</w:t>
      </w:r>
      <w:r w:rsidR="00373987" w:rsidRPr="00053853">
        <w:rPr>
          <w:lang w:val="en-GB"/>
        </w:rPr>
        <w:t xml:space="preserve"> of hearing loss in the model came</w:t>
      </w:r>
      <w:r w:rsidR="000B0FD0" w:rsidRPr="00053853">
        <w:rPr>
          <w:lang w:val="en-GB"/>
        </w:rPr>
        <w:t xml:space="preserve"> from </w:t>
      </w:r>
      <w:r w:rsidR="00373987" w:rsidRPr="00053853">
        <w:rPr>
          <w:lang w:val="en-GB"/>
        </w:rPr>
        <w:t xml:space="preserve">the </w:t>
      </w:r>
      <w:r w:rsidR="000B0FD0" w:rsidRPr="00053853">
        <w:rPr>
          <w:lang w:val="en-GB"/>
        </w:rPr>
        <w:t>overall efficacy population</w:t>
      </w:r>
      <w:r w:rsidR="00373987" w:rsidRPr="00053853">
        <w:rPr>
          <w:lang w:val="en-GB"/>
        </w:rPr>
        <w:t xml:space="preserve"> in COG</w:t>
      </w:r>
      <w:r w:rsidR="00BF54CE" w:rsidRPr="00053853">
        <w:rPr>
          <w:lang w:val="en-GB"/>
        </w:rPr>
        <w:t> </w:t>
      </w:r>
      <w:r w:rsidR="00373987" w:rsidRPr="00053853">
        <w:rPr>
          <w:lang w:val="en-GB"/>
        </w:rPr>
        <w:t>ACCL0431</w:t>
      </w:r>
      <w:r w:rsidR="00253A9F" w:rsidRPr="00053853">
        <w:rPr>
          <w:lang w:val="en-GB"/>
        </w:rPr>
        <w:t>, measured using the ASHA scale</w:t>
      </w:r>
      <w:r w:rsidR="00373987" w:rsidRPr="00053853">
        <w:rPr>
          <w:lang w:val="en-GB"/>
        </w:rPr>
        <w:t xml:space="preserve">. </w:t>
      </w:r>
      <w:r w:rsidR="00253A9F" w:rsidRPr="00053853">
        <w:rPr>
          <w:lang w:val="en-GB"/>
        </w:rPr>
        <w:t xml:space="preserve">Severity </w:t>
      </w:r>
      <w:r w:rsidR="004676CB" w:rsidRPr="00053853">
        <w:rPr>
          <w:lang w:val="en-GB"/>
        </w:rPr>
        <w:t>of hearing loss came from published papers</w:t>
      </w:r>
      <w:r w:rsidR="007D771A" w:rsidRPr="00053853">
        <w:rPr>
          <w:lang w:val="en-GB"/>
        </w:rPr>
        <w:t>: d</w:t>
      </w:r>
      <w:r w:rsidR="007E2902" w:rsidRPr="00053853">
        <w:rPr>
          <w:lang w:val="en-GB"/>
        </w:rPr>
        <w:t xml:space="preserve">ata </w:t>
      </w:r>
      <w:r w:rsidR="00B83769" w:rsidRPr="00053853">
        <w:rPr>
          <w:lang w:val="en-GB"/>
        </w:rPr>
        <w:t xml:space="preserve">from Orgel et al. </w:t>
      </w:r>
      <w:r w:rsidR="002A55E0" w:rsidRPr="00053853">
        <w:rPr>
          <w:lang w:val="en-GB"/>
        </w:rPr>
        <w:t xml:space="preserve">(2023) </w:t>
      </w:r>
      <w:r w:rsidR="00B83769" w:rsidRPr="00053853">
        <w:rPr>
          <w:lang w:val="en-GB"/>
        </w:rPr>
        <w:t xml:space="preserve">was used to estimate the proportions of </w:t>
      </w:r>
      <w:r w:rsidR="00F97EF9" w:rsidRPr="00053853">
        <w:rPr>
          <w:lang w:val="en-GB"/>
        </w:rPr>
        <w:t>people with grade</w:t>
      </w:r>
      <w:r w:rsidR="00A2032F">
        <w:rPr>
          <w:lang w:val="en-GB"/>
        </w:rPr>
        <w:t> </w:t>
      </w:r>
      <w:r w:rsidR="00F97EF9" w:rsidRPr="00053853">
        <w:rPr>
          <w:lang w:val="en-GB"/>
        </w:rPr>
        <w:t xml:space="preserve">1 </w:t>
      </w:r>
      <w:r w:rsidR="008C22E6" w:rsidRPr="00053853">
        <w:rPr>
          <w:lang w:val="en-GB"/>
        </w:rPr>
        <w:t>and above</w:t>
      </w:r>
      <w:r w:rsidR="00F97EF9" w:rsidRPr="00053853">
        <w:rPr>
          <w:lang w:val="en-GB"/>
        </w:rPr>
        <w:t xml:space="preserve"> and grade</w:t>
      </w:r>
      <w:r w:rsidR="00A2032F">
        <w:rPr>
          <w:lang w:val="en-GB"/>
        </w:rPr>
        <w:t> </w:t>
      </w:r>
      <w:r w:rsidR="00F97EF9" w:rsidRPr="00053853">
        <w:rPr>
          <w:lang w:val="en-GB"/>
        </w:rPr>
        <w:t xml:space="preserve">2 </w:t>
      </w:r>
      <w:r w:rsidR="008C22E6" w:rsidRPr="00053853">
        <w:rPr>
          <w:lang w:val="en-GB"/>
        </w:rPr>
        <w:t>and above</w:t>
      </w:r>
      <w:r w:rsidR="00F97EF9" w:rsidRPr="00053853">
        <w:rPr>
          <w:lang w:val="en-GB"/>
        </w:rPr>
        <w:t xml:space="preserve"> hearing loss. </w:t>
      </w:r>
      <w:r w:rsidR="00935096" w:rsidRPr="00053853">
        <w:rPr>
          <w:lang w:val="en-GB"/>
        </w:rPr>
        <w:t xml:space="preserve">Because </w:t>
      </w:r>
      <w:r w:rsidR="007A203E">
        <w:rPr>
          <w:lang w:val="en-GB"/>
        </w:rPr>
        <w:t xml:space="preserve">the </w:t>
      </w:r>
      <w:r w:rsidR="00935096" w:rsidRPr="00053853">
        <w:rPr>
          <w:lang w:val="en-GB"/>
        </w:rPr>
        <w:t>Orgel et al. analysis did not discriminate between all hearing loss levels, g</w:t>
      </w:r>
      <w:r w:rsidR="002B453A" w:rsidRPr="00053853">
        <w:rPr>
          <w:lang w:val="en-GB"/>
        </w:rPr>
        <w:t>rade</w:t>
      </w:r>
      <w:r w:rsidR="00A2032F">
        <w:rPr>
          <w:lang w:val="en-GB"/>
        </w:rPr>
        <w:t> </w:t>
      </w:r>
      <w:r w:rsidR="002B453A" w:rsidRPr="00053853">
        <w:rPr>
          <w:lang w:val="en-GB"/>
        </w:rPr>
        <w:t xml:space="preserve">2 and above was then split into </w:t>
      </w:r>
      <w:r w:rsidR="003E1494" w:rsidRPr="00053853">
        <w:rPr>
          <w:lang w:val="en-GB"/>
        </w:rPr>
        <w:t>grades</w:t>
      </w:r>
      <w:r w:rsidR="00FA569D">
        <w:rPr>
          <w:lang w:val="en-GB"/>
        </w:rPr>
        <w:t> </w:t>
      </w:r>
      <w:r w:rsidR="003E1494" w:rsidRPr="00053853">
        <w:rPr>
          <w:lang w:val="en-GB"/>
        </w:rPr>
        <w:t xml:space="preserve">2, 3 or 4 based on </w:t>
      </w:r>
      <w:r w:rsidR="003510F1" w:rsidRPr="00053853">
        <w:rPr>
          <w:lang w:val="en-GB"/>
        </w:rPr>
        <w:t xml:space="preserve">the percentage distributions in a </w:t>
      </w:r>
      <w:r w:rsidR="003E1494" w:rsidRPr="00053853">
        <w:rPr>
          <w:lang w:val="en-GB"/>
        </w:rPr>
        <w:t>paper by Knight et al. (2005)</w:t>
      </w:r>
      <w:r w:rsidR="00F477B9" w:rsidRPr="00053853">
        <w:rPr>
          <w:lang w:val="en-GB"/>
        </w:rPr>
        <w:t>, which used the Brock scale</w:t>
      </w:r>
      <w:r w:rsidR="003E1494" w:rsidRPr="00053853">
        <w:rPr>
          <w:lang w:val="en-GB"/>
        </w:rPr>
        <w:t xml:space="preserve">. </w:t>
      </w:r>
      <w:r w:rsidR="003510F1" w:rsidRPr="00053853">
        <w:rPr>
          <w:lang w:val="en-GB"/>
        </w:rPr>
        <w:t>Grades</w:t>
      </w:r>
      <w:r w:rsidR="00FA569D">
        <w:rPr>
          <w:lang w:val="en-GB"/>
        </w:rPr>
        <w:t> </w:t>
      </w:r>
      <w:r w:rsidR="003510F1" w:rsidRPr="00053853">
        <w:rPr>
          <w:lang w:val="en-GB"/>
        </w:rPr>
        <w:t xml:space="preserve">1, 2, 3 and 4 hearing loss are assumed equal to </w:t>
      </w:r>
      <w:r w:rsidR="00562C02" w:rsidRPr="00053853">
        <w:rPr>
          <w:lang w:val="en-GB"/>
        </w:rPr>
        <w:t xml:space="preserve">the mild, moderate, marked and severe hearing loss health states in the model. </w:t>
      </w:r>
      <w:r w:rsidR="002F0096" w:rsidRPr="00053853">
        <w:rPr>
          <w:lang w:val="en-GB"/>
        </w:rPr>
        <w:t xml:space="preserve">The EAG </w:t>
      </w:r>
      <w:r w:rsidR="00AD4F82" w:rsidRPr="00053853">
        <w:rPr>
          <w:lang w:val="en-GB"/>
        </w:rPr>
        <w:t>had concerns with this approach</w:t>
      </w:r>
      <w:r w:rsidR="00037D2E" w:rsidRPr="00053853">
        <w:rPr>
          <w:lang w:val="en-GB"/>
        </w:rPr>
        <w:t>.</w:t>
      </w:r>
      <w:r w:rsidR="00AD4F82" w:rsidRPr="00053853">
        <w:rPr>
          <w:lang w:val="en-GB"/>
        </w:rPr>
        <w:t xml:space="preserve"> </w:t>
      </w:r>
      <w:r w:rsidR="00037D2E" w:rsidRPr="00053853">
        <w:rPr>
          <w:lang w:val="en-GB"/>
        </w:rPr>
        <w:t>F</w:t>
      </w:r>
      <w:r w:rsidR="00AD4F82" w:rsidRPr="00053853">
        <w:rPr>
          <w:lang w:val="en-GB"/>
        </w:rPr>
        <w:t>irst</w:t>
      </w:r>
      <w:r w:rsidR="00037D2E" w:rsidRPr="00053853">
        <w:rPr>
          <w:lang w:val="en-GB"/>
        </w:rPr>
        <w:t>,</w:t>
      </w:r>
      <w:r w:rsidR="00AD4F82" w:rsidRPr="00053853">
        <w:rPr>
          <w:lang w:val="en-GB"/>
        </w:rPr>
        <w:t xml:space="preserve"> </w:t>
      </w:r>
      <w:r w:rsidR="00886ED0" w:rsidRPr="00053853">
        <w:rPr>
          <w:lang w:val="en-GB"/>
        </w:rPr>
        <w:t xml:space="preserve">it </w:t>
      </w:r>
      <w:r w:rsidR="00360785" w:rsidRPr="00053853">
        <w:rPr>
          <w:lang w:val="en-GB"/>
        </w:rPr>
        <w:t xml:space="preserve">thought </w:t>
      </w:r>
      <w:r w:rsidR="00744AC1" w:rsidRPr="00053853">
        <w:rPr>
          <w:lang w:val="en-GB"/>
        </w:rPr>
        <w:t xml:space="preserve">that </w:t>
      </w:r>
      <w:r w:rsidR="00756BDF" w:rsidRPr="00053853">
        <w:rPr>
          <w:lang w:val="en-GB"/>
        </w:rPr>
        <w:t xml:space="preserve">the efficacy data should come from </w:t>
      </w:r>
      <w:r w:rsidR="00EA0DE1" w:rsidRPr="00053853">
        <w:rPr>
          <w:lang w:val="en-GB"/>
        </w:rPr>
        <w:t>people with</w:t>
      </w:r>
      <w:r w:rsidR="00756BDF" w:rsidRPr="00053853">
        <w:rPr>
          <w:lang w:val="en-GB"/>
        </w:rPr>
        <w:t xml:space="preserve"> </w:t>
      </w:r>
      <w:r w:rsidR="001D135A" w:rsidRPr="00053853">
        <w:rPr>
          <w:lang w:val="en-GB"/>
        </w:rPr>
        <w:t xml:space="preserve">localised </w:t>
      </w:r>
      <w:r w:rsidR="000D1E24" w:rsidRPr="00053853">
        <w:rPr>
          <w:lang w:val="en-GB"/>
        </w:rPr>
        <w:t xml:space="preserve">cancer </w:t>
      </w:r>
      <w:r w:rsidR="00A32691" w:rsidRPr="00053853">
        <w:rPr>
          <w:lang w:val="en-GB"/>
        </w:rPr>
        <w:t>only</w:t>
      </w:r>
      <w:r w:rsidR="00623DD7" w:rsidRPr="00053853">
        <w:rPr>
          <w:lang w:val="en-GB"/>
        </w:rPr>
        <w:t>,</w:t>
      </w:r>
      <w:r w:rsidR="004B07DA" w:rsidRPr="00053853">
        <w:rPr>
          <w:lang w:val="en-GB"/>
        </w:rPr>
        <w:t xml:space="preserve"> because </w:t>
      </w:r>
      <w:r w:rsidR="00623DD7" w:rsidRPr="00053853">
        <w:rPr>
          <w:lang w:val="en-GB"/>
        </w:rPr>
        <w:t xml:space="preserve">this </w:t>
      </w:r>
      <w:r w:rsidR="004B07DA" w:rsidRPr="00053853">
        <w:rPr>
          <w:lang w:val="en-GB"/>
        </w:rPr>
        <w:t xml:space="preserve">is the population </w:t>
      </w:r>
      <w:r w:rsidR="004B07DA" w:rsidRPr="00053853">
        <w:rPr>
          <w:lang w:val="en-GB"/>
        </w:rPr>
        <w:lastRenderedPageBreak/>
        <w:t>included in the licen</w:t>
      </w:r>
      <w:r w:rsidR="00C71BEA" w:rsidRPr="00053853">
        <w:rPr>
          <w:lang w:val="en-GB"/>
        </w:rPr>
        <w:t>c</w:t>
      </w:r>
      <w:r w:rsidR="004B07DA" w:rsidRPr="00053853">
        <w:rPr>
          <w:lang w:val="en-GB"/>
        </w:rPr>
        <w:t>e</w:t>
      </w:r>
      <w:r w:rsidR="00A409FD" w:rsidRPr="00053853">
        <w:rPr>
          <w:lang w:val="en-GB"/>
        </w:rPr>
        <w:t xml:space="preserve"> (see </w:t>
      </w:r>
      <w:hyperlink w:anchor="_Generalisability" w:history="1">
        <w:r w:rsidR="00A409FD" w:rsidRPr="00053853">
          <w:rPr>
            <w:rStyle w:val="Hyperlink"/>
            <w:lang w:val="en-GB"/>
          </w:rPr>
          <w:t>section</w:t>
        </w:r>
        <w:r w:rsidR="00FA569D">
          <w:rPr>
            <w:rStyle w:val="Hyperlink"/>
            <w:lang w:val="en-GB"/>
          </w:rPr>
          <w:t> </w:t>
        </w:r>
        <w:r w:rsidR="009968E9" w:rsidRPr="00053853">
          <w:rPr>
            <w:rStyle w:val="Hyperlink"/>
            <w:lang w:val="en-GB"/>
          </w:rPr>
          <w:t>3.</w:t>
        </w:r>
        <w:r w:rsidR="005C6532">
          <w:rPr>
            <w:rStyle w:val="Hyperlink"/>
            <w:lang w:val="en-GB"/>
          </w:rPr>
          <w:t>8</w:t>
        </w:r>
      </w:hyperlink>
      <w:r w:rsidR="009968E9" w:rsidRPr="00053853">
        <w:rPr>
          <w:lang w:val="en-GB"/>
        </w:rPr>
        <w:t>)</w:t>
      </w:r>
      <w:r w:rsidR="00B7320E" w:rsidRPr="00053853">
        <w:rPr>
          <w:lang w:val="en-GB"/>
        </w:rPr>
        <w:t>.</w:t>
      </w:r>
      <w:r w:rsidR="00A32691" w:rsidRPr="00053853">
        <w:rPr>
          <w:lang w:val="en-GB"/>
        </w:rPr>
        <w:t xml:space="preserve"> </w:t>
      </w:r>
      <w:r w:rsidR="00B7320E" w:rsidRPr="00053853">
        <w:rPr>
          <w:lang w:val="en-GB"/>
        </w:rPr>
        <w:t xml:space="preserve">It also noted that the company had used the baseline characteristics from the localised disease population, so it </w:t>
      </w:r>
      <w:r w:rsidR="00360785" w:rsidRPr="00053853">
        <w:rPr>
          <w:lang w:val="en-GB"/>
        </w:rPr>
        <w:t xml:space="preserve">thought </w:t>
      </w:r>
      <w:r w:rsidR="00372941" w:rsidRPr="00053853">
        <w:rPr>
          <w:lang w:val="en-GB"/>
        </w:rPr>
        <w:t>that it</w:t>
      </w:r>
      <w:r w:rsidR="00B7320E" w:rsidRPr="00053853">
        <w:rPr>
          <w:lang w:val="en-GB"/>
        </w:rPr>
        <w:t xml:space="preserve"> made sense for the efficacy data to come from the same population. S</w:t>
      </w:r>
      <w:r w:rsidR="00A32691" w:rsidRPr="00053853">
        <w:rPr>
          <w:lang w:val="en-GB"/>
        </w:rPr>
        <w:t>econd</w:t>
      </w:r>
      <w:r w:rsidR="00B7320E" w:rsidRPr="00053853">
        <w:rPr>
          <w:lang w:val="en-GB"/>
        </w:rPr>
        <w:t>,</w:t>
      </w:r>
      <w:r w:rsidR="00A32691" w:rsidRPr="00053853">
        <w:rPr>
          <w:lang w:val="en-GB"/>
        </w:rPr>
        <w:t xml:space="preserve"> </w:t>
      </w:r>
      <w:r w:rsidR="00B7320E" w:rsidRPr="00053853">
        <w:rPr>
          <w:lang w:val="en-GB"/>
        </w:rPr>
        <w:t xml:space="preserve">the efficacy data </w:t>
      </w:r>
      <w:r w:rsidR="00265BCD" w:rsidRPr="00053853">
        <w:rPr>
          <w:lang w:val="en-GB"/>
        </w:rPr>
        <w:t xml:space="preserve">uses </w:t>
      </w:r>
      <w:r w:rsidR="0090474E" w:rsidRPr="00053853">
        <w:rPr>
          <w:lang w:val="en-GB"/>
        </w:rPr>
        <w:t xml:space="preserve">3 </w:t>
      </w:r>
      <w:r w:rsidR="00A267E9" w:rsidRPr="00053853">
        <w:rPr>
          <w:lang w:val="en-GB"/>
        </w:rPr>
        <w:t xml:space="preserve">different grading scales </w:t>
      </w:r>
      <w:r w:rsidR="00395DB6" w:rsidRPr="00053853">
        <w:rPr>
          <w:lang w:val="en-GB"/>
        </w:rPr>
        <w:t>and 3 different sources</w:t>
      </w:r>
      <w:r w:rsidR="00623DD7" w:rsidRPr="00053853">
        <w:rPr>
          <w:lang w:val="en-GB"/>
        </w:rPr>
        <w:t>,</w:t>
      </w:r>
      <w:r w:rsidR="00395DB6" w:rsidRPr="00053853">
        <w:rPr>
          <w:lang w:val="en-GB"/>
        </w:rPr>
        <w:t xml:space="preserve"> with no</w:t>
      </w:r>
      <w:r w:rsidR="002F7005" w:rsidRPr="00053853">
        <w:rPr>
          <w:lang w:val="en-GB"/>
        </w:rPr>
        <w:t xml:space="preserve"> adjustment </w:t>
      </w:r>
      <w:r w:rsidR="00BF4380" w:rsidRPr="00053853">
        <w:rPr>
          <w:lang w:val="en-GB"/>
        </w:rPr>
        <w:t>for the differences</w:t>
      </w:r>
      <w:r w:rsidR="00AB2CF2" w:rsidRPr="00053853">
        <w:rPr>
          <w:lang w:val="en-GB"/>
        </w:rPr>
        <w:t xml:space="preserve"> </w:t>
      </w:r>
      <w:r w:rsidR="00767B7F" w:rsidRPr="00053853">
        <w:rPr>
          <w:lang w:val="en-GB"/>
        </w:rPr>
        <w:t>across</w:t>
      </w:r>
      <w:r w:rsidR="00AB2CF2" w:rsidRPr="00053853">
        <w:rPr>
          <w:lang w:val="en-GB"/>
        </w:rPr>
        <w:t xml:space="preserve"> the scales</w:t>
      </w:r>
      <w:r w:rsidR="002F7005" w:rsidRPr="00053853">
        <w:rPr>
          <w:lang w:val="en-GB"/>
        </w:rPr>
        <w:t>.</w:t>
      </w:r>
      <w:r w:rsidR="000C574A" w:rsidRPr="00053853">
        <w:rPr>
          <w:lang w:val="en-GB"/>
        </w:rPr>
        <w:t xml:space="preserve"> </w:t>
      </w:r>
      <w:r w:rsidR="007B735F" w:rsidRPr="00053853">
        <w:rPr>
          <w:lang w:val="en-GB"/>
        </w:rPr>
        <w:t xml:space="preserve">The </w:t>
      </w:r>
      <w:r w:rsidR="000C574A" w:rsidRPr="00053853">
        <w:rPr>
          <w:lang w:val="en-GB"/>
        </w:rPr>
        <w:t xml:space="preserve">company </w:t>
      </w:r>
      <w:r w:rsidR="007B735F" w:rsidRPr="00053853">
        <w:rPr>
          <w:lang w:val="en-GB"/>
        </w:rPr>
        <w:t>explained</w:t>
      </w:r>
      <w:r w:rsidR="00905E47" w:rsidRPr="00053853">
        <w:rPr>
          <w:lang w:val="en-GB"/>
        </w:rPr>
        <w:t xml:space="preserve"> that </w:t>
      </w:r>
      <w:r w:rsidR="007B735F" w:rsidRPr="00053853">
        <w:rPr>
          <w:lang w:val="en-GB"/>
        </w:rPr>
        <w:t xml:space="preserve">there was not enough data available to adjust for differences in grading scales between the studies. It said it had explored various scenarios using different sources for hearing loss incidence and severity. </w:t>
      </w:r>
      <w:r w:rsidR="000C574A" w:rsidRPr="00053853">
        <w:rPr>
          <w:lang w:val="en-GB"/>
        </w:rPr>
        <w:t xml:space="preserve">The committee </w:t>
      </w:r>
      <w:r w:rsidR="00DF291B" w:rsidRPr="00053853">
        <w:rPr>
          <w:lang w:val="en-GB"/>
        </w:rPr>
        <w:t xml:space="preserve">also </w:t>
      </w:r>
      <w:r w:rsidR="00D9466C" w:rsidRPr="00053853">
        <w:rPr>
          <w:lang w:val="en-GB"/>
        </w:rPr>
        <w:t>asked</w:t>
      </w:r>
      <w:r w:rsidR="00DF291B" w:rsidRPr="00053853">
        <w:rPr>
          <w:lang w:val="en-GB"/>
        </w:rPr>
        <w:t xml:space="preserve"> </w:t>
      </w:r>
      <w:r w:rsidR="000C574A" w:rsidRPr="00053853">
        <w:rPr>
          <w:lang w:val="en-GB"/>
        </w:rPr>
        <w:t>why the company had not used the SIOPEL</w:t>
      </w:r>
      <w:r w:rsidR="007F068C" w:rsidRPr="00053853">
        <w:rPr>
          <w:lang w:val="en-GB"/>
        </w:rPr>
        <w:t> 6 data</w:t>
      </w:r>
      <w:r w:rsidR="007B735F" w:rsidRPr="00053853">
        <w:rPr>
          <w:lang w:val="en-GB"/>
        </w:rPr>
        <w:t xml:space="preserve"> in its base case</w:t>
      </w:r>
      <w:r w:rsidR="00905E47" w:rsidRPr="00053853">
        <w:rPr>
          <w:lang w:val="en-GB"/>
        </w:rPr>
        <w:t xml:space="preserve">, </w:t>
      </w:r>
      <w:r w:rsidR="001B7E05" w:rsidRPr="00053853">
        <w:rPr>
          <w:lang w:val="en-GB"/>
        </w:rPr>
        <w:t>given</w:t>
      </w:r>
      <w:r w:rsidR="00905E47" w:rsidRPr="00053853">
        <w:rPr>
          <w:lang w:val="en-GB"/>
        </w:rPr>
        <w:t xml:space="preserve"> that</w:t>
      </w:r>
      <w:r w:rsidR="001B7E05" w:rsidRPr="00053853">
        <w:rPr>
          <w:lang w:val="en-GB"/>
        </w:rPr>
        <w:t xml:space="preserve"> it</w:t>
      </w:r>
      <w:r w:rsidR="00905E47" w:rsidRPr="00053853">
        <w:rPr>
          <w:lang w:val="en-GB"/>
        </w:rPr>
        <w:t xml:space="preserve"> include</w:t>
      </w:r>
      <w:r w:rsidR="0026229D" w:rsidRPr="00053853">
        <w:rPr>
          <w:lang w:val="en-GB"/>
        </w:rPr>
        <w:t>d only</w:t>
      </w:r>
      <w:r w:rsidR="00905E47" w:rsidRPr="00053853">
        <w:rPr>
          <w:lang w:val="en-GB"/>
        </w:rPr>
        <w:t xml:space="preserve"> </w:t>
      </w:r>
      <w:r w:rsidR="00C752E1" w:rsidRPr="00053853">
        <w:rPr>
          <w:lang w:val="en-GB"/>
        </w:rPr>
        <w:t>non-</w:t>
      </w:r>
      <w:r w:rsidR="00922DB1" w:rsidRPr="00053853">
        <w:rPr>
          <w:lang w:val="en-GB"/>
        </w:rPr>
        <w:t xml:space="preserve">metastatic disease. The company explained that </w:t>
      </w:r>
      <w:r w:rsidR="00AB45B0" w:rsidRPr="00053853">
        <w:rPr>
          <w:lang w:val="en-GB"/>
        </w:rPr>
        <w:t xml:space="preserve">it did not use </w:t>
      </w:r>
      <w:r w:rsidR="004E2AE1" w:rsidRPr="00053853">
        <w:rPr>
          <w:lang w:val="en-GB"/>
        </w:rPr>
        <w:t>the SIOPEL 6</w:t>
      </w:r>
      <w:r w:rsidR="00200D24">
        <w:rPr>
          <w:lang w:val="en-GB"/>
        </w:rPr>
        <w:t xml:space="preserve"> data</w:t>
      </w:r>
      <w:r w:rsidR="004E2AE1" w:rsidRPr="00053853">
        <w:rPr>
          <w:lang w:val="en-GB"/>
        </w:rPr>
        <w:t xml:space="preserve"> </w:t>
      </w:r>
      <w:r w:rsidR="00532D05" w:rsidRPr="00053853">
        <w:rPr>
          <w:lang w:val="en-GB"/>
        </w:rPr>
        <w:t>because the children in</w:t>
      </w:r>
      <w:r w:rsidR="004E2AE1" w:rsidRPr="00053853">
        <w:rPr>
          <w:lang w:val="en-GB"/>
        </w:rPr>
        <w:t xml:space="preserve"> the trial all </w:t>
      </w:r>
      <w:r w:rsidR="00532D05" w:rsidRPr="00053853">
        <w:rPr>
          <w:lang w:val="en-GB"/>
        </w:rPr>
        <w:t xml:space="preserve">had hepatoblastoma and were on average younger </w:t>
      </w:r>
      <w:r w:rsidR="005B40BD" w:rsidRPr="00053853">
        <w:rPr>
          <w:lang w:val="en-GB"/>
        </w:rPr>
        <w:t xml:space="preserve">than </w:t>
      </w:r>
      <w:r w:rsidR="00483A4F" w:rsidRPr="00053853">
        <w:rPr>
          <w:lang w:val="en-GB"/>
        </w:rPr>
        <w:t>children who would be eligible for anhydrous sodium thiosulfate in the NHS</w:t>
      </w:r>
      <w:r w:rsidR="004E2AE1" w:rsidRPr="00053853">
        <w:rPr>
          <w:lang w:val="en-GB"/>
        </w:rPr>
        <w:t xml:space="preserve">. </w:t>
      </w:r>
      <w:r w:rsidR="00DF0032" w:rsidRPr="00053853">
        <w:rPr>
          <w:lang w:val="en-GB"/>
        </w:rPr>
        <w:t xml:space="preserve">It </w:t>
      </w:r>
      <w:r w:rsidR="00D9466C" w:rsidRPr="00053853">
        <w:rPr>
          <w:lang w:val="en-GB"/>
        </w:rPr>
        <w:t>considered</w:t>
      </w:r>
      <w:r w:rsidR="00DF0032" w:rsidRPr="00053853">
        <w:rPr>
          <w:lang w:val="en-GB"/>
        </w:rPr>
        <w:t xml:space="preserve"> </w:t>
      </w:r>
      <w:r w:rsidR="001F4847" w:rsidRPr="00053853">
        <w:rPr>
          <w:lang w:val="en-GB"/>
        </w:rPr>
        <w:t>the population in COG</w:t>
      </w:r>
      <w:r w:rsidR="0026229D" w:rsidRPr="00053853">
        <w:rPr>
          <w:lang w:val="en-GB"/>
        </w:rPr>
        <w:t> </w:t>
      </w:r>
      <w:r w:rsidR="001F4847" w:rsidRPr="00053853">
        <w:rPr>
          <w:lang w:val="en-GB"/>
        </w:rPr>
        <w:t>ACCL0431 better matched</w:t>
      </w:r>
      <w:r w:rsidR="006226DC" w:rsidRPr="00053853">
        <w:rPr>
          <w:lang w:val="en-GB"/>
        </w:rPr>
        <w:t xml:space="preserve"> </w:t>
      </w:r>
      <w:r w:rsidR="001F4847" w:rsidRPr="00053853">
        <w:rPr>
          <w:lang w:val="en-GB"/>
        </w:rPr>
        <w:t>the NHS population.</w:t>
      </w:r>
      <w:r w:rsidR="00FE5C33" w:rsidRPr="00053853">
        <w:rPr>
          <w:lang w:val="en-GB"/>
        </w:rPr>
        <w:t xml:space="preserve"> It used the localised disease baseline characteristics to match the licen</w:t>
      </w:r>
      <w:r w:rsidR="006226DC" w:rsidRPr="00053853">
        <w:rPr>
          <w:lang w:val="en-GB"/>
        </w:rPr>
        <w:t>s</w:t>
      </w:r>
      <w:r w:rsidR="00FE5C33" w:rsidRPr="00053853">
        <w:rPr>
          <w:lang w:val="en-GB"/>
        </w:rPr>
        <w:t>e</w:t>
      </w:r>
      <w:r w:rsidR="00142793" w:rsidRPr="00053853">
        <w:rPr>
          <w:lang w:val="en-GB"/>
        </w:rPr>
        <w:t xml:space="preserve">d population. </w:t>
      </w:r>
      <w:r w:rsidR="000C2A5B" w:rsidRPr="00053853">
        <w:rPr>
          <w:lang w:val="en-GB"/>
        </w:rPr>
        <w:t xml:space="preserve">The committee recalled that the clinical experts saw no reason to exclude the results </w:t>
      </w:r>
      <w:r w:rsidR="00956414" w:rsidRPr="00053853">
        <w:rPr>
          <w:lang w:val="en-GB"/>
        </w:rPr>
        <w:t xml:space="preserve">on hearing loss </w:t>
      </w:r>
      <w:r w:rsidR="000C2A5B" w:rsidRPr="00053853">
        <w:rPr>
          <w:lang w:val="en-GB"/>
        </w:rPr>
        <w:t xml:space="preserve">from children with metastatic cancer because </w:t>
      </w:r>
      <w:r w:rsidR="009E5B7E" w:rsidRPr="00053853">
        <w:rPr>
          <w:lang w:val="en-GB"/>
        </w:rPr>
        <w:t>they</w:t>
      </w:r>
      <w:r w:rsidR="000C2A5B" w:rsidRPr="00053853">
        <w:rPr>
          <w:lang w:val="en-GB"/>
        </w:rPr>
        <w:t xml:space="preserve"> were similar for localised and metastatic cancer</w:t>
      </w:r>
      <w:r w:rsidR="003F4666" w:rsidRPr="00053853">
        <w:rPr>
          <w:lang w:val="en-GB"/>
        </w:rPr>
        <w:t xml:space="preserve"> (see </w:t>
      </w:r>
      <w:hyperlink w:anchor="_Clinical_trial_results:" w:history="1">
        <w:r w:rsidR="003F4666" w:rsidRPr="00053853">
          <w:rPr>
            <w:rStyle w:val="Hyperlink"/>
            <w:lang w:val="en-GB"/>
          </w:rPr>
          <w:t>section</w:t>
        </w:r>
        <w:r w:rsidR="008A0246">
          <w:rPr>
            <w:rStyle w:val="Hyperlink"/>
            <w:lang w:val="en-GB"/>
          </w:rPr>
          <w:t> </w:t>
        </w:r>
        <w:r w:rsidR="003F4666" w:rsidRPr="00053853">
          <w:rPr>
            <w:rStyle w:val="Hyperlink"/>
            <w:lang w:val="en-GB"/>
          </w:rPr>
          <w:t>3.</w:t>
        </w:r>
        <w:r w:rsidR="00C71BEA" w:rsidRPr="00053853">
          <w:rPr>
            <w:rStyle w:val="Hyperlink"/>
            <w:lang w:val="en-GB"/>
          </w:rPr>
          <w:t>6</w:t>
        </w:r>
      </w:hyperlink>
      <w:r w:rsidR="003F4666" w:rsidRPr="00053853">
        <w:rPr>
          <w:lang w:val="en-GB"/>
        </w:rPr>
        <w:t>)</w:t>
      </w:r>
      <w:r w:rsidR="000C2A5B" w:rsidRPr="00053853">
        <w:rPr>
          <w:lang w:val="en-GB"/>
        </w:rPr>
        <w:t>.</w:t>
      </w:r>
      <w:r w:rsidR="00F14640" w:rsidRPr="00053853">
        <w:rPr>
          <w:lang w:val="en-GB"/>
        </w:rPr>
        <w:t xml:space="preserve"> It also recalled </w:t>
      </w:r>
      <w:r w:rsidR="008600D0" w:rsidRPr="00053853">
        <w:rPr>
          <w:lang w:val="en-GB"/>
        </w:rPr>
        <w:t xml:space="preserve">the patient expert’s comment about concerns </w:t>
      </w:r>
      <w:r w:rsidR="001D1A3F" w:rsidRPr="00053853">
        <w:rPr>
          <w:lang w:val="en-GB"/>
        </w:rPr>
        <w:t xml:space="preserve">around </w:t>
      </w:r>
      <w:r w:rsidR="00F13D03" w:rsidRPr="00053853">
        <w:rPr>
          <w:lang w:val="en-GB"/>
        </w:rPr>
        <w:t xml:space="preserve">overall </w:t>
      </w:r>
      <w:r w:rsidR="00F14640" w:rsidRPr="00053853">
        <w:rPr>
          <w:lang w:val="en-GB"/>
        </w:rPr>
        <w:t>survival</w:t>
      </w:r>
      <w:r w:rsidR="00616CAD" w:rsidRPr="00053853">
        <w:rPr>
          <w:lang w:val="en-GB"/>
        </w:rPr>
        <w:t xml:space="preserve"> </w:t>
      </w:r>
      <w:r w:rsidR="001D1A3F" w:rsidRPr="00053853">
        <w:rPr>
          <w:lang w:val="en-GB"/>
        </w:rPr>
        <w:t>in</w:t>
      </w:r>
      <w:r w:rsidR="00F13D03" w:rsidRPr="00053853">
        <w:rPr>
          <w:lang w:val="en-GB"/>
        </w:rPr>
        <w:t xml:space="preserve"> </w:t>
      </w:r>
      <w:r w:rsidR="00EA0DE1" w:rsidRPr="00053853">
        <w:rPr>
          <w:lang w:val="en-GB"/>
        </w:rPr>
        <w:t xml:space="preserve">people with </w:t>
      </w:r>
      <w:r w:rsidR="00F13D03" w:rsidRPr="00053853">
        <w:rPr>
          <w:lang w:val="en-GB"/>
        </w:rPr>
        <w:t xml:space="preserve">metastatic </w:t>
      </w:r>
      <w:r w:rsidR="00EA0DE1" w:rsidRPr="00053853">
        <w:rPr>
          <w:lang w:val="en-GB"/>
        </w:rPr>
        <w:t xml:space="preserve">cancer </w:t>
      </w:r>
      <w:r w:rsidR="00F13D03" w:rsidRPr="00053853">
        <w:rPr>
          <w:lang w:val="en-GB"/>
        </w:rPr>
        <w:t>in COG</w:t>
      </w:r>
      <w:r w:rsidR="0009567E" w:rsidRPr="00053853">
        <w:rPr>
          <w:lang w:val="en-GB"/>
        </w:rPr>
        <w:t> </w:t>
      </w:r>
      <w:r w:rsidR="00F13D03" w:rsidRPr="00053853">
        <w:rPr>
          <w:lang w:val="en-GB"/>
        </w:rPr>
        <w:t>ACCL0431</w:t>
      </w:r>
      <w:r w:rsidR="00C263A5" w:rsidRPr="00053853">
        <w:rPr>
          <w:lang w:val="en-GB"/>
        </w:rPr>
        <w:t xml:space="preserve">, </w:t>
      </w:r>
      <w:r w:rsidR="0090119D" w:rsidRPr="00053853">
        <w:rPr>
          <w:lang w:val="en-GB"/>
        </w:rPr>
        <w:t xml:space="preserve">but </w:t>
      </w:r>
      <w:r w:rsidR="00C263A5" w:rsidRPr="00053853">
        <w:rPr>
          <w:lang w:val="en-GB"/>
        </w:rPr>
        <w:t xml:space="preserve">which may have been down to the underlying cancer (see </w:t>
      </w:r>
      <w:hyperlink w:anchor="_Clinical_trial_results:_1" w:history="1">
        <w:r w:rsidR="00C263A5" w:rsidRPr="00053853">
          <w:rPr>
            <w:rStyle w:val="Hyperlink"/>
            <w:lang w:val="en-GB"/>
          </w:rPr>
          <w:t>section</w:t>
        </w:r>
        <w:r w:rsidR="005C6532">
          <w:rPr>
            <w:rStyle w:val="Hyperlink"/>
            <w:lang w:val="en-GB"/>
          </w:rPr>
          <w:t> </w:t>
        </w:r>
        <w:r w:rsidR="00C263A5" w:rsidRPr="00053853">
          <w:rPr>
            <w:rStyle w:val="Hyperlink"/>
            <w:lang w:val="en-GB"/>
          </w:rPr>
          <w:t>3.</w:t>
        </w:r>
        <w:r w:rsidR="00C71BEA" w:rsidRPr="00053853">
          <w:rPr>
            <w:rStyle w:val="Hyperlink"/>
            <w:lang w:val="en-GB"/>
          </w:rPr>
          <w:t>7</w:t>
        </w:r>
      </w:hyperlink>
      <w:r w:rsidR="00C263A5" w:rsidRPr="00053853">
        <w:rPr>
          <w:lang w:val="en-GB"/>
        </w:rPr>
        <w:t>)</w:t>
      </w:r>
      <w:r w:rsidR="00F13D03" w:rsidRPr="00053853">
        <w:rPr>
          <w:lang w:val="en-GB"/>
        </w:rPr>
        <w:t xml:space="preserve">. </w:t>
      </w:r>
      <w:r w:rsidR="000A0F96" w:rsidRPr="00053853">
        <w:rPr>
          <w:lang w:val="en-GB"/>
        </w:rPr>
        <w:t>I</w:t>
      </w:r>
      <w:r w:rsidR="00465F72" w:rsidRPr="00053853">
        <w:rPr>
          <w:lang w:val="en-GB"/>
        </w:rPr>
        <w:t xml:space="preserve">t concluded that </w:t>
      </w:r>
      <w:r w:rsidR="002A4063" w:rsidRPr="00053853">
        <w:rPr>
          <w:lang w:val="en-GB"/>
        </w:rPr>
        <w:t>it was reasonable to use the efficacy data from the overall trial population in the model</w:t>
      </w:r>
      <w:r w:rsidR="0008366E" w:rsidRPr="00053853">
        <w:rPr>
          <w:lang w:val="en-GB"/>
        </w:rPr>
        <w:t>. But</w:t>
      </w:r>
      <w:r w:rsidR="000C3608" w:rsidRPr="00053853">
        <w:rPr>
          <w:lang w:val="en-GB"/>
        </w:rPr>
        <w:t>,</w:t>
      </w:r>
      <w:r w:rsidR="0008366E" w:rsidRPr="00053853">
        <w:rPr>
          <w:lang w:val="en-GB"/>
        </w:rPr>
        <w:t xml:space="preserve"> it</w:t>
      </w:r>
      <w:r w:rsidR="000A0F96" w:rsidRPr="00053853">
        <w:rPr>
          <w:lang w:val="en-GB"/>
        </w:rPr>
        <w:t xml:space="preserve"> noted the uncertainties associated with </w:t>
      </w:r>
      <w:r w:rsidR="001E1C8F" w:rsidRPr="00053853">
        <w:rPr>
          <w:lang w:val="en-GB"/>
        </w:rPr>
        <w:t>the small trial population</w:t>
      </w:r>
      <w:r w:rsidR="000C3608" w:rsidRPr="00053853">
        <w:rPr>
          <w:lang w:val="en-GB"/>
        </w:rPr>
        <w:t xml:space="preserve">, </w:t>
      </w:r>
      <w:r w:rsidR="00231D09" w:rsidRPr="00053853">
        <w:rPr>
          <w:lang w:val="en-GB"/>
        </w:rPr>
        <w:t xml:space="preserve">the fact that it included children with metastatic disease </w:t>
      </w:r>
      <w:r w:rsidR="000A0F96" w:rsidRPr="00053853">
        <w:rPr>
          <w:lang w:val="en-GB"/>
        </w:rPr>
        <w:t xml:space="preserve">(see </w:t>
      </w:r>
      <w:hyperlink w:anchor="_Population_appropriate_for" w:history="1">
        <w:r w:rsidR="000A0F96" w:rsidRPr="00053853">
          <w:rPr>
            <w:rStyle w:val="Hyperlink"/>
            <w:lang w:val="en-GB"/>
          </w:rPr>
          <w:t>section</w:t>
        </w:r>
        <w:r w:rsidR="008609C9">
          <w:rPr>
            <w:rStyle w:val="Hyperlink"/>
            <w:lang w:val="en-GB"/>
          </w:rPr>
          <w:t> </w:t>
        </w:r>
        <w:r w:rsidR="000A0F96" w:rsidRPr="00053853">
          <w:rPr>
            <w:rStyle w:val="Hyperlink"/>
            <w:lang w:val="en-GB"/>
          </w:rPr>
          <w:t>3.</w:t>
        </w:r>
        <w:r w:rsidR="00AE1474" w:rsidRPr="00053853">
          <w:rPr>
            <w:rStyle w:val="Hyperlink"/>
            <w:lang w:val="en-GB"/>
          </w:rPr>
          <w:t>10</w:t>
        </w:r>
      </w:hyperlink>
      <w:r w:rsidR="000A0F96" w:rsidRPr="00053853">
        <w:rPr>
          <w:lang w:val="en-GB"/>
        </w:rPr>
        <w:t>)</w:t>
      </w:r>
      <w:r w:rsidR="000C3608" w:rsidRPr="00053853">
        <w:rPr>
          <w:lang w:val="en-GB"/>
        </w:rPr>
        <w:t>,</w:t>
      </w:r>
      <w:r w:rsidR="0008366E" w:rsidRPr="00053853">
        <w:rPr>
          <w:lang w:val="en-GB"/>
        </w:rPr>
        <w:t xml:space="preserve"> </w:t>
      </w:r>
      <w:r w:rsidR="00D2564B">
        <w:rPr>
          <w:lang w:val="en-GB"/>
        </w:rPr>
        <w:t xml:space="preserve">and </w:t>
      </w:r>
      <w:r w:rsidR="0008366E" w:rsidRPr="00053853">
        <w:rPr>
          <w:lang w:val="en-GB"/>
        </w:rPr>
        <w:t xml:space="preserve">the different sources of efficacy data </w:t>
      </w:r>
      <w:r w:rsidR="00AE309B" w:rsidRPr="00053853">
        <w:rPr>
          <w:lang w:val="en-GB"/>
        </w:rPr>
        <w:t>in the model</w:t>
      </w:r>
      <w:r w:rsidR="0008366E" w:rsidRPr="00053853">
        <w:rPr>
          <w:lang w:val="en-GB"/>
        </w:rPr>
        <w:t xml:space="preserve"> and different grading scales used, which had not been adjusted for</w:t>
      </w:r>
      <w:r w:rsidR="005764CC" w:rsidRPr="00053853">
        <w:rPr>
          <w:lang w:val="en-GB"/>
        </w:rPr>
        <w:t>.</w:t>
      </w:r>
    </w:p>
    <w:p w14:paraId="0E358E6D" w14:textId="0BB3AE9A" w:rsidR="00B27A4F" w:rsidRPr="00053853" w:rsidRDefault="00576B94" w:rsidP="00B27A4F">
      <w:pPr>
        <w:pStyle w:val="Heading3"/>
      </w:pPr>
      <w:bookmarkStart w:id="12" w:name="_Mortality_estimates"/>
      <w:bookmarkEnd w:id="12"/>
      <w:r w:rsidRPr="00053853">
        <w:t>Mortality</w:t>
      </w:r>
      <w:r w:rsidR="0032516F" w:rsidRPr="00053853">
        <w:t xml:space="preserve"> estimates</w:t>
      </w:r>
    </w:p>
    <w:p w14:paraId="25F18B7C" w14:textId="7CAD9CEC" w:rsidR="0097540D" w:rsidRPr="00053853" w:rsidRDefault="00C12DF3" w:rsidP="0097540D">
      <w:pPr>
        <w:pStyle w:val="Numberedlevel2text"/>
        <w:rPr>
          <w:lang w:val="en-GB"/>
        </w:rPr>
      </w:pPr>
      <w:r w:rsidRPr="00053853">
        <w:rPr>
          <w:lang w:val="en-GB"/>
        </w:rPr>
        <w:t xml:space="preserve">The company’s base case assumed that </w:t>
      </w:r>
      <w:r w:rsidR="00E84652" w:rsidRPr="00053853">
        <w:rPr>
          <w:lang w:val="en-GB"/>
        </w:rPr>
        <w:t xml:space="preserve">treatment with anhydrous sodium thiosulfate does not affect survival. The model used overall </w:t>
      </w:r>
      <w:r w:rsidR="00E84652" w:rsidRPr="00053853">
        <w:rPr>
          <w:lang w:val="en-GB"/>
        </w:rPr>
        <w:lastRenderedPageBreak/>
        <w:t>survival estimates from COG</w:t>
      </w:r>
      <w:r w:rsidR="00D47EA9" w:rsidRPr="00053853">
        <w:rPr>
          <w:lang w:val="en-GB"/>
        </w:rPr>
        <w:t> </w:t>
      </w:r>
      <w:r w:rsidR="00E84652" w:rsidRPr="00053853">
        <w:rPr>
          <w:lang w:val="en-GB"/>
        </w:rPr>
        <w:t xml:space="preserve">ACCL0431 </w:t>
      </w:r>
      <w:r w:rsidR="0096499D" w:rsidRPr="00053853">
        <w:rPr>
          <w:lang w:val="en-GB"/>
        </w:rPr>
        <w:t>for both treatment groups for the first 5</w:t>
      </w:r>
      <w:r w:rsidR="0020230B">
        <w:rPr>
          <w:lang w:val="en-GB"/>
        </w:rPr>
        <w:t> </w:t>
      </w:r>
      <w:r w:rsidR="0096499D" w:rsidRPr="00053853">
        <w:rPr>
          <w:lang w:val="en-GB"/>
        </w:rPr>
        <w:t>years. For years</w:t>
      </w:r>
      <w:r w:rsidR="00436690">
        <w:rPr>
          <w:lang w:val="en-GB"/>
        </w:rPr>
        <w:t> </w:t>
      </w:r>
      <w:r w:rsidR="0096499D" w:rsidRPr="00053853">
        <w:rPr>
          <w:lang w:val="en-GB"/>
        </w:rPr>
        <w:t xml:space="preserve">6 to 10, </w:t>
      </w:r>
      <w:r w:rsidR="00703C54" w:rsidRPr="00053853">
        <w:rPr>
          <w:lang w:val="en-GB"/>
        </w:rPr>
        <w:t xml:space="preserve">risk of death </w:t>
      </w:r>
      <w:r w:rsidR="0051383E" w:rsidRPr="00053853">
        <w:rPr>
          <w:lang w:val="en-GB"/>
        </w:rPr>
        <w:t xml:space="preserve">was </w:t>
      </w:r>
      <w:r w:rsidR="00703C54" w:rsidRPr="00053853">
        <w:rPr>
          <w:lang w:val="en-GB"/>
        </w:rPr>
        <w:t>increased by a standardised mortality ratio (SMR) o</w:t>
      </w:r>
      <w:r w:rsidR="0051383E" w:rsidRPr="00053853">
        <w:rPr>
          <w:lang w:val="en-GB"/>
        </w:rPr>
        <w:t>f</w:t>
      </w:r>
      <w:r w:rsidR="00703C54" w:rsidRPr="00053853">
        <w:rPr>
          <w:lang w:val="en-GB"/>
        </w:rPr>
        <w:t xml:space="preserve"> 9.1</w:t>
      </w:r>
      <w:r w:rsidR="0051383E" w:rsidRPr="00053853">
        <w:rPr>
          <w:lang w:val="en-GB"/>
        </w:rPr>
        <w:t xml:space="preserve"> compared with the general population because of the </w:t>
      </w:r>
      <w:r w:rsidR="003D0B4C" w:rsidRPr="00053853">
        <w:rPr>
          <w:lang w:val="en-GB"/>
        </w:rPr>
        <w:t xml:space="preserve">risk from the </w:t>
      </w:r>
      <w:r w:rsidR="0051383E" w:rsidRPr="00053853">
        <w:rPr>
          <w:lang w:val="en-GB"/>
        </w:rPr>
        <w:t xml:space="preserve">underlying cancer. </w:t>
      </w:r>
      <w:r w:rsidR="003D0B4C" w:rsidRPr="00053853">
        <w:rPr>
          <w:lang w:val="en-GB"/>
        </w:rPr>
        <w:t xml:space="preserve">This figure came from a study by Fidler et al. </w:t>
      </w:r>
      <w:r w:rsidR="00EB6AE2" w:rsidRPr="00053853">
        <w:rPr>
          <w:lang w:val="en-GB"/>
        </w:rPr>
        <w:t xml:space="preserve">(2016), </w:t>
      </w:r>
      <w:r w:rsidR="00601C1C" w:rsidRPr="00053853">
        <w:rPr>
          <w:lang w:val="en-GB"/>
        </w:rPr>
        <w:t>whic</w:t>
      </w:r>
      <w:r w:rsidR="002557E9" w:rsidRPr="00053853">
        <w:rPr>
          <w:lang w:val="en-GB"/>
        </w:rPr>
        <w:t>h looked at causes of death in people who had survived childhood cancer.</w:t>
      </w:r>
      <w:r w:rsidR="00326BAC" w:rsidRPr="00053853">
        <w:rPr>
          <w:lang w:val="en-GB"/>
        </w:rPr>
        <w:t xml:space="preserve"> After 10</w:t>
      </w:r>
      <w:r w:rsidR="0020230B">
        <w:rPr>
          <w:lang w:val="en-GB"/>
        </w:rPr>
        <w:t> </w:t>
      </w:r>
      <w:r w:rsidR="00326BAC" w:rsidRPr="00053853">
        <w:rPr>
          <w:lang w:val="en-GB"/>
        </w:rPr>
        <w:t>years, people were assumed</w:t>
      </w:r>
      <w:r w:rsidR="00581ECB" w:rsidRPr="00053853">
        <w:rPr>
          <w:lang w:val="en-GB"/>
        </w:rPr>
        <w:t xml:space="preserve"> in the model</w:t>
      </w:r>
      <w:r w:rsidR="00326BAC" w:rsidRPr="00053853">
        <w:rPr>
          <w:lang w:val="en-GB"/>
        </w:rPr>
        <w:t xml:space="preserve"> to have the same risk of death as the </w:t>
      </w:r>
      <w:r w:rsidR="00117CAF" w:rsidRPr="00053853">
        <w:rPr>
          <w:lang w:val="en-GB"/>
        </w:rPr>
        <w:t>general population</w:t>
      </w:r>
      <w:r w:rsidR="00326BAC" w:rsidRPr="00053853">
        <w:rPr>
          <w:lang w:val="en-GB"/>
        </w:rPr>
        <w:t>.</w:t>
      </w:r>
      <w:r w:rsidR="002D079A" w:rsidRPr="00053853">
        <w:rPr>
          <w:lang w:val="en-GB"/>
        </w:rPr>
        <w:t xml:space="preserve"> </w:t>
      </w:r>
      <w:r w:rsidR="002B7702" w:rsidRPr="00053853">
        <w:rPr>
          <w:lang w:val="en-GB"/>
        </w:rPr>
        <w:t xml:space="preserve">Clinical advice to the EAG </w:t>
      </w:r>
      <w:r w:rsidR="009E1F4C" w:rsidRPr="00053853">
        <w:rPr>
          <w:lang w:val="en-GB"/>
        </w:rPr>
        <w:t>indicated</w:t>
      </w:r>
      <w:r w:rsidR="00082F63" w:rsidRPr="00053853">
        <w:rPr>
          <w:lang w:val="en-GB"/>
        </w:rPr>
        <w:t xml:space="preserve"> </w:t>
      </w:r>
      <w:r w:rsidR="002D079A" w:rsidRPr="00053853">
        <w:rPr>
          <w:lang w:val="en-GB"/>
        </w:rPr>
        <w:t xml:space="preserve">that </w:t>
      </w:r>
      <w:r w:rsidR="003E2993" w:rsidRPr="00053853">
        <w:rPr>
          <w:lang w:val="en-GB"/>
        </w:rPr>
        <w:t>people who had childhood cancer had an increased risk of death even 40</w:t>
      </w:r>
      <w:r w:rsidR="0020230B">
        <w:rPr>
          <w:lang w:val="en-GB"/>
        </w:rPr>
        <w:t> </w:t>
      </w:r>
      <w:r w:rsidR="003E2993" w:rsidRPr="00053853">
        <w:rPr>
          <w:lang w:val="en-GB"/>
        </w:rPr>
        <w:t xml:space="preserve">years later. </w:t>
      </w:r>
      <w:r w:rsidR="00212A27" w:rsidRPr="00053853">
        <w:rPr>
          <w:lang w:val="en-GB"/>
        </w:rPr>
        <w:t xml:space="preserve">The EAG </w:t>
      </w:r>
      <w:r w:rsidR="00A82708" w:rsidRPr="00053853">
        <w:rPr>
          <w:lang w:val="en-GB"/>
        </w:rPr>
        <w:t xml:space="preserve">preferred to apply SMRs </w:t>
      </w:r>
      <w:r w:rsidR="003032DB" w:rsidRPr="00053853">
        <w:rPr>
          <w:lang w:val="en-GB"/>
        </w:rPr>
        <w:t>that varied by the length of follow</w:t>
      </w:r>
      <w:r w:rsidR="006A0ED1">
        <w:rPr>
          <w:lang w:val="en-GB"/>
        </w:rPr>
        <w:t xml:space="preserve"> </w:t>
      </w:r>
      <w:r w:rsidR="003032DB" w:rsidRPr="00053853">
        <w:rPr>
          <w:lang w:val="en-GB"/>
        </w:rPr>
        <w:t xml:space="preserve">up in </w:t>
      </w:r>
      <w:r w:rsidR="00E7480A" w:rsidRPr="00053853">
        <w:rPr>
          <w:lang w:val="en-GB"/>
        </w:rPr>
        <w:t>Fidler et al. (2016)</w:t>
      </w:r>
      <w:r w:rsidR="009A4913" w:rsidRPr="00053853">
        <w:rPr>
          <w:lang w:val="en-GB"/>
        </w:rPr>
        <w:t xml:space="preserve">. </w:t>
      </w:r>
      <w:r w:rsidR="003F47AF" w:rsidRPr="00053853">
        <w:rPr>
          <w:lang w:val="en-GB"/>
        </w:rPr>
        <w:t>The clinical expert</w:t>
      </w:r>
      <w:r w:rsidR="00066B5C" w:rsidRPr="00053853">
        <w:rPr>
          <w:lang w:val="en-GB"/>
        </w:rPr>
        <w:t xml:space="preserve"> </w:t>
      </w:r>
      <w:r w:rsidR="003F47AF" w:rsidRPr="00053853">
        <w:rPr>
          <w:lang w:val="en-GB"/>
        </w:rPr>
        <w:t xml:space="preserve">agreed </w:t>
      </w:r>
      <w:r w:rsidR="00066B5C" w:rsidRPr="00053853">
        <w:rPr>
          <w:lang w:val="en-GB"/>
        </w:rPr>
        <w:t>that mortality was increased a</w:t>
      </w:r>
      <w:r w:rsidR="00812B2F" w:rsidRPr="00053853">
        <w:rPr>
          <w:lang w:val="en-GB"/>
        </w:rPr>
        <w:t>f</w:t>
      </w:r>
      <w:r w:rsidR="00066B5C" w:rsidRPr="00053853">
        <w:rPr>
          <w:lang w:val="en-GB"/>
        </w:rPr>
        <w:t>t</w:t>
      </w:r>
      <w:r w:rsidR="00812B2F" w:rsidRPr="00053853">
        <w:rPr>
          <w:lang w:val="en-GB"/>
        </w:rPr>
        <w:t>er</w:t>
      </w:r>
      <w:r w:rsidR="00066B5C" w:rsidRPr="00053853">
        <w:rPr>
          <w:lang w:val="en-GB"/>
        </w:rPr>
        <w:t xml:space="preserve"> 10</w:t>
      </w:r>
      <w:r w:rsidR="0020230B">
        <w:rPr>
          <w:lang w:val="en-GB"/>
        </w:rPr>
        <w:t> </w:t>
      </w:r>
      <w:r w:rsidR="00066B5C" w:rsidRPr="00053853">
        <w:rPr>
          <w:lang w:val="en-GB"/>
        </w:rPr>
        <w:t>years because of, for example, secondary cancers and heart and kidney problems related to chemotherapy.</w:t>
      </w:r>
      <w:r w:rsidR="00037F5B" w:rsidRPr="00053853">
        <w:rPr>
          <w:lang w:val="en-GB"/>
        </w:rPr>
        <w:t xml:space="preserve"> The company </w:t>
      </w:r>
      <w:r w:rsidR="00212A27" w:rsidRPr="00053853">
        <w:rPr>
          <w:lang w:val="en-GB"/>
        </w:rPr>
        <w:t>explained</w:t>
      </w:r>
      <w:r w:rsidR="00082F63" w:rsidRPr="00053853">
        <w:rPr>
          <w:lang w:val="en-GB"/>
        </w:rPr>
        <w:t xml:space="preserve"> </w:t>
      </w:r>
      <w:r w:rsidR="00037F5B" w:rsidRPr="00053853">
        <w:rPr>
          <w:lang w:val="en-GB"/>
        </w:rPr>
        <w:t xml:space="preserve">that it had since talked to </w:t>
      </w:r>
      <w:r w:rsidR="001A3E33" w:rsidRPr="00053853">
        <w:rPr>
          <w:lang w:val="en-GB"/>
        </w:rPr>
        <w:t>clinical experts</w:t>
      </w:r>
      <w:r w:rsidR="004A2A36" w:rsidRPr="00053853">
        <w:rPr>
          <w:lang w:val="en-GB"/>
        </w:rPr>
        <w:t>,</w:t>
      </w:r>
      <w:r w:rsidR="001A3E33" w:rsidRPr="00053853" w:rsidDel="004A2A36">
        <w:rPr>
          <w:lang w:val="en-GB"/>
        </w:rPr>
        <w:t xml:space="preserve"> </w:t>
      </w:r>
      <w:r w:rsidR="001A3E33" w:rsidRPr="00053853">
        <w:rPr>
          <w:lang w:val="en-GB"/>
        </w:rPr>
        <w:t xml:space="preserve">and </w:t>
      </w:r>
      <w:r w:rsidR="004A2A36" w:rsidRPr="00053853">
        <w:rPr>
          <w:lang w:val="en-GB"/>
        </w:rPr>
        <w:t xml:space="preserve">it </w:t>
      </w:r>
      <w:r w:rsidR="001A3E33" w:rsidRPr="00053853">
        <w:rPr>
          <w:lang w:val="en-GB"/>
        </w:rPr>
        <w:t xml:space="preserve">agreed that </w:t>
      </w:r>
      <w:r w:rsidR="00271603" w:rsidRPr="00053853">
        <w:rPr>
          <w:lang w:val="en-GB"/>
        </w:rPr>
        <w:t xml:space="preserve">there </w:t>
      </w:r>
      <w:r w:rsidR="00271603" w:rsidRPr="00053853" w:rsidDel="004A2A36">
        <w:rPr>
          <w:lang w:val="en-GB"/>
        </w:rPr>
        <w:t>was</w:t>
      </w:r>
      <w:r w:rsidR="004A2A36" w:rsidRPr="00053853">
        <w:rPr>
          <w:lang w:val="en-GB"/>
        </w:rPr>
        <w:t xml:space="preserve"> likely </w:t>
      </w:r>
      <w:r w:rsidR="002C33FE" w:rsidRPr="00053853">
        <w:rPr>
          <w:lang w:val="en-GB"/>
        </w:rPr>
        <w:t xml:space="preserve">to be </w:t>
      </w:r>
      <w:r w:rsidR="00271603" w:rsidRPr="00053853">
        <w:rPr>
          <w:lang w:val="en-GB"/>
        </w:rPr>
        <w:t>an increased risk of death after 10</w:t>
      </w:r>
      <w:r w:rsidR="0020230B">
        <w:rPr>
          <w:lang w:val="en-GB"/>
        </w:rPr>
        <w:t> </w:t>
      </w:r>
      <w:r w:rsidR="00271603" w:rsidRPr="00053853">
        <w:rPr>
          <w:lang w:val="en-GB"/>
        </w:rPr>
        <w:t>years</w:t>
      </w:r>
      <w:r w:rsidR="00A34684" w:rsidRPr="00053853">
        <w:rPr>
          <w:lang w:val="en-GB"/>
        </w:rPr>
        <w:t>. It also agreed with</w:t>
      </w:r>
      <w:r w:rsidR="00271603" w:rsidRPr="00053853">
        <w:rPr>
          <w:lang w:val="en-GB"/>
        </w:rPr>
        <w:t xml:space="preserve"> the EAG’s </w:t>
      </w:r>
      <w:r w:rsidR="0097540D" w:rsidRPr="00053853">
        <w:rPr>
          <w:lang w:val="en-GB"/>
        </w:rPr>
        <w:t>SMR assumptions. The committee concluded that</w:t>
      </w:r>
      <w:r w:rsidR="00DF7A79" w:rsidRPr="00053853">
        <w:rPr>
          <w:lang w:val="en-GB"/>
        </w:rPr>
        <w:t xml:space="preserve"> the</w:t>
      </w:r>
      <w:r w:rsidR="0097540D" w:rsidRPr="00053853">
        <w:rPr>
          <w:lang w:val="en-GB"/>
        </w:rPr>
        <w:t xml:space="preserve"> </w:t>
      </w:r>
      <w:r w:rsidR="00812B2F" w:rsidRPr="00053853">
        <w:rPr>
          <w:lang w:val="en-GB"/>
        </w:rPr>
        <w:t>risk of death was likely to be higher after 10</w:t>
      </w:r>
      <w:r w:rsidR="0020230B">
        <w:rPr>
          <w:lang w:val="en-GB"/>
        </w:rPr>
        <w:t> </w:t>
      </w:r>
      <w:r w:rsidR="00812B2F" w:rsidRPr="00053853">
        <w:rPr>
          <w:lang w:val="en-GB"/>
        </w:rPr>
        <w:t xml:space="preserve">years </w:t>
      </w:r>
      <w:r w:rsidR="00DF7A79" w:rsidRPr="00053853">
        <w:rPr>
          <w:lang w:val="en-GB"/>
        </w:rPr>
        <w:t>for people who had survived childhood cancer</w:t>
      </w:r>
      <w:r w:rsidR="004A2A36" w:rsidRPr="00053853">
        <w:rPr>
          <w:lang w:val="en-GB"/>
        </w:rPr>
        <w:t xml:space="preserve"> and </w:t>
      </w:r>
      <w:r w:rsidR="0063185C" w:rsidRPr="00053853">
        <w:rPr>
          <w:lang w:val="en-GB"/>
        </w:rPr>
        <w:t>prefer</w:t>
      </w:r>
      <w:r w:rsidR="00BC1A69" w:rsidRPr="00053853">
        <w:rPr>
          <w:lang w:val="en-GB"/>
        </w:rPr>
        <w:t>red</w:t>
      </w:r>
      <w:r w:rsidR="0063185C" w:rsidRPr="00053853">
        <w:rPr>
          <w:lang w:val="en-GB"/>
        </w:rPr>
        <w:t xml:space="preserve"> the EAG’s approach for modelling mortality</w:t>
      </w:r>
      <w:r w:rsidR="00DF7A79" w:rsidRPr="00053853">
        <w:rPr>
          <w:lang w:val="en-GB"/>
        </w:rPr>
        <w:t>.</w:t>
      </w:r>
    </w:p>
    <w:p w14:paraId="543E700F" w14:textId="24A33D49" w:rsidR="005A239E" w:rsidRPr="00053853" w:rsidRDefault="005A239E" w:rsidP="00B427E2">
      <w:pPr>
        <w:pStyle w:val="Heading2"/>
      </w:pPr>
      <w:bookmarkStart w:id="13" w:name="_Utility_values"/>
      <w:bookmarkEnd w:id="13"/>
      <w:r w:rsidRPr="00053853">
        <w:t>Utilit</w:t>
      </w:r>
      <w:r w:rsidR="003F6548" w:rsidRPr="00053853">
        <w:t>y values</w:t>
      </w:r>
    </w:p>
    <w:p w14:paraId="06654EC3" w14:textId="71962A4B" w:rsidR="000E3676" w:rsidRPr="000A65A9" w:rsidRDefault="004B427C" w:rsidP="00AA48CE">
      <w:pPr>
        <w:pStyle w:val="Numberedlevel2text"/>
        <w:rPr>
          <w:lang w:val="en-GB"/>
        </w:rPr>
      </w:pPr>
      <w:r w:rsidRPr="00053853">
        <w:t>The company used health utilities from the literature based on the health utility index</w:t>
      </w:r>
      <w:r w:rsidR="00BC1A69" w:rsidRPr="00053853">
        <w:t> </w:t>
      </w:r>
      <w:r w:rsidRPr="00053853">
        <w:t xml:space="preserve">3 (HUI3) values. </w:t>
      </w:r>
      <w:r w:rsidR="002A28C4" w:rsidRPr="00053853">
        <w:t xml:space="preserve">The utility value for </w:t>
      </w:r>
      <w:r w:rsidR="004E2CC1" w:rsidRPr="00053853">
        <w:t xml:space="preserve">children who did not have </w:t>
      </w:r>
      <w:r w:rsidR="002A28C4" w:rsidRPr="00053853">
        <w:t>hearing loss (minimal</w:t>
      </w:r>
      <w:r w:rsidR="004E2CC1" w:rsidRPr="00053853">
        <w:t xml:space="preserve"> or </w:t>
      </w:r>
      <w:r w:rsidR="002A28C4" w:rsidRPr="00053853">
        <w:t xml:space="preserve">no </w:t>
      </w:r>
      <w:r w:rsidR="004E2CC1" w:rsidRPr="00053853">
        <w:t>hearing loss</w:t>
      </w:r>
      <w:r w:rsidR="002A28C4" w:rsidRPr="00053853">
        <w:t xml:space="preserve"> state) was from Pogany et al.</w:t>
      </w:r>
      <w:r w:rsidR="00AD2FE6" w:rsidRPr="00053853">
        <w:t xml:space="preserve"> (2006)</w:t>
      </w:r>
      <w:r w:rsidR="00BC1A69" w:rsidRPr="00053853">
        <w:t>,</w:t>
      </w:r>
      <w:r w:rsidR="002A28C4" w:rsidRPr="00053853">
        <w:t xml:space="preserve"> which reports </w:t>
      </w:r>
      <w:r w:rsidR="003B0D54" w:rsidRPr="00053853">
        <w:t xml:space="preserve">quality of life </w:t>
      </w:r>
      <w:r w:rsidR="002A28C4" w:rsidRPr="00053853">
        <w:t xml:space="preserve">using the HUI3 for a Canadian national retrospective cohort study with long-term survivors of </w:t>
      </w:r>
      <w:r w:rsidR="003B0D54" w:rsidRPr="00053853">
        <w:t xml:space="preserve">childhood </w:t>
      </w:r>
      <w:r w:rsidR="002A28C4" w:rsidRPr="00053853">
        <w:t xml:space="preserve">cancer compared </w:t>
      </w:r>
      <w:r w:rsidR="003B0D54" w:rsidRPr="00053853">
        <w:t>with</w:t>
      </w:r>
      <w:r w:rsidR="002A28C4" w:rsidRPr="00053853">
        <w:t xml:space="preserve"> controls. The company used </w:t>
      </w:r>
      <w:r w:rsidR="00BC1A69" w:rsidRPr="00053853">
        <w:t xml:space="preserve">a </w:t>
      </w:r>
      <w:r w:rsidR="002A28C4" w:rsidRPr="00053853">
        <w:t>utility estimate of 0.92, which corresponds to the mean utility value for the study controls aged 5 to 12</w:t>
      </w:r>
      <w:r w:rsidR="00CB06BB">
        <w:t> </w:t>
      </w:r>
      <w:r w:rsidR="002A28C4" w:rsidRPr="00053853">
        <w:t xml:space="preserve">years. </w:t>
      </w:r>
      <w:r w:rsidR="003B0D54" w:rsidRPr="00053853">
        <w:t>There was no data for</w:t>
      </w:r>
      <w:r w:rsidR="002A28C4" w:rsidRPr="00053853">
        <w:t xml:space="preserve"> the mild </w:t>
      </w:r>
      <w:r w:rsidR="003B0D54" w:rsidRPr="00053853">
        <w:t>hearing loss</w:t>
      </w:r>
      <w:r w:rsidR="002A28C4" w:rsidRPr="00053853">
        <w:t xml:space="preserve"> health state, </w:t>
      </w:r>
      <w:r w:rsidR="003B0D54" w:rsidRPr="00053853">
        <w:t>so</w:t>
      </w:r>
      <w:r w:rsidR="002A28C4" w:rsidRPr="00053853">
        <w:t xml:space="preserve"> the company assumed a utility value </w:t>
      </w:r>
      <w:r w:rsidR="00A47E2F" w:rsidRPr="00053853">
        <w:t xml:space="preserve">at </w:t>
      </w:r>
      <w:r w:rsidR="002A28C4" w:rsidRPr="00053853">
        <w:t xml:space="preserve">the midpoint between </w:t>
      </w:r>
      <w:r w:rsidR="00A47E2F" w:rsidRPr="00053853">
        <w:t xml:space="preserve">the </w:t>
      </w:r>
      <w:r w:rsidR="002A28C4" w:rsidRPr="00053853">
        <w:t>minimal</w:t>
      </w:r>
      <w:r w:rsidR="00A47E2F" w:rsidRPr="00053853">
        <w:t xml:space="preserve"> or </w:t>
      </w:r>
      <w:r w:rsidR="002A28C4" w:rsidRPr="00053853">
        <w:t xml:space="preserve">no </w:t>
      </w:r>
      <w:r w:rsidR="00A47E2F" w:rsidRPr="00053853">
        <w:t>hearing loss</w:t>
      </w:r>
      <w:r w:rsidR="002A28C4" w:rsidRPr="00053853">
        <w:t xml:space="preserve"> and moderate </w:t>
      </w:r>
      <w:r w:rsidR="00A47E2F" w:rsidRPr="00053853">
        <w:t>hearing loss</w:t>
      </w:r>
      <w:r w:rsidR="002A28C4" w:rsidRPr="00053853">
        <w:t xml:space="preserve"> states. For the moderate, marked and severe </w:t>
      </w:r>
      <w:r w:rsidR="00A47E2F" w:rsidRPr="00053853">
        <w:t>hearing loss</w:t>
      </w:r>
      <w:r w:rsidR="002A28C4" w:rsidRPr="00053853">
        <w:t xml:space="preserve"> states, utility values were from Barton et al.</w:t>
      </w:r>
      <w:r w:rsidR="00AD2FE6" w:rsidRPr="00053853">
        <w:t xml:space="preserve"> (2006)</w:t>
      </w:r>
      <w:r w:rsidR="00A47E2F" w:rsidRPr="00053853">
        <w:t>.</w:t>
      </w:r>
      <w:r w:rsidR="00B1017C" w:rsidRPr="00053853">
        <w:t xml:space="preserve"> </w:t>
      </w:r>
      <w:r w:rsidR="0045487C">
        <w:t>T</w:t>
      </w:r>
      <w:r w:rsidR="0045487C" w:rsidRPr="00B902A0">
        <w:rPr>
          <w:lang w:val="en-GB"/>
        </w:rPr>
        <w:t xml:space="preserve">he committee noted an alternative source of utility values was </w:t>
      </w:r>
      <w:r w:rsidR="0045487C" w:rsidRPr="00B902A0">
        <w:rPr>
          <w:lang w:val="en-GB"/>
        </w:rPr>
        <w:lastRenderedPageBreak/>
        <w:t xml:space="preserve">available </w:t>
      </w:r>
      <w:r w:rsidR="00DA6A52" w:rsidRPr="00B902A0">
        <w:rPr>
          <w:lang w:val="en-GB"/>
        </w:rPr>
        <w:t>(Gumbie et al. 2022)</w:t>
      </w:r>
      <w:r w:rsidR="0045487C" w:rsidRPr="00B902A0">
        <w:rPr>
          <w:lang w:val="en-GB"/>
        </w:rPr>
        <w:t xml:space="preserve"> although </w:t>
      </w:r>
      <w:r w:rsidR="00DA6A52" w:rsidRPr="00B902A0">
        <w:rPr>
          <w:lang w:val="en-GB"/>
        </w:rPr>
        <w:t>the</w:t>
      </w:r>
      <w:r w:rsidR="0045487C" w:rsidRPr="00B902A0">
        <w:rPr>
          <w:lang w:val="en-GB"/>
        </w:rPr>
        <w:t xml:space="preserve"> E</w:t>
      </w:r>
      <w:r w:rsidR="00DA6A52" w:rsidRPr="00B902A0">
        <w:rPr>
          <w:lang w:val="en-GB"/>
        </w:rPr>
        <w:t>A</w:t>
      </w:r>
      <w:r w:rsidR="0045487C" w:rsidRPr="00B902A0">
        <w:rPr>
          <w:lang w:val="en-GB"/>
        </w:rPr>
        <w:t>G and company base cases were based on Barton</w:t>
      </w:r>
      <w:r w:rsidR="00B902A0" w:rsidRPr="00B902A0">
        <w:rPr>
          <w:lang w:val="en-GB"/>
        </w:rPr>
        <w:t>,</w:t>
      </w:r>
      <w:r w:rsidR="0045487C" w:rsidRPr="00B902A0">
        <w:rPr>
          <w:lang w:val="en-GB"/>
        </w:rPr>
        <w:t xml:space="preserve"> which it accepted.</w:t>
      </w:r>
      <w:r w:rsidR="00B902A0">
        <w:rPr>
          <w:lang w:val="en-GB"/>
        </w:rPr>
        <w:t xml:space="preserve"> </w:t>
      </w:r>
      <w:r w:rsidR="00B1017C" w:rsidRPr="00B902A0">
        <w:rPr>
          <w:lang w:val="en-GB"/>
        </w:rPr>
        <w:t>The model also includes a</w:t>
      </w:r>
      <w:r w:rsidR="001D0BFE" w:rsidRPr="00B902A0">
        <w:rPr>
          <w:lang w:val="en-GB"/>
        </w:rPr>
        <w:t xml:space="preserve"> quality-adjusted life year</w:t>
      </w:r>
      <w:r w:rsidR="00B1017C" w:rsidRPr="00B902A0">
        <w:rPr>
          <w:lang w:val="en-GB"/>
        </w:rPr>
        <w:t xml:space="preserve"> </w:t>
      </w:r>
      <w:r w:rsidR="001D0BFE" w:rsidRPr="00B902A0">
        <w:rPr>
          <w:lang w:val="en-GB"/>
        </w:rPr>
        <w:t>(</w:t>
      </w:r>
      <w:r w:rsidR="00B1017C" w:rsidRPr="00B902A0">
        <w:rPr>
          <w:lang w:val="en-GB"/>
        </w:rPr>
        <w:t>QALY</w:t>
      </w:r>
      <w:r w:rsidR="001D0BFE" w:rsidRPr="00B902A0">
        <w:rPr>
          <w:lang w:val="en-GB"/>
        </w:rPr>
        <w:t>)</w:t>
      </w:r>
      <w:r w:rsidR="00B1017C" w:rsidRPr="000A65A9">
        <w:rPr>
          <w:lang w:val="en-GB"/>
        </w:rPr>
        <w:t xml:space="preserve"> gain associated with using cochlear implants </w:t>
      </w:r>
      <w:r w:rsidR="00CE1759" w:rsidRPr="000A65A9">
        <w:rPr>
          <w:lang w:val="en-GB"/>
        </w:rPr>
        <w:t xml:space="preserve">applied to a proportion of people in the marked and severe hearing loss health states. </w:t>
      </w:r>
      <w:r w:rsidR="000E3676" w:rsidRPr="000A65A9">
        <w:rPr>
          <w:lang w:val="en-GB"/>
        </w:rPr>
        <w:t>The company sai</w:t>
      </w:r>
      <w:r w:rsidR="00D03081" w:rsidRPr="000A65A9">
        <w:rPr>
          <w:lang w:val="en-GB"/>
        </w:rPr>
        <w:t xml:space="preserve">d it had used HUI3 because it considered it the most sensitive </w:t>
      </w:r>
      <w:r w:rsidR="00F62062" w:rsidRPr="00B902A0">
        <w:rPr>
          <w:lang w:val="en-GB"/>
        </w:rPr>
        <w:t xml:space="preserve">at </w:t>
      </w:r>
      <w:r w:rsidR="00D03081" w:rsidRPr="00B902A0">
        <w:rPr>
          <w:lang w:val="en-GB"/>
        </w:rPr>
        <w:t>captur</w:t>
      </w:r>
      <w:r w:rsidR="00F62062" w:rsidRPr="00B902A0">
        <w:rPr>
          <w:lang w:val="en-GB"/>
        </w:rPr>
        <w:t>ing</w:t>
      </w:r>
      <w:r w:rsidR="00D03081" w:rsidRPr="000A65A9">
        <w:rPr>
          <w:lang w:val="en-GB"/>
        </w:rPr>
        <w:t xml:space="preserve"> the effects of hearing treatment on overall health status</w:t>
      </w:r>
      <w:r w:rsidR="003A3D4D" w:rsidRPr="000A65A9">
        <w:rPr>
          <w:lang w:val="en-GB"/>
        </w:rPr>
        <w:t xml:space="preserve">. </w:t>
      </w:r>
      <w:r w:rsidR="00622210" w:rsidRPr="000A65A9">
        <w:rPr>
          <w:lang w:val="en-GB"/>
        </w:rPr>
        <w:t xml:space="preserve">It also noted that HUI3 was used in </w:t>
      </w:r>
      <w:hyperlink r:id="rId13" w:history="1">
        <w:r w:rsidR="00622210" w:rsidRPr="000A65A9">
          <w:rPr>
            <w:rStyle w:val="Hyperlink"/>
            <w:lang w:val="en-GB"/>
          </w:rPr>
          <w:t>NICE’s technology appraisal</w:t>
        </w:r>
        <w:r w:rsidR="003901CE">
          <w:rPr>
            <w:rStyle w:val="Hyperlink"/>
            <w:lang w:val="en-GB"/>
          </w:rPr>
          <w:t xml:space="preserve"> guidance</w:t>
        </w:r>
        <w:r w:rsidR="00622210" w:rsidRPr="000A65A9">
          <w:rPr>
            <w:rStyle w:val="Hyperlink"/>
            <w:lang w:val="en-GB"/>
          </w:rPr>
          <w:t xml:space="preserve"> on cochlear implants for children and adults with severe to profound deafness</w:t>
        </w:r>
      </w:hyperlink>
      <w:r w:rsidR="007347DB" w:rsidRPr="000A65A9">
        <w:rPr>
          <w:lang w:val="en-GB"/>
        </w:rPr>
        <w:t>.</w:t>
      </w:r>
      <w:r w:rsidR="00F60738" w:rsidRPr="000A65A9">
        <w:rPr>
          <w:lang w:val="en-GB"/>
        </w:rPr>
        <w:t xml:space="preserve"> </w:t>
      </w:r>
      <w:hyperlink r:id="rId14" w:history="1">
        <w:r w:rsidR="000E3676" w:rsidRPr="00B902A0">
          <w:rPr>
            <w:rStyle w:val="Hyperlink"/>
            <w:lang w:val="en-GB"/>
          </w:rPr>
          <w:t>NICE</w:t>
        </w:r>
        <w:r w:rsidR="00EE226E" w:rsidRPr="00B902A0">
          <w:rPr>
            <w:rStyle w:val="Hyperlink"/>
            <w:lang w:val="en-GB"/>
          </w:rPr>
          <w:t>’s</w:t>
        </w:r>
        <w:r w:rsidR="000E3676" w:rsidRPr="00B902A0">
          <w:rPr>
            <w:rStyle w:val="Hyperlink"/>
            <w:lang w:val="en-GB"/>
          </w:rPr>
          <w:t xml:space="preserve"> manual</w:t>
        </w:r>
        <w:r w:rsidR="00EE226E" w:rsidRPr="00B902A0">
          <w:rPr>
            <w:rStyle w:val="Hyperlink"/>
            <w:lang w:val="en-GB"/>
          </w:rPr>
          <w:t xml:space="preserve"> on health technology evaluation</w:t>
        </w:r>
      </w:hyperlink>
      <w:r w:rsidR="003901CE">
        <w:rPr>
          <w:rStyle w:val="Hyperlink"/>
          <w:lang w:val="en-GB"/>
        </w:rPr>
        <w:t>s</w:t>
      </w:r>
      <w:r w:rsidR="000E3676" w:rsidRPr="000A65A9">
        <w:rPr>
          <w:lang w:val="en-GB"/>
        </w:rPr>
        <w:t xml:space="preserve"> recommends using the EQ-5D-3L for adults</w:t>
      </w:r>
      <w:r w:rsidR="006D00F5" w:rsidRPr="00B902A0">
        <w:rPr>
          <w:lang w:val="en-GB"/>
        </w:rPr>
        <w:t>,</w:t>
      </w:r>
      <w:r w:rsidR="00430EDC" w:rsidRPr="000A65A9">
        <w:rPr>
          <w:lang w:val="en-GB"/>
        </w:rPr>
        <w:t xml:space="preserve"> but for evaluations in children and young people alternative measures of health-related quality of life </w:t>
      </w:r>
      <w:r w:rsidR="00046E62" w:rsidRPr="000A65A9">
        <w:rPr>
          <w:lang w:val="en-GB"/>
        </w:rPr>
        <w:t>can be considered</w:t>
      </w:r>
      <w:r w:rsidR="00430EDC" w:rsidRPr="000A65A9">
        <w:rPr>
          <w:lang w:val="en-GB"/>
        </w:rPr>
        <w:t>.</w:t>
      </w:r>
      <w:r w:rsidR="00946B00" w:rsidRPr="000A65A9">
        <w:rPr>
          <w:lang w:val="en-GB"/>
        </w:rPr>
        <w:t xml:space="preserve"> The committee con</w:t>
      </w:r>
      <w:r w:rsidR="00D35190" w:rsidRPr="000A65A9">
        <w:rPr>
          <w:lang w:val="en-GB"/>
        </w:rPr>
        <w:t>cluded</w:t>
      </w:r>
      <w:r w:rsidR="00946B00" w:rsidRPr="000A65A9">
        <w:rPr>
          <w:lang w:val="en-GB"/>
        </w:rPr>
        <w:t xml:space="preserve"> that </w:t>
      </w:r>
      <w:r w:rsidR="00D35190" w:rsidRPr="000A65A9">
        <w:rPr>
          <w:lang w:val="en-GB"/>
        </w:rPr>
        <w:t>the company’s</w:t>
      </w:r>
      <w:r w:rsidR="00A24FAD" w:rsidRPr="000A65A9">
        <w:rPr>
          <w:lang w:val="en-GB"/>
        </w:rPr>
        <w:t xml:space="preserve"> approach to calculating</w:t>
      </w:r>
      <w:r w:rsidR="00D35190" w:rsidRPr="000A65A9">
        <w:rPr>
          <w:lang w:val="en-GB"/>
        </w:rPr>
        <w:t xml:space="preserve"> utility values </w:t>
      </w:r>
      <w:r w:rsidR="00A24FAD" w:rsidRPr="000A65A9">
        <w:rPr>
          <w:lang w:val="en-GB"/>
        </w:rPr>
        <w:t xml:space="preserve">was </w:t>
      </w:r>
      <w:r w:rsidR="00D35190" w:rsidRPr="000A65A9">
        <w:rPr>
          <w:lang w:val="en-GB"/>
        </w:rPr>
        <w:t>acceptable for decision making.</w:t>
      </w:r>
    </w:p>
    <w:p w14:paraId="0AD09A10" w14:textId="7944820F" w:rsidR="00DC532E" w:rsidRPr="00053853" w:rsidRDefault="00CE0CED" w:rsidP="002350C3">
      <w:pPr>
        <w:pStyle w:val="Heading2"/>
      </w:pPr>
      <w:bookmarkStart w:id="14" w:name="_Costs_associated_with"/>
      <w:bookmarkEnd w:id="14"/>
      <w:r w:rsidRPr="00053853">
        <w:t>Costs associated with d</w:t>
      </w:r>
      <w:r w:rsidR="00A80B1E" w:rsidRPr="00053853">
        <w:t>epression</w:t>
      </w:r>
      <w:r w:rsidR="00AE7C59" w:rsidRPr="00053853">
        <w:t xml:space="preserve"> and anxiety</w:t>
      </w:r>
    </w:p>
    <w:p w14:paraId="0931AA80" w14:textId="1C3D42D5" w:rsidR="00DC532E" w:rsidRPr="00053853" w:rsidRDefault="00DC532E" w:rsidP="00DC532E">
      <w:pPr>
        <w:pStyle w:val="Numberedlevel2text"/>
        <w:rPr>
          <w:lang w:val="en-GB"/>
        </w:rPr>
      </w:pPr>
      <w:r w:rsidRPr="00053853">
        <w:rPr>
          <w:lang w:val="en-GB"/>
        </w:rPr>
        <w:t>The company</w:t>
      </w:r>
      <w:r w:rsidR="00803581" w:rsidRPr="00053853">
        <w:rPr>
          <w:lang w:val="en-GB"/>
        </w:rPr>
        <w:t>’s model</w:t>
      </w:r>
      <w:r w:rsidRPr="00053853">
        <w:rPr>
          <w:lang w:val="en-GB"/>
        </w:rPr>
        <w:t xml:space="preserve"> included </w:t>
      </w:r>
      <w:r w:rsidR="00803581" w:rsidRPr="00053853">
        <w:rPr>
          <w:lang w:val="en-GB"/>
        </w:rPr>
        <w:t>costs for depression</w:t>
      </w:r>
      <w:r w:rsidR="00AE7C59" w:rsidRPr="00053853">
        <w:rPr>
          <w:lang w:val="en-GB"/>
        </w:rPr>
        <w:t xml:space="preserve"> and anxiety</w:t>
      </w:r>
      <w:r w:rsidR="00803581" w:rsidRPr="00053853">
        <w:rPr>
          <w:lang w:val="en-GB"/>
        </w:rPr>
        <w:t xml:space="preserve"> associated with hearing loss</w:t>
      </w:r>
      <w:r w:rsidR="00310AA6" w:rsidRPr="00053853">
        <w:rPr>
          <w:lang w:val="en-GB"/>
        </w:rPr>
        <w:t xml:space="preserve">, </w:t>
      </w:r>
      <w:r w:rsidR="00555BA3" w:rsidRPr="00053853">
        <w:rPr>
          <w:lang w:val="en-GB"/>
        </w:rPr>
        <w:t>based on</w:t>
      </w:r>
      <w:r w:rsidR="00310AA6" w:rsidRPr="00053853">
        <w:rPr>
          <w:lang w:val="en-GB"/>
        </w:rPr>
        <w:t xml:space="preserve"> a study by Gurney et al</w:t>
      </w:r>
      <w:r w:rsidR="00555BA3" w:rsidRPr="00053853">
        <w:rPr>
          <w:lang w:val="en-GB"/>
        </w:rPr>
        <w:t>.</w:t>
      </w:r>
      <w:r w:rsidR="00310AA6" w:rsidRPr="00053853">
        <w:rPr>
          <w:lang w:val="en-GB"/>
        </w:rPr>
        <w:t xml:space="preserve"> </w:t>
      </w:r>
      <w:r w:rsidR="00ED179E" w:rsidRPr="00053853">
        <w:rPr>
          <w:lang w:val="en-GB"/>
        </w:rPr>
        <w:t>(</w:t>
      </w:r>
      <w:r w:rsidR="00421F0C" w:rsidRPr="00053853">
        <w:rPr>
          <w:lang w:val="en-GB"/>
        </w:rPr>
        <w:t>2007</w:t>
      </w:r>
      <w:r w:rsidR="00ED179E" w:rsidRPr="00053853">
        <w:rPr>
          <w:lang w:val="en-GB"/>
        </w:rPr>
        <w:t>)</w:t>
      </w:r>
      <w:r w:rsidR="009B1B43" w:rsidRPr="00053853">
        <w:rPr>
          <w:lang w:val="en-GB"/>
        </w:rPr>
        <w:t>.</w:t>
      </w:r>
      <w:r w:rsidR="00421F0C" w:rsidRPr="00053853">
        <w:rPr>
          <w:lang w:val="en-GB"/>
        </w:rPr>
        <w:t xml:space="preserve"> </w:t>
      </w:r>
      <w:r w:rsidR="00792A55" w:rsidRPr="00053853">
        <w:rPr>
          <w:lang w:val="en-GB"/>
        </w:rPr>
        <w:t xml:space="preserve">The study </w:t>
      </w:r>
      <w:r w:rsidR="00310AA6" w:rsidRPr="00053853">
        <w:rPr>
          <w:lang w:val="en-GB"/>
        </w:rPr>
        <w:t>looked at quality of life</w:t>
      </w:r>
      <w:r w:rsidR="007459B8" w:rsidRPr="00053853">
        <w:rPr>
          <w:lang w:val="en-GB"/>
        </w:rPr>
        <w:t xml:space="preserve"> in people </w:t>
      </w:r>
      <w:r w:rsidR="00CC3259" w:rsidRPr="00053853">
        <w:rPr>
          <w:lang w:val="en-GB"/>
        </w:rPr>
        <w:t>who had survived childhood neuroblastoma</w:t>
      </w:r>
      <w:r w:rsidR="007459B8" w:rsidRPr="00053853">
        <w:rPr>
          <w:lang w:val="en-GB"/>
        </w:rPr>
        <w:t>, some of whom had hearing loss</w:t>
      </w:r>
      <w:r w:rsidR="00CC3259" w:rsidRPr="00053853">
        <w:rPr>
          <w:lang w:val="en-GB"/>
        </w:rPr>
        <w:t>. It</w:t>
      </w:r>
      <w:r w:rsidR="00792A55" w:rsidRPr="00053853">
        <w:rPr>
          <w:lang w:val="en-GB"/>
        </w:rPr>
        <w:t xml:space="preserve"> </w:t>
      </w:r>
      <w:r w:rsidR="00601919" w:rsidRPr="00053853">
        <w:rPr>
          <w:lang w:val="en-GB"/>
        </w:rPr>
        <w:t>reported</w:t>
      </w:r>
      <w:r w:rsidR="00792A55" w:rsidRPr="00053853">
        <w:rPr>
          <w:lang w:val="en-GB"/>
        </w:rPr>
        <w:t xml:space="preserve"> the </w:t>
      </w:r>
      <w:r w:rsidR="00601919" w:rsidRPr="00053853">
        <w:rPr>
          <w:lang w:val="en-GB"/>
        </w:rPr>
        <w:t>proportion</w:t>
      </w:r>
      <w:r w:rsidR="00792A55" w:rsidRPr="00053853">
        <w:rPr>
          <w:lang w:val="en-GB"/>
        </w:rPr>
        <w:t xml:space="preserve"> of</w:t>
      </w:r>
      <w:r w:rsidR="00601919" w:rsidRPr="00053853">
        <w:rPr>
          <w:lang w:val="en-GB"/>
        </w:rPr>
        <w:t xml:space="preserve"> people with and without hearing loss who had</w:t>
      </w:r>
      <w:r w:rsidR="00792A55" w:rsidRPr="00053853">
        <w:rPr>
          <w:lang w:val="en-GB"/>
        </w:rPr>
        <w:t xml:space="preserve"> depression and anxiety</w:t>
      </w:r>
      <w:r w:rsidR="00803581" w:rsidRPr="00053853">
        <w:rPr>
          <w:lang w:val="en-GB"/>
        </w:rPr>
        <w:t xml:space="preserve">. </w:t>
      </w:r>
      <w:r w:rsidR="00073C72" w:rsidRPr="00053853">
        <w:rPr>
          <w:lang w:val="en-GB"/>
        </w:rPr>
        <w:t>The EAG preferred to remove these costs beca</w:t>
      </w:r>
      <w:r w:rsidR="00AE7C59" w:rsidRPr="00053853">
        <w:rPr>
          <w:lang w:val="en-GB"/>
        </w:rPr>
        <w:t>use</w:t>
      </w:r>
      <w:r w:rsidR="003539CF" w:rsidRPr="00053853">
        <w:rPr>
          <w:lang w:val="en-GB"/>
        </w:rPr>
        <w:t xml:space="preserve"> the study </w:t>
      </w:r>
      <w:r w:rsidR="00264F3A" w:rsidRPr="00053853">
        <w:rPr>
          <w:lang w:val="en-GB"/>
        </w:rPr>
        <w:t xml:space="preserve">noted </w:t>
      </w:r>
      <w:r w:rsidR="003539CF" w:rsidRPr="00053853">
        <w:rPr>
          <w:lang w:val="en-GB"/>
        </w:rPr>
        <w:t xml:space="preserve">that </w:t>
      </w:r>
      <w:r w:rsidR="00842EC2" w:rsidRPr="00053853">
        <w:rPr>
          <w:lang w:val="en-GB"/>
        </w:rPr>
        <w:t>the differences in depression and anxiety between the people with and without hearing loss were not substantive.</w:t>
      </w:r>
      <w:r w:rsidR="00F6657B" w:rsidRPr="00053853">
        <w:rPr>
          <w:lang w:val="en-GB"/>
        </w:rPr>
        <w:t xml:space="preserve"> The company </w:t>
      </w:r>
      <w:r w:rsidR="00421F0C" w:rsidRPr="00053853">
        <w:rPr>
          <w:lang w:val="en-GB"/>
        </w:rPr>
        <w:t>maintained</w:t>
      </w:r>
      <w:r w:rsidR="00792A55" w:rsidRPr="00053853">
        <w:rPr>
          <w:lang w:val="en-GB"/>
        </w:rPr>
        <w:t xml:space="preserve"> that </w:t>
      </w:r>
      <w:r w:rsidR="00421F0C" w:rsidRPr="00053853">
        <w:rPr>
          <w:lang w:val="en-GB"/>
        </w:rPr>
        <w:t>the costs associated with depression should be retained, and that this assumption was supported by patient impact statements</w:t>
      </w:r>
      <w:r w:rsidR="005D0AF0" w:rsidRPr="00053853">
        <w:rPr>
          <w:lang w:val="en-GB"/>
        </w:rPr>
        <w:t xml:space="preserve"> that said that hearing loss was associated with depression</w:t>
      </w:r>
      <w:r w:rsidR="001B3B8E" w:rsidRPr="00053853">
        <w:rPr>
          <w:lang w:val="en-GB"/>
        </w:rPr>
        <w:t xml:space="preserve"> and anxiety</w:t>
      </w:r>
      <w:r w:rsidR="005D0AF0" w:rsidRPr="00053853">
        <w:rPr>
          <w:lang w:val="en-GB"/>
        </w:rPr>
        <w:t xml:space="preserve">. </w:t>
      </w:r>
      <w:r w:rsidR="00965DA7" w:rsidRPr="00053853">
        <w:rPr>
          <w:lang w:val="en-GB"/>
        </w:rPr>
        <w:t>The committee recalled</w:t>
      </w:r>
      <w:r w:rsidR="00FD12FA" w:rsidRPr="00053853">
        <w:rPr>
          <w:lang w:val="en-GB"/>
        </w:rPr>
        <w:t xml:space="preserve"> the patient expert’s explanation of how hearing loss in childhood </w:t>
      </w:r>
      <w:r w:rsidR="0084514B" w:rsidRPr="00053853">
        <w:rPr>
          <w:lang w:val="en-GB"/>
        </w:rPr>
        <w:t>increased the risk of emotional difficulties</w:t>
      </w:r>
      <w:r w:rsidR="00F175EE" w:rsidRPr="00053853">
        <w:rPr>
          <w:lang w:val="en-GB"/>
        </w:rPr>
        <w:t xml:space="preserve">. It </w:t>
      </w:r>
      <w:r w:rsidR="0084514B" w:rsidRPr="00053853">
        <w:rPr>
          <w:lang w:val="en-GB"/>
        </w:rPr>
        <w:t xml:space="preserve">concluded that it was reasonable to consider the costs </w:t>
      </w:r>
      <w:r w:rsidR="00A66E8C">
        <w:rPr>
          <w:lang w:val="en-GB"/>
        </w:rPr>
        <w:t>for</w:t>
      </w:r>
      <w:r w:rsidR="0084514B" w:rsidRPr="00053853">
        <w:rPr>
          <w:lang w:val="en-GB"/>
        </w:rPr>
        <w:t xml:space="preserve"> depression and anxiety</w:t>
      </w:r>
      <w:r w:rsidR="004130B9" w:rsidRPr="00053853">
        <w:rPr>
          <w:lang w:val="en-GB"/>
        </w:rPr>
        <w:t xml:space="preserve"> </w:t>
      </w:r>
      <w:r w:rsidR="00A66E8C">
        <w:rPr>
          <w:lang w:val="en-GB"/>
        </w:rPr>
        <w:t>associated with</w:t>
      </w:r>
      <w:r w:rsidR="004130B9" w:rsidRPr="00053853">
        <w:rPr>
          <w:lang w:val="en-GB"/>
        </w:rPr>
        <w:t xml:space="preserve"> hearing loss</w:t>
      </w:r>
      <w:r w:rsidR="00487422" w:rsidRPr="00053853">
        <w:rPr>
          <w:lang w:val="en-GB"/>
        </w:rPr>
        <w:t xml:space="preserve"> in the model</w:t>
      </w:r>
      <w:r w:rsidR="0084514B" w:rsidRPr="00053853">
        <w:rPr>
          <w:lang w:val="en-GB"/>
        </w:rPr>
        <w:t>.</w:t>
      </w:r>
    </w:p>
    <w:p w14:paraId="4032AF1D" w14:textId="082F854C" w:rsidR="000A4526" w:rsidRPr="00053853" w:rsidRDefault="00680069" w:rsidP="002350C3">
      <w:pPr>
        <w:pStyle w:val="Heading2"/>
      </w:pPr>
      <w:bookmarkStart w:id="15" w:name="_Other_differences_between"/>
      <w:bookmarkEnd w:id="15"/>
      <w:r w:rsidRPr="00053853">
        <w:lastRenderedPageBreak/>
        <w:t>Other differences between the company</w:t>
      </w:r>
      <w:r w:rsidR="0047133E" w:rsidRPr="00053853">
        <w:t xml:space="preserve"> </w:t>
      </w:r>
      <w:r w:rsidRPr="00053853">
        <w:t>and EAG</w:t>
      </w:r>
      <w:r w:rsidR="0047133E" w:rsidRPr="00053853">
        <w:t xml:space="preserve"> models</w:t>
      </w:r>
    </w:p>
    <w:p w14:paraId="652127B5" w14:textId="401AB734" w:rsidR="000A4526" w:rsidRPr="00053853" w:rsidRDefault="00DA1170" w:rsidP="00847F5B">
      <w:pPr>
        <w:pStyle w:val="Numberedlevel2text"/>
        <w:rPr>
          <w:lang w:val="en-GB"/>
        </w:rPr>
      </w:pPr>
      <w:r w:rsidRPr="00053853">
        <w:rPr>
          <w:lang w:val="en-GB"/>
        </w:rPr>
        <w:t>The company and EAG differ</w:t>
      </w:r>
      <w:r w:rsidR="000A4526" w:rsidRPr="00053853">
        <w:rPr>
          <w:lang w:val="en-GB"/>
        </w:rPr>
        <w:t>ed</w:t>
      </w:r>
      <w:r w:rsidRPr="00053853">
        <w:rPr>
          <w:lang w:val="en-GB"/>
        </w:rPr>
        <w:t xml:space="preserve"> on other assumptions in the model</w:t>
      </w:r>
      <w:r w:rsidR="000A4526" w:rsidRPr="00053853">
        <w:rPr>
          <w:lang w:val="en-GB"/>
        </w:rPr>
        <w:t>:</w:t>
      </w:r>
    </w:p>
    <w:p w14:paraId="093FB527" w14:textId="1880CB7B" w:rsidR="00077FDB" w:rsidRPr="00053853" w:rsidRDefault="002A42E0" w:rsidP="00C047D8">
      <w:pPr>
        <w:pStyle w:val="Bulletindent1"/>
      </w:pPr>
      <w:r w:rsidRPr="00053853">
        <w:t xml:space="preserve">The company based the </w:t>
      </w:r>
      <w:r w:rsidR="00077FDB" w:rsidRPr="00053853">
        <w:t xml:space="preserve">frequency of </w:t>
      </w:r>
      <w:r w:rsidR="00680069" w:rsidRPr="00053853">
        <w:t xml:space="preserve">hearing assessments </w:t>
      </w:r>
      <w:r w:rsidR="000B6CF8" w:rsidRPr="00053853">
        <w:t>on Dionne et al. (2012) and assumptions informed by audiologists</w:t>
      </w:r>
      <w:r w:rsidR="009467D5" w:rsidRPr="00053853">
        <w:t>.</w:t>
      </w:r>
      <w:r w:rsidR="000B6CF8" w:rsidRPr="00053853">
        <w:t xml:space="preserve"> </w:t>
      </w:r>
      <w:r w:rsidR="009467D5" w:rsidRPr="00053853">
        <w:t>T</w:t>
      </w:r>
      <w:r w:rsidRPr="00053853">
        <w:t xml:space="preserve">he EAG </w:t>
      </w:r>
      <w:r w:rsidR="000D1B4E" w:rsidRPr="00053853">
        <w:t xml:space="preserve">thought </w:t>
      </w:r>
      <w:r w:rsidRPr="00053853">
        <w:t>it</w:t>
      </w:r>
      <w:r w:rsidR="0019216E" w:rsidRPr="00053853">
        <w:t xml:space="preserve"> more appropriate to</w:t>
      </w:r>
      <w:r w:rsidRPr="00053853">
        <w:t xml:space="preserve"> </w:t>
      </w:r>
      <w:r w:rsidR="001256F9" w:rsidRPr="00053853">
        <w:t xml:space="preserve">use all frequencies from Dionne et al. </w:t>
      </w:r>
      <w:r w:rsidR="00953C0B" w:rsidRPr="00053853">
        <w:t xml:space="preserve">if </w:t>
      </w:r>
      <w:r w:rsidR="001256F9" w:rsidRPr="00053853">
        <w:t>available</w:t>
      </w:r>
      <w:r w:rsidR="0019216E" w:rsidRPr="00053853">
        <w:t>.</w:t>
      </w:r>
    </w:p>
    <w:p w14:paraId="5A9F47CC" w14:textId="6DFBFC71" w:rsidR="00C047D8" w:rsidRPr="00053853" w:rsidRDefault="0019216E" w:rsidP="00C047D8">
      <w:pPr>
        <w:pStyle w:val="Bulletindent1"/>
      </w:pPr>
      <w:r w:rsidRPr="00053853">
        <w:t xml:space="preserve">The company assumed </w:t>
      </w:r>
      <w:r w:rsidR="001256F9" w:rsidRPr="00053853">
        <w:t xml:space="preserve">no </w:t>
      </w:r>
      <w:r w:rsidR="00680069" w:rsidRPr="00053853">
        <w:t>speech</w:t>
      </w:r>
      <w:r w:rsidR="00F711FA" w:rsidRPr="00053853">
        <w:t xml:space="preserve"> and</w:t>
      </w:r>
      <w:r w:rsidR="00680069" w:rsidRPr="00053853">
        <w:t xml:space="preserve"> </w:t>
      </w:r>
      <w:r w:rsidR="000A4526" w:rsidRPr="00053853">
        <w:t>language</w:t>
      </w:r>
      <w:r w:rsidR="00680069" w:rsidRPr="00053853">
        <w:t xml:space="preserve"> therap</w:t>
      </w:r>
      <w:r w:rsidR="00F711FA" w:rsidRPr="00053853">
        <w:t>y for people with mild and moderate hearing loss</w:t>
      </w:r>
      <w:r w:rsidR="00BA723E" w:rsidRPr="00053853">
        <w:t xml:space="preserve">, </w:t>
      </w:r>
      <w:r w:rsidRPr="00053853">
        <w:t xml:space="preserve">and a </w:t>
      </w:r>
      <w:r w:rsidR="00BA723E" w:rsidRPr="00053853">
        <w:t>weekly session until age</w:t>
      </w:r>
      <w:r w:rsidR="005720AE">
        <w:t> </w:t>
      </w:r>
      <w:r w:rsidR="00BA723E" w:rsidRPr="00053853">
        <w:t>18 for people with marked and severe hearing loss</w:t>
      </w:r>
      <w:r w:rsidR="009467D5" w:rsidRPr="00053853">
        <w:t>. T</w:t>
      </w:r>
      <w:r w:rsidR="00167459" w:rsidRPr="00053853">
        <w:t xml:space="preserve">he EAG </w:t>
      </w:r>
      <w:r w:rsidR="00385DBE" w:rsidRPr="00053853">
        <w:t xml:space="preserve">thought </w:t>
      </w:r>
      <w:r w:rsidR="000901F3" w:rsidRPr="00053853">
        <w:t xml:space="preserve">this </w:t>
      </w:r>
      <w:r w:rsidR="000F5635" w:rsidRPr="00053853">
        <w:t xml:space="preserve">could </w:t>
      </w:r>
      <w:r w:rsidR="000901F3" w:rsidRPr="00053853">
        <w:t xml:space="preserve">overestimate the frequency of therapy </w:t>
      </w:r>
      <w:r w:rsidR="00631897" w:rsidRPr="00053853">
        <w:t xml:space="preserve">sessions in the marked and severe hearing loss state, and </w:t>
      </w:r>
      <w:r w:rsidR="00167459" w:rsidRPr="00053853">
        <w:t xml:space="preserve">preferred </w:t>
      </w:r>
      <w:r w:rsidR="003763BD" w:rsidRPr="00053853">
        <w:t>alternative frequencies of language therapy informed by the company’s audiologists’ report</w:t>
      </w:r>
      <w:r w:rsidR="00631897" w:rsidRPr="00053853">
        <w:t>.</w:t>
      </w:r>
    </w:p>
    <w:p w14:paraId="6E8DDCEE" w14:textId="690EDE0B" w:rsidR="00680069" w:rsidRPr="00053853" w:rsidRDefault="00631897" w:rsidP="00C047D8">
      <w:pPr>
        <w:pStyle w:val="Bulletindent1"/>
      </w:pPr>
      <w:r w:rsidRPr="00053853">
        <w:t xml:space="preserve">The company assumed </w:t>
      </w:r>
      <w:r w:rsidR="00B94974" w:rsidRPr="00053853">
        <w:t>frequency modulation (</w:t>
      </w:r>
      <w:r w:rsidR="00BF5619" w:rsidRPr="00053853">
        <w:t>FM</w:t>
      </w:r>
      <w:r w:rsidR="00B94974" w:rsidRPr="00053853">
        <w:t>)</w:t>
      </w:r>
      <w:r w:rsidR="00BF5619" w:rsidRPr="00053853">
        <w:t xml:space="preserve"> system costs applied </w:t>
      </w:r>
      <w:r w:rsidR="004A6739" w:rsidRPr="00053853">
        <w:t>for everyone in the model</w:t>
      </w:r>
      <w:r w:rsidR="00B81AF1">
        <w:t xml:space="preserve"> for everyone in the model while they were under 18</w:t>
      </w:r>
      <w:r w:rsidR="009467D5" w:rsidRPr="00053853">
        <w:t>. T</w:t>
      </w:r>
      <w:r w:rsidRPr="00053853">
        <w:t>he EAG</w:t>
      </w:r>
      <w:r w:rsidR="009D68B4" w:rsidRPr="00053853">
        <w:t xml:space="preserve"> </w:t>
      </w:r>
      <w:r w:rsidR="00385DBE" w:rsidRPr="00053853">
        <w:t xml:space="preserve">thought </w:t>
      </w:r>
      <w:r w:rsidR="009D68B4" w:rsidRPr="00053853">
        <w:t xml:space="preserve">that this </w:t>
      </w:r>
      <w:r w:rsidR="004869E1" w:rsidRPr="00053853">
        <w:t xml:space="preserve">could </w:t>
      </w:r>
      <w:r w:rsidR="009D68B4" w:rsidRPr="00053853">
        <w:t xml:space="preserve">overestimate </w:t>
      </w:r>
      <w:r w:rsidR="00763F64">
        <w:t xml:space="preserve">the </w:t>
      </w:r>
      <w:r w:rsidR="009D68B4" w:rsidRPr="00053853">
        <w:t>costs of these systems,</w:t>
      </w:r>
      <w:r w:rsidR="00AE1095" w:rsidRPr="00053853">
        <w:t xml:space="preserve"> noting that Dionne et</w:t>
      </w:r>
      <w:r w:rsidR="00007135" w:rsidRPr="00053853">
        <w:t xml:space="preserve"> </w:t>
      </w:r>
      <w:r w:rsidR="00AE1095" w:rsidRPr="00053853">
        <w:t>al</w:t>
      </w:r>
      <w:r w:rsidR="00007135" w:rsidRPr="00053853">
        <w:t>. included these costs only for people with grade</w:t>
      </w:r>
      <w:r w:rsidR="005A0E22">
        <w:t> </w:t>
      </w:r>
      <w:r w:rsidR="00007135" w:rsidRPr="00053853">
        <w:t xml:space="preserve">2 or </w:t>
      </w:r>
      <w:r w:rsidR="000D4747" w:rsidRPr="00053853">
        <w:t xml:space="preserve">above </w:t>
      </w:r>
      <w:r w:rsidR="00007135" w:rsidRPr="00053853">
        <w:t>hearing loss. It</w:t>
      </w:r>
      <w:r w:rsidRPr="00053853">
        <w:t xml:space="preserve"> preferred to apply </w:t>
      </w:r>
      <w:r w:rsidR="004A6739" w:rsidRPr="00053853">
        <w:t xml:space="preserve">FM system costs </w:t>
      </w:r>
      <w:r w:rsidR="00F94F2A" w:rsidRPr="00053853">
        <w:t xml:space="preserve">only if </w:t>
      </w:r>
      <w:r w:rsidR="00BF5619" w:rsidRPr="00053853">
        <w:t xml:space="preserve">people </w:t>
      </w:r>
      <w:r w:rsidR="00F94F2A" w:rsidRPr="00053853">
        <w:t xml:space="preserve">have </w:t>
      </w:r>
      <w:r w:rsidR="00BF5619" w:rsidRPr="00053853">
        <w:t>hearing aids</w:t>
      </w:r>
      <w:r w:rsidR="00F94F2A" w:rsidRPr="00053853">
        <w:t xml:space="preserve"> or </w:t>
      </w:r>
      <w:r w:rsidR="0036131E" w:rsidRPr="00053853">
        <w:t>cochlear implants</w:t>
      </w:r>
      <w:r w:rsidR="00AE1095" w:rsidRPr="00053853">
        <w:t>.</w:t>
      </w:r>
    </w:p>
    <w:p w14:paraId="234A1948" w14:textId="4BE28D14" w:rsidR="00B55517" w:rsidRPr="00053853" w:rsidRDefault="009467D5">
      <w:pPr>
        <w:pStyle w:val="Bulletindent1last"/>
      </w:pPr>
      <w:r w:rsidRPr="00053853">
        <w:t xml:space="preserve">The company included the impact of </w:t>
      </w:r>
      <w:r w:rsidR="0087205F" w:rsidRPr="00053853">
        <w:t xml:space="preserve">treatment-related adverse events </w:t>
      </w:r>
      <w:r w:rsidR="00384D54" w:rsidRPr="00053853">
        <w:t xml:space="preserve">reported in 2% or more of </w:t>
      </w:r>
      <w:r w:rsidR="00E73458" w:rsidRPr="00053853">
        <w:t xml:space="preserve">people </w:t>
      </w:r>
      <w:r w:rsidR="00384D54" w:rsidRPr="00053853">
        <w:t xml:space="preserve">in either arm of the </w:t>
      </w:r>
      <w:r w:rsidR="00657826" w:rsidRPr="00053853">
        <w:t>COG ACCL0431 full safety population</w:t>
      </w:r>
      <w:r w:rsidR="00384D54" w:rsidRPr="00053853">
        <w:t xml:space="preserve"> (</w:t>
      </w:r>
      <w:r w:rsidR="00657826" w:rsidRPr="00053853">
        <w:t>observed frequency was less than 2%</w:t>
      </w:r>
      <w:r w:rsidR="00580F45" w:rsidRPr="00053853">
        <w:t>,</w:t>
      </w:r>
      <w:r w:rsidR="00657826" w:rsidRPr="00053853">
        <w:t xml:space="preserve"> so </w:t>
      </w:r>
      <w:r w:rsidR="00536B4D" w:rsidRPr="00053853">
        <w:t xml:space="preserve">the model does not include any </w:t>
      </w:r>
      <w:r w:rsidR="00657826" w:rsidRPr="00053853">
        <w:t>impact of adverse events</w:t>
      </w:r>
      <w:r w:rsidR="00384D54" w:rsidRPr="00053853">
        <w:t>)</w:t>
      </w:r>
      <w:r w:rsidRPr="00053853">
        <w:t xml:space="preserve">. The EAG </w:t>
      </w:r>
      <w:r w:rsidR="00385DBE" w:rsidRPr="00053853">
        <w:t xml:space="preserve">thought </w:t>
      </w:r>
      <w:r w:rsidRPr="00053853">
        <w:t>th</w:t>
      </w:r>
      <w:r w:rsidR="00923146" w:rsidRPr="00053853">
        <w:t xml:space="preserve">at this </w:t>
      </w:r>
      <w:r w:rsidR="00580F45" w:rsidRPr="00053853">
        <w:t xml:space="preserve">could </w:t>
      </w:r>
      <w:r w:rsidR="00923146" w:rsidRPr="00053853">
        <w:t>underestimate the negative impact of treatment-related adverse events on quality of life and costs</w:t>
      </w:r>
      <w:r w:rsidR="00514BEC" w:rsidRPr="00053853">
        <w:t>. It preferred to include</w:t>
      </w:r>
      <w:r w:rsidR="00384D54" w:rsidRPr="00053853">
        <w:t xml:space="preserve"> </w:t>
      </w:r>
      <w:r w:rsidR="00536B4D" w:rsidRPr="00053853">
        <w:t>g</w:t>
      </w:r>
      <w:r w:rsidR="00BF5619" w:rsidRPr="00053853">
        <w:t>rade</w:t>
      </w:r>
      <w:r w:rsidR="005A0E22">
        <w:t> </w:t>
      </w:r>
      <w:r w:rsidR="00BF5619" w:rsidRPr="00053853">
        <w:t>3</w:t>
      </w:r>
      <w:r w:rsidR="00536B4D" w:rsidRPr="00053853">
        <w:t xml:space="preserve"> and </w:t>
      </w:r>
      <w:r w:rsidR="008C22E6" w:rsidRPr="00053853">
        <w:t xml:space="preserve">above </w:t>
      </w:r>
      <w:r w:rsidR="00536B4D" w:rsidRPr="00053853">
        <w:t xml:space="preserve">adverse events in </w:t>
      </w:r>
      <w:r w:rsidR="00BF5619" w:rsidRPr="00053853">
        <w:t>10%</w:t>
      </w:r>
      <w:r w:rsidR="00536B4D" w:rsidRPr="00053853">
        <w:t xml:space="preserve"> or more</w:t>
      </w:r>
      <w:r w:rsidR="00BF5619" w:rsidRPr="00053853">
        <w:t xml:space="preserve"> of </w:t>
      </w:r>
      <w:r w:rsidR="00501D63" w:rsidRPr="00053853">
        <w:t xml:space="preserve">people </w:t>
      </w:r>
      <w:r w:rsidR="00514BEC" w:rsidRPr="00053853">
        <w:t>to better capture the</w:t>
      </w:r>
      <w:r w:rsidR="009F032A" w:rsidRPr="00053853">
        <w:t>ir</w:t>
      </w:r>
      <w:r w:rsidR="00514BEC" w:rsidRPr="00053853">
        <w:t xml:space="preserve"> impact on </w:t>
      </w:r>
      <w:r w:rsidR="009F032A" w:rsidRPr="00053853">
        <w:t>quality of life</w:t>
      </w:r>
      <w:r w:rsidR="00514BEC" w:rsidRPr="00053853">
        <w:t xml:space="preserve"> and costs</w:t>
      </w:r>
      <w:r w:rsidR="009F032A" w:rsidRPr="00053853">
        <w:t>.</w:t>
      </w:r>
    </w:p>
    <w:p w14:paraId="4C829C3B" w14:textId="55F58BEF" w:rsidR="00302629" w:rsidRPr="00053853" w:rsidRDefault="00302629" w:rsidP="000A65A9">
      <w:pPr>
        <w:pStyle w:val="NICEnormalindented"/>
      </w:pPr>
      <w:r w:rsidRPr="00053853">
        <w:t xml:space="preserve">The committee </w:t>
      </w:r>
      <w:r w:rsidR="00FE67A2" w:rsidRPr="00053853">
        <w:t xml:space="preserve">concluded </w:t>
      </w:r>
      <w:r w:rsidR="008659A3" w:rsidRPr="00053853">
        <w:t>that the EAG’s approach</w:t>
      </w:r>
      <w:r w:rsidR="00A35984" w:rsidRPr="00053853">
        <w:t xml:space="preserve"> </w:t>
      </w:r>
      <w:r w:rsidR="008659A3" w:rsidRPr="00053853">
        <w:t xml:space="preserve">was </w:t>
      </w:r>
      <w:r w:rsidR="00A35984" w:rsidRPr="00053853">
        <w:t xml:space="preserve">more </w:t>
      </w:r>
      <w:r w:rsidR="00FE67A2" w:rsidRPr="00053853">
        <w:t>clinically appropriate for decision making</w:t>
      </w:r>
      <w:r w:rsidR="008659A3" w:rsidRPr="00053853">
        <w:t>.</w:t>
      </w:r>
    </w:p>
    <w:p w14:paraId="4040FC47" w14:textId="77777777" w:rsidR="003F6548" w:rsidRPr="00053853" w:rsidRDefault="003F6548" w:rsidP="00F95A2F">
      <w:pPr>
        <w:pStyle w:val="Heading2"/>
      </w:pPr>
      <w:r w:rsidRPr="00053853">
        <w:lastRenderedPageBreak/>
        <w:t>Uncertainties and preferred assumptions</w:t>
      </w:r>
    </w:p>
    <w:p w14:paraId="359DEE6A" w14:textId="27FA4411" w:rsidR="00313987" w:rsidRPr="00053853" w:rsidRDefault="00164FEE" w:rsidP="00164FEE">
      <w:pPr>
        <w:pStyle w:val="Numberedlevel2text"/>
        <w:rPr>
          <w:lang w:val="en-GB"/>
        </w:rPr>
      </w:pPr>
      <w:bookmarkStart w:id="16" w:name="_Ref148951056"/>
      <w:r w:rsidRPr="00053853">
        <w:rPr>
          <w:lang w:val="en-GB"/>
        </w:rPr>
        <w:t>The committee</w:t>
      </w:r>
      <w:r w:rsidR="00313987" w:rsidRPr="00053853">
        <w:rPr>
          <w:lang w:val="en-GB"/>
        </w:rPr>
        <w:t xml:space="preserve"> noted the uncertainty in the evidence and modelling, specifically</w:t>
      </w:r>
      <w:r w:rsidR="009F032A" w:rsidRPr="00053853">
        <w:rPr>
          <w:lang w:val="en-GB"/>
        </w:rPr>
        <w:t xml:space="preserve"> </w:t>
      </w:r>
      <w:r w:rsidR="00826748" w:rsidRPr="00053853">
        <w:rPr>
          <w:lang w:val="en-GB"/>
        </w:rPr>
        <w:t>around</w:t>
      </w:r>
      <w:r w:rsidR="00313987" w:rsidRPr="00053853">
        <w:rPr>
          <w:lang w:val="en-GB"/>
        </w:rPr>
        <w:t>:</w:t>
      </w:r>
    </w:p>
    <w:p w14:paraId="79F6A684" w14:textId="5F7D7252" w:rsidR="00D40064" w:rsidRPr="00053853" w:rsidRDefault="00081445" w:rsidP="00330CA6">
      <w:pPr>
        <w:pStyle w:val="Bulletindent1"/>
      </w:pPr>
      <w:r w:rsidRPr="00053853">
        <w:t>the evidence relating to</w:t>
      </w:r>
      <w:r w:rsidR="0066724B">
        <w:t xml:space="preserve"> the treatment effect of</w:t>
      </w:r>
      <w:r w:rsidRPr="00053853">
        <w:t xml:space="preserve"> </w:t>
      </w:r>
      <w:r w:rsidR="009C6629" w:rsidRPr="00053853">
        <w:t>anhydrous sodium thiosulfate</w:t>
      </w:r>
      <w:r w:rsidR="004836DF" w:rsidRPr="00053853">
        <w:t xml:space="preserve"> </w:t>
      </w:r>
      <w:r w:rsidR="0066724B">
        <w:t>after</w:t>
      </w:r>
      <w:r w:rsidR="0066724B" w:rsidRPr="00053853">
        <w:t xml:space="preserve"> </w:t>
      </w:r>
      <w:r w:rsidR="004836DF" w:rsidRPr="00053853">
        <w:t>cisplatin</w:t>
      </w:r>
      <w:r w:rsidR="009C6629" w:rsidRPr="00053853">
        <w:t xml:space="preserve"> on overall survival in </w:t>
      </w:r>
      <w:r w:rsidR="003512DC" w:rsidRPr="00053853">
        <w:t>its</w:t>
      </w:r>
      <w:r w:rsidR="00D40064" w:rsidRPr="00053853">
        <w:t xml:space="preserve"> licensed indication (see </w:t>
      </w:r>
      <w:hyperlink w:anchor="_Clinical_trial_results:_1" w:history="1">
        <w:r w:rsidR="00D40064" w:rsidRPr="00053853">
          <w:rPr>
            <w:rStyle w:val="Hyperlink"/>
          </w:rPr>
          <w:t>section</w:t>
        </w:r>
        <w:r w:rsidR="006125B9">
          <w:rPr>
            <w:rStyle w:val="Hyperlink"/>
          </w:rPr>
          <w:t> </w:t>
        </w:r>
        <w:r w:rsidR="007F71DE" w:rsidRPr="00053853">
          <w:rPr>
            <w:rStyle w:val="Hyperlink"/>
          </w:rPr>
          <w:t>3.</w:t>
        </w:r>
        <w:r w:rsidR="005D6EF6">
          <w:rPr>
            <w:rStyle w:val="Hyperlink"/>
          </w:rPr>
          <w:t>7</w:t>
        </w:r>
      </w:hyperlink>
      <w:r w:rsidR="00D40064" w:rsidRPr="00053853">
        <w:t>)</w:t>
      </w:r>
    </w:p>
    <w:p w14:paraId="457AA195" w14:textId="6A978FF3" w:rsidR="008312E1" w:rsidRPr="00053853" w:rsidRDefault="005878D4">
      <w:pPr>
        <w:pStyle w:val="Bulletindent1"/>
      </w:pPr>
      <w:r w:rsidRPr="00053853">
        <w:t xml:space="preserve">the applicability of </w:t>
      </w:r>
      <w:r w:rsidR="008312E1" w:rsidRPr="00053853">
        <w:t>timing and administration</w:t>
      </w:r>
      <w:r w:rsidR="003512DC" w:rsidRPr="00053853">
        <w:t xml:space="preserve"> </w:t>
      </w:r>
      <w:r w:rsidR="00C611ED" w:rsidRPr="00053853">
        <w:t xml:space="preserve">of </w:t>
      </w:r>
      <w:r w:rsidR="003512DC" w:rsidRPr="00053853">
        <w:t>anhydrous sodium thiosulfate after cisplatin</w:t>
      </w:r>
      <w:r w:rsidR="008312E1" w:rsidRPr="00053853">
        <w:t xml:space="preserve"> in the trials (see </w:t>
      </w:r>
      <w:hyperlink w:anchor="_Timing_and_administration" w:history="1">
        <w:r w:rsidR="008312E1" w:rsidRPr="00053853">
          <w:rPr>
            <w:rStyle w:val="Hyperlink"/>
          </w:rPr>
          <w:t>section</w:t>
        </w:r>
        <w:r w:rsidR="0066724B">
          <w:rPr>
            <w:rStyle w:val="Hyperlink"/>
          </w:rPr>
          <w:t> </w:t>
        </w:r>
        <w:r w:rsidR="008312E1" w:rsidRPr="00053853">
          <w:rPr>
            <w:rStyle w:val="Hyperlink"/>
          </w:rPr>
          <w:t>3.</w:t>
        </w:r>
        <w:r w:rsidR="00D316FF" w:rsidRPr="00053853">
          <w:rPr>
            <w:rStyle w:val="Hyperlink"/>
          </w:rPr>
          <w:t>9</w:t>
        </w:r>
      </w:hyperlink>
      <w:r w:rsidR="008312E1" w:rsidRPr="00053853">
        <w:t>)</w:t>
      </w:r>
    </w:p>
    <w:p w14:paraId="1ABC0D2B" w14:textId="7FB97E07" w:rsidR="009B5607" w:rsidRPr="00053853" w:rsidRDefault="004B3773" w:rsidP="004B3773">
      <w:pPr>
        <w:pStyle w:val="Bulletindent1last"/>
      </w:pPr>
      <w:r w:rsidRPr="00053853">
        <w:t>u</w:t>
      </w:r>
      <w:r w:rsidR="008429A1" w:rsidRPr="00053853">
        <w:t>sing the whole</w:t>
      </w:r>
      <w:r w:rsidR="00B55517" w:rsidRPr="00053853">
        <w:t>-</w:t>
      </w:r>
      <w:r w:rsidR="008429A1" w:rsidRPr="00053853">
        <w:t>trial population of COG</w:t>
      </w:r>
      <w:r w:rsidR="00B55517" w:rsidRPr="00053853">
        <w:t> </w:t>
      </w:r>
      <w:r w:rsidR="00D103A7" w:rsidRPr="00053853">
        <w:t>ACCOL 0</w:t>
      </w:r>
      <w:r w:rsidR="008429A1" w:rsidRPr="00053853">
        <w:t>431 to inform decision making and the model</w:t>
      </w:r>
      <w:r w:rsidR="0066724B">
        <w:t>;</w:t>
      </w:r>
      <w:r w:rsidR="00BE6200" w:rsidRPr="00053853">
        <w:t xml:space="preserve"> </w:t>
      </w:r>
      <w:r w:rsidR="00C00244" w:rsidRPr="00053853">
        <w:t>efficacy data used in the model was not in line with the licensed population and came from different sources</w:t>
      </w:r>
      <w:r w:rsidR="00121D0E" w:rsidRPr="00053853">
        <w:t xml:space="preserve"> that </w:t>
      </w:r>
      <w:r w:rsidR="00C00244" w:rsidRPr="00053853">
        <w:t>used different grading scales</w:t>
      </w:r>
      <w:r w:rsidR="00197B54" w:rsidRPr="00053853">
        <w:t xml:space="preserve"> </w:t>
      </w:r>
      <w:r w:rsidR="00BE6200" w:rsidRPr="00053853">
        <w:t xml:space="preserve">and </w:t>
      </w:r>
      <w:r w:rsidR="00C00244" w:rsidRPr="00053853">
        <w:t xml:space="preserve">had not been adjusted for (see </w:t>
      </w:r>
      <w:hyperlink w:anchor="_Population" w:history="1">
        <w:r w:rsidR="00C00244" w:rsidRPr="00053853">
          <w:rPr>
            <w:rStyle w:val="Hyperlink"/>
          </w:rPr>
          <w:t>section</w:t>
        </w:r>
        <w:r w:rsidR="00B26A39" w:rsidRPr="00053853">
          <w:rPr>
            <w:rStyle w:val="Hyperlink"/>
          </w:rPr>
          <w:t>s</w:t>
        </w:r>
        <w:r w:rsidR="0066724B">
          <w:rPr>
            <w:rStyle w:val="Hyperlink"/>
          </w:rPr>
          <w:t> </w:t>
        </w:r>
        <w:r w:rsidR="00CA7B34" w:rsidRPr="00053853">
          <w:rPr>
            <w:rStyle w:val="Hyperlink"/>
          </w:rPr>
          <w:t>3.</w:t>
        </w:r>
        <w:r w:rsidR="00D316FF" w:rsidRPr="00053853">
          <w:rPr>
            <w:rStyle w:val="Hyperlink"/>
          </w:rPr>
          <w:t>8</w:t>
        </w:r>
      </w:hyperlink>
      <w:r w:rsidR="00CA7B34" w:rsidRPr="00053853">
        <w:t xml:space="preserve"> and </w:t>
      </w:r>
      <w:hyperlink w:anchor="_Population_appropriate_for" w:history="1">
        <w:r w:rsidR="00C00244" w:rsidRPr="00053853">
          <w:rPr>
            <w:rStyle w:val="Hyperlink"/>
          </w:rPr>
          <w:t>3.1</w:t>
        </w:r>
        <w:r w:rsidR="00D316FF" w:rsidRPr="00053853">
          <w:rPr>
            <w:rStyle w:val="Hyperlink"/>
          </w:rPr>
          <w:t>0</w:t>
        </w:r>
      </w:hyperlink>
      <w:r w:rsidR="00C00244" w:rsidRPr="00053853">
        <w:t>)</w:t>
      </w:r>
      <w:r w:rsidRPr="00053853">
        <w:t>.</w:t>
      </w:r>
    </w:p>
    <w:p w14:paraId="4DD08F8C" w14:textId="087E1F13" w:rsidR="000675A9" w:rsidRPr="00053853" w:rsidRDefault="000675A9" w:rsidP="000675A9">
      <w:pPr>
        <w:pStyle w:val="Numberedlevel2text"/>
        <w:numPr>
          <w:ilvl w:val="0"/>
          <w:numId w:val="0"/>
        </w:numPr>
        <w:ind w:left="1134"/>
        <w:rPr>
          <w:lang w:val="en-GB"/>
        </w:rPr>
      </w:pPr>
      <w:r w:rsidRPr="00053853">
        <w:rPr>
          <w:lang w:val="en-GB"/>
        </w:rPr>
        <w:t xml:space="preserve">Noting the uncertainties, the committee’s preferred model assumptions were: </w:t>
      </w:r>
    </w:p>
    <w:p w14:paraId="7B2FE705" w14:textId="0A24CA95" w:rsidR="00164FEE" w:rsidRPr="00053853" w:rsidRDefault="00164FEE" w:rsidP="00164FEE">
      <w:pPr>
        <w:pStyle w:val="Bulletindent1"/>
      </w:pPr>
      <w:r w:rsidRPr="00053853">
        <w:t>efficacy data for hearing loss incidence from the COG</w:t>
      </w:r>
      <w:r w:rsidR="00B55517" w:rsidRPr="00053853">
        <w:t> </w:t>
      </w:r>
      <w:r w:rsidRPr="00053853">
        <w:t xml:space="preserve">ACCL0431 overall population (see </w:t>
      </w:r>
      <w:hyperlink w:anchor="_Sources_of_efficacy" w:history="1">
        <w:r w:rsidRPr="00053853">
          <w:rPr>
            <w:rStyle w:val="Hyperlink"/>
          </w:rPr>
          <w:t>section</w:t>
        </w:r>
        <w:r w:rsidR="0066724B">
          <w:rPr>
            <w:rStyle w:val="Hyperlink"/>
          </w:rPr>
          <w:t> </w:t>
        </w:r>
        <w:r w:rsidRPr="00053853">
          <w:rPr>
            <w:rStyle w:val="Hyperlink"/>
          </w:rPr>
          <w:t>3.1</w:t>
        </w:r>
        <w:r w:rsidR="00D316FF" w:rsidRPr="00053853">
          <w:rPr>
            <w:rStyle w:val="Hyperlink"/>
          </w:rPr>
          <w:t>2</w:t>
        </w:r>
      </w:hyperlink>
      <w:r w:rsidRPr="00053853">
        <w:t>)</w:t>
      </w:r>
    </w:p>
    <w:p w14:paraId="77BEB67B" w14:textId="407C694E" w:rsidR="00164FEE" w:rsidRPr="00053853" w:rsidRDefault="00164FEE" w:rsidP="00164FEE">
      <w:pPr>
        <w:pStyle w:val="Bulletindent1"/>
      </w:pPr>
      <w:r w:rsidRPr="00053853">
        <w:t>long-term risk of mortality after 5</w:t>
      </w:r>
      <w:r w:rsidR="00B55517" w:rsidRPr="00053853">
        <w:t> </w:t>
      </w:r>
      <w:r w:rsidRPr="00053853">
        <w:t xml:space="preserve">years in the model calculated using multiple SMR estimates by follow-up period, as reported by Fidler et al. (2016; see </w:t>
      </w:r>
      <w:hyperlink w:anchor="_Mortality_estimates" w:history="1">
        <w:r w:rsidRPr="00053853">
          <w:rPr>
            <w:rStyle w:val="Hyperlink"/>
          </w:rPr>
          <w:t>section</w:t>
        </w:r>
        <w:r w:rsidR="004D2807">
          <w:rPr>
            <w:rStyle w:val="Hyperlink"/>
          </w:rPr>
          <w:t> </w:t>
        </w:r>
        <w:r w:rsidRPr="00053853">
          <w:rPr>
            <w:rStyle w:val="Hyperlink"/>
          </w:rPr>
          <w:t>3.1</w:t>
        </w:r>
        <w:r w:rsidR="00D316FF" w:rsidRPr="00053853">
          <w:rPr>
            <w:rStyle w:val="Hyperlink"/>
          </w:rPr>
          <w:t>3</w:t>
        </w:r>
      </w:hyperlink>
      <w:r w:rsidRPr="00053853">
        <w:t>)</w:t>
      </w:r>
    </w:p>
    <w:p w14:paraId="11560481" w14:textId="7FE0B17F" w:rsidR="008C77EF" w:rsidRPr="00053853" w:rsidRDefault="00C735B5" w:rsidP="00164FEE">
      <w:pPr>
        <w:pStyle w:val="Bulletindent1"/>
      </w:pPr>
      <w:r w:rsidRPr="00053853">
        <w:t xml:space="preserve">health utility values from </w:t>
      </w:r>
      <w:r w:rsidR="00D02858" w:rsidRPr="00053853">
        <w:t xml:space="preserve">Pogany et al. </w:t>
      </w:r>
      <w:r w:rsidR="00585A2D" w:rsidRPr="00053853">
        <w:t>(</w:t>
      </w:r>
      <w:r w:rsidR="00D02858" w:rsidRPr="00053853">
        <w:t>2006</w:t>
      </w:r>
      <w:r w:rsidR="00585A2D" w:rsidRPr="00053853">
        <w:t>)</w:t>
      </w:r>
      <w:r w:rsidR="00D02858" w:rsidRPr="00053853">
        <w:t xml:space="preserve"> and Barton et al. </w:t>
      </w:r>
      <w:r w:rsidR="00585A2D" w:rsidRPr="00053853">
        <w:t>(</w:t>
      </w:r>
      <w:r w:rsidR="00BA7815" w:rsidRPr="00053853">
        <w:t>2006</w:t>
      </w:r>
      <w:r w:rsidR="00585A2D" w:rsidRPr="00053853">
        <w:t>)</w:t>
      </w:r>
      <w:r w:rsidRPr="00053853">
        <w:t xml:space="preserve"> based on HUI3 values (see </w:t>
      </w:r>
      <w:hyperlink w:anchor="_Utility_values" w:history="1">
        <w:r w:rsidRPr="00053853">
          <w:rPr>
            <w:rStyle w:val="Hyperlink"/>
          </w:rPr>
          <w:t>section</w:t>
        </w:r>
        <w:r w:rsidR="004D2807">
          <w:rPr>
            <w:rStyle w:val="Hyperlink"/>
          </w:rPr>
          <w:t> </w:t>
        </w:r>
        <w:r w:rsidR="00D316FF" w:rsidRPr="00053853">
          <w:rPr>
            <w:rStyle w:val="Hyperlink"/>
          </w:rPr>
          <w:t>3.14</w:t>
        </w:r>
      </w:hyperlink>
      <w:r w:rsidRPr="00053853">
        <w:t>)</w:t>
      </w:r>
    </w:p>
    <w:p w14:paraId="5E9B02A9" w14:textId="6A063F02" w:rsidR="00D156FB" w:rsidRPr="00053853" w:rsidRDefault="00164FEE" w:rsidP="00164FEE">
      <w:pPr>
        <w:pStyle w:val="Bulletindent1last"/>
      </w:pPr>
      <w:r w:rsidRPr="00053853">
        <w:t xml:space="preserve">including costs for treating depression and anxiety associated with hearing loss (see </w:t>
      </w:r>
      <w:hyperlink w:anchor="_Costs_associated_with" w:history="1">
        <w:r w:rsidRPr="00053853">
          <w:rPr>
            <w:rStyle w:val="Hyperlink"/>
          </w:rPr>
          <w:t>section</w:t>
        </w:r>
        <w:r w:rsidR="004D2807">
          <w:rPr>
            <w:rStyle w:val="Hyperlink"/>
          </w:rPr>
          <w:t> </w:t>
        </w:r>
        <w:r w:rsidRPr="00053853">
          <w:rPr>
            <w:rStyle w:val="Hyperlink"/>
          </w:rPr>
          <w:t>3.1</w:t>
        </w:r>
        <w:r w:rsidR="00D316FF" w:rsidRPr="00053853">
          <w:rPr>
            <w:rStyle w:val="Hyperlink"/>
          </w:rPr>
          <w:t>5</w:t>
        </w:r>
      </w:hyperlink>
      <w:r w:rsidRPr="00053853">
        <w:t>).</w:t>
      </w:r>
    </w:p>
    <w:p w14:paraId="6A6B7CB3" w14:textId="0CAC22E5" w:rsidR="00164FEE" w:rsidRPr="00053853" w:rsidRDefault="00164FEE" w:rsidP="000A65A9">
      <w:pPr>
        <w:pStyle w:val="NICEnormalindented"/>
      </w:pPr>
      <w:r w:rsidRPr="00053853">
        <w:t xml:space="preserve">The committee </w:t>
      </w:r>
      <w:r w:rsidR="00A57579" w:rsidRPr="00053853">
        <w:t>also agreed with</w:t>
      </w:r>
      <w:r w:rsidR="00082F63" w:rsidRPr="00053853">
        <w:t xml:space="preserve"> </w:t>
      </w:r>
      <w:r w:rsidR="00386AAC" w:rsidRPr="00053853">
        <w:t xml:space="preserve">the </w:t>
      </w:r>
      <w:r w:rsidRPr="00053853">
        <w:t>following assumptions in the EAG’s preferred base case</w:t>
      </w:r>
      <w:r w:rsidR="00E438A1" w:rsidRPr="00053853">
        <w:t xml:space="preserve"> (see </w:t>
      </w:r>
      <w:hyperlink w:anchor="_Other_differences_between" w:history="1">
        <w:r w:rsidR="00E438A1" w:rsidRPr="00053853">
          <w:rPr>
            <w:rStyle w:val="Hyperlink"/>
          </w:rPr>
          <w:t>section</w:t>
        </w:r>
        <w:r w:rsidR="004D2807">
          <w:rPr>
            <w:rStyle w:val="Hyperlink"/>
          </w:rPr>
          <w:t> </w:t>
        </w:r>
        <w:r w:rsidR="00D316FF" w:rsidRPr="00053853">
          <w:rPr>
            <w:rStyle w:val="Hyperlink"/>
          </w:rPr>
          <w:t>3.16</w:t>
        </w:r>
      </w:hyperlink>
      <w:r w:rsidR="00E438A1" w:rsidRPr="00053853">
        <w:t>)</w:t>
      </w:r>
      <w:r w:rsidRPr="00053853">
        <w:t>:</w:t>
      </w:r>
    </w:p>
    <w:p w14:paraId="389BCE26" w14:textId="12439A19" w:rsidR="00164FEE" w:rsidRPr="00053853" w:rsidRDefault="00164FEE" w:rsidP="00164FEE">
      <w:pPr>
        <w:pStyle w:val="Bulletindent1"/>
      </w:pPr>
      <w:r w:rsidRPr="00053853">
        <w:t>frequencies of hearing assessments reported by Dionne et al. (2012) for all age groups and hearing loss health states</w:t>
      </w:r>
    </w:p>
    <w:p w14:paraId="4C404997" w14:textId="7E48DED6" w:rsidR="00164FEE" w:rsidRPr="00053853" w:rsidRDefault="00164FEE" w:rsidP="00164FEE">
      <w:pPr>
        <w:pStyle w:val="Bulletindent1"/>
      </w:pPr>
      <w:r w:rsidRPr="00053853">
        <w:lastRenderedPageBreak/>
        <w:t>costs of FM systems only for children</w:t>
      </w:r>
      <w:r w:rsidR="00501D63" w:rsidRPr="00053853">
        <w:t xml:space="preserve"> and young people</w:t>
      </w:r>
      <w:r w:rsidRPr="00053853">
        <w:t xml:space="preserve"> with hearing aids or cochlear implants</w:t>
      </w:r>
    </w:p>
    <w:p w14:paraId="70DD82C5" w14:textId="30B13A96" w:rsidR="006A5E77" w:rsidRDefault="00164FEE" w:rsidP="008849F6">
      <w:pPr>
        <w:pStyle w:val="Bulletindent1last"/>
      </w:pPr>
      <w:r w:rsidRPr="00053853">
        <w:t>incidence of adverse events based on safety data for grade</w:t>
      </w:r>
      <w:r w:rsidR="00A2032F">
        <w:t> </w:t>
      </w:r>
      <w:r w:rsidRPr="00053853">
        <w:t xml:space="preserve">3 and </w:t>
      </w:r>
      <w:r w:rsidR="008C22E6" w:rsidRPr="00053853">
        <w:t xml:space="preserve">above </w:t>
      </w:r>
      <w:r w:rsidRPr="00053853">
        <w:t xml:space="preserve">adverse events occurring in 10% </w:t>
      </w:r>
      <w:r w:rsidR="00460D6D" w:rsidRPr="00053853">
        <w:t xml:space="preserve">or </w:t>
      </w:r>
      <w:r w:rsidRPr="00053853">
        <w:t>more of participants in COG ACCL0431.</w:t>
      </w:r>
    </w:p>
    <w:p w14:paraId="4AF1EC6A" w14:textId="3522B259" w:rsidR="00C843C9" w:rsidRPr="00053853" w:rsidRDefault="006A5E77" w:rsidP="00C843C9">
      <w:pPr>
        <w:pStyle w:val="Heading2"/>
      </w:pPr>
      <w:r w:rsidRPr="00053853">
        <w:t>Cost-effectiveness estimates</w:t>
      </w:r>
    </w:p>
    <w:p w14:paraId="31D6A98F" w14:textId="341544EE" w:rsidR="00090F62" w:rsidRPr="00053853" w:rsidRDefault="00375255" w:rsidP="00C843C9">
      <w:pPr>
        <w:pStyle w:val="Numberedlevel2text"/>
        <w:rPr>
          <w:lang w:val="en-GB"/>
        </w:rPr>
      </w:pPr>
      <w:hyperlink r:id="rId15" w:history="1">
        <w:r w:rsidRPr="00053853">
          <w:rPr>
            <w:rStyle w:val="Hyperlink"/>
            <w:rFonts w:eastAsiaTheme="majorEastAsia"/>
            <w:lang w:val="en-GB"/>
          </w:rPr>
          <w:t>NICE’s manual on health technology evaluations</w:t>
        </w:r>
      </w:hyperlink>
      <w:r w:rsidRPr="00053853">
        <w:rPr>
          <w:lang w:val="en-GB"/>
        </w:rPr>
        <w:t xml:space="preserve"> notes that, above a most plausible</w:t>
      </w:r>
      <w:r w:rsidR="00094094">
        <w:rPr>
          <w:lang w:val="en-GB"/>
        </w:rPr>
        <w:t xml:space="preserve"> incremental</w:t>
      </w:r>
      <w:r w:rsidRPr="00053853">
        <w:rPr>
          <w:lang w:val="en-GB"/>
        </w:rPr>
        <w:t xml:space="preserve"> </w:t>
      </w:r>
      <w:r w:rsidR="00094094">
        <w:rPr>
          <w:lang w:val="en-GB"/>
        </w:rPr>
        <w:t>cost-effectiveness ratio (</w:t>
      </w:r>
      <w:r w:rsidRPr="00053853">
        <w:rPr>
          <w:lang w:val="en-GB"/>
        </w:rPr>
        <w:t>ICER</w:t>
      </w:r>
      <w:r w:rsidR="00094094">
        <w:rPr>
          <w:lang w:val="en-GB"/>
        </w:rPr>
        <w:t>)</w:t>
      </w:r>
      <w:r w:rsidRPr="00053853">
        <w:rPr>
          <w:lang w:val="en-GB"/>
        </w:rPr>
        <w:t xml:space="preserve"> of £20,000 per QALY gained, judgements about the acceptability of a technology as an effective use of NHS resources will take into account the degree of certainty around the ICER. The committee will be more cautious about recommending a technology if it is less certain about the ICERs presented. But it will also take into account other aspects</w:t>
      </w:r>
      <w:r w:rsidR="001706F1" w:rsidRPr="00053853">
        <w:rPr>
          <w:lang w:val="en-GB"/>
        </w:rPr>
        <w:t>,</w:t>
      </w:r>
      <w:r w:rsidRPr="00053853">
        <w:rPr>
          <w:lang w:val="en-GB"/>
        </w:rPr>
        <w:t xml:space="preserve"> including uncaptured health benefits. </w:t>
      </w:r>
      <w:bookmarkEnd w:id="16"/>
      <w:r w:rsidR="0045752A" w:rsidRPr="00053853">
        <w:rPr>
          <w:lang w:val="en-GB"/>
        </w:rPr>
        <w:t xml:space="preserve">The committee recalled the statements from the clinical and patient experts about the need for a treatment to prevent cisplatin-related hearing loss </w:t>
      </w:r>
      <w:r w:rsidR="00A95471" w:rsidRPr="00053853">
        <w:rPr>
          <w:lang w:val="en-GB"/>
        </w:rPr>
        <w:t xml:space="preserve">and the associated </w:t>
      </w:r>
      <w:r w:rsidR="005644F1" w:rsidRPr="00053853">
        <w:rPr>
          <w:lang w:val="en-GB"/>
        </w:rPr>
        <w:t xml:space="preserve">effects on </w:t>
      </w:r>
      <w:r w:rsidR="00643223" w:rsidRPr="00053853">
        <w:rPr>
          <w:lang w:val="en-GB"/>
        </w:rPr>
        <w:t xml:space="preserve">speech and language </w:t>
      </w:r>
      <w:r w:rsidR="005644F1" w:rsidRPr="00053853">
        <w:rPr>
          <w:lang w:val="en-GB"/>
        </w:rPr>
        <w:t xml:space="preserve">development and psychosocial functioning. </w:t>
      </w:r>
      <w:r w:rsidR="007128C9" w:rsidRPr="00053853">
        <w:rPr>
          <w:lang w:val="en-GB"/>
        </w:rPr>
        <w:t>It noted that</w:t>
      </w:r>
      <w:r w:rsidR="00090F62" w:rsidRPr="00053853">
        <w:rPr>
          <w:lang w:val="en-GB"/>
        </w:rPr>
        <w:t>:</w:t>
      </w:r>
    </w:p>
    <w:p w14:paraId="10D6AF5B" w14:textId="03679173" w:rsidR="00FF52AF" w:rsidRPr="00053853" w:rsidRDefault="007128C9" w:rsidP="00FF52AF">
      <w:pPr>
        <w:pStyle w:val="Bulletindent1"/>
      </w:pPr>
      <w:r w:rsidRPr="00C63013">
        <w:t>there is no other medicine available to prevent cisplatin-related hearing loss</w:t>
      </w:r>
    </w:p>
    <w:p w14:paraId="34C76D65" w14:textId="38BCD08D" w:rsidR="00FF52AF" w:rsidRPr="00053853" w:rsidRDefault="00643223" w:rsidP="00FF52AF">
      <w:pPr>
        <w:pStyle w:val="Bulletindent1"/>
      </w:pPr>
      <w:r w:rsidRPr="00C63013">
        <w:t>hearing loss</w:t>
      </w:r>
      <w:r w:rsidR="007F7F11" w:rsidRPr="00C63013">
        <w:t xml:space="preserve">, once </w:t>
      </w:r>
      <w:r w:rsidR="00E438A1" w:rsidRPr="00C63013">
        <w:t>it happens</w:t>
      </w:r>
      <w:r w:rsidR="007F7F11" w:rsidRPr="00C63013">
        <w:t>,</w:t>
      </w:r>
      <w:r w:rsidRPr="00C63013" w:rsidDel="007F7F11">
        <w:t xml:space="preserve"> </w:t>
      </w:r>
      <w:r w:rsidR="00BC28EA" w:rsidRPr="00C63013">
        <w:t>is</w:t>
      </w:r>
      <w:r w:rsidRPr="00C63013">
        <w:t xml:space="preserve"> a permanent condition</w:t>
      </w:r>
    </w:p>
    <w:p w14:paraId="019FA99A" w14:textId="3C418FC0" w:rsidR="00FF52AF" w:rsidRPr="00053853" w:rsidRDefault="00643223" w:rsidP="00FF52AF">
      <w:pPr>
        <w:pStyle w:val="Bulletindent1last"/>
      </w:pPr>
      <w:r w:rsidRPr="00C63013">
        <w:t xml:space="preserve">anhydrous sodium thiosulfate </w:t>
      </w:r>
      <w:r w:rsidR="00C02556" w:rsidRPr="00053853">
        <w:t>prevents</w:t>
      </w:r>
      <w:r w:rsidRPr="00C63013">
        <w:t xml:space="preserve"> a drug-induced toxicity.</w:t>
      </w:r>
    </w:p>
    <w:p w14:paraId="7B153BB9" w14:textId="41F6CD53" w:rsidR="00375255" w:rsidRDefault="00DF2EC7" w:rsidP="000A65A9">
      <w:pPr>
        <w:pStyle w:val="NICEnormalindented"/>
      </w:pPr>
      <w:r w:rsidRPr="00C63013">
        <w:t>NICE’s manual on health technology evaluation</w:t>
      </w:r>
      <w:r w:rsidR="00620E24" w:rsidRPr="00C63013">
        <w:t>s</w:t>
      </w:r>
      <w:r w:rsidRPr="00C63013">
        <w:t xml:space="preserve"> </w:t>
      </w:r>
      <w:r w:rsidR="00FF52AF" w:rsidRPr="00053853">
        <w:t>states</w:t>
      </w:r>
      <w:r w:rsidR="00FF52AF" w:rsidRPr="00C63013">
        <w:t xml:space="preserve"> </w:t>
      </w:r>
      <w:r w:rsidRPr="00C63013">
        <w:t xml:space="preserve">that </w:t>
      </w:r>
      <w:r w:rsidR="009D43E1" w:rsidRPr="00C63013">
        <w:t>when</w:t>
      </w:r>
      <w:r w:rsidRPr="00C63013">
        <w:t xml:space="preserve"> evidence generation is particularly difficult because</w:t>
      </w:r>
      <w:r w:rsidR="009D43E1" w:rsidRPr="00C63013">
        <w:t>, for example</w:t>
      </w:r>
      <w:r w:rsidR="00A607D1" w:rsidRPr="00C63013">
        <w:t>,</w:t>
      </w:r>
      <w:r w:rsidRPr="00C63013">
        <w:t xml:space="preserve"> </w:t>
      </w:r>
      <w:r w:rsidR="009D43E1" w:rsidRPr="00C63013">
        <w:t xml:space="preserve">technologies are </w:t>
      </w:r>
      <w:r w:rsidRPr="00C63013">
        <w:t>for use in a population that is predominantly children</w:t>
      </w:r>
      <w:r w:rsidR="00B14412" w:rsidRPr="00C63013">
        <w:t xml:space="preserve"> </w:t>
      </w:r>
      <w:r w:rsidR="00B14412" w:rsidRPr="00053853">
        <w:t>and young people</w:t>
      </w:r>
      <w:r w:rsidRPr="00053853">
        <w:t xml:space="preserve"> </w:t>
      </w:r>
      <w:r w:rsidRPr="00C63013">
        <w:t>(under 18</w:t>
      </w:r>
      <w:r w:rsidR="009F5D25">
        <w:t> </w:t>
      </w:r>
      <w:r w:rsidRPr="00C63013">
        <w:t xml:space="preserve">years old), the committee may be able to </w:t>
      </w:r>
      <w:r w:rsidR="00FF52AF" w:rsidRPr="00053853">
        <w:t>accept</w:t>
      </w:r>
      <w:r w:rsidR="00FF52AF" w:rsidRPr="00C63013">
        <w:t xml:space="preserve"> a higher degree of uncertainty</w:t>
      </w:r>
      <w:r w:rsidR="00FF52AF" w:rsidRPr="00053853">
        <w:t xml:space="preserve"> when </w:t>
      </w:r>
      <w:r w:rsidRPr="00053853">
        <w:t>mak</w:t>
      </w:r>
      <w:r w:rsidR="00FF52AF" w:rsidRPr="00053853">
        <w:t>ing</w:t>
      </w:r>
      <w:r w:rsidRPr="00053853">
        <w:t xml:space="preserve"> recommendations</w:t>
      </w:r>
      <w:r w:rsidRPr="00C63013">
        <w:t>.</w:t>
      </w:r>
      <w:r w:rsidR="00643223" w:rsidRPr="00C63013">
        <w:t xml:space="preserve"> </w:t>
      </w:r>
      <w:r w:rsidR="004801E4" w:rsidRPr="00C63013">
        <w:t>T</w:t>
      </w:r>
      <w:r w:rsidR="00BC28EA" w:rsidRPr="00C63013">
        <w:t xml:space="preserve">he committee </w:t>
      </w:r>
      <w:r w:rsidR="00620E24" w:rsidRPr="00C63013">
        <w:t xml:space="preserve">acknowledged this, taking into account </w:t>
      </w:r>
      <w:r w:rsidR="00BC28EA" w:rsidRPr="00C63013">
        <w:t>the uncertaint</w:t>
      </w:r>
      <w:r w:rsidR="0063260E" w:rsidRPr="00C63013">
        <w:t>ies</w:t>
      </w:r>
      <w:r w:rsidR="00BC28EA" w:rsidRPr="00C63013">
        <w:t xml:space="preserve"> in the company’s clinical evidence and model assumptions.</w:t>
      </w:r>
      <w:r w:rsidR="00AC7295" w:rsidRPr="00C63013">
        <w:t xml:space="preserve"> It </w:t>
      </w:r>
      <w:r w:rsidR="00C320F5" w:rsidRPr="00053853">
        <w:t>decided</w:t>
      </w:r>
      <w:r w:rsidR="00C320F5" w:rsidRPr="00C63013">
        <w:t xml:space="preserve"> </w:t>
      </w:r>
      <w:r w:rsidR="00375255" w:rsidRPr="00C63013">
        <w:t xml:space="preserve">that an acceptable ICER would be </w:t>
      </w:r>
      <w:r w:rsidR="0044590A" w:rsidRPr="00C63013">
        <w:t>t</w:t>
      </w:r>
      <w:r w:rsidR="00AB32B2" w:rsidRPr="00C63013">
        <w:t xml:space="preserve">owards the upper end of the range NICE </w:t>
      </w:r>
      <w:r w:rsidR="00AB32B2" w:rsidRPr="00C63013">
        <w:lastRenderedPageBreak/>
        <w:t>considers a cost-effective use of NHS resources (£20,000 to £30,000 per QALY gained)</w:t>
      </w:r>
      <w:r w:rsidR="00375255" w:rsidRPr="00C63013">
        <w:t>.</w:t>
      </w:r>
      <w:bookmarkStart w:id="17" w:name="_Hlk67300020"/>
    </w:p>
    <w:p w14:paraId="2B28EA32" w14:textId="422AA655" w:rsidR="00CF691A" w:rsidRPr="00652C3E" w:rsidRDefault="00CF691A" w:rsidP="00652C3E">
      <w:pPr>
        <w:pStyle w:val="NICEnormalindented"/>
        <w:rPr>
          <w:bCs/>
          <w:iCs/>
        </w:rPr>
      </w:pPr>
      <w:r w:rsidRPr="00CF691A">
        <w:rPr>
          <w:bCs/>
          <w:iCs/>
        </w:rPr>
        <w:t xml:space="preserve">After the committee meeting, the company accepted the committee’s preferred assumptions and amended its base case in line with them. The list price was also reduced, and the company increased its </w:t>
      </w:r>
      <w:r w:rsidR="00693FCB">
        <w:rPr>
          <w:bCs/>
          <w:iCs/>
        </w:rPr>
        <w:t xml:space="preserve">confidential </w:t>
      </w:r>
      <w:r w:rsidRPr="00CF691A">
        <w:rPr>
          <w:bCs/>
          <w:iCs/>
        </w:rPr>
        <w:t>patient access scheme</w:t>
      </w:r>
      <w:r w:rsidR="00693FCB">
        <w:rPr>
          <w:bCs/>
          <w:iCs/>
        </w:rPr>
        <w:t xml:space="preserve"> discount for anhydrous sodium thiosulfate</w:t>
      </w:r>
      <w:r w:rsidRPr="00CF691A">
        <w:rPr>
          <w:bCs/>
          <w:iCs/>
        </w:rPr>
        <w:t xml:space="preserve">. </w:t>
      </w:r>
      <w:r w:rsidR="007E6486" w:rsidRPr="007E6486">
        <w:rPr>
          <w:bCs/>
          <w:iCs/>
        </w:rPr>
        <w:t xml:space="preserve">When </w:t>
      </w:r>
      <w:r w:rsidR="009C2A48">
        <w:rPr>
          <w:bCs/>
          <w:iCs/>
        </w:rPr>
        <w:t>these</w:t>
      </w:r>
      <w:r w:rsidR="007E6486" w:rsidRPr="007E6486">
        <w:rPr>
          <w:bCs/>
          <w:iCs/>
        </w:rPr>
        <w:t xml:space="preserve"> were applied, </w:t>
      </w:r>
      <w:r w:rsidR="00C67015">
        <w:rPr>
          <w:bCs/>
          <w:iCs/>
        </w:rPr>
        <w:t>the</w:t>
      </w:r>
      <w:r w:rsidRPr="00CF691A">
        <w:rPr>
          <w:bCs/>
          <w:iCs/>
        </w:rPr>
        <w:t xml:space="preserve"> company’s revised base</w:t>
      </w:r>
      <w:r w:rsidR="00CF7949">
        <w:rPr>
          <w:bCs/>
          <w:iCs/>
        </w:rPr>
        <w:t>-</w:t>
      </w:r>
      <w:r w:rsidRPr="00CF691A">
        <w:rPr>
          <w:bCs/>
          <w:iCs/>
        </w:rPr>
        <w:t xml:space="preserve">case ICER was within the range that NICE considers a cost-effective use of NHS resources. </w:t>
      </w:r>
    </w:p>
    <w:p w14:paraId="7DD1AB43" w14:textId="77777777" w:rsidR="00375255" w:rsidRPr="00053853" w:rsidRDefault="00375255">
      <w:pPr>
        <w:pStyle w:val="Heading2"/>
      </w:pPr>
      <w:bookmarkStart w:id="18" w:name="Text80"/>
      <w:bookmarkEnd w:id="17"/>
      <w:r w:rsidRPr="00053853">
        <w:t>Other factors</w:t>
      </w:r>
    </w:p>
    <w:p w14:paraId="6FA43527" w14:textId="77777777" w:rsidR="00375255" w:rsidRPr="00053853" w:rsidRDefault="00375255">
      <w:pPr>
        <w:pStyle w:val="Heading3"/>
      </w:pPr>
      <w:r w:rsidRPr="00053853">
        <w:t>Equality</w:t>
      </w:r>
    </w:p>
    <w:p w14:paraId="2B8A69CF" w14:textId="12545AF8" w:rsidR="002D43A0" w:rsidRPr="00053853" w:rsidRDefault="00B267DE" w:rsidP="000A65A9">
      <w:pPr>
        <w:pStyle w:val="Numberedlevel2text"/>
        <w:rPr>
          <w:lang w:val="en-GB"/>
        </w:rPr>
      </w:pPr>
      <w:r w:rsidRPr="00053853">
        <w:rPr>
          <w:lang w:val="en-GB"/>
        </w:rPr>
        <w:t xml:space="preserve">The patient organisation submissions </w:t>
      </w:r>
      <w:r w:rsidR="00FF52AF" w:rsidRPr="00053853">
        <w:rPr>
          <w:lang w:val="en-GB"/>
        </w:rPr>
        <w:t xml:space="preserve">noted </w:t>
      </w:r>
      <w:r w:rsidRPr="00053853">
        <w:rPr>
          <w:lang w:val="en-GB"/>
        </w:rPr>
        <w:t xml:space="preserve">that deaf children from ethnic minorities have poorer educational </w:t>
      </w:r>
      <w:r w:rsidR="00BE5808" w:rsidRPr="00053853">
        <w:rPr>
          <w:lang w:val="en-GB"/>
        </w:rPr>
        <w:t>outcomes than</w:t>
      </w:r>
      <w:r w:rsidRPr="00053853">
        <w:rPr>
          <w:lang w:val="en-GB"/>
        </w:rPr>
        <w:t xml:space="preserve"> children with no hearing loss</w:t>
      </w:r>
      <w:r w:rsidR="00BE5808" w:rsidRPr="00053853">
        <w:rPr>
          <w:lang w:val="en-GB"/>
        </w:rPr>
        <w:t xml:space="preserve">. </w:t>
      </w:r>
      <w:r w:rsidR="001830D7" w:rsidRPr="00053853">
        <w:rPr>
          <w:lang w:val="en-GB"/>
        </w:rPr>
        <w:t xml:space="preserve">Also, </w:t>
      </w:r>
      <w:r w:rsidR="00DE1377" w:rsidRPr="00053853">
        <w:rPr>
          <w:lang w:val="en-GB"/>
        </w:rPr>
        <w:t>B</w:t>
      </w:r>
      <w:r w:rsidRPr="00053853">
        <w:rPr>
          <w:lang w:val="en-GB"/>
        </w:rPr>
        <w:t xml:space="preserve">lack and Asian deaf children have lower attainment scores </w:t>
      </w:r>
      <w:r w:rsidR="00DE1377" w:rsidRPr="00053853">
        <w:rPr>
          <w:lang w:val="en-GB"/>
        </w:rPr>
        <w:t>than</w:t>
      </w:r>
      <w:r w:rsidRPr="00053853">
        <w:rPr>
          <w:lang w:val="en-GB"/>
        </w:rPr>
        <w:t xml:space="preserve"> other ethnic groups </w:t>
      </w:r>
      <w:r w:rsidR="00DE1377" w:rsidRPr="00053853">
        <w:rPr>
          <w:lang w:val="en-GB"/>
        </w:rPr>
        <w:t xml:space="preserve">and </w:t>
      </w:r>
      <w:r w:rsidRPr="00053853">
        <w:rPr>
          <w:lang w:val="en-GB"/>
        </w:rPr>
        <w:t>white deaf children, respectively</w:t>
      </w:r>
      <w:r w:rsidR="00951548" w:rsidRPr="00053853">
        <w:rPr>
          <w:lang w:val="en-GB"/>
        </w:rPr>
        <w:t xml:space="preserve">. </w:t>
      </w:r>
      <w:r w:rsidR="00375255" w:rsidRPr="00053853">
        <w:rPr>
          <w:lang w:val="en-GB"/>
        </w:rPr>
        <w:t>The</w:t>
      </w:r>
      <w:r w:rsidR="00E626CA" w:rsidRPr="00053853">
        <w:rPr>
          <w:lang w:val="en-GB"/>
        </w:rPr>
        <w:t xml:space="preserve"> patient expert explained how, although technologies </w:t>
      </w:r>
      <w:r w:rsidR="00644173" w:rsidRPr="00053853">
        <w:rPr>
          <w:lang w:val="en-GB"/>
        </w:rPr>
        <w:t xml:space="preserve">to help with hearing loss were available to everyone on the NHS, </w:t>
      </w:r>
      <w:r w:rsidR="002251DE" w:rsidRPr="00053853">
        <w:rPr>
          <w:lang w:val="en-GB"/>
        </w:rPr>
        <w:t xml:space="preserve">there is evidence of inequalities </w:t>
      </w:r>
      <w:r w:rsidR="004B6C9C" w:rsidRPr="00053853">
        <w:rPr>
          <w:lang w:val="en-GB"/>
        </w:rPr>
        <w:t xml:space="preserve">in </w:t>
      </w:r>
      <w:r w:rsidR="002251DE" w:rsidRPr="00053853">
        <w:rPr>
          <w:lang w:val="en-GB"/>
        </w:rPr>
        <w:t xml:space="preserve">access based on socioeconomic status. </w:t>
      </w:r>
      <w:r w:rsidR="00CB2328" w:rsidRPr="00053853">
        <w:rPr>
          <w:lang w:val="en-GB"/>
        </w:rPr>
        <w:t>People may also have difference</w:t>
      </w:r>
      <w:r w:rsidR="002B5770" w:rsidRPr="00053853">
        <w:rPr>
          <w:lang w:val="en-GB"/>
        </w:rPr>
        <w:t>s</w:t>
      </w:r>
      <w:r w:rsidR="00CB2328" w:rsidRPr="00053853">
        <w:rPr>
          <w:lang w:val="en-GB"/>
        </w:rPr>
        <w:t xml:space="preserve"> in </w:t>
      </w:r>
      <w:r w:rsidR="002B5770" w:rsidRPr="00053853">
        <w:rPr>
          <w:lang w:val="en-GB"/>
        </w:rPr>
        <w:t xml:space="preserve">their </w:t>
      </w:r>
      <w:r w:rsidR="00CB2328" w:rsidRPr="00053853">
        <w:rPr>
          <w:lang w:val="en-GB"/>
        </w:rPr>
        <w:t>ability to access support, for example</w:t>
      </w:r>
      <w:r w:rsidR="00022B72">
        <w:rPr>
          <w:lang w:val="en-GB"/>
        </w:rPr>
        <w:t>,</w:t>
      </w:r>
      <w:r w:rsidR="00CB2328" w:rsidRPr="00053853">
        <w:rPr>
          <w:lang w:val="en-GB"/>
        </w:rPr>
        <w:t xml:space="preserve"> with ongoing</w:t>
      </w:r>
      <w:r w:rsidR="00ED26EC" w:rsidRPr="00053853">
        <w:rPr>
          <w:lang w:val="en-GB"/>
        </w:rPr>
        <w:t xml:space="preserve"> technology</w:t>
      </w:r>
      <w:r w:rsidR="00CB2328" w:rsidRPr="00053853">
        <w:rPr>
          <w:lang w:val="en-GB"/>
        </w:rPr>
        <w:t xml:space="preserve"> maintenance. </w:t>
      </w:r>
      <w:r w:rsidR="00375255" w:rsidRPr="00053853">
        <w:rPr>
          <w:lang w:val="en-GB"/>
        </w:rPr>
        <w:t xml:space="preserve">The committee </w:t>
      </w:r>
      <w:r w:rsidR="00E02484" w:rsidRPr="00053853">
        <w:rPr>
          <w:lang w:val="en-GB"/>
        </w:rPr>
        <w:t xml:space="preserve">noted </w:t>
      </w:r>
      <w:r w:rsidR="00B84664" w:rsidRPr="00053853">
        <w:rPr>
          <w:lang w:val="en-GB"/>
        </w:rPr>
        <w:t xml:space="preserve">that </w:t>
      </w:r>
      <w:r w:rsidR="00ED62BD" w:rsidRPr="00053853">
        <w:rPr>
          <w:lang w:val="en-GB"/>
        </w:rPr>
        <w:t>anhydrous sodium thiosulfate to prevent cisplatin-related hearing loss</w:t>
      </w:r>
      <w:r w:rsidR="00396D36" w:rsidRPr="00053853">
        <w:rPr>
          <w:lang w:val="en-GB"/>
        </w:rPr>
        <w:t xml:space="preserve">, if recommended, may </w:t>
      </w:r>
      <w:r w:rsidR="00ED62BD" w:rsidRPr="00053853">
        <w:rPr>
          <w:lang w:val="en-GB"/>
        </w:rPr>
        <w:t>reduce health inequalities</w:t>
      </w:r>
      <w:r w:rsidR="00375255" w:rsidRPr="00053853">
        <w:rPr>
          <w:lang w:val="en-GB"/>
        </w:rPr>
        <w:t>.</w:t>
      </w:r>
    </w:p>
    <w:bookmarkEnd w:id="18"/>
    <w:p w14:paraId="64C6F11A" w14:textId="77777777" w:rsidR="00375255" w:rsidRPr="00053853" w:rsidRDefault="00375255" w:rsidP="00F95A2F">
      <w:pPr>
        <w:pStyle w:val="Heading2"/>
      </w:pPr>
      <w:r w:rsidRPr="00053853">
        <w:t>Conclusion</w:t>
      </w:r>
    </w:p>
    <w:p w14:paraId="3F1C69A8" w14:textId="793BD62E" w:rsidR="00375255" w:rsidRPr="00053853" w:rsidRDefault="00805993" w:rsidP="00F95A2F">
      <w:pPr>
        <w:pStyle w:val="Heading3"/>
      </w:pPr>
      <w:r w:rsidRPr="00053853">
        <w:t xml:space="preserve">Anhydrous sodium thiosulfate </w:t>
      </w:r>
      <w:r w:rsidR="009B7EE6" w:rsidRPr="00053853">
        <w:t>is recommended</w:t>
      </w:r>
    </w:p>
    <w:p w14:paraId="709490E5" w14:textId="5A604040" w:rsidR="00422E3A" w:rsidRPr="00053853" w:rsidRDefault="00B47658" w:rsidP="000A65A9">
      <w:pPr>
        <w:pStyle w:val="Numberedlevel2text"/>
        <w:rPr>
          <w:lang w:val="en-GB"/>
        </w:rPr>
      </w:pPr>
      <w:r>
        <w:rPr>
          <w:lang w:val="en-GB"/>
        </w:rPr>
        <w:t>Using the company’s revised base case</w:t>
      </w:r>
      <w:r w:rsidR="00126FA2">
        <w:rPr>
          <w:lang w:val="en-GB"/>
        </w:rPr>
        <w:t xml:space="preserve"> model</w:t>
      </w:r>
      <w:r>
        <w:rPr>
          <w:lang w:val="en-GB"/>
        </w:rPr>
        <w:t xml:space="preserve">, and the updated </w:t>
      </w:r>
      <w:r w:rsidR="00126FA2">
        <w:rPr>
          <w:lang w:val="en-GB"/>
        </w:rPr>
        <w:t xml:space="preserve">list price and confidential patient access scheme discount, </w:t>
      </w:r>
      <w:r w:rsidR="008849F6" w:rsidRPr="00053853">
        <w:rPr>
          <w:lang w:val="en-GB"/>
        </w:rPr>
        <w:t xml:space="preserve">the </w:t>
      </w:r>
      <w:r w:rsidR="00613968" w:rsidRPr="00053853">
        <w:rPr>
          <w:lang w:val="en-GB"/>
        </w:rPr>
        <w:t xml:space="preserve">ICER was </w:t>
      </w:r>
      <w:r w:rsidR="00126FA2">
        <w:rPr>
          <w:lang w:val="en-GB"/>
        </w:rPr>
        <w:t>within</w:t>
      </w:r>
      <w:r w:rsidR="00613968" w:rsidRPr="00053853">
        <w:rPr>
          <w:lang w:val="en-GB"/>
        </w:rPr>
        <w:t xml:space="preserve"> the range that NICE considers a cost-effective use of NHS resources. </w:t>
      </w:r>
      <w:r w:rsidR="00D235C8">
        <w:rPr>
          <w:lang w:val="en-GB"/>
        </w:rPr>
        <w:t>So</w:t>
      </w:r>
      <w:r w:rsidR="00D235C8" w:rsidRPr="00D235C8">
        <w:rPr>
          <w:lang w:val="en-GB"/>
        </w:rPr>
        <w:t xml:space="preserve">, the committee recommended </w:t>
      </w:r>
      <w:r w:rsidR="00D235C8">
        <w:rPr>
          <w:lang w:val="en-GB"/>
        </w:rPr>
        <w:t>an</w:t>
      </w:r>
      <w:r w:rsidR="00D85421">
        <w:rPr>
          <w:lang w:val="en-GB"/>
        </w:rPr>
        <w:t xml:space="preserve">hydrous sodium thiosulfate </w:t>
      </w:r>
      <w:r w:rsidR="00D235C8" w:rsidRPr="00D235C8">
        <w:rPr>
          <w:lang w:val="en-GB"/>
        </w:rPr>
        <w:t>for use in the NHS.</w:t>
      </w:r>
      <w:bookmarkStart w:id="19" w:name="_Hlk139634176"/>
    </w:p>
    <w:bookmarkEnd w:id="19"/>
    <w:p w14:paraId="176800E6" w14:textId="77777777" w:rsidR="00312207" w:rsidRPr="00312207" w:rsidRDefault="00312207" w:rsidP="00312207">
      <w:pPr>
        <w:pStyle w:val="Numberedheading1"/>
      </w:pPr>
      <w:r w:rsidRPr="00312207">
        <w:lastRenderedPageBreak/>
        <w:t>Implementation</w:t>
      </w:r>
    </w:p>
    <w:p w14:paraId="7ECBD79D" w14:textId="757171FB" w:rsidR="00E751B0" w:rsidRDefault="00AD2F44" w:rsidP="45BBBE32">
      <w:pPr>
        <w:pStyle w:val="Numberedlevel2text"/>
      </w:pPr>
      <w:r w:rsidRPr="45BBBE32">
        <w:rPr>
          <w:lang w:val="en-GB"/>
        </w:rPr>
        <w:t xml:space="preserve">Section 7 of the </w:t>
      </w:r>
      <w:hyperlink r:id="rId16">
        <w:r w:rsidRPr="45BBBE32">
          <w:rPr>
            <w:rStyle w:val="Hyperlink"/>
            <w:lang w:val="en-GB"/>
          </w:rPr>
          <w:t>National Institute for Health and Care Excellence (Constitution and Functions) and the Health and Social Care Information Centre (Functions) Regulations 2013</w:t>
        </w:r>
      </w:hyperlink>
      <w:r w:rsidRPr="45BBBE32">
        <w:rPr>
          <w:lang w:val="en-GB"/>
        </w:rPr>
        <w:t xml:space="preserve"> requires integrated care boards, NHS England and, with respect to their public health functions, local authorities to comply with the recommendations in this evaluation within 3 months of its date of publication.</w:t>
      </w:r>
    </w:p>
    <w:p w14:paraId="2152FFF2" w14:textId="42E9562F" w:rsidR="0036339E" w:rsidRDefault="0036339E" w:rsidP="00AD2F44">
      <w:pPr>
        <w:pStyle w:val="Numberedlevel2text"/>
      </w:pPr>
      <w:r w:rsidRPr="0036339E">
        <w:t>The Welsh ministers have issued directions to the NHS in Wales on implementing NICE technology appraisal guidance. When a NICE technology appraisal guidance recommends the use of a drug or treatment, or other technology, the NHS in Wales must usually provide funding and resources for it within 2 months of the first publication of the final draft guidance.</w:t>
      </w:r>
    </w:p>
    <w:p w14:paraId="4DD18C46" w14:textId="0B87F9CB" w:rsidR="002D4628" w:rsidRPr="0041012C" w:rsidRDefault="002D4628" w:rsidP="00AA48CE">
      <w:pPr>
        <w:pStyle w:val="Numberedlevel2text"/>
      </w:pPr>
      <w:r w:rsidRPr="45BBBE32">
        <w:rPr>
          <w:lang w:val="en-GB"/>
        </w:rPr>
        <w:t xml:space="preserve">When NICE recommends a treatment ‘as an option’, the NHS must make sure it is available within the period set out in the paragraphs above. This means that, if a patient </w:t>
      </w:r>
      <w:r w:rsidR="00D8263A" w:rsidRPr="45BBBE32">
        <w:rPr>
          <w:lang w:val="en-GB"/>
        </w:rPr>
        <w:t>is being treated with cisplatin chemotherapy</w:t>
      </w:r>
      <w:r w:rsidRPr="45BBBE32">
        <w:rPr>
          <w:lang w:val="en-GB"/>
        </w:rPr>
        <w:t xml:space="preserve"> and the healthcare professional responsible for their care thinks that </w:t>
      </w:r>
      <w:r w:rsidR="00D8263A" w:rsidRPr="45BBBE32">
        <w:rPr>
          <w:lang w:val="en-GB"/>
        </w:rPr>
        <w:t>anhydrous sodium thiosulfate</w:t>
      </w:r>
      <w:r w:rsidRPr="45BBBE32">
        <w:rPr>
          <w:lang w:val="en-GB"/>
        </w:rPr>
        <w:t xml:space="preserve"> is the right treatment, it should be available for use, in line with NICE’s recommendations.</w:t>
      </w:r>
    </w:p>
    <w:p w14:paraId="31C34D28" w14:textId="74274685" w:rsidR="00B16431" w:rsidRPr="00053853" w:rsidRDefault="00FA2354" w:rsidP="00B16431">
      <w:pPr>
        <w:pStyle w:val="Numberedheading1"/>
        <w:numPr>
          <w:ilvl w:val="0"/>
          <w:numId w:val="1"/>
        </w:numPr>
      </w:pPr>
      <w:r w:rsidRPr="00053853">
        <w:t>Evaluation</w:t>
      </w:r>
      <w:r w:rsidR="00B16431" w:rsidRPr="00053853">
        <w:t xml:space="preserve"> </w:t>
      </w:r>
      <w:r w:rsidR="00343B53" w:rsidRPr="00053853">
        <w:t>c</w:t>
      </w:r>
      <w:r w:rsidR="00B16431" w:rsidRPr="00053853">
        <w:t>ommittee members and NICE project team</w:t>
      </w:r>
    </w:p>
    <w:p w14:paraId="2C73C037" w14:textId="77777777" w:rsidR="00B16431" w:rsidRPr="00053853" w:rsidRDefault="00FA2354" w:rsidP="00B16431">
      <w:pPr>
        <w:pStyle w:val="Heading2"/>
      </w:pPr>
      <w:bookmarkStart w:id="20" w:name="_Appraisal_committee_members"/>
      <w:bookmarkStart w:id="21" w:name="_Evaluation_committee_members"/>
      <w:bookmarkEnd w:id="20"/>
      <w:bookmarkEnd w:id="21"/>
      <w:r w:rsidRPr="00053853">
        <w:t>Evaluation</w:t>
      </w:r>
      <w:r w:rsidR="00B16431" w:rsidRPr="00053853">
        <w:t xml:space="preserve"> </w:t>
      </w:r>
      <w:r w:rsidR="00343B53" w:rsidRPr="00053853">
        <w:t>c</w:t>
      </w:r>
      <w:r w:rsidR="00B16431" w:rsidRPr="00053853">
        <w:t>ommittee members</w:t>
      </w:r>
    </w:p>
    <w:p w14:paraId="41634796" w14:textId="43F50521" w:rsidR="00F909BB" w:rsidRPr="00053853" w:rsidRDefault="00F909BB" w:rsidP="002F2583">
      <w:pPr>
        <w:pStyle w:val="NICEnormal"/>
        <w:rPr>
          <w:rFonts w:eastAsia="Calibri"/>
        </w:rPr>
      </w:pPr>
      <w:r w:rsidRPr="00053853">
        <w:t xml:space="preserve">The 4 technology appraisal committees are standing advisory committees of NICE. This topic was considered by </w:t>
      </w:r>
      <w:hyperlink r:id="rId17" w:history="1">
        <w:r w:rsidRPr="00053853">
          <w:rPr>
            <w:rStyle w:val="Hyperlink"/>
            <w:rFonts w:eastAsia="Calibri"/>
          </w:rPr>
          <w:t>committee B</w:t>
        </w:r>
      </w:hyperlink>
      <w:r w:rsidRPr="00053853">
        <w:rPr>
          <w:rFonts w:eastAsia="Calibri"/>
        </w:rPr>
        <w:t>.</w:t>
      </w:r>
    </w:p>
    <w:p w14:paraId="18BE1B10" w14:textId="77777777" w:rsidR="00F909BB" w:rsidRPr="00053853" w:rsidRDefault="00F909BB" w:rsidP="00FF1221">
      <w:pPr>
        <w:pStyle w:val="NICEnormal"/>
      </w:pPr>
      <w:r w:rsidRPr="00053853">
        <w:t>Committee members are asked to declare any interests in the technology being evaluated. If it is considered there is a conflict of interest, the member is excluded from participating further in that evaluation.</w:t>
      </w:r>
    </w:p>
    <w:p w14:paraId="420BCC06" w14:textId="1A9DA3A0" w:rsidR="00871135" w:rsidRPr="00C63013" w:rsidRDefault="00F909BB" w:rsidP="007B4F7B">
      <w:pPr>
        <w:pStyle w:val="NICEnormal"/>
      </w:pPr>
      <w:r w:rsidRPr="00C63013">
        <w:lastRenderedPageBreak/>
        <w:t xml:space="preserve">The </w:t>
      </w:r>
      <w:hyperlink r:id="rId18" w:history="1">
        <w:r w:rsidRPr="00C63013">
          <w:rPr>
            <w:rStyle w:val="Hyperlink"/>
            <w:rFonts w:eastAsia="Calibri"/>
          </w:rPr>
          <w:t>minutes</w:t>
        </w:r>
        <w:r w:rsidRPr="00C63013">
          <w:rPr>
            <w:rStyle w:val="Hyperlink"/>
          </w:rPr>
          <w:t xml:space="preserve"> of each evaluation committee meeting</w:t>
        </w:r>
      </w:hyperlink>
      <w:r w:rsidRPr="00C63013">
        <w:t>, which include the names of the members who attended and their declarations of interests, are posted on the NICE website.</w:t>
      </w:r>
    </w:p>
    <w:p w14:paraId="599ECEC1" w14:textId="77777777" w:rsidR="00576185" w:rsidRPr="00053853" w:rsidRDefault="005463A4" w:rsidP="005463A4">
      <w:pPr>
        <w:pStyle w:val="Heading2"/>
      </w:pPr>
      <w:r w:rsidRPr="00053853">
        <w:t>Chair</w:t>
      </w:r>
    </w:p>
    <w:p w14:paraId="3C6EB461" w14:textId="3507C785" w:rsidR="005463A4" w:rsidRPr="00053853" w:rsidRDefault="008E4FAC" w:rsidP="005463A4">
      <w:pPr>
        <w:pStyle w:val="NICEnormal"/>
      </w:pPr>
      <w:r w:rsidRPr="00053853">
        <w:rPr>
          <w:b/>
        </w:rPr>
        <w:t>Charles Crawley</w:t>
      </w:r>
      <w:r w:rsidR="005463A4" w:rsidRPr="00053853">
        <w:br/>
        <w:t>Chair</w:t>
      </w:r>
      <w:r w:rsidR="003D39D7" w:rsidRPr="00053853">
        <w:t xml:space="preserve">, </w:t>
      </w:r>
      <w:r w:rsidR="00D00174" w:rsidRPr="00053853">
        <w:t>t</w:t>
      </w:r>
      <w:r w:rsidR="003D39D7" w:rsidRPr="00053853">
        <w:t xml:space="preserve">echnology </w:t>
      </w:r>
      <w:r w:rsidR="0094581D" w:rsidRPr="00053853">
        <w:t>a</w:t>
      </w:r>
      <w:r w:rsidR="003D39D7" w:rsidRPr="00053853">
        <w:t xml:space="preserve">ppraisal </w:t>
      </w:r>
      <w:r w:rsidR="0094581D" w:rsidRPr="00053853">
        <w:t>c</w:t>
      </w:r>
      <w:r w:rsidR="003D39D7" w:rsidRPr="00053853">
        <w:t xml:space="preserve">ommittee </w:t>
      </w:r>
      <w:r w:rsidR="004A3114" w:rsidRPr="00053853">
        <w:t>B</w:t>
      </w:r>
    </w:p>
    <w:p w14:paraId="7E0AC726" w14:textId="77777777" w:rsidR="00B16431" w:rsidRPr="00053853" w:rsidRDefault="00B16431" w:rsidP="00B16431">
      <w:pPr>
        <w:pStyle w:val="Heading2"/>
      </w:pPr>
      <w:r w:rsidRPr="00053853">
        <w:t>NICE project team</w:t>
      </w:r>
    </w:p>
    <w:p w14:paraId="7E86FBCE" w14:textId="7E0285A8" w:rsidR="00B16431" w:rsidRPr="00053853" w:rsidRDefault="00B16431" w:rsidP="00B16431">
      <w:pPr>
        <w:pStyle w:val="NICEnormal"/>
      </w:pPr>
      <w:r w:rsidRPr="00053853">
        <w:t xml:space="preserve">Each </w:t>
      </w:r>
      <w:r w:rsidR="00FA2354" w:rsidRPr="00053853">
        <w:t>evaluation</w:t>
      </w:r>
      <w:r w:rsidRPr="00053853">
        <w:t xml:space="preserve"> is assigned to a team consisting of 1 or more health technology analysts (who act as technical leads for the </w:t>
      </w:r>
      <w:r w:rsidR="00FA2354" w:rsidRPr="00053853">
        <w:t>evaluation</w:t>
      </w:r>
      <w:r w:rsidRPr="00053853">
        <w:t>), a technical adviser</w:t>
      </w:r>
      <w:r w:rsidR="00105F9F" w:rsidRPr="00053853">
        <w:t>,</w:t>
      </w:r>
      <w:r w:rsidRPr="00053853">
        <w:t xml:space="preserve"> a project manager</w:t>
      </w:r>
      <w:r w:rsidR="00105F9F" w:rsidRPr="00053853">
        <w:t xml:space="preserve"> and an associate director</w:t>
      </w:r>
      <w:r w:rsidRPr="00053853">
        <w:t>.</w:t>
      </w:r>
    </w:p>
    <w:p w14:paraId="1B77098C" w14:textId="65BC8E97" w:rsidR="00B16431" w:rsidRPr="00053853" w:rsidRDefault="008E4FAC" w:rsidP="00B16431">
      <w:pPr>
        <w:pStyle w:val="NICEnormal"/>
      </w:pPr>
      <w:bookmarkStart w:id="22" w:name="Text45"/>
      <w:r w:rsidRPr="00053853">
        <w:rPr>
          <w:b/>
        </w:rPr>
        <w:t>Emma McCarthy, Emilene Coventry</w:t>
      </w:r>
      <w:r w:rsidR="00B16431" w:rsidRPr="00053853">
        <w:br/>
        <w:t xml:space="preserve">Technical </w:t>
      </w:r>
      <w:r w:rsidR="00E65C76" w:rsidRPr="00053853">
        <w:t>l</w:t>
      </w:r>
      <w:r w:rsidR="00B16431" w:rsidRPr="00053853">
        <w:t>ead</w:t>
      </w:r>
      <w:r w:rsidR="00D8746C" w:rsidRPr="00053853">
        <w:t>s</w:t>
      </w:r>
    </w:p>
    <w:p w14:paraId="40B5EF24" w14:textId="73EFE76F" w:rsidR="00B16431" w:rsidRPr="00053853" w:rsidRDefault="004A3114" w:rsidP="00FC6C8A">
      <w:pPr>
        <w:pStyle w:val="NICEnormal"/>
        <w:tabs>
          <w:tab w:val="left" w:pos="6327"/>
        </w:tabs>
      </w:pPr>
      <w:r w:rsidRPr="00053853">
        <w:rPr>
          <w:b/>
        </w:rPr>
        <w:t>Yelan Guo</w:t>
      </w:r>
      <w:r w:rsidR="00B16431" w:rsidRPr="00053853">
        <w:br/>
        <w:t xml:space="preserve">Technical </w:t>
      </w:r>
      <w:r w:rsidR="00E65C76" w:rsidRPr="00053853">
        <w:t>a</w:t>
      </w:r>
      <w:r w:rsidR="00B16431" w:rsidRPr="00053853">
        <w:t>dviser</w:t>
      </w:r>
    </w:p>
    <w:p w14:paraId="1EA40329" w14:textId="35A6E1FD" w:rsidR="00B16431" w:rsidRPr="00053853" w:rsidRDefault="00481F9E" w:rsidP="005D3FD9">
      <w:pPr>
        <w:pStyle w:val="NICEnormal"/>
      </w:pPr>
      <w:r w:rsidRPr="00053853">
        <w:rPr>
          <w:b/>
        </w:rPr>
        <w:t>Vonda Murray</w:t>
      </w:r>
      <w:r w:rsidR="00B16431" w:rsidRPr="00053853">
        <w:br/>
        <w:t xml:space="preserve">Project </w:t>
      </w:r>
      <w:r w:rsidR="00E65C76" w:rsidRPr="00053853">
        <w:t>m</w:t>
      </w:r>
      <w:r w:rsidR="00B16431" w:rsidRPr="00053853">
        <w:t>anager</w:t>
      </w:r>
      <w:bookmarkEnd w:id="22"/>
    </w:p>
    <w:p w14:paraId="1519EF86" w14:textId="768BD983" w:rsidR="00105F9F" w:rsidRPr="00053853" w:rsidRDefault="00481F9E" w:rsidP="005D3FD9">
      <w:pPr>
        <w:pStyle w:val="NICEnormal"/>
      </w:pPr>
      <w:r w:rsidRPr="00053853">
        <w:rPr>
          <w:b/>
        </w:rPr>
        <w:t>Richard Diaz</w:t>
      </w:r>
      <w:r w:rsidR="00105F9F" w:rsidRPr="00053853">
        <w:br/>
        <w:t>Associate director</w:t>
      </w:r>
    </w:p>
    <w:p w14:paraId="1F06A0ED" w14:textId="77777777" w:rsidR="006E7647" w:rsidRPr="00053853" w:rsidRDefault="006E7647" w:rsidP="00F05E37">
      <w:pPr>
        <w:pStyle w:val="NICEnormal"/>
      </w:pPr>
      <w:r w:rsidRPr="00053853">
        <w:t xml:space="preserve">ISBN: </w:t>
      </w:r>
      <w:r w:rsidRPr="00053853">
        <w:rPr>
          <w:highlight w:val="green"/>
        </w:rPr>
        <w:t>[to be added at publication]</w:t>
      </w:r>
    </w:p>
    <w:p w14:paraId="5C58753E" w14:textId="77777777" w:rsidR="001B4507" w:rsidRPr="00053853" w:rsidRDefault="001B4507" w:rsidP="00F05E37">
      <w:pPr>
        <w:pStyle w:val="NICEnormal"/>
      </w:pPr>
    </w:p>
    <w:sectPr w:rsidR="001B4507" w:rsidRPr="00053853" w:rsidSect="00754563">
      <w:headerReference w:type="default" r:id="rId19"/>
      <w:footerReference w:type="default" r:id="rId20"/>
      <w:pgSz w:w="11907" w:h="16840"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11EE9C" w14:textId="77777777" w:rsidR="00637298" w:rsidRDefault="00637298">
      <w:r>
        <w:separator/>
      </w:r>
    </w:p>
  </w:endnote>
  <w:endnote w:type="continuationSeparator" w:id="0">
    <w:p w14:paraId="0A142A40" w14:textId="77777777" w:rsidR="00637298" w:rsidRDefault="00637298">
      <w:r>
        <w:continuationSeparator/>
      </w:r>
    </w:p>
  </w:endnote>
  <w:endnote w:type="continuationNotice" w:id="1">
    <w:p w14:paraId="62DE1B35" w14:textId="77777777" w:rsidR="00637298" w:rsidRDefault="0063729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730E05" w14:textId="08EC2F96" w:rsidR="00832381" w:rsidRPr="009B69FD" w:rsidRDefault="000E5D65" w:rsidP="007A7EC8">
    <w:pPr>
      <w:pStyle w:val="NICEnormalsinglespacing"/>
      <w:spacing w:after="120"/>
      <w:rPr>
        <w:b/>
        <w:bCs/>
        <w:sz w:val="18"/>
        <w:szCs w:val="18"/>
      </w:rPr>
    </w:pPr>
    <w:r>
      <w:rPr>
        <w:sz w:val="18"/>
        <w:szCs w:val="18"/>
      </w:rPr>
      <w:t>Final draft guidance</w:t>
    </w:r>
    <w:r w:rsidR="00832381" w:rsidRPr="003D33FB">
      <w:rPr>
        <w:sz w:val="18"/>
        <w:szCs w:val="18"/>
      </w:rPr>
      <w:t xml:space="preserve"> – </w:t>
    </w:r>
    <w:r w:rsidR="009B69FD" w:rsidRPr="009B69FD">
      <w:rPr>
        <w:sz w:val="18"/>
        <w:szCs w:val="18"/>
      </w:rPr>
      <w:t xml:space="preserve">Anhydrous sodium thiosulfate for preventing hearing loss caused by cisplatin chemotherapy in people 1 month to 17 years with </w:t>
    </w:r>
    <w:r w:rsidR="00952EAB">
      <w:rPr>
        <w:sz w:val="18"/>
        <w:szCs w:val="18"/>
      </w:rPr>
      <w:t>localised</w:t>
    </w:r>
    <w:r w:rsidR="009B69FD" w:rsidRPr="009B69FD">
      <w:rPr>
        <w:sz w:val="18"/>
        <w:szCs w:val="18"/>
      </w:rPr>
      <w:t xml:space="preserve"> solid tumours</w:t>
    </w:r>
    <w:r w:rsidR="00832381">
      <w:rPr>
        <w:sz w:val="18"/>
        <w:szCs w:val="18"/>
      </w:rPr>
      <w:tab/>
    </w:r>
    <w:r w:rsidR="00832381">
      <w:rPr>
        <w:sz w:val="18"/>
        <w:szCs w:val="18"/>
      </w:rPr>
      <w:tab/>
    </w:r>
    <w:r w:rsidR="000B79F0">
      <w:rPr>
        <w:sz w:val="18"/>
        <w:szCs w:val="18"/>
      </w:rPr>
      <w:tab/>
    </w:r>
    <w:r w:rsidR="000B79F0">
      <w:rPr>
        <w:sz w:val="18"/>
        <w:szCs w:val="18"/>
      </w:rPr>
      <w:tab/>
    </w:r>
    <w:r w:rsidR="000B79F0">
      <w:rPr>
        <w:sz w:val="18"/>
        <w:szCs w:val="18"/>
      </w:rPr>
      <w:tab/>
    </w:r>
    <w:r w:rsidR="000B79F0">
      <w:rPr>
        <w:sz w:val="18"/>
        <w:szCs w:val="18"/>
      </w:rPr>
      <w:tab/>
    </w:r>
    <w:r w:rsidR="000B79F0">
      <w:rPr>
        <w:sz w:val="18"/>
        <w:szCs w:val="18"/>
      </w:rPr>
      <w:tab/>
    </w:r>
    <w:r w:rsidR="000B79F0">
      <w:rPr>
        <w:sz w:val="18"/>
        <w:szCs w:val="18"/>
      </w:rPr>
      <w:tab/>
    </w:r>
    <w:r w:rsidR="000B79F0">
      <w:rPr>
        <w:sz w:val="18"/>
        <w:szCs w:val="18"/>
      </w:rPr>
      <w:tab/>
    </w:r>
    <w:r w:rsidR="000B79F0">
      <w:rPr>
        <w:sz w:val="18"/>
        <w:szCs w:val="18"/>
      </w:rPr>
      <w:tab/>
    </w:r>
    <w:r w:rsidR="000B79F0">
      <w:rPr>
        <w:sz w:val="18"/>
        <w:szCs w:val="18"/>
      </w:rPr>
      <w:tab/>
    </w:r>
    <w:r w:rsidR="00832381" w:rsidRPr="0039118D">
      <w:rPr>
        <w:rStyle w:val="PageNumber"/>
        <w:sz w:val="20"/>
        <w:szCs w:val="20"/>
      </w:rPr>
      <w:t xml:space="preserve">Page </w:t>
    </w:r>
    <w:r w:rsidR="00832381" w:rsidRPr="0039118D">
      <w:rPr>
        <w:rStyle w:val="PageNumber"/>
        <w:sz w:val="20"/>
        <w:szCs w:val="20"/>
      </w:rPr>
      <w:fldChar w:fldCharType="begin"/>
    </w:r>
    <w:r w:rsidR="00832381" w:rsidRPr="0039118D">
      <w:rPr>
        <w:rStyle w:val="PageNumber"/>
        <w:sz w:val="20"/>
        <w:szCs w:val="20"/>
      </w:rPr>
      <w:instrText xml:space="preserve"> PAGE </w:instrText>
    </w:r>
    <w:r w:rsidR="00832381" w:rsidRPr="0039118D">
      <w:rPr>
        <w:rStyle w:val="PageNumber"/>
        <w:sz w:val="20"/>
        <w:szCs w:val="20"/>
      </w:rPr>
      <w:fldChar w:fldCharType="separate"/>
    </w:r>
    <w:r w:rsidR="00832381">
      <w:rPr>
        <w:rStyle w:val="PageNumber"/>
        <w:noProof/>
        <w:sz w:val="20"/>
        <w:szCs w:val="20"/>
      </w:rPr>
      <w:t>20</w:t>
    </w:r>
    <w:r w:rsidR="00832381" w:rsidRPr="0039118D">
      <w:rPr>
        <w:rStyle w:val="PageNumber"/>
        <w:sz w:val="20"/>
        <w:szCs w:val="20"/>
      </w:rPr>
      <w:fldChar w:fldCharType="end"/>
    </w:r>
    <w:r w:rsidR="00832381" w:rsidRPr="0039118D">
      <w:rPr>
        <w:rStyle w:val="PageNumber"/>
        <w:sz w:val="20"/>
        <w:szCs w:val="20"/>
      </w:rPr>
      <w:t xml:space="preserve"> of </w:t>
    </w:r>
    <w:r w:rsidR="00832381" w:rsidRPr="0039118D">
      <w:rPr>
        <w:rStyle w:val="PageNumber"/>
        <w:sz w:val="20"/>
        <w:szCs w:val="20"/>
      </w:rPr>
      <w:fldChar w:fldCharType="begin"/>
    </w:r>
    <w:r w:rsidR="00832381" w:rsidRPr="0039118D">
      <w:rPr>
        <w:rStyle w:val="PageNumber"/>
        <w:sz w:val="20"/>
        <w:szCs w:val="20"/>
      </w:rPr>
      <w:instrText xml:space="preserve"> NUMPAGES </w:instrText>
    </w:r>
    <w:r w:rsidR="00832381" w:rsidRPr="0039118D">
      <w:rPr>
        <w:rStyle w:val="PageNumber"/>
        <w:sz w:val="20"/>
        <w:szCs w:val="20"/>
      </w:rPr>
      <w:fldChar w:fldCharType="separate"/>
    </w:r>
    <w:r w:rsidR="00832381">
      <w:rPr>
        <w:rStyle w:val="PageNumber"/>
        <w:noProof/>
        <w:sz w:val="20"/>
        <w:szCs w:val="20"/>
      </w:rPr>
      <w:t>20</w:t>
    </w:r>
    <w:r w:rsidR="00832381" w:rsidRPr="0039118D">
      <w:rPr>
        <w:rStyle w:val="PageNumber"/>
        <w:sz w:val="20"/>
        <w:szCs w:val="20"/>
      </w:rPr>
      <w:fldChar w:fldCharType="end"/>
    </w:r>
  </w:p>
  <w:p w14:paraId="51EDB161" w14:textId="5FB77F0F" w:rsidR="00832381" w:rsidRDefault="00832381" w:rsidP="007A7EC8">
    <w:pPr>
      <w:pStyle w:val="NICEnormalsinglespacing"/>
      <w:spacing w:after="120"/>
      <w:rPr>
        <w:sz w:val="18"/>
        <w:szCs w:val="18"/>
      </w:rPr>
    </w:pPr>
    <w:r w:rsidRPr="003D33FB">
      <w:rPr>
        <w:sz w:val="18"/>
        <w:szCs w:val="18"/>
      </w:rPr>
      <w:t xml:space="preserve">Issue date: </w:t>
    </w:r>
    <w:r w:rsidR="007F70D2">
      <w:rPr>
        <w:sz w:val="18"/>
        <w:szCs w:val="18"/>
      </w:rPr>
      <w:t xml:space="preserve">December </w:t>
    </w:r>
    <w:r w:rsidR="006A68C2">
      <w:rPr>
        <w:sz w:val="18"/>
        <w:szCs w:val="18"/>
      </w:rPr>
      <w:t>2024</w:t>
    </w:r>
  </w:p>
  <w:p w14:paraId="26BAAEBB" w14:textId="457B655C" w:rsidR="00832381" w:rsidRPr="007A7EC8" w:rsidRDefault="00832381" w:rsidP="007A7EC8">
    <w:pPr>
      <w:pStyle w:val="NICEnormalsinglespacing"/>
      <w:spacing w:after="120"/>
    </w:pPr>
    <w:r>
      <w:rPr>
        <w:sz w:val="18"/>
        <w:szCs w:val="18"/>
      </w:rPr>
      <w:t xml:space="preserve">© NICE </w:t>
    </w:r>
    <w:r w:rsidR="009B69FD">
      <w:rPr>
        <w:sz w:val="18"/>
        <w:szCs w:val="18"/>
      </w:rPr>
      <w:t>2024</w:t>
    </w:r>
    <w:r>
      <w:rPr>
        <w:sz w:val="18"/>
        <w:szCs w:val="18"/>
      </w:rPr>
      <w:t xml:space="preserve">. All rights reserved. Subject to </w:t>
    </w:r>
    <w:hyperlink r:id="rId1" w:history="1">
      <w:r>
        <w:rPr>
          <w:rStyle w:val="Hyperlink"/>
          <w:sz w:val="18"/>
          <w:szCs w:val="18"/>
        </w:rPr>
        <w:t>Notice of rights</w:t>
      </w:r>
    </w:hyperlink>
    <w:r w:rsidRPr="00D40674">
      <w:rPr>
        <w:sz w:val="18"/>
        <w:szCs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28482D" w14:textId="77777777" w:rsidR="00637298" w:rsidRDefault="00637298">
      <w:r>
        <w:separator/>
      </w:r>
    </w:p>
  </w:footnote>
  <w:footnote w:type="continuationSeparator" w:id="0">
    <w:p w14:paraId="648F7DDD" w14:textId="77777777" w:rsidR="00637298" w:rsidRDefault="00637298">
      <w:r>
        <w:continuationSeparator/>
      </w:r>
    </w:p>
  </w:footnote>
  <w:footnote w:type="continuationNotice" w:id="1">
    <w:p w14:paraId="77EDD31C" w14:textId="77777777" w:rsidR="00637298" w:rsidRDefault="0063729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73864A" w14:textId="77777777" w:rsidR="00832381" w:rsidRPr="004E6427" w:rsidRDefault="00832381" w:rsidP="004E6427">
    <w:pPr>
      <w:pStyle w:val="Header"/>
      <w:jc w:val="right"/>
      <w:rPr>
        <w:b/>
      </w:rPr>
    </w:pPr>
    <w:r w:rsidRPr="004E6427">
      <w:rPr>
        <w:b/>
      </w:rPr>
      <w:t>CONFIDENTIAL</w:t>
    </w:r>
    <w:r>
      <w:rPr>
        <w:b/>
      </w:rPr>
      <w:t xml:space="preserve"> UNTIL PUBLISHED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9D0FAC"/>
    <w:multiLevelType w:val="multilevel"/>
    <w:tmpl w:val="1C3EDB96"/>
    <w:lvl w:ilvl="0">
      <w:start w:val="1"/>
      <w:numFmt w:val="bullet"/>
      <w:pStyle w:val="Bulletindent1"/>
      <w:lvlText w:val=""/>
      <w:lvlJc w:val="left"/>
      <w:pPr>
        <w:tabs>
          <w:tab w:val="num" w:pos="1418"/>
        </w:tabs>
        <w:ind w:left="1418" w:hanging="284"/>
      </w:pPr>
      <w:rPr>
        <w:rFonts w:ascii="Symbol" w:hAnsi="Symbol" w:hint="default"/>
        <w:color w:val="auto"/>
      </w:rPr>
    </w:lvl>
    <w:lvl w:ilvl="1">
      <w:start w:val="1"/>
      <w:numFmt w:val="bullet"/>
      <w:lvlText w:val=""/>
      <w:lvlJc w:val="left"/>
      <w:pPr>
        <w:tabs>
          <w:tab w:val="num" w:pos="1701"/>
        </w:tabs>
        <w:ind w:left="1701" w:hanging="283"/>
      </w:pPr>
      <w:rPr>
        <w:rFonts w:ascii="Symbol" w:hAnsi="Symbol" w:hint="default"/>
      </w:rPr>
    </w:lvl>
    <w:lvl w:ilvl="2">
      <w:start w:val="1"/>
      <w:numFmt w:val="bullet"/>
      <w:lvlText w:val=""/>
      <w:lvlJc w:val="left"/>
      <w:pPr>
        <w:tabs>
          <w:tab w:val="num" w:pos="1985"/>
        </w:tabs>
        <w:ind w:left="1985" w:hanging="284"/>
      </w:pPr>
      <w:rPr>
        <w:rFonts w:ascii="Symbol" w:hAnsi="Symbol" w:hint="default"/>
        <w:color w:val="auto"/>
      </w:rPr>
    </w:lvl>
    <w:lvl w:ilvl="3">
      <w:start w:val="1"/>
      <w:numFmt w:val="decimal"/>
      <w:lvlText w:val="%1.%2.%3.%4"/>
      <w:lvlJc w:val="left"/>
      <w:pPr>
        <w:tabs>
          <w:tab w:val="num" w:pos="1968"/>
        </w:tabs>
        <w:ind w:left="1968" w:hanging="964"/>
      </w:pPr>
      <w:rPr>
        <w:rFonts w:hint="default"/>
      </w:rPr>
    </w:lvl>
    <w:lvl w:ilvl="4">
      <w:start w:val="1"/>
      <w:numFmt w:val="decimal"/>
      <w:lvlText w:val="%1.%2.%3.%4.%5."/>
      <w:lvlJc w:val="left"/>
      <w:pPr>
        <w:tabs>
          <w:tab w:val="num" w:pos="5324"/>
        </w:tabs>
        <w:ind w:left="3236" w:hanging="792"/>
      </w:pPr>
      <w:rPr>
        <w:rFonts w:hint="default"/>
      </w:rPr>
    </w:lvl>
    <w:lvl w:ilvl="5">
      <w:start w:val="1"/>
      <w:numFmt w:val="decimal"/>
      <w:lvlText w:val="%1.%2.%3.%4.%5.%6."/>
      <w:lvlJc w:val="left"/>
      <w:pPr>
        <w:tabs>
          <w:tab w:val="num" w:pos="6404"/>
        </w:tabs>
        <w:ind w:left="3740" w:hanging="936"/>
      </w:pPr>
      <w:rPr>
        <w:rFonts w:hint="default"/>
      </w:rPr>
    </w:lvl>
    <w:lvl w:ilvl="6">
      <w:start w:val="1"/>
      <w:numFmt w:val="decimal"/>
      <w:lvlText w:val="%1.%2.%3.%4.%5.%6.%7."/>
      <w:lvlJc w:val="left"/>
      <w:pPr>
        <w:tabs>
          <w:tab w:val="num" w:pos="7484"/>
        </w:tabs>
        <w:ind w:left="4244" w:hanging="1080"/>
      </w:pPr>
      <w:rPr>
        <w:rFonts w:hint="default"/>
      </w:rPr>
    </w:lvl>
    <w:lvl w:ilvl="7">
      <w:start w:val="1"/>
      <w:numFmt w:val="decimal"/>
      <w:lvlText w:val="%1.%2.%3.%4.%5.%6.%7.%8."/>
      <w:lvlJc w:val="left"/>
      <w:pPr>
        <w:tabs>
          <w:tab w:val="num" w:pos="8204"/>
        </w:tabs>
        <w:ind w:left="4748" w:hanging="1224"/>
      </w:pPr>
      <w:rPr>
        <w:rFonts w:hint="default"/>
      </w:rPr>
    </w:lvl>
    <w:lvl w:ilvl="8">
      <w:start w:val="1"/>
      <w:numFmt w:val="decimal"/>
      <w:lvlText w:val="%1.%2.%3.%4.%5.%6.%7.%8.%9."/>
      <w:lvlJc w:val="left"/>
      <w:pPr>
        <w:tabs>
          <w:tab w:val="num" w:pos="9284"/>
        </w:tabs>
        <w:ind w:left="5324" w:hanging="1440"/>
      </w:pPr>
      <w:rPr>
        <w:rFonts w:hint="default"/>
      </w:rPr>
    </w:lvl>
  </w:abstractNum>
  <w:abstractNum w:abstractNumId="1" w15:restartNumberingAfterBreak="0">
    <w:nsid w:val="0B377270"/>
    <w:multiLevelType w:val="multilevel"/>
    <w:tmpl w:val="2B6892E8"/>
    <w:lvl w:ilvl="0">
      <w:start w:val="1"/>
      <w:numFmt w:val="bullet"/>
      <w:lvlText w:val=""/>
      <w:lvlJc w:val="left"/>
      <w:pPr>
        <w:tabs>
          <w:tab w:val="num" w:pos="284"/>
        </w:tabs>
        <w:ind w:left="284" w:hanging="284"/>
      </w:pPr>
      <w:rPr>
        <w:rFonts w:ascii="Symbol" w:hAnsi="Symbol" w:hint="default"/>
        <w:color w:val="auto"/>
      </w:rPr>
    </w:lvl>
    <w:lvl w:ilvl="1">
      <w:start w:val="1"/>
      <w:numFmt w:val="bullet"/>
      <w:pStyle w:val="Bulletleft2"/>
      <w:lvlText w:val=""/>
      <w:lvlJc w:val="left"/>
      <w:pPr>
        <w:tabs>
          <w:tab w:val="num" w:pos="567"/>
        </w:tabs>
        <w:ind w:left="567" w:hanging="283"/>
      </w:pPr>
      <w:rPr>
        <w:rFonts w:ascii="Symbol" w:hAnsi="Symbol" w:hint="default"/>
      </w:rPr>
    </w:lvl>
    <w:lvl w:ilvl="2">
      <w:start w:val="1"/>
      <w:numFmt w:val="bullet"/>
      <w:lvlText w:val=""/>
      <w:lvlJc w:val="left"/>
      <w:pPr>
        <w:tabs>
          <w:tab w:val="num" w:pos="1364"/>
        </w:tabs>
        <w:ind w:left="1364" w:hanging="360"/>
      </w:pPr>
      <w:rPr>
        <w:rFonts w:ascii="Symbol" w:hAnsi="Symbol" w:hint="default"/>
        <w:color w:val="auto"/>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abstractNum w:abstractNumId="2" w15:restartNumberingAfterBreak="0">
    <w:nsid w:val="15017405"/>
    <w:multiLevelType w:val="multilevel"/>
    <w:tmpl w:val="B0A899F0"/>
    <w:lvl w:ilvl="0">
      <w:start w:val="1"/>
      <w:numFmt w:val="bullet"/>
      <w:pStyle w:val="Bulletleft1"/>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7"/>
        </w:tabs>
        <w:ind w:left="567" w:hanging="283"/>
      </w:pPr>
      <w:rPr>
        <w:rFonts w:ascii="Symbol" w:hAnsi="Symbol" w:hint="default"/>
      </w:rPr>
    </w:lvl>
    <w:lvl w:ilvl="2">
      <w:start w:val="1"/>
      <w:numFmt w:val="bullet"/>
      <w:lvlText w:val=""/>
      <w:lvlJc w:val="left"/>
      <w:pPr>
        <w:tabs>
          <w:tab w:val="num" w:pos="851"/>
        </w:tabs>
        <w:ind w:left="851" w:hanging="284"/>
      </w:pPr>
      <w:rPr>
        <w:rFonts w:ascii="Symbol" w:hAnsi="Symbol" w:hint="default"/>
        <w:color w:val="auto"/>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abstractNum w:abstractNumId="3" w15:restartNumberingAfterBreak="0">
    <w:nsid w:val="1B8D3711"/>
    <w:multiLevelType w:val="hybridMultilevel"/>
    <w:tmpl w:val="12EE7D60"/>
    <w:lvl w:ilvl="0" w:tplc="C6A8CC88">
      <w:start w:val="4"/>
      <w:numFmt w:val="bullet"/>
      <w:pStyle w:val="Bulletleft1last"/>
      <w:lvlText w:val=""/>
      <w:lvlJc w:val="left"/>
      <w:pPr>
        <w:tabs>
          <w:tab w:val="num" w:pos="284"/>
        </w:tabs>
        <w:ind w:left="284" w:hanging="284"/>
      </w:pPr>
      <w:rPr>
        <w:rFonts w:ascii="Symbol" w:hAnsi="Symbol" w:hint="default"/>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2C22BA8"/>
    <w:multiLevelType w:val="hybridMultilevel"/>
    <w:tmpl w:val="3036EDD8"/>
    <w:lvl w:ilvl="0" w:tplc="F8FC6110">
      <w:start w:val="4"/>
      <w:numFmt w:val="bullet"/>
      <w:pStyle w:val="Bulletindent1last"/>
      <w:lvlText w:val=""/>
      <w:lvlJc w:val="left"/>
      <w:pPr>
        <w:tabs>
          <w:tab w:val="num" w:pos="1418"/>
        </w:tabs>
        <w:ind w:left="1418" w:hanging="284"/>
      </w:pPr>
      <w:rPr>
        <w:rFonts w:ascii="Symbol" w:hAnsi="Symbol" w:hint="default"/>
        <w:color w:val="auto"/>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9CC3584"/>
    <w:multiLevelType w:val="multilevel"/>
    <w:tmpl w:val="16BED270"/>
    <w:lvl w:ilvl="0">
      <w:start w:val="1"/>
      <w:numFmt w:val="decimal"/>
      <w:pStyle w:val="Numberedheading1"/>
      <w:lvlText w:val="%1"/>
      <w:lvlJc w:val="left"/>
      <w:pPr>
        <w:tabs>
          <w:tab w:val="num" w:pos="1134"/>
        </w:tabs>
        <w:ind w:left="1134" w:hanging="1134"/>
      </w:pPr>
      <w:rPr>
        <w:rFonts w:hint="default"/>
      </w:rPr>
    </w:lvl>
    <w:lvl w:ilvl="1">
      <w:start w:val="4"/>
      <w:numFmt w:val="decimal"/>
      <w:pStyle w:val="Numberedlevel2text"/>
      <w:lvlText w:val="%1.%2"/>
      <w:lvlJc w:val="left"/>
      <w:pPr>
        <w:tabs>
          <w:tab w:val="num" w:pos="1134"/>
        </w:tabs>
        <w:ind w:left="1134" w:hanging="1134"/>
      </w:pPr>
      <w:rPr>
        <w:rFonts w:hint="default"/>
        <w:b w:val="0"/>
        <w:bCs w:val="0"/>
      </w:rPr>
    </w:lvl>
    <w:lvl w:ilvl="2">
      <w:start w:val="1"/>
      <w:numFmt w:val="decimal"/>
      <w:lvlText w:val="%1.%2.%3"/>
      <w:lvlJc w:val="left"/>
      <w:pPr>
        <w:tabs>
          <w:tab w:val="num" w:pos="1134"/>
        </w:tabs>
        <w:ind w:left="1134" w:hanging="1134"/>
      </w:pPr>
      <w:rPr>
        <w:rFonts w:hint="default"/>
      </w:rPr>
    </w:lvl>
    <w:lvl w:ilvl="3">
      <w:start w:val="1"/>
      <w:numFmt w:val="decimal"/>
      <w:lvlText w:val="%1.%2.%3.%4"/>
      <w:lvlJc w:val="left"/>
      <w:pPr>
        <w:tabs>
          <w:tab w:val="num" w:pos="1134"/>
        </w:tabs>
        <w:ind w:left="1134" w:hanging="1134"/>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400"/>
        </w:tabs>
        <w:ind w:left="2736" w:hanging="936"/>
      </w:pPr>
      <w:rPr>
        <w:rFonts w:hint="default"/>
      </w:rPr>
    </w:lvl>
    <w:lvl w:ilvl="6">
      <w:start w:val="1"/>
      <w:numFmt w:val="decimal"/>
      <w:lvlText w:val="%1.%2.%3.%4.%5.%6.%7."/>
      <w:lvlJc w:val="left"/>
      <w:pPr>
        <w:tabs>
          <w:tab w:val="num" w:pos="6480"/>
        </w:tabs>
        <w:ind w:left="3240" w:hanging="1080"/>
      </w:pPr>
      <w:rPr>
        <w:rFonts w:hint="default"/>
      </w:rPr>
    </w:lvl>
    <w:lvl w:ilvl="7">
      <w:start w:val="1"/>
      <w:numFmt w:val="decimal"/>
      <w:lvlText w:val="%1.%2.%3.%4.%5.%6.%7.%8."/>
      <w:lvlJc w:val="left"/>
      <w:pPr>
        <w:tabs>
          <w:tab w:val="num" w:pos="7200"/>
        </w:tabs>
        <w:ind w:left="3744" w:hanging="1224"/>
      </w:pPr>
      <w:rPr>
        <w:rFonts w:hint="default"/>
      </w:rPr>
    </w:lvl>
    <w:lvl w:ilvl="8">
      <w:start w:val="1"/>
      <w:numFmt w:val="decimal"/>
      <w:lvlText w:val="%1.%2.%3.%4.%5.%6.%7.%8.%9."/>
      <w:lvlJc w:val="left"/>
      <w:pPr>
        <w:tabs>
          <w:tab w:val="num" w:pos="8280"/>
        </w:tabs>
        <w:ind w:left="4320" w:hanging="1440"/>
      </w:pPr>
      <w:rPr>
        <w:rFonts w:hint="default"/>
      </w:rPr>
    </w:lvl>
  </w:abstractNum>
  <w:abstractNum w:abstractNumId="6" w15:restartNumberingAfterBreak="0">
    <w:nsid w:val="441B7135"/>
    <w:multiLevelType w:val="multilevel"/>
    <w:tmpl w:val="65E8D622"/>
    <w:lvl w:ilvl="0">
      <w:start w:val="1"/>
      <w:numFmt w:val="bullet"/>
      <w:lvlText w:val=""/>
      <w:lvlJc w:val="left"/>
      <w:pPr>
        <w:tabs>
          <w:tab w:val="num" w:pos="1418"/>
        </w:tabs>
        <w:ind w:left="1418" w:hanging="284"/>
      </w:pPr>
      <w:rPr>
        <w:rFonts w:ascii="Symbol" w:hAnsi="Symbol" w:hint="default"/>
        <w:color w:val="auto"/>
      </w:rPr>
    </w:lvl>
    <w:lvl w:ilvl="1">
      <w:start w:val="1"/>
      <w:numFmt w:val="bullet"/>
      <w:pStyle w:val="Bulletindent2"/>
      <w:lvlText w:val=""/>
      <w:lvlJc w:val="left"/>
      <w:pPr>
        <w:tabs>
          <w:tab w:val="num" w:pos="1701"/>
        </w:tabs>
        <w:ind w:left="1701" w:hanging="283"/>
      </w:pPr>
      <w:rPr>
        <w:rFonts w:ascii="Symbol" w:hAnsi="Symbol" w:hint="default"/>
      </w:rPr>
    </w:lvl>
    <w:lvl w:ilvl="2">
      <w:start w:val="1"/>
      <w:numFmt w:val="decimal"/>
      <w:lvlText w:val="%3.%1.%2"/>
      <w:lvlJc w:val="left"/>
      <w:pPr>
        <w:tabs>
          <w:tab w:val="num" w:pos="1968"/>
        </w:tabs>
        <w:ind w:left="1968" w:hanging="964"/>
      </w:pPr>
      <w:rPr>
        <w:rFonts w:hint="default"/>
      </w:rPr>
    </w:lvl>
    <w:lvl w:ilvl="3">
      <w:start w:val="1"/>
      <w:numFmt w:val="decimal"/>
      <w:lvlText w:val="%1.%2.%3.%4"/>
      <w:lvlJc w:val="left"/>
      <w:pPr>
        <w:tabs>
          <w:tab w:val="num" w:pos="1968"/>
        </w:tabs>
        <w:ind w:left="1968" w:hanging="964"/>
      </w:pPr>
      <w:rPr>
        <w:rFonts w:hint="default"/>
      </w:rPr>
    </w:lvl>
    <w:lvl w:ilvl="4">
      <w:start w:val="1"/>
      <w:numFmt w:val="decimal"/>
      <w:lvlText w:val="%1.%2.%3.%4.%5."/>
      <w:lvlJc w:val="left"/>
      <w:pPr>
        <w:tabs>
          <w:tab w:val="num" w:pos="5324"/>
        </w:tabs>
        <w:ind w:left="3236" w:hanging="792"/>
      </w:pPr>
      <w:rPr>
        <w:rFonts w:hint="default"/>
      </w:rPr>
    </w:lvl>
    <w:lvl w:ilvl="5">
      <w:start w:val="1"/>
      <w:numFmt w:val="decimal"/>
      <w:lvlText w:val="%1.%2.%3.%4.%5.%6."/>
      <w:lvlJc w:val="left"/>
      <w:pPr>
        <w:tabs>
          <w:tab w:val="num" w:pos="6404"/>
        </w:tabs>
        <w:ind w:left="3740" w:hanging="936"/>
      </w:pPr>
      <w:rPr>
        <w:rFonts w:hint="default"/>
      </w:rPr>
    </w:lvl>
    <w:lvl w:ilvl="6">
      <w:start w:val="1"/>
      <w:numFmt w:val="decimal"/>
      <w:lvlText w:val="%1.%2.%3.%4.%5.%6.%7."/>
      <w:lvlJc w:val="left"/>
      <w:pPr>
        <w:tabs>
          <w:tab w:val="num" w:pos="7484"/>
        </w:tabs>
        <w:ind w:left="4244" w:hanging="1080"/>
      </w:pPr>
      <w:rPr>
        <w:rFonts w:hint="default"/>
      </w:rPr>
    </w:lvl>
    <w:lvl w:ilvl="7">
      <w:start w:val="1"/>
      <w:numFmt w:val="decimal"/>
      <w:lvlText w:val="%1.%2.%3.%4.%5.%6.%7.%8."/>
      <w:lvlJc w:val="left"/>
      <w:pPr>
        <w:tabs>
          <w:tab w:val="num" w:pos="8204"/>
        </w:tabs>
        <w:ind w:left="4748" w:hanging="1224"/>
      </w:pPr>
      <w:rPr>
        <w:rFonts w:hint="default"/>
      </w:rPr>
    </w:lvl>
    <w:lvl w:ilvl="8">
      <w:start w:val="1"/>
      <w:numFmt w:val="decimal"/>
      <w:lvlText w:val="%1.%2.%3.%4.%5.%6.%7.%8.%9."/>
      <w:lvlJc w:val="left"/>
      <w:pPr>
        <w:tabs>
          <w:tab w:val="num" w:pos="9284"/>
        </w:tabs>
        <w:ind w:left="5324" w:hanging="1440"/>
      </w:pPr>
      <w:rPr>
        <w:rFonts w:hint="default"/>
      </w:rPr>
    </w:lvl>
  </w:abstractNum>
  <w:abstractNum w:abstractNumId="7" w15:restartNumberingAfterBreak="0">
    <w:nsid w:val="470E2489"/>
    <w:multiLevelType w:val="multilevel"/>
    <w:tmpl w:val="CF7423B4"/>
    <w:lvl w:ilvl="0">
      <w:start w:val="1"/>
      <w:numFmt w:val="bullet"/>
      <w:lvlText w:val=""/>
      <w:lvlJc w:val="left"/>
      <w:pPr>
        <w:tabs>
          <w:tab w:val="num" w:pos="1418"/>
        </w:tabs>
        <w:ind w:left="1418" w:hanging="284"/>
      </w:pPr>
      <w:rPr>
        <w:rFonts w:ascii="Symbol" w:hAnsi="Symbol" w:hint="default"/>
        <w:color w:val="auto"/>
      </w:rPr>
    </w:lvl>
    <w:lvl w:ilvl="1">
      <w:start w:val="1"/>
      <w:numFmt w:val="bullet"/>
      <w:lvlText w:val=""/>
      <w:lvlJc w:val="left"/>
      <w:pPr>
        <w:tabs>
          <w:tab w:val="num" w:pos="1701"/>
        </w:tabs>
        <w:ind w:left="1701" w:hanging="283"/>
      </w:pPr>
      <w:rPr>
        <w:rFonts w:ascii="Symbol" w:hAnsi="Symbol" w:hint="default"/>
      </w:rPr>
    </w:lvl>
    <w:lvl w:ilvl="2">
      <w:start w:val="1"/>
      <w:numFmt w:val="bullet"/>
      <w:pStyle w:val="Bulletindent3"/>
      <w:lvlText w:val=""/>
      <w:lvlJc w:val="left"/>
      <w:pPr>
        <w:tabs>
          <w:tab w:val="num" w:pos="1985"/>
        </w:tabs>
        <w:ind w:left="1985" w:hanging="284"/>
      </w:pPr>
      <w:rPr>
        <w:rFonts w:ascii="Symbol" w:hAnsi="Symbol" w:hint="default"/>
        <w:color w:val="auto"/>
      </w:rPr>
    </w:lvl>
    <w:lvl w:ilvl="3">
      <w:start w:val="1"/>
      <w:numFmt w:val="decimal"/>
      <w:lvlText w:val="%1.%2.%3.%4"/>
      <w:lvlJc w:val="left"/>
      <w:pPr>
        <w:tabs>
          <w:tab w:val="num" w:pos="1968"/>
        </w:tabs>
        <w:ind w:left="1968" w:hanging="964"/>
      </w:pPr>
      <w:rPr>
        <w:rFonts w:hint="default"/>
      </w:rPr>
    </w:lvl>
    <w:lvl w:ilvl="4">
      <w:start w:val="1"/>
      <w:numFmt w:val="decimal"/>
      <w:lvlText w:val="%1.%2.%3.%4.%5."/>
      <w:lvlJc w:val="left"/>
      <w:pPr>
        <w:tabs>
          <w:tab w:val="num" w:pos="5324"/>
        </w:tabs>
        <w:ind w:left="3236" w:hanging="792"/>
      </w:pPr>
      <w:rPr>
        <w:rFonts w:hint="default"/>
      </w:rPr>
    </w:lvl>
    <w:lvl w:ilvl="5">
      <w:start w:val="1"/>
      <w:numFmt w:val="decimal"/>
      <w:lvlText w:val="%1.%2.%3.%4.%5.%6."/>
      <w:lvlJc w:val="left"/>
      <w:pPr>
        <w:tabs>
          <w:tab w:val="num" w:pos="6404"/>
        </w:tabs>
        <w:ind w:left="3740" w:hanging="936"/>
      </w:pPr>
      <w:rPr>
        <w:rFonts w:hint="default"/>
      </w:rPr>
    </w:lvl>
    <w:lvl w:ilvl="6">
      <w:start w:val="1"/>
      <w:numFmt w:val="decimal"/>
      <w:lvlText w:val="%1.%2.%3.%4.%5.%6.%7."/>
      <w:lvlJc w:val="left"/>
      <w:pPr>
        <w:tabs>
          <w:tab w:val="num" w:pos="7484"/>
        </w:tabs>
        <w:ind w:left="4244" w:hanging="1080"/>
      </w:pPr>
      <w:rPr>
        <w:rFonts w:hint="default"/>
      </w:rPr>
    </w:lvl>
    <w:lvl w:ilvl="7">
      <w:start w:val="1"/>
      <w:numFmt w:val="decimal"/>
      <w:lvlText w:val="%1.%2.%3.%4.%5.%6.%7.%8."/>
      <w:lvlJc w:val="left"/>
      <w:pPr>
        <w:tabs>
          <w:tab w:val="num" w:pos="8204"/>
        </w:tabs>
        <w:ind w:left="4748" w:hanging="1224"/>
      </w:pPr>
      <w:rPr>
        <w:rFonts w:hint="default"/>
      </w:rPr>
    </w:lvl>
    <w:lvl w:ilvl="8">
      <w:start w:val="1"/>
      <w:numFmt w:val="decimal"/>
      <w:lvlText w:val="%1.%2.%3.%4.%5.%6.%7.%8.%9."/>
      <w:lvlJc w:val="left"/>
      <w:pPr>
        <w:tabs>
          <w:tab w:val="num" w:pos="9284"/>
        </w:tabs>
        <w:ind w:left="5324" w:hanging="1440"/>
      </w:pPr>
      <w:rPr>
        <w:rFonts w:hint="default"/>
      </w:rPr>
    </w:lvl>
  </w:abstractNum>
  <w:abstractNum w:abstractNumId="8" w15:restartNumberingAfterBreak="0">
    <w:nsid w:val="515A3F96"/>
    <w:multiLevelType w:val="hybridMultilevel"/>
    <w:tmpl w:val="44A27922"/>
    <w:lvl w:ilvl="0" w:tplc="D87233D4">
      <w:start w:val="1"/>
      <w:numFmt w:val="lowerLetter"/>
      <w:pStyle w:val="Section412paragraphs"/>
      <w:lvlText w:val="%1)"/>
      <w:lvlJc w:val="left"/>
      <w:pPr>
        <w:tabs>
          <w:tab w:val="num" w:pos="1134"/>
        </w:tabs>
        <w:ind w:left="1134" w:hanging="1134"/>
      </w:pPr>
      <w:rPr>
        <w:rFonts w:ascii="Arial" w:hAnsi="Arial" w:hint="default"/>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543841DF"/>
    <w:multiLevelType w:val="multilevel"/>
    <w:tmpl w:val="0809001D"/>
    <w:name w:val="numberedheadings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5C533504"/>
    <w:multiLevelType w:val="hybridMultilevel"/>
    <w:tmpl w:val="6786031A"/>
    <w:lvl w:ilvl="0" w:tplc="44D88410">
      <w:start w:val="1"/>
      <w:numFmt w:val="bullet"/>
      <w:pStyle w:val="Panelbullet1"/>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5D90110"/>
    <w:multiLevelType w:val="hybridMultilevel"/>
    <w:tmpl w:val="E3141BBA"/>
    <w:lvl w:ilvl="0" w:tplc="0DA2811C">
      <w:start w:val="1"/>
      <w:numFmt w:val="bullet"/>
      <w:pStyle w:val="Tablebullet"/>
      <w:lvlText w:val=""/>
      <w:lvlJc w:val="left"/>
      <w:pPr>
        <w:ind w:left="360" w:hanging="360"/>
      </w:pPr>
      <w:rPr>
        <w:rFonts w:ascii="Symbol" w:hAnsi="Symbol" w:cs="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12" w15:restartNumberingAfterBreak="0">
    <w:nsid w:val="66C20063"/>
    <w:multiLevelType w:val="multilevel"/>
    <w:tmpl w:val="043E412C"/>
    <w:lvl w:ilvl="0">
      <w:start w:val="1"/>
      <w:numFmt w:val="bullet"/>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7"/>
        </w:tabs>
        <w:ind w:left="567" w:hanging="283"/>
      </w:pPr>
      <w:rPr>
        <w:rFonts w:ascii="Symbol" w:hAnsi="Symbol" w:hint="default"/>
      </w:rPr>
    </w:lvl>
    <w:lvl w:ilvl="2">
      <w:start w:val="1"/>
      <w:numFmt w:val="bullet"/>
      <w:pStyle w:val="Bulletleft3"/>
      <w:lvlText w:val=""/>
      <w:lvlJc w:val="left"/>
      <w:pPr>
        <w:tabs>
          <w:tab w:val="num" w:pos="851"/>
        </w:tabs>
        <w:ind w:left="851" w:hanging="284"/>
      </w:pPr>
      <w:rPr>
        <w:rFonts w:ascii="Symbol" w:hAnsi="Symbol" w:hint="default"/>
        <w:color w:val="auto"/>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abstractNum w:abstractNumId="13" w15:restartNumberingAfterBreak="0">
    <w:nsid w:val="7CB036D1"/>
    <w:multiLevelType w:val="multilevel"/>
    <w:tmpl w:val="61383DB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7E770260"/>
    <w:multiLevelType w:val="multilevel"/>
    <w:tmpl w:val="0809001D"/>
    <w:name w:val="numberedheadings3"/>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1556892071">
    <w:abstractNumId w:val="5"/>
  </w:num>
  <w:num w:numId="2" w16cid:durableId="1484738771">
    <w:abstractNumId w:val="1"/>
  </w:num>
  <w:num w:numId="3" w16cid:durableId="927883589">
    <w:abstractNumId w:val="12"/>
  </w:num>
  <w:num w:numId="4" w16cid:durableId="1134366723">
    <w:abstractNumId w:val="6"/>
  </w:num>
  <w:num w:numId="5" w16cid:durableId="189606392">
    <w:abstractNumId w:val="7"/>
  </w:num>
  <w:num w:numId="6" w16cid:durableId="526791396">
    <w:abstractNumId w:val="0"/>
  </w:num>
  <w:num w:numId="7" w16cid:durableId="1789737020">
    <w:abstractNumId w:val="2"/>
  </w:num>
  <w:num w:numId="8" w16cid:durableId="1764186539">
    <w:abstractNumId w:val="3"/>
  </w:num>
  <w:num w:numId="9" w16cid:durableId="1006596376">
    <w:abstractNumId w:val="4"/>
  </w:num>
  <w:num w:numId="10" w16cid:durableId="47186742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77867006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984433388">
    <w:abstractNumId w:val="11"/>
  </w:num>
  <w:num w:numId="13" w16cid:durableId="1962954480">
    <w:abstractNumId w:val="10"/>
  </w:num>
  <w:num w:numId="14" w16cid:durableId="206456091">
    <w:abstractNumId w:val="8"/>
  </w:num>
  <w:num w:numId="15" w16cid:durableId="889146592">
    <w:abstractNumId w:val="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00677975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64851599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748379723">
    <w:abstractNumId w:val="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133552265">
    <w:abstractNumId w:val="5"/>
  </w:num>
  <w:num w:numId="20" w16cid:durableId="228855928">
    <w:abstractNumId w:val="5"/>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5854365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017971849">
    <w:abstractNumId w:val="5"/>
  </w:num>
  <w:num w:numId="23" w16cid:durableId="1821925005">
    <w:abstractNumId w:val="5"/>
  </w:num>
  <w:num w:numId="24" w16cid:durableId="619338132">
    <w:abstractNumId w:val="5"/>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381593886">
    <w:abstractNumId w:val="5"/>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302200828">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03654729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931931778">
    <w:abstractNumId w:val="5"/>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86701853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936601856">
    <w:abstractNumId w:val="5"/>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721906374">
    <w:abstractNumId w:val="5"/>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362246039">
    <w:abstractNumId w:val="5"/>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42756771">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313368394">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126049375">
    <w:abstractNumId w:val="0"/>
  </w:num>
  <w:num w:numId="36" w16cid:durableId="1883515148">
    <w:abstractNumId w:val="4"/>
  </w:num>
  <w:num w:numId="37" w16cid:durableId="1093553006">
    <w:abstractNumId w:val="5"/>
  </w:num>
  <w:num w:numId="38" w16cid:durableId="138116691">
    <w:abstractNumId w:val="5"/>
  </w:num>
  <w:num w:numId="39" w16cid:durableId="527305011">
    <w:abstractNumId w:val="5"/>
  </w:num>
  <w:num w:numId="40" w16cid:durableId="679426844">
    <w:abstractNumId w:val="5"/>
  </w:num>
  <w:num w:numId="41" w16cid:durableId="1088622798">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602108866">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468786935">
    <w:abstractNumId w:val="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86"/>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0E76"/>
    <w:rsid w:val="00000441"/>
    <w:rsid w:val="00000C98"/>
    <w:rsid w:val="00000D96"/>
    <w:rsid w:val="00001A81"/>
    <w:rsid w:val="00001D18"/>
    <w:rsid w:val="00001D2E"/>
    <w:rsid w:val="00002DC1"/>
    <w:rsid w:val="000030CF"/>
    <w:rsid w:val="00003B04"/>
    <w:rsid w:val="00003D5C"/>
    <w:rsid w:val="00003DE1"/>
    <w:rsid w:val="00004037"/>
    <w:rsid w:val="00004894"/>
    <w:rsid w:val="00004A48"/>
    <w:rsid w:val="00006590"/>
    <w:rsid w:val="000065C8"/>
    <w:rsid w:val="000069A4"/>
    <w:rsid w:val="000069F9"/>
    <w:rsid w:val="00006BB3"/>
    <w:rsid w:val="00007135"/>
    <w:rsid w:val="0000727D"/>
    <w:rsid w:val="00007602"/>
    <w:rsid w:val="00011197"/>
    <w:rsid w:val="000119FB"/>
    <w:rsid w:val="00011A7F"/>
    <w:rsid w:val="00011B55"/>
    <w:rsid w:val="00012306"/>
    <w:rsid w:val="00012B69"/>
    <w:rsid w:val="00014115"/>
    <w:rsid w:val="00014990"/>
    <w:rsid w:val="00014A38"/>
    <w:rsid w:val="0001546A"/>
    <w:rsid w:val="000158C2"/>
    <w:rsid w:val="00015F43"/>
    <w:rsid w:val="00016A22"/>
    <w:rsid w:val="00016E5E"/>
    <w:rsid w:val="00017610"/>
    <w:rsid w:val="000202E5"/>
    <w:rsid w:val="000205C6"/>
    <w:rsid w:val="00020768"/>
    <w:rsid w:val="000213DC"/>
    <w:rsid w:val="000219C0"/>
    <w:rsid w:val="00021FB0"/>
    <w:rsid w:val="000221AA"/>
    <w:rsid w:val="00022B72"/>
    <w:rsid w:val="00022CDC"/>
    <w:rsid w:val="00022D48"/>
    <w:rsid w:val="0002331F"/>
    <w:rsid w:val="0002352B"/>
    <w:rsid w:val="000236CB"/>
    <w:rsid w:val="00023DCE"/>
    <w:rsid w:val="00023F22"/>
    <w:rsid w:val="00023F26"/>
    <w:rsid w:val="0002489C"/>
    <w:rsid w:val="000249F8"/>
    <w:rsid w:val="000252D2"/>
    <w:rsid w:val="0002685F"/>
    <w:rsid w:val="00026E08"/>
    <w:rsid w:val="00026E82"/>
    <w:rsid w:val="00027330"/>
    <w:rsid w:val="0002796F"/>
    <w:rsid w:val="00027B19"/>
    <w:rsid w:val="00030676"/>
    <w:rsid w:val="00030714"/>
    <w:rsid w:val="0003140B"/>
    <w:rsid w:val="0003169E"/>
    <w:rsid w:val="00032391"/>
    <w:rsid w:val="000327A4"/>
    <w:rsid w:val="000328BF"/>
    <w:rsid w:val="00032ACD"/>
    <w:rsid w:val="00032C3A"/>
    <w:rsid w:val="00032E5A"/>
    <w:rsid w:val="0003322C"/>
    <w:rsid w:val="00033520"/>
    <w:rsid w:val="00033B6C"/>
    <w:rsid w:val="00033E89"/>
    <w:rsid w:val="00034110"/>
    <w:rsid w:val="00035AC1"/>
    <w:rsid w:val="00035B53"/>
    <w:rsid w:val="000368FC"/>
    <w:rsid w:val="000376EE"/>
    <w:rsid w:val="00037A6C"/>
    <w:rsid w:val="00037D2E"/>
    <w:rsid w:val="00037F5B"/>
    <w:rsid w:val="000405E1"/>
    <w:rsid w:val="00040E7E"/>
    <w:rsid w:val="00040F8E"/>
    <w:rsid w:val="0004163E"/>
    <w:rsid w:val="000421F8"/>
    <w:rsid w:val="00042E00"/>
    <w:rsid w:val="00043262"/>
    <w:rsid w:val="00044190"/>
    <w:rsid w:val="000444DC"/>
    <w:rsid w:val="00044B58"/>
    <w:rsid w:val="0004538C"/>
    <w:rsid w:val="00045528"/>
    <w:rsid w:val="00046E62"/>
    <w:rsid w:val="00047141"/>
    <w:rsid w:val="00047783"/>
    <w:rsid w:val="00047E58"/>
    <w:rsid w:val="00050445"/>
    <w:rsid w:val="00051B5E"/>
    <w:rsid w:val="00051B66"/>
    <w:rsid w:val="00051DBE"/>
    <w:rsid w:val="00052063"/>
    <w:rsid w:val="00052993"/>
    <w:rsid w:val="00053140"/>
    <w:rsid w:val="000537A7"/>
    <w:rsid w:val="00053853"/>
    <w:rsid w:val="0005391B"/>
    <w:rsid w:val="000545E7"/>
    <w:rsid w:val="00055DDF"/>
    <w:rsid w:val="00056392"/>
    <w:rsid w:val="00056DF9"/>
    <w:rsid w:val="00057008"/>
    <w:rsid w:val="0005746A"/>
    <w:rsid w:val="00057724"/>
    <w:rsid w:val="000606D8"/>
    <w:rsid w:val="00060815"/>
    <w:rsid w:val="00060CB7"/>
    <w:rsid w:val="00061880"/>
    <w:rsid w:val="00061C83"/>
    <w:rsid w:val="00064A5C"/>
    <w:rsid w:val="00065107"/>
    <w:rsid w:val="000658C3"/>
    <w:rsid w:val="00066073"/>
    <w:rsid w:val="0006624B"/>
    <w:rsid w:val="00066B5C"/>
    <w:rsid w:val="000675A9"/>
    <w:rsid w:val="00067CED"/>
    <w:rsid w:val="00067D3D"/>
    <w:rsid w:val="000711F1"/>
    <w:rsid w:val="00071E6D"/>
    <w:rsid w:val="00072ED6"/>
    <w:rsid w:val="0007332E"/>
    <w:rsid w:val="00073C72"/>
    <w:rsid w:val="00073CA4"/>
    <w:rsid w:val="00073DA8"/>
    <w:rsid w:val="00074EBC"/>
    <w:rsid w:val="0007533A"/>
    <w:rsid w:val="000755E6"/>
    <w:rsid w:val="000764D3"/>
    <w:rsid w:val="00077FDB"/>
    <w:rsid w:val="00080061"/>
    <w:rsid w:val="00080798"/>
    <w:rsid w:val="00080A47"/>
    <w:rsid w:val="00081445"/>
    <w:rsid w:val="00082114"/>
    <w:rsid w:val="000828E4"/>
    <w:rsid w:val="00082F63"/>
    <w:rsid w:val="00082F77"/>
    <w:rsid w:val="000834AE"/>
    <w:rsid w:val="000835A7"/>
    <w:rsid w:val="0008366E"/>
    <w:rsid w:val="000840E6"/>
    <w:rsid w:val="00084471"/>
    <w:rsid w:val="000851E1"/>
    <w:rsid w:val="00085C5A"/>
    <w:rsid w:val="00085DC6"/>
    <w:rsid w:val="000862FC"/>
    <w:rsid w:val="00087323"/>
    <w:rsid w:val="000874D3"/>
    <w:rsid w:val="00087886"/>
    <w:rsid w:val="000879ED"/>
    <w:rsid w:val="00087BF9"/>
    <w:rsid w:val="00090108"/>
    <w:rsid w:val="000901F3"/>
    <w:rsid w:val="000908F4"/>
    <w:rsid w:val="00090F62"/>
    <w:rsid w:val="00091096"/>
    <w:rsid w:val="000921A2"/>
    <w:rsid w:val="0009221D"/>
    <w:rsid w:val="00093649"/>
    <w:rsid w:val="00094094"/>
    <w:rsid w:val="00094258"/>
    <w:rsid w:val="0009567E"/>
    <w:rsid w:val="0009573F"/>
    <w:rsid w:val="00095AAA"/>
    <w:rsid w:val="00096246"/>
    <w:rsid w:val="00096923"/>
    <w:rsid w:val="00096F06"/>
    <w:rsid w:val="00097BB9"/>
    <w:rsid w:val="00097CC1"/>
    <w:rsid w:val="00097F93"/>
    <w:rsid w:val="000A08F9"/>
    <w:rsid w:val="000A0A6E"/>
    <w:rsid w:val="000A0F96"/>
    <w:rsid w:val="000A1A20"/>
    <w:rsid w:val="000A1F23"/>
    <w:rsid w:val="000A23DC"/>
    <w:rsid w:val="000A2F64"/>
    <w:rsid w:val="000A361C"/>
    <w:rsid w:val="000A3E5E"/>
    <w:rsid w:val="000A4016"/>
    <w:rsid w:val="000A4048"/>
    <w:rsid w:val="000A4526"/>
    <w:rsid w:val="000A5124"/>
    <w:rsid w:val="000A5210"/>
    <w:rsid w:val="000A533A"/>
    <w:rsid w:val="000A58D2"/>
    <w:rsid w:val="000A5CDE"/>
    <w:rsid w:val="000A5E93"/>
    <w:rsid w:val="000A65A9"/>
    <w:rsid w:val="000A6C40"/>
    <w:rsid w:val="000A6CEF"/>
    <w:rsid w:val="000A6FBC"/>
    <w:rsid w:val="000A710C"/>
    <w:rsid w:val="000B0155"/>
    <w:rsid w:val="000B047A"/>
    <w:rsid w:val="000B09D1"/>
    <w:rsid w:val="000B0FD0"/>
    <w:rsid w:val="000B1027"/>
    <w:rsid w:val="000B17F7"/>
    <w:rsid w:val="000B18DF"/>
    <w:rsid w:val="000B237F"/>
    <w:rsid w:val="000B2D9D"/>
    <w:rsid w:val="000B3CC6"/>
    <w:rsid w:val="000B5915"/>
    <w:rsid w:val="000B5FCD"/>
    <w:rsid w:val="000B68D8"/>
    <w:rsid w:val="000B6CF8"/>
    <w:rsid w:val="000B6D49"/>
    <w:rsid w:val="000B7048"/>
    <w:rsid w:val="000B70D6"/>
    <w:rsid w:val="000B72E2"/>
    <w:rsid w:val="000B76B3"/>
    <w:rsid w:val="000B79F0"/>
    <w:rsid w:val="000B7F7A"/>
    <w:rsid w:val="000C04A1"/>
    <w:rsid w:val="000C05CD"/>
    <w:rsid w:val="000C1542"/>
    <w:rsid w:val="000C15A7"/>
    <w:rsid w:val="000C194F"/>
    <w:rsid w:val="000C2222"/>
    <w:rsid w:val="000C26B6"/>
    <w:rsid w:val="000C27D9"/>
    <w:rsid w:val="000C2A5B"/>
    <w:rsid w:val="000C3504"/>
    <w:rsid w:val="000C3608"/>
    <w:rsid w:val="000C36FE"/>
    <w:rsid w:val="000C3A1A"/>
    <w:rsid w:val="000C41E7"/>
    <w:rsid w:val="000C4F93"/>
    <w:rsid w:val="000C546F"/>
    <w:rsid w:val="000C5534"/>
    <w:rsid w:val="000C574A"/>
    <w:rsid w:val="000C5A63"/>
    <w:rsid w:val="000C61AF"/>
    <w:rsid w:val="000C6F12"/>
    <w:rsid w:val="000D04D2"/>
    <w:rsid w:val="000D09ED"/>
    <w:rsid w:val="000D0A7C"/>
    <w:rsid w:val="000D0A87"/>
    <w:rsid w:val="000D0FB1"/>
    <w:rsid w:val="000D106D"/>
    <w:rsid w:val="000D116B"/>
    <w:rsid w:val="000D11B8"/>
    <w:rsid w:val="000D145B"/>
    <w:rsid w:val="000D1AEA"/>
    <w:rsid w:val="000D1B4E"/>
    <w:rsid w:val="000D1E24"/>
    <w:rsid w:val="000D2428"/>
    <w:rsid w:val="000D2577"/>
    <w:rsid w:val="000D2C6A"/>
    <w:rsid w:val="000D349B"/>
    <w:rsid w:val="000D34CB"/>
    <w:rsid w:val="000D447E"/>
    <w:rsid w:val="000D4509"/>
    <w:rsid w:val="000D4747"/>
    <w:rsid w:val="000D55E3"/>
    <w:rsid w:val="000D5C20"/>
    <w:rsid w:val="000D6016"/>
    <w:rsid w:val="000D68D9"/>
    <w:rsid w:val="000D6E1D"/>
    <w:rsid w:val="000D7185"/>
    <w:rsid w:val="000D72CD"/>
    <w:rsid w:val="000D73A8"/>
    <w:rsid w:val="000D7A3D"/>
    <w:rsid w:val="000E00CE"/>
    <w:rsid w:val="000E017D"/>
    <w:rsid w:val="000E0350"/>
    <w:rsid w:val="000E03CA"/>
    <w:rsid w:val="000E08CE"/>
    <w:rsid w:val="000E1CED"/>
    <w:rsid w:val="000E24BD"/>
    <w:rsid w:val="000E29D1"/>
    <w:rsid w:val="000E3243"/>
    <w:rsid w:val="000E3676"/>
    <w:rsid w:val="000E3A58"/>
    <w:rsid w:val="000E3D56"/>
    <w:rsid w:val="000E5D65"/>
    <w:rsid w:val="000E6F19"/>
    <w:rsid w:val="000E70BB"/>
    <w:rsid w:val="000E774B"/>
    <w:rsid w:val="000F116B"/>
    <w:rsid w:val="000F1B3B"/>
    <w:rsid w:val="000F1C76"/>
    <w:rsid w:val="000F1E3F"/>
    <w:rsid w:val="000F2128"/>
    <w:rsid w:val="000F3DBC"/>
    <w:rsid w:val="000F3FE8"/>
    <w:rsid w:val="000F48EC"/>
    <w:rsid w:val="000F5635"/>
    <w:rsid w:val="000F5D8D"/>
    <w:rsid w:val="000F6815"/>
    <w:rsid w:val="000F75E2"/>
    <w:rsid w:val="000F7D08"/>
    <w:rsid w:val="000F7EBC"/>
    <w:rsid w:val="00100BD4"/>
    <w:rsid w:val="001015A9"/>
    <w:rsid w:val="001017A9"/>
    <w:rsid w:val="00101F34"/>
    <w:rsid w:val="00102B3E"/>
    <w:rsid w:val="001030E1"/>
    <w:rsid w:val="001033D5"/>
    <w:rsid w:val="00103957"/>
    <w:rsid w:val="001039F7"/>
    <w:rsid w:val="00105138"/>
    <w:rsid w:val="00105409"/>
    <w:rsid w:val="001055A6"/>
    <w:rsid w:val="00105B96"/>
    <w:rsid w:val="00105F9F"/>
    <w:rsid w:val="0010721C"/>
    <w:rsid w:val="00107DBD"/>
    <w:rsid w:val="001100A5"/>
    <w:rsid w:val="00110394"/>
    <w:rsid w:val="00110C5D"/>
    <w:rsid w:val="00111166"/>
    <w:rsid w:val="00111D63"/>
    <w:rsid w:val="0011232C"/>
    <w:rsid w:val="00113666"/>
    <w:rsid w:val="001136D2"/>
    <w:rsid w:val="00114162"/>
    <w:rsid w:val="001147A8"/>
    <w:rsid w:val="00114806"/>
    <w:rsid w:val="001169FE"/>
    <w:rsid w:val="00116BDD"/>
    <w:rsid w:val="00116D19"/>
    <w:rsid w:val="00117513"/>
    <w:rsid w:val="00117AC4"/>
    <w:rsid w:val="00117CAF"/>
    <w:rsid w:val="00117EA5"/>
    <w:rsid w:val="001209CD"/>
    <w:rsid w:val="00120A6D"/>
    <w:rsid w:val="00120E31"/>
    <w:rsid w:val="00121459"/>
    <w:rsid w:val="001218FC"/>
    <w:rsid w:val="00121D0E"/>
    <w:rsid w:val="00121E78"/>
    <w:rsid w:val="001230AC"/>
    <w:rsid w:val="0012342C"/>
    <w:rsid w:val="00123B20"/>
    <w:rsid w:val="00123F4B"/>
    <w:rsid w:val="001242B8"/>
    <w:rsid w:val="00124604"/>
    <w:rsid w:val="0012509A"/>
    <w:rsid w:val="001252BE"/>
    <w:rsid w:val="001256F9"/>
    <w:rsid w:val="0012577C"/>
    <w:rsid w:val="00125EA8"/>
    <w:rsid w:val="00126329"/>
    <w:rsid w:val="001265C0"/>
    <w:rsid w:val="00126FA2"/>
    <w:rsid w:val="00127564"/>
    <w:rsid w:val="00127786"/>
    <w:rsid w:val="00127AC7"/>
    <w:rsid w:val="00132849"/>
    <w:rsid w:val="00132885"/>
    <w:rsid w:val="001337B7"/>
    <w:rsid w:val="00133921"/>
    <w:rsid w:val="00133EC7"/>
    <w:rsid w:val="00134274"/>
    <w:rsid w:val="001344B3"/>
    <w:rsid w:val="00135193"/>
    <w:rsid w:val="001356CA"/>
    <w:rsid w:val="001359B2"/>
    <w:rsid w:val="00135B05"/>
    <w:rsid w:val="00136285"/>
    <w:rsid w:val="001362DF"/>
    <w:rsid w:val="0013747E"/>
    <w:rsid w:val="00137927"/>
    <w:rsid w:val="00137C09"/>
    <w:rsid w:val="001401CD"/>
    <w:rsid w:val="00140C93"/>
    <w:rsid w:val="00141E3D"/>
    <w:rsid w:val="00142793"/>
    <w:rsid w:val="001428A2"/>
    <w:rsid w:val="00142FFA"/>
    <w:rsid w:val="00143443"/>
    <w:rsid w:val="0014352D"/>
    <w:rsid w:val="00143536"/>
    <w:rsid w:val="0014460B"/>
    <w:rsid w:val="00144F09"/>
    <w:rsid w:val="0014581E"/>
    <w:rsid w:val="00145835"/>
    <w:rsid w:val="00145B2F"/>
    <w:rsid w:val="00145E0E"/>
    <w:rsid w:val="001464B2"/>
    <w:rsid w:val="0014758C"/>
    <w:rsid w:val="0014794A"/>
    <w:rsid w:val="00147B92"/>
    <w:rsid w:val="00147FF0"/>
    <w:rsid w:val="001501B9"/>
    <w:rsid w:val="0015034E"/>
    <w:rsid w:val="00150440"/>
    <w:rsid w:val="00150B9E"/>
    <w:rsid w:val="00150FCA"/>
    <w:rsid w:val="00151437"/>
    <w:rsid w:val="00151468"/>
    <w:rsid w:val="0015154B"/>
    <w:rsid w:val="00151D8E"/>
    <w:rsid w:val="00152455"/>
    <w:rsid w:val="0015279A"/>
    <w:rsid w:val="00152C38"/>
    <w:rsid w:val="00153333"/>
    <w:rsid w:val="00153511"/>
    <w:rsid w:val="00153952"/>
    <w:rsid w:val="00153D58"/>
    <w:rsid w:val="00153E1B"/>
    <w:rsid w:val="001540AE"/>
    <w:rsid w:val="001552D3"/>
    <w:rsid w:val="001558AA"/>
    <w:rsid w:val="0015627D"/>
    <w:rsid w:val="0015632F"/>
    <w:rsid w:val="0015640A"/>
    <w:rsid w:val="00156F25"/>
    <w:rsid w:val="0015703B"/>
    <w:rsid w:val="0015705A"/>
    <w:rsid w:val="001570BC"/>
    <w:rsid w:val="001572B8"/>
    <w:rsid w:val="001577EF"/>
    <w:rsid w:val="001579BF"/>
    <w:rsid w:val="00157B1B"/>
    <w:rsid w:val="00157E45"/>
    <w:rsid w:val="00157E6E"/>
    <w:rsid w:val="001605AD"/>
    <w:rsid w:val="0016060F"/>
    <w:rsid w:val="00160FD9"/>
    <w:rsid w:val="00161AA0"/>
    <w:rsid w:val="001632FF"/>
    <w:rsid w:val="0016390A"/>
    <w:rsid w:val="00164FEE"/>
    <w:rsid w:val="0016502E"/>
    <w:rsid w:val="001650AB"/>
    <w:rsid w:val="00165193"/>
    <w:rsid w:val="00165EC8"/>
    <w:rsid w:val="001661C2"/>
    <w:rsid w:val="00166233"/>
    <w:rsid w:val="001662BC"/>
    <w:rsid w:val="00166462"/>
    <w:rsid w:val="001664DB"/>
    <w:rsid w:val="001667DC"/>
    <w:rsid w:val="00167459"/>
    <w:rsid w:val="00170355"/>
    <w:rsid w:val="001706F1"/>
    <w:rsid w:val="0017072D"/>
    <w:rsid w:val="00170B60"/>
    <w:rsid w:val="00171797"/>
    <w:rsid w:val="00171964"/>
    <w:rsid w:val="00171A2B"/>
    <w:rsid w:val="00171A34"/>
    <w:rsid w:val="00171AEA"/>
    <w:rsid w:val="00171E4A"/>
    <w:rsid w:val="001742CA"/>
    <w:rsid w:val="00174E2B"/>
    <w:rsid w:val="00175369"/>
    <w:rsid w:val="00175CCF"/>
    <w:rsid w:val="00175E4A"/>
    <w:rsid w:val="00176456"/>
    <w:rsid w:val="00176FB2"/>
    <w:rsid w:val="00177938"/>
    <w:rsid w:val="00177B10"/>
    <w:rsid w:val="0018095B"/>
    <w:rsid w:val="00180FD3"/>
    <w:rsid w:val="001810F0"/>
    <w:rsid w:val="00181AA8"/>
    <w:rsid w:val="00181AC7"/>
    <w:rsid w:val="001823EB"/>
    <w:rsid w:val="00182A25"/>
    <w:rsid w:val="001830D7"/>
    <w:rsid w:val="001833F0"/>
    <w:rsid w:val="00184A64"/>
    <w:rsid w:val="0018557A"/>
    <w:rsid w:val="001867ED"/>
    <w:rsid w:val="0018716E"/>
    <w:rsid w:val="001873CB"/>
    <w:rsid w:val="00187AFB"/>
    <w:rsid w:val="00190462"/>
    <w:rsid w:val="001904D1"/>
    <w:rsid w:val="00190EA7"/>
    <w:rsid w:val="00191A2C"/>
    <w:rsid w:val="00191B56"/>
    <w:rsid w:val="00191E4F"/>
    <w:rsid w:val="00191EEF"/>
    <w:rsid w:val="0019216E"/>
    <w:rsid w:val="001921B7"/>
    <w:rsid w:val="001927EF"/>
    <w:rsid w:val="00193945"/>
    <w:rsid w:val="00193D2D"/>
    <w:rsid w:val="00193D30"/>
    <w:rsid w:val="001956FC"/>
    <w:rsid w:val="00195B4B"/>
    <w:rsid w:val="00196565"/>
    <w:rsid w:val="00196FE1"/>
    <w:rsid w:val="0019718A"/>
    <w:rsid w:val="00197B54"/>
    <w:rsid w:val="001A19D7"/>
    <w:rsid w:val="001A1AE2"/>
    <w:rsid w:val="001A359A"/>
    <w:rsid w:val="001A362F"/>
    <w:rsid w:val="001A3939"/>
    <w:rsid w:val="001A3BD5"/>
    <w:rsid w:val="001A3C41"/>
    <w:rsid w:val="001A3D03"/>
    <w:rsid w:val="001A3E33"/>
    <w:rsid w:val="001A49F0"/>
    <w:rsid w:val="001A4AA5"/>
    <w:rsid w:val="001A4FAB"/>
    <w:rsid w:val="001A5092"/>
    <w:rsid w:val="001A5561"/>
    <w:rsid w:val="001A5B34"/>
    <w:rsid w:val="001A6129"/>
    <w:rsid w:val="001A713B"/>
    <w:rsid w:val="001B1DEF"/>
    <w:rsid w:val="001B1E46"/>
    <w:rsid w:val="001B20F8"/>
    <w:rsid w:val="001B2294"/>
    <w:rsid w:val="001B2DD8"/>
    <w:rsid w:val="001B3667"/>
    <w:rsid w:val="001B3B8E"/>
    <w:rsid w:val="001B4507"/>
    <w:rsid w:val="001B4B6C"/>
    <w:rsid w:val="001B4E3A"/>
    <w:rsid w:val="001B64D7"/>
    <w:rsid w:val="001B6A31"/>
    <w:rsid w:val="001B700B"/>
    <w:rsid w:val="001B7476"/>
    <w:rsid w:val="001B7AC1"/>
    <w:rsid w:val="001B7D5F"/>
    <w:rsid w:val="001B7E00"/>
    <w:rsid w:val="001B7E05"/>
    <w:rsid w:val="001C0C72"/>
    <w:rsid w:val="001C0EF4"/>
    <w:rsid w:val="001C0F20"/>
    <w:rsid w:val="001C20AE"/>
    <w:rsid w:val="001C2457"/>
    <w:rsid w:val="001C29F3"/>
    <w:rsid w:val="001C2B62"/>
    <w:rsid w:val="001C2CAB"/>
    <w:rsid w:val="001C3324"/>
    <w:rsid w:val="001C35F4"/>
    <w:rsid w:val="001C3653"/>
    <w:rsid w:val="001C3981"/>
    <w:rsid w:val="001C489B"/>
    <w:rsid w:val="001C4C1C"/>
    <w:rsid w:val="001C554F"/>
    <w:rsid w:val="001C59E4"/>
    <w:rsid w:val="001C60CC"/>
    <w:rsid w:val="001C6A26"/>
    <w:rsid w:val="001C772D"/>
    <w:rsid w:val="001D00CD"/>
    <w:rsid w:val="001D011E"/>
    <w:rsid w:val="001D0921"/>
    <w:rsid w:val="001D0BFE"/>
    <w:rsid w:val="001D135A"/>
    <w:rsid w:val="001D19DA"/>
    <w:rsid w:val="001D1A3F"/>
    <w:rsid w:val="001D1D43"/>
    <w:rsid w:val="001D293E"/>
    <w:rsid w:val="001D3D9E"/>
    <w:rsid w:val="001D41D8"/>
    <w:rsid w:val="001D4A0A"/>
    <w:rsid w:val="001D4D13"/>
    <w:rsid w:val="001D5087"/>
    <w:rsid w:val="001D5E8F"/>
    <w:rsid w:val="001D7490"/>
    <w:rsid w:val="001E04D5"/>
    <w:rsid w:val="001E05C1"/>
    <w:rsid w:val="001E10AA"/>
    <w:rsid w:val="001E1C8F"/>
    <w:rsid w:val="001E2648"/>
    <w:rsid w:val="001E27E5"/>
    <w:rsid w:val="001E2C48"/>
    <w:rsid w:val="001E2CAF"/>
    <w:rsid w:val="001E3337"/>
    <w:rsid w:val="001E3909"/>
    <w:rsid w:val="001E3B0C"/>
    <w:rsid w:val="001E3B0E"/>
    <w:rsid w:val="001E4B39"/>
    <w:rsid w:val="001E4D37"/>
    <w:rsid w:val="001E4DB8"/>
    <w:rsid w:val="001E5249"/>
    <w:rsid w:val="001E52AF"/>
    <w:rsid w:val="001E637A"/>
    <w:rsid w:val="001E6974"/>
    <w:rsid w:val="001E7637"/>
    <w:rsid w:val="001F0866"/>
    <w:rsid w:val="001F1400"/>
    <w:rsid w:val="001F1756"/>
    <w:rsid w:val="001F1800"/>
    <w:rsid w:val="001F1A41"/>
    <w:rsid w:val="001F2AA8"/>
    <w:rsid w:val="001F3E81"/>
    <w:rsid w:val="001F42C4"/>
    <w:rsid w:val="001F4847"/>
    <w:rsid w:val="001F4AE9"/>
    <w:rsid w:val="001F4F3C"/>
    <w:rsid w:val="001F51AB"/>
    <w:rsid w:val="001F5352"/>
    <w:rsid w:val="001F5E7C"/>
    <w:rsid w:val="001F6078"/>
    <w:rsid w:val="001F7251"/>
    <w:rsid w:val="001F7E40"/>
    <w:rsid w:val="002006E8"/>
    <w:rsid w:val="00200D24"/>
    <w:rsid w:val="002012DD"/>
    <w:rsid w:val="002014DB"/>
    <w:rsid w:val="0020221C"/>
    <w:rsid w:val="0020230B"/>
    <w:rsid w:val="00202655"/>
    <w:rsid w:val="00202749"/>
    <w:rsid w:val="00202B57"/>
    <w:rsid w:val="00203460"/>
    <w:rsid w:val="0020396A"/>
    <w:rsid w:val="00204B18"/>
    <w:rsid w:val="00204F82"/>
    <w:rsid w:val="002051B8"/>
    <w:rsid w:val="00205DE1"/>
    <w:rsid w:val="00206580"/>
    <w:rsid w:val="00206A06"/>
    <w:rsid w:val="002071F4"/>
    <w:rsid w:val="00207C6C"/>
    <w:rsid w:val="00207C7D"/>
    <w:rsid w:val="0021043A"/>
    <w:rsid w:val="00210464"/>
    <w:rsid w:val="0021081C"/>
    <w:rsid w:val="00210C2D"/>
    <w:rsid w:val="0021175E"/>
    <w:rsid w:val="002119CD"/>
    <w:rsid w:val="002126FD"/>
    <w:rsid w:val="00212A27"/>
    <w:rsid w:val="002134A8"/>
    <w:rsid w:val="0021503E"/>
    <w:rsid w:val="002150EF"/>
    <w:rsid w:val="002159C9"/>
    <w:rsid w:val="00215DE3"/>
    <w:rsid w:val="002164AE"/>
    <w:rsid w:val="0021659E"/>
    <w:rsid w:val="00216699"/>
    <w:rsid w:val="0021681B"/>
    <w:rsid w:val="00216852"/>
    <w:rsid w:val="00216C0D"/>
    <w:rsid w:val="00216C4D"/>
    <w:rsid w:val="00217FB0"/>
    <w:rsid w:val="00220489"/>
    <w:rsid w:val="00220B81"/>
    <w:rsid w:val="002210B2"/>
    <w:rsid w:val="0022131C"/>
    <w:rsid w:val="002218BC"/>
    <w:rsid w:val="00221AA8"/>
    <w:rsid w:val="0022257F"/>
    <w:rsid w:val="00222BEA"/>
    <w:rsid w:val="00222D66"/>
    <w:rsid w:val="00222F71"/>
    <w:rsid w:val="0022318D"/>
    <w:rsid w:val="00223610"/>
    <w:rsid w:val="00224463"/>
    <w:rsid w:val="002251DE"/>
    <w:rsid w:val="00225318"/>
    <w:rsid w:val="00225439"/>
    <w:rsid w:val="002257D5"/>
    <w:rsid w:val="00225F9B"/>
    <w:rsid w:val="002276F1"/>
    <w:rsid w:val="00230A92"/>
    <w:rsid w:val="00231016"/>
    <w:rsid w:val="00231567"/>
    <w:rsid w:val="00231D09"/>
    <w:rsid w:val="00232061"/>
    <w:rsid w:val="00233528"/>
    <w:rsid w:val="00233FE1"/>
    <w:rsid w:val="00234072"/>
    <w:rsid w:val="00234BE3"/>
    <w:rsid w:val="00234CD1"/>
    <w:rsid w:val="002350C3"/>
    <w:rsid w:val="002357FD"/>
    <w:rsid w:val="00235945"/>
    <w:rsid w:val="00235CAB"/>
    <w:rsid w:val="002365F4"/>
    <w:rsid w:val="0023704E"/>
    <w:rsid w:val="00237140"/>
    <w:rsid w:val="00240159"/>
    <w:rsid w:val="002402F9"/>
    <w:rsid w:val="00240870"/>
    <w:rsid w:val="0024095D"/>
    <w:rsid w:val="0024135A"/>
    <w:rsid w:val="002416D1"/>
    <w:rsid w:val="00241713"/>
    <w:rsid w:val="002425C1"/>
    <w:rsid w:val="00243301"/>
    <w:rsid w:val="002436C1"/>
    <w:rsid w:val="002447CA"/>
    <w:rsid w:val="002449E1"/>
    <w:rsid w:val="0024556A"/>
    <w:rsid w:val="002458C4"/>
    <w:rsid w:val="00245E4C"/>
    <w:rsid w:val="0024636C"/>
    <w:rsid w:val="00246B69"/>
    <w:rsid w:val="00246CF9"/>
    <w:rsid w:val="00247550"/>
    <w:rsid w:val="002478FD"/>
    <w:rsid w:val="00247F45"/>
    <w:rsid w:val="002506DD"/>
    <w:rsid w:val="00250B9D"/>
    <w:rsid w:val="00251B69"/>
    <w:rsid w:val="00251C24"/>
    <w:rsid w:val="00253A9F"/>
    <w:rsid w:val="00253B54"/>
    <w:rsid w:val="00253EB9"/>
    <w:rsid w:val="002547FF"/>
    <w:rsid w:val="00254C8B"/>
    <w:rsid w:val="002550A6"/>
    <w:rsid w:val="002555BE"/>
    <w:rsid w:val="00255679"/>
    <w:rsid w:val="00255746"/>
    <w:rsid w:val="002557E9"/>
    <w:rsid w:val="002558D9"/>
    <w:rsid w:val="002565A3"/>
    <w:rsid w:val="00257851"/>
    <w:rsid w:val="00257B1C"/>
    <w:rsid w:val="0026003A"/>
    <w:rsid w:val="00260136"/>
    <w:rsid w:val="00260E61"/>
    <w:rsid w:val="002614EA"/>
    <w:rsid w:val="00261D60"/>
    <w:rsid w:val="002621FC"/>
    <w:rsid w:val="0026229D"/>
    <w:rsid w:val="0026275C"/>
    <w:rsid w:val="0026280D"/>
    <w:rsid w:val="00262D9F"/>
    <w:rsid w:val="00262F2B"/>
    <w:rsid w:val="00263917"/>
    <w:rsid w:val="00264F3A"/>
    <w:rsid w:val="002657E3"/>
    <w:rsid w:val="00265B0E"/>
    <w:rsid w:val="00265BCD"/>
    <w:rsid w:val="00265E5F"/>
    <w:rsid w:val="0026697F"/>
    <w:rsid w:val="002669FC"/>
    <w:rsid w:val="00266ABE"/>
    <w:rsid w:val="00267549"/>
    <w:rsid w:val="00267D23"/>
    <w:rsid w:val="00270C3E"/>
    <w:rsid w:val="00271603"/>
    <w:rsid w:val="00271E21"/>
    <w:rsid w:val="002728AF"/>
    <w:rsid w:val="002729B4"/>
    <w:rsid w:val="00273B80"/>
    <w:rsid w:val="002760D8"/>
    <w:rsid w:val="0027681D"/>
    <w:rsid w:val="00276D0B"/>
    <w:rsid w:val="002775E6"/>
    <w:rsid w:val="00277851"/>
    <w:rsid w:val="00280A48"/>
    <w:rsid w:val="0028164D"/>
    <w:rsid w:val="00281795"/>
    <w:rsid w:val="00281EBA"/>
    <w:rsid w:val="00282C30"/>
    <w:rsid w:val="00282D7E"/>
    <w:rsid w:val="00283D84"/>
    <w:rsid w:val="00286E44"/>
    <w:rsid w:val="00287863"/>
    <w:rsid w:val="00287A7B"/>
    <w:rsid w:val="00287E4E"/>
    <w:rsid w:val="002900E5"/>
    <w:rsid w:val="00290394"/>
    <w:rsid w:val="00290445"/>
    <w:rsid w:val="00290669"/>
    <w:rsid w:val="00290868"/>
    <w:rsid w:val="00290EBA"/>
    <w:rsid w:val="00291326"/>
    <w:rsid w:val="00292044"/>
    <w:rsid w:val="00293811"/>
    <w:rsid w:val="00293AA3"/>
    <w:rsid w:val="002942A7"/>
    <w:rsid w:val="00294591"/>
    <w:rsid w:val="00295277"/>
    <w:rsid w:val="00295B6B"/>
    <w:rsid w:val="00295C75"/>
    <w:rsid w:val="00295FC3"/>
    <w:rsid w:val="0029612A"/>
    <w:rsid w:val="00296B05"/>
    <w:rsid w:val="00297094"/>
    <w:rsid w:val="002978D5"/>
    <w:rsid w:val="002A0111"/>
    <w:rsid w:val="002A0266"/>
    <w:rsid w:val="002A0B00"/>
    <w:rsid w:val="002A1200"/>
    <w:rsid w:val="002A151A"/>
    <w:rsid w:val="002A1568"/>
    <w:rsid w:val="002A1854"/>
    <w:rsid w:val="002A1DA4"/>
    <w:rsid w:val="002A2687"/>
    <w:rsid w:val="002A2847"/>
    <w:rsid w:val="002A28C4"/>
    <w:rsid w:val="002A4063"/>
    <w:rsid w:val="002A42E0"/>
    <w:rsid w:val="002A4496"/>
    <w:rsid w:val="002A4DDC"/>
    <w:rsid w:val="002A557A"/>
    <w:rsid w:val="002A55E0"/>
    <w:rsid w:val="002A5B66"/>
    <w:rsid w:val="002A5C23"/>
    <w:rsid w:val="002A686F"/>
    <w:rsid w:val="002A6D29"/>
    <w:rsid w:val="002A788B"/>
    <w:rsid w:val="002B03EE"/>
    <w:rsid w:val="002B0934"/>
    <w:rsid w:val="002B0BC7"/>
    <w:rsid w:val="002B0BD0"/>
    <w:rsid w:val="002B1D9C"/>
    <w:rsid w:val="002B3340"/>
    <w:rsid w:val="002B3E94"/>
    <w:rsid w:val="002B453A"/>
    <w:rsid w:val="002B4F23"/>
    <w:rsid w:val="002B5770"/>
    <w:rsid w:val="002B5772"/>
    <w:rsid w:val="002B5C8A"/>
    <w:rsid w:val="002B5DCA"/>
    <w:rsid w:val="002B630F"/>
    <w:rsid w:val="002B6C5C"/>
    <w:rsid w:val="002B6D1D"/>
    <w:rsid w:val="002B7098"/>
    <w:rsid w:val="002B70D1"/>
    <w:rsid w:val="002B7702"/>
    <w:rsid w:val="002B7AD9"/>
    <w:rsid w:val="002C0551"/>
    <w:rsid w:val="002C0B88"/>
    <w:rsid w:val="002C0C0C"/>
    <w:rsid w:val="002C257D"/>
    <w:rsid w:val="002C2774"/>
    <w:rsid w:val="002C2992"/>
    <w:rsid w:val="002C2B2C"/>
    <w:rsid w:val="002C33A8"/>
    <w:rsid w:val="002C33FE"/>
    <w:rsid w:val="002C3563"/>
    <w:rsid w:val="002C3717"/>
    <w:rsid w:val="002C381D"/>
    <w:rsid w:val="002C3CFD"/>
    <w:rsid w:val="002C3F58"/>
    <w:rsid w:val="002C4ACD"/>
    <w:rsid w:val="002C5959"/>
    <w:rsid w:val="002C5985"/>
    <w:rsid w:val="002C6DD1"/>
    <w:rsid w:val="002C78D0"/>
    <w:rsid w:val="002D06DF"/>
    <w:rsid w:val="002D079A"/>
    <w:rsid w:val="002D0F83"/>
    <w:rsid w:val="002D3B53"/>
    <w:rsid w:val="002D3D86"/>
    <w:rsid w:val="002D40F1"/>
    <w:rsid w:val="002D43A0"/>
    <w:rsid w:val="002D4628"/>
    <w:rsid w:val="002D7601"/>
    <w:rsid w:val="002D771B"/>
    <w:rsid w:val="002D79A7"/>
    <w:rsid w:val="002E03D1"/>
    <w:rsid w:val="002E089E"/>
    <w:rsid w:val="002E1739"/>
    <w:rsid w:val="002E181F"/>
    <w:rsid w:val="002E183E"/>
    <w:rsid w:val="002E23D1"/>
    <w:rsid w:val="002E2716"/>
    <w:rsid w:val="002E29EE"/>
    <w:rsid w:val="002E3485"/>
    <w:rsid w:val="002E3F68"/>
    <w:rsid w:val="002E4496"/>
    <w:rsid w:val="002E5C16"/>
    <w:rsid w:val="002E5E42"/>
    <w:rsid w:val="002E68EB"/>
    <w:rsid w:val="002E73E7"/>
    <w:rsid w:val="002E7C45"/>
    <w:rsid w:val="002F0096"/>
    <w:rsid w:val="002F0108"/>
    <w:rsid w:val="002F078C"/>
    <w:rsid w:val="002F0AA7"/>
    <w:rsid w:val="002F0C50"/>
    <w:rsid w:val="002F1B28"/>
    <w:rsid w:val="002F1CAD"/>
    <w:rsid w:val="002F1F3D"/>
    <w:rsid w:val="002F24A0"/>
    <w:rsid w:val="002F2583"/>
    <w:rsid w:val="002F279A"/>
    <w:rsid w:val="002F285F"/>
    <w:rsid w:val="002F2C1A"/>
    <w:rsid w:val="002F2C84"/>
    <w:rsid w:val="002F2CF6"/>
    <w:rsid w:val="002F3EDE"/>
    <w:rsid w:val="002F41EC"/>
    <w:rsid w:val="002F4836"/>
    <w:rsid w:val="002F4EAE"/>
    <w:rsid w:val="002F4F5B"/>
    <w:rsid w:val="002F5484"/>
    <w:rsid w:val="002F68FE"/>
    <w:rsid w:val="002F7005"/>
    <w:rsid w:val="002F7FF2"/>
    <w:rsid w:val="00300DF8"/>
    <w:rsid w:val="00301038"/>
    <w:rsid w:val="00301077"/>
    <w:rsid w:val="0030133D"/>
    <w:rsid w:val="00301408"/>
    <w:rsid w:val="003014A4"/>
    <w:rsid w:val="00302629"/>
    <w:rsid w:val="00303156"/>
    <w:rsid w:val="003032DB"/>
    <w:rsid w:val="00303685"/>
    <w:rsid w:val="00304B22"/>
    <w:rsid w:val="00306524"/>
    <w:rsid w:val="0030693F"/>
    <w:rsid w:val="0030694D"/>
    <w:rsid w:val="00307A4B"/>
    <w:rsid w:val="003107AB"/>
    <w:rsid w:val="00310AA6"/>
    <w:rsid w:val="00310AB8"/>
    <w:rsid w:val="00310ADD"/>
    <w:rsid w:val="0031127A"/>
    <w:rsid w:val="003116EF"/>
    <w:rsid w:val="00311A01"/>
    <w:rsid w:val="00312207"/>
    <w:rsid w:val="00312BF5"/>
    <w:rsid w:val="00312F7C"/>
    <w:rsid w:val="003130BD"/>
    <w:rsid w:val="003132AE"/>
    <w:rsid w:val="0031333F"/>
    <w:rsid w:val="00313746"/>
    <w:rsid w:val="00313987"/>
    <w:rsid w:val="00314C2D"/>
    <w:rsid w:val="003154E8"/>
    <w:rsid w:val="00315C29"/>
    <w:rsid w:val="0031664C"/>
    <w:rsid w:val="00317B47"/>
    <w:rsid w:val="00317DBA"/>
    <w:rsid w:val="00317EA2"/>
    <w:rsid w:val="00320218"/>
    <w:rsid w:val="003212E5"/>
    <w:rsid w:val="00321327"/>
    <w:rsid w:val="00321F13"/>
    <w:rsid w:val="00322957"/>
    <w:rsid w:val="00323424"/>
    <w:rsid w:val="00323E7C"/>
    <w:rsid w:val="0032401E"/>
    <w:rsid w:val="0032428D"/>
    <w:rsid w:val="00324997"/>
    <w:rsid w:val="00324E1A"/>
    <w:rsid w:val="0032516F"/>
    <w:rsid w:val="003256B1"/>
    <w:rsid w:val="00325829"/>
    <w:rsid w:val="00326342"/>
    <w:rsid w:val="00326BAC"/>
    <w:rsid w:val="00326F27"/>
    <w:rsid w:val="0032729A"/>
    <w:rsid w:val="00327DEC"/>
    <w:rsid w:val="003302F9"/>
    <w:rsid w:val="00330CA6"/>
    <w:rsid w:val="00330E28"/>
    <w:rsid w:val="00331167"/>
    <w:rsid w:val="00331545"/>
    <w:rsid w:val="00331914"/>
    <w:rsid w:val="003330E6"/>
    <w:rsid w:val="0033333E"/>
    <w:rsid w:val="0033343A"/>
    <w:rsid w:val="00333AE4"/>
    <w:rsid w:val="003358DF"/>
    <w:rsid w:val="00335A19"/>
    <w:rsid w:val="003368C0"/>
    <w:rsid w:val="003369DC"/>
    <w:rsid w:val="00337060"/>
    <w:rsid w:val="00337599"/>
    <w:rsid w:val="0033771E"/>
    <w:rsid w:val="00337839"/>
    <w:rsid w:val="00340632"/>
    <w:rsid w:val="00340D79"/>
    <w:rsid w:val="00340FB0"/>
    <w:rsid w:val="00341246"/>
    <w:rsid w:val="003412D9"/>
    <w:rsid w:val="00341F99"/>
    <w:rsid w:val="00342299"/>
    <w:rsid w:val="003424A6"/>
    <w:rsid w:val="00343439"/>
    <w:rsid w:val="00343600"/>
    <w:rsid w:val="00343B17"/>
    <w:rsid w:val="00343B53"/>
    <w:rsid w:val="00344130"/>
    <w:rsid w:val="00344B24"/>
    <w:rsid w:val="00344CB2"/>
    <w:rsid w:val="00345102"/>
    <w:rsid w:val="0034548B"/>
    <w:rsid w:val="003459E9"/>
    <w:rsid w:val="00346BA7"/>
    <w:rsid w:val="00346F8C"/>
    <w:rsid w:val="003510F1"/>
    <w:rsid w:val="003512DC"/>
    <w:rsid w:val="003520B4"/>
    <w:rsid w:val="003539CF"/>
    <w:rsid w:val="0035461D"/>
    <w:rsid w:val="00354915"/>
    <w:rsid w:val="00355006"/>
    <w:rsid w:val="0035525D"/>
    <w:rsid w:val="00355391"/>
    <w:rsid w:val="00356C8A"/>
    <w:rsid w:val="00356E1B"/>
    <w:rsid w:val="0035713C"/>
    <w:rsid w:val="0035781F"/>
    <w:rsid w:val="003601C0"/>
    <w:rsid w:val="00360230"/>
    <w:rsid w:val="00360785"/>
    <w:rsid w:val="00360949"/>
    <w:rsid w:val="003609CF"/>
    <w:rsid w:val="0036131E"/>
    <w:rsid w:val="00361919"/>
    <w:rsid w:val="00361CFA"/>
    <w:rsid w:val="00361FE6"/>
    <w:rsid w:val="00362034"/>
    <w:rsid w:val="003621A6"/>
    <w:rsid w:val="0036339E"/>
    <w:rsid w:val="003635F6"/>
    <w:rsid w:val="0036405A"/>
    <w:rsid w:val="00364BAC"/>
    <w:rsid w:val="00364E30"/>
    <w:rsid w:val="003658D1"/>
    <w:rsid w:val="00365C6D"/>
    <w:rsid w:val="003667FA"/>
    <w:rsid w:val="00366A0E"/>
    <w:rsid w:val="003670DE"/>
    <w:rsid w:val="00367CA7"/>
    <w:rsid w:val="00367EDF"/>
    <w:rsid w:val="00370441"/>
    <w:rsid w:val="003705BC"/>
    <w:rsid w:val="00370ED3"/>
    <w:rsid w:val="0037169D"/>
    <w:rsid w:val="00372031"/>
    <w:rsid w:val="00372863"/>
    <w:rsid w:val="00372893"/>
    <w:rsid w:val="00372941"/>
    <w:rsid w:val="00372BD9"/>
    <w:rsid w:val="00372DFA"/>
    <w:rsid w:val="00373319"/>
    <w:rsid w:val="00373401"/>
    <w:rsid w:val="003738C2"/>
    <w:rsid w:val="00373987"/>
    <w:rsid w:val="003742E2"/>
    <w:rsid w:val="00375255"/>
    <w:rsid w:val="0037621B"/>
    <w:rsid w:val="003763BD"/>
    <w:rsid w:val="00376C3D"/>
    <w:rsid w:val="003771B0"/>
    <w:rsid w:val="00381026"/>
    <w:rsid w:val="003826F9"/>
    <w:rsid w:val="003833C9"/>
    <w:rsid w:val="00383594"/>
    <w:rsid w:val="00384259"/>
    <w:rsid w:val="003847B9"/>
    <w:rsid w:val="00384D54"/>
    <w:rsid w:val="00385094"/>
    <w:rsid w:val="00385184"/>
    <w:rsid w:val="00385BE2"/>
    <w:rsid w:val="00385DBE"/>
    <w:rsid w:val="00385E85"/>
    <w:rsid w:val="003864D0"/>
    <w:rsid w:val="003865B8"/>
    <w:rsid w:val="00386AAC"/>
    <w:rsid w:val="00386B4E"/>
    <w:rsid w:val="00386D05"/>
    <w:rsid w:val="00387343"/>
    <w:rsid w:val="00387F37"/>
    <w:rsid w:val="003901CE"/>
    <w:rsid w:val="00390F66"/>
    <w:rsid w:val="0039118D"/>
    <w:rsid w:val="00391AC8"/>
    <w:rsid w:val="00392702"/>
    <w:rsid w:val="00392F42"/>
    <w:rsid w:val="00392FB4"/>
    <w:rsid w:val="003930F9"/>
    <w:rsid w:val="003936A0"/>
    <w:rsid w:val="0039420D"/>
    <w:rsid w:val="00394C6D"/>
    <w:rsid w:val="00394DFF"/>
    <w:rsid w:val="0039500C"/>
    <w:rsid w:val="00395C05"/>
    <w:rsid w:val="00395D71"/>
    <w:rsid w:val="00395DB6"/>
    <w:rsid w:val="00396A19"/>
    <w:rsid w:val="00396D36"/>
    <w:rsid w:val="00397695"/>
    <w:rsid w:val="00397E27"/>
    <w:rsid w:val="003A0250"/>
    <w:rsid w:val="003A04CD"/>
    <w:rsid w:val="003A11AB"/>
    <w:rsid w:val="003A1923"/>
    <w:rsid w:val="003A1935"/>
    <w:rsid w:val="003A1F14"/>
    <w:rsid w:val="003A341F"/>
    <w:rsid w:val="003A3925"/>
    <w:rsid w:val="003A3974"/>
    <w:rsid w:val="003A3B0C"/>
    <w:rsid w:val="003A3D01"/>
    <w:rsid w:val="003A3D4D"/>
    <w:rsid w:val="003A4F6B"/>
    <w:rsid w:val="003A5104"/>
    <w:rsid w:val="003A5838"/>
    <w:rsid w:val="003A5ADA"/>
    <w:rsid w:val="003A5C4C"/>
    <w:rsid w:val="003A617A"/>
    <w:rsid w:val="003A704F"/>
    <w:rsid w:val="003A7108"/>
    <w:rsid w:val="003A73FE"/>
    <w:rsid w:val="003B0BC2"/>
    <w:rsid w:val="003B0D54"/>
    <w:rsid w:val="003B2933"/>
    <w:rsid w:val="003B2EEB"/>
    <w:rsid w:val="003B37BB"/>
    <w:rsid w:val="003B3C7E"/>
    <w:rsid w:val="003B45BF"/>
    <w:rsid w:val="003B4B49"/>
    <w:rsid w:val="003B4B6D"/>
    <w:rsid w:val="003B5138"/>
    <w:rsid w:val="003B5B3D"/>
    <w:rsid w:val="003B6044"/>
    <w:rsid w:val="003B6864"/>
    <w:rsid w:val="003B6B64"/>
    <w:rsid w:val="003B6CB8"/>
    <w:rsid w:val="003B70F0"/>
    <w:rsid w:val="003B7CB3"/>
    <w:rsid w:val="003B7EAB"/>
    <w:rsid w:val="003C160B"/>
    <w:rsid w:val="003C1D01"/>
    <w:rsid w:val="003C28DE"/>
    <w:rsid w:val="003C36AC"/>
    <w:rsid w:val="003C54DF"/>
    <w:rsid w:val="003C6412"/>
    <w:rsid w:val="003C6580"/>
    <w:rsid w:val="003C7D8C"/>
    <w:rsid w:val="003C7EDD"/>
    <w:rsid w:val="003C7EF9"/>
    <w:rsid w:val="003D099A"/>
    <w:rsid w:val="003D0B4C"/>
    <w:rsid w:val="003D0BB9"/>
    <w:rsid w:val="003D0E4C"/>
    <w:rsid w:val="003D1E81"/>
    <w:rsid w:val="003D23A4"/>
    <w:rsid w:val="003D2500"/>
    <w:rsid w:val="003D256B"/>
    <w:rsid w:val="003D36FC"/>
    <w:rsid w:val="003D39D7"/>
    <w:rsid w:val="003D4059"/>
    <w:rsid w:val="003D68D5"/>
    <w:rsid w:val="003D7050"/>
    <w:rsid w:val="003D7A85"/>
    <w:rsid w:val="003D7B56"/>
    <w:rsid w:val="003D7FA6"/>
    <w:rsid w:val="003E071D"/>
    <w:rsid w:val="003E088A"/>
    <w:rsid w:val="003E0ADC"/>
    <w:rsid w:val="003E138C"/>
    <w:rsid w:val="003E1424"/>
    <w:rsid w:val="003E1494"/>
    <w:rsid w:val="003E14CF"/>
    <w:rsid w:val="003E1646"/>
    <w:rsid w:val="003E19CF"/>
    <w:rsid w:val="003E1E0E"/>
    <w:rsid w:val="003E23B2"/>
    <w:rsid w:val="003E2993"/>
    <w:rsid w:val="003E29CF"/>
    <w:rsid w:val="003E2AFB"/>
    <w:rsid w:val="003E2B2C"/>
    <w:rsid w:val="003E4462"/>
    <w:rsid w:val="003E478C"/>
    <w:rsid w:val="003E516C"/>
    <w:rsid w:val="003E56CD"/>
    <w:rsid w:val="003E5AF8"/>
    <w:rsid w:val="003E66E5"/>
    <w:rsid w:val="003E684C"/>
    <w:rsid w:val="003E7131"/>
    <w:rsid w:val="003E7390"/>
    <w:rsid w:val="003E7F5D"/>
    <w:rsid w:val="003F0574"/>
    <w:rsid w:val="003F0FA8"/>
    <w:rsid w:val="003F1089"/>
    <w:rsid w:val="003F168A"/>
    <w:rsid w:val="003F2A2A"/>
    <w:rsid w:val="003F2C3A"/>
    <w:rsid w:val="003F4095"/>
    <w:rsid w:val="003F4666"/>
    <w:rsid w:val="003F47AF"/>
    <w:rsid w:val="003F4902"/>
    <w:rsid w:val="003F4EF2"/>
    <w:rsid w:val="003F6009"/>
    <w:rsid w:val="003F6246"/>
    <w:rsid w:val="003F6548"/>
    <w:rsid w:val="003F6588"/>
    <w:rsid w:val="003F6BD9"/>
    <w:rsid w:val="003F72A3"/>
    <w:rsid w:val="003F74C8"/>
    <w:rsid w:val="003F79A4"/>
    <w:rsid w:val="003F7C6D"/>
    <w:rsid w:val="003F7FEF"/>
    <w:rsid w:val="00401707"/>
    <w:rsid w:val="004021B9"/>
    <w:rsid w:val="00402CB1"/>
    <w:rsid w:val="004035C7"/>
    <w:rsid w:val="004042E8"/>
    <w:rsid w:val="00405862"/>
    <w:rsid w:val="004062C7"/>
    <w:rsid w:val="00407679"/>
    <w:rsid w:val="004078EC"/>
    <w:rsid w:val="00407D59"/>
    <w:rsid w:val="0041012C"/>
    <w:rsid w:val="004130B9"/>
    <w:rsid w:val="004131DC"/>
    <w:rsid w:val="004135C8"/>
    <w:rsid w:val="0041375A"/>
    <w:rsid w:val="0041425C"/>
    <w:rsid w:val="004149A9"/>
    <w:rsid w:val="004151D2"/>
    <w:rsid w:val="0041522A"/>
    <w:rsid w:val="0041525E"/>
    <w:rsid w:val="0041534E"/>
    <w:rsid w:val="004156A1"/>
    <w:rsid w:val="00415939"/>
    <w:rsid w:val="00416B3D"/>
    <w:rsid w:val="00416BF7"/>
    <w:rsid w:val="00417959"/>
    <w:rsid w:val="00417A9B"/>
    <w:rsid w:val="00417CB9"/>
    <w:rsid w:val="0042045F"/>
    <w:rsid w:val="00420742"/>
    <w:rsid w:val="00421005"/>
    <w:rsid w:val="00421854"/>
    <w:rsid w:val="00421F0C"/>
    <w:rsid w:val="00422E3A"/>
    <w:rsid w:val="00423471"/>
    <w:rsid w:val="00425123"/>
    <w:rsid w:val="00425F65"/>
    <w:rsid w:val="00426BD4"/>
    <w:rsid w:val="00426CD9"/>
    <w:rsid w:val="004277F7"/>
    <w:rsid w:val="00430372"/>
    <w:rsid w:val="00430EDC"/>
    <w:rsid w:val="00430FBA"/>
    <w:rsid w:val="00431372"/>
    <w:rsid w:val="004313A4"/>
    <w:rsid w:val="004317E0"/>
    <w:rsid w:val="00431F7E"/>
    <w:rsid w:val="00432724"/>
    <w:rsid w:val="004328E1"/>
    <w:rsid w:val="00432AEE"/>
    <w:rsid w:val="00432B0E"/>
    <w:rsid w:val="00433263"/>
    <w:rsid w:val="004332C4"/>
    <w:rsid w:val="00433564"/>
    <w:rsid w:val="00434332"/>
    <w:rsid w:val="004346E1"/>
    <w:rsid w:val="004350CF"/>
    <w:rsid w:val="00435B1B"/>
    <w:rsid w:val="00435C26"/>
    <w:rsid w:val="00436690"/>
    <w:rsid w:val="00436E87"/>
    <w:rsid w:val="0043745C"/>
    <w:rsid w:val="00437732"/>
    <w:rsid w:val="00437A4F"/>
    <w:rsid w:val="00437CA3"/>
    <w:rsid w:val="0044027B"/>
    <w:rsid w:val="004408F8"/>
    <w:rsid w:val="0044130D"/>
    <w:rsid w:val="004418AE"/>
    <w:rsid w:val="004418EC"/>
    <w:rsid w:val="00442264"/>
    <w:rsid w:val="00442FE9"/>
    <w:rsid w:val="00444074"/>
    <w:rsid w:val="0044590A"/>
    <w:rsid w:val="0044648F"/>
    <w:rsid w:val="0044653E"/>
    <w:rsid w:val="004469B3"/>
    <w:rsid w:val="00446DA2"/>
    <w:rsid w:val="00447BA8"/>
    <w:rsid w:val="00447C2B"/>
    <w:rsid w:val="00447E3D"/>
    <w:rsid w:val="004500D4"/>
    <w:rsid w:val="00450381"/>
    <w:rsid w:val="0045107D"/>
    <w:rsid w:val="004514AB"/>
    <w:rsid w:val="00451EE9"/>
    <w:rsid w:val="004521D3"/>
    <w:rsid w:val="0045225D"/>
    <w:rsid w:val="0045321B"/>
    <w:rsid w:val="004544B6"/>
    <w:rsid w:val="0045487C"/>
    <w:rsid w:val="00454AC2"/>
    <w:rsid w:val="00456E87"/>
    <w:rsid w:val="0045752A"/>
    <w:rsid w:val="00457843"/>
    <w:rsid w:val="00457914"/>
    <w:rsid w:val="00460458"/>
    <w:rsid w:val="004606FE"/>
    <w:rsid w:val="00460AB3"/>
    <w:rsid w:val="00460D6D"/>
    <w:rsid w:val="00462002"/>
    <w:rsid w:val="004620CE"/>
    <w:rsid w:val="0046212F"/>
    <w:rsid w:val="00462733"/>
    <w:rsid w:val="00463227"/>
    <w:rsid w:val="00463973"/>
    <w:rsid w:val="00463B51"/>
    <w:rsid w:val="004652F9"/>
    <w:rsid w:val="004658DE"/>
    <w:rsid w:val="00465F72"/>
    <w:rsid w:val="004660A7"/>
    <w:rsid w:val="00466674"/>
    <w:rsid w:val="004673A9"/>
    <w:rsid w:val="004675C8"/>
    <w:rsid w:val="004676CB"/>
    <w:rsid w:val="00467755"/>
    <w:rsid w:val="00467EE1"/>
    <w:rsid w:val="0047078D"/>
    <w:rsid w:val="00471113"/>
    <w:rsid w:val="00471200"/>
    <w:rsid w:val="0047133E"/>
    <w:rsid w:val="004721B4"/>
    <w:rsid w:val="004722C7"/>
    <w:rsid w:val="00472E01"/>
    <w:rsid w:val="00472FF8"/>
    <w:rsid w:val="00473611"/>
    <w:rsid w:val="00473E0F"/>
    <w:rsid w:val="00474BA1"/>
    <w:rsid w:val="00475003"/>
    <w:rsid w:val="004757BA"/>
    <w:rsid w:val="00475B3D"/>
    <w:rsid w:val="00475BB0"/>
    <w:rsid w:val="00475F03"/>
    <w:rsid w:val="00476498"/>
    <w:rsid w:val="0047678F"/>
    <w:rsid w:val="00477020"/>
    <w:rsid w:val="0047763D"/>
    <w:rsid w:val="00477ABC"/>
    <w:rsid w:val="004801E4"/>
    <w:rsid w:val="004804A5"/>
    <w:rsid w:val="004804B3"/>
    <w:rsid w:val="00481732"/>
    <w:rsid w:val="00481B87"/>
    <w:rsid w:val="00481CEE"/>
    <w:rsid w:val="00481E06"/>
    <w:rsid w:val="00481F9E"/>
    <w:rsid w:val="00481FB6"/>
    <w:rsid w:val="004820E9"/>
    <w:rsid w:val="004826BD"/>
    <w:rsid w:val="00483119"/>
    <w:rsid w:val="00483527"/>
    <w:rsid w:val="0048361F"/>
    <w:rsid w:val="004836DF"/>
    <w:rsid w:val="0048387F"/>
    <w:rsid w:val="00483A4F"/>
    <w:rsid w:val="004845D0"/>
    <w:rsid w:val="004852FF"/>
    <w:rsid w:val="004854F4"/>
    <w:rsid w:val="00486562"/>
    <w:rsid w:val="004869E1"/>
    <w:rsid w:val="00487422"/>
    <w:rsid w:val="00487DA3"/>
    <w:rsid w:val="004903A9"/>
    <w:rsid w:val="004905E6"/>
    <w:rsid w:val="00490C66"/>
    <w:rsid w:val="00490F59"/>
    <w:rsid w:val="00491225"/>
    <w:rsid w:val="004915CB"/>
    <w:rsid w:val="00491BF9"/>
    <w:rsid w:val="004921C3"/>
    <w:rsid w:val="0049277F"/>
    <w:rsid w:val="00492801"/>
    <w:rsid w:val="0049290A"/>
    <w:rsid w:val="00492A29"/>
    <w:rsid w:val="00492FDA"/>
    <w:rsid w:val="00493BCC"/>
    <w:rsid w:val="00493C40"/>
    <w:rsid w:val="00493C7A"/>
    <w:rsid w:val="00493D1F"/>
    <w:rsid w:val="00494978"/>
    <w:rsid w:val="00494E04"/>
    <w:rsid w:val="00494E73"/>
    <w:rsid w:val="0049559C"/>
    <w:rsid w:val="00495AA1"/>
    <w:rsid w:val="004967A3"/>
    <w:rsid w:val="004970A8"/>
    <w:rsid w:val="004970D6"/>
    <w:rsid w:val="00497104"/>
    <w:rsid w:val="00497E29"/>
    <w:rsid w:val="004A0E62"/>
    <w:rsid w:val="004A2255"/>
    <w:rsid w:val="004A2830"/>
    <w:rsid w:val="004A29A8"/>
    <w:rsid w:val="004A2A36"/>
    <w:rsid w:val="004A2AC7"/>
    <w:rsid w:val="004A2C3B"/>
    <w:rsid w:val="004A3114"/>
    <w:rsid w:val="004A357F"/>
    <w:rsid w:val="004A39F9"/>
    <w:rsid w:val="004A3DA4"/>
    <w:rsid w:val="004A4A88"/>
    <w:rsid w:val="004A5273"/>
    <w:rsid w:val="004A5A12"/>
    <w:rsid w:val="004A5D65"/>
    <w:rsid w:val="004A6198"/>
    <w:rsid w:val="004A6739"/>
    <w:rsid w:val="004A6B97"/>
    <w:rsid w:val="004A7FE0"/>
    <w:rsid w:val="004B063F"/>
    <w:rsid w:val="004B07DA"/>
    <w:rsid w:val="004B14FD"/>
    <w:rsid w:val="004B1E42"/>
    <w:rsid w:val="004B2588"/>
    <w:rsid w:val="004B2688"/>
    <w:rsid w:val="004B349F"/>
    <w:rsid w:val="004B370D"/>
    <w:rsid w:val="004B3773"/>
    <w:rsid w:val="004B427C"/>
    <w:rsid w:val="004B514C"/>
    <w:rsid w:val="004B53EB"/>
    <w:rsid w:val="004B5996"/>
    <w:rsid w:val="004B5EF8"/>
    <w:rsid w:val="004B6431"/>
    <w:rsid w:val="004B67EE"/>
    <w:rsid w:val="004B6C76"/>
    <w:rsid w:val="004B6C9C"/>
    <w:rsid w:val="004B7D57"/>
    <w:rsid w:val="004C00D8"/>
    <w:rsid w:val="004C114E"/>
    <w:rsid w:val="004C1B7D"/>
    <w:rsid w:val="004C3DAD"/>
    <w:rsid w:val="004C3F02"/>
    <w:rsid w:val="004C4219"/>
    <w:rsid w:val="004C5923"/>
    <w:rsid w:val="004C6116"/>
    <w:rsid w:val="004C706E"/>
    <w:rsid w:val="004C77A4"/>
    <w:rsid w:val="004C7C61"/>
    <w:rsid w:val="004C7E03"/>
    <w:rsid w:val="004D011A"/>
    <w:rsid w:val="004D0D61"/>
    <w:rsid w:val="004D0DFD"/>
    <w:rsid w:val="004D165C"/>
    <w:rsid w:val="004D1ECD"/>
    <w:rsid w:val="004D1FBE"/>
    <w:rsid w:val="004D20BC"/>
    <w:rsid w:val="004D2689"/>
    <w:rsid w:val="004D2807"/>
    <w:rsid w:val="004D3382"/>
    <w:rsid w:val="004D3E94"/>
    <w:rsid w:val="004D45BE"/>
    <w:rsid w:val="004D4A86"/>
    <w:rsid w:val="004D58C2"/>
    <w:rsid w:val="004D6AE8"/>
    <w:rsid w:val="004D7481"/>
    <w:rsid w:val="004D7664"/>
    <w:rsid w:val="004D79C9"/>
    <w:rsid w:val="004D7B1E"/>
    <w:rsid w:val="004E0225"/>
    <w:rsid w:val="004E074F"/>
    <w:rsid w:val="004E0BBA"/>
    <w:rsid w:val="004E17E0"/>
    <w:rsid w:val="004E1898"/>
    <w:rsid w:val="004E1B79"/>
    <w:rsid w:val="004E1F30"/>
    <w:rsid w:val="004E2AE1"/>
    <w:rsid w:val="004E2CC1"/>
    <w:rsid w:val="004E339D"/>
    <w:rsid w:val="004E3443"/>
    <w:rsid w:val="004E3C94"/>
    <w:rsid w:val="004E5F27"/>
    <w:rsid w:val="004E6049"/>
    <w:rsid w:val="004E60D4"/>
    <w:rsid w:val="004E6427"/>
    <w:rsid w:val="004E668B"/>
    <w:rsid w:val="004E6DDB"/>
    <w:rsid w:val="004E7104"/>
    <w:rsid w:val="004E760C"/>
    <w:rsid w:val="004E7625"/>
    <w:rsid w:val="004E7E43"/>
    <w:rsid w:val="004F1956"/>
    <w:rsid w:val="004F1CBD"/>
    <w:rsid w:val="004F287D"/>
    <w:rsid w:val="004F2E36"/>
    <w:rsid w:val="004F3B66"/>
    <w:rsid w:val="004F3D93"/>
    <w:rsid w:val="004F3E20"/>
    <w:rsid w:val="004F3F7C"/>
    <w:rsid w:val="004F4848"/>
    <w:rsid w:val="004F4A10"/>
    <w:rsid w:val="004F58D8"/>
    <w:rsid w:val="004F5FC6"/>
    <w:rsid w:val="004F6893"/>
    <w:rsid w:val="004F69FA"/>
    <w:rsid w:val="004F7202"/>
    <w:rsid w:val="004F722B"/>
    <w:rsid w:val="004F7430"/>
    <w:rsid w:val="00500D43"/>
    <w:rsid w:val="00501D63"/>
    <w:rsid w:val="005023D7"/>
    <w:rsid w:val="005025AD"/>
    <w:rsid w:val="00502DCD"/>
    <w:rsid w:val="00502DF8"/>
    <w:rsid w:val="00503255"/>
    <w:rsid w:val="00503544"/>
    <w:rsid w:val="005037B2"/>
    <w:rsid w:val="00503D4E"/>
    <w:rsid w:val="00504365"/>
    <w:rsid w:val="0050455E"/>
    <w:rsid w:val="005047AD"/>
    <w:rsid w:val="00504831"/>
    <w:rsid w:val="00505346"/>
    <w:rsid w:val="00505868"/>
    <w:rsid w:val="00505B81"/>
    <w:rsid w:val="0050634C"/>
    <w:rsid w:val="00506682"/>
    <w:rsid w:val="0050683B"/>
    <w:rsid w:val="0050707E"/>
    <w:rsid w:val="005070F7"/>
    <w:rsid w:val="005071B5"/>
    <w:rsid w:val="005072B5"/>
    <w:rsid w:val="00507729"/>
    <w:rsid w:val="00507E58"/>
    <w:rsid w:val="00510035"/>
    <w:rsid w:val="005104C7"/>
    <w:rsid w:val="00510AC2"/>
    <w:rsid w:val="00510B1D"/>
    <w:rsid w:val="0051107D"/>
    <w:rsid w:val="00511167"/>
    <w:rsid w:val="00512265"/>
    <w:rsid w:val="005122CF"/>
    <w:rsid w:val="00513484"/>
    <w:rsid w:val="005134EE"/>
    <w:rsid w:val="0051383E"/>
    <w:rsid w:val="005140FB"/>
    <w:rsid w:val="00514BEC"/>
    <w:rsid w:val="00515363"/>
    <w:rsid w:val="0051555C"/>
    <w:rsid w:val="005157B0"/>
    <w:rsid w:val="005166BE"/>
    <w:rsid w:val="00516BB3"/>
    <w:rsid w:val="005204C3"/>
    <w:rsid w:val="00520704"/>
    <w:rsid w:val="00521916"/>
    <w:rsid w:val="00521A52"/>
    <w:rsid w:val="00521D08"/>
    <w:rsid w:val="005220D9"/>
    <w:rsid w:val="005221A9"/>
    <w:rsid w:val="005221FF"/>
    <w:rsid w:val="00522387"/>
    <w:rsid w:val="00523D0F"/>
    <w:rsid w:val="00523FD8"/>
    <w:rsid w:val="0052455D"/>
    <w:rsid w:val="005261DB"/>
    <w:rsid w:val="00526AE7"/>
    <w:rsid w:val="00526C07"/>
    <w:rsid w:val="005273A6"/>
    <w:rsid w:val="005273F7"/>
    <w:rsid w:val="00527533"/>
    <w:rsid w:val="00527E88"/>
    <w:rsid w:val="00530E6C"/>
    <w:rsid w:val="0053149F"/>
    <w:rsid w:val="0053175F"/>
    <w:rsid w:val="00531799"/>
    <w:rsid w:val="00531FB3"/>
    <w:rsid w:val="005323E4"/>
    <w:rsid w:val="005326B2"/>
    <w:rsid w:val="00532D05"/>
    <w:rsid w:val="00533059"/>
    <w:rsid w:val="0053387C"/>
    <w:rsid w:val="0053394F"/>
    <w:rsid w:val="00534D11"/>
    <w:rsid w:val="00534F74"/>
    <w:rsid w:val="0053583E"/>
    <w:rsid w:val="00535A11"/>
    <w:rsid w:val="00536789"/>
    <w:rsid w:val="00536B4D"/>
    <w:rsid w:val="00536D2F"/>
    <w:rsid w:val="00540052"/>
    <w:rsid w:val="00540D9F"/>
    <w:rsid w:val="0054146B"/>
    <w:rsid w:val="005416DF"/>
    <w:rsid w:val="00541812"/>
    <w:rsid w:val="00541E41"/>
    <w:rsid w:val="00543446"/>
    <w:rsid w:val="005435E7"/>
    <w:rsid w:val="00543A42"/>
    <w:rsid w:val="00543DB4"/>
    <w:rsid w:val="00543E08"/>
    <w:rsid w:val="005449AD"/>
    <w:rsid w:val="00544BE5"/>
    <w:rsid w:val="00544BE7"/>
    <w:rsid w:val="005458B3"/>
    <w:rsid w:val="00545E01"/>
    <w:rsid w:val="00545EEF"/>
    <w:rsid w:val="00546310"/>
    <w:rsid w:val="005463A4"/>
    <w:rsid w:val="00546C68"/>
    <w:rsid w:val="00547563"/>
    <w:rsid w:val="0054762E"/>
    <w:rsid w:val="00547A16"/>
    <w:rsid w:val="00550483"/>
    <w:rsid w:val="005505ED"/>
    <w:rsid w:val="00552063"/>
    <w:rsid w:val="005526AE"/>
    <w:rsid w:val="0055364A"/>
    <w:rsid w:val="005550FA"/>
    <w:rsid w:val="005559C3"/>
    <w:rsid w:val="00555BA3"/>
    <w:rsid w:val="00555E44"/>
    <w:rsid w:val="00555FC1"/>
    <w:rsid w:val="00556FED"/>
    <w:rsid w:val="005600C8"/>
    <w:rsid w:val="005605BC"/>
    <w:rsid w:val="0056073A"/>
    <w:rsid w:val="00560EA7"/>
    <w:rsid w:val="00561822"/>
    <w:rsid w:val="00561976"/>
    <w:rsid w:val="005620F8"/>
    <w:rsid w:val="00562C02"/>
    <w:rsid w:val="00563055"/>
    <w:rsid w:val="005644F1"/>
    <w:rsid w:val="00564B04"/>
    <w:rsid w:val="00564ECD"/>
    <w:rsid w:val="005656DE"/>
    <w:rsid w:val="00565B4D"/>
    <w:rsid w:val="00565CF4"/>
    <w:rsid w:val="0056633C"/>
    <w:rsid w:val="00567718"/>
    <w:rsid w:val="005678CD"/>
    <w:rsid w:val="005678E6"/>
    <w:rsid w:val="00567A1F"/>
    <w:rsid w:val="00567A6E"/>
    <w:rsid w:val="00567B0B"/>
    <w:rsid w:val="00567F16"/>
    <w:rsid w:val="00570524"/>
    <w:rsid w:val="00570BF3"/>
    <w:rsid w:val="00571098"/>
    <w:rsid w:val="005711C4"/>
    <w:rsid w:val="005714D6"/>
    <w:rsid w:val="005720AE"/>
    <w:rsid w:val="00572381"/>
    <w:rsid w:val="00572646"/>
    <w:rsid w:val="00573059"/>
    <w:rsid w:val="00573C05"/>
    <w:rsid w:val="0057507B"/>
    <w:rsid w:val="005755A6"/>
    <w:rsid w:val="005759A7"/>
    <w:rsid w:val="00576185"/>
    <w:rsid w:val="0057621E"/>
    <w:rsid w:val="005764CC"/>
    <w:rsid w:val="00576B94"/>
    <w:rsid w:val="00576CFC"/>
    <w:rsid w:val="00577B05"/>
    <w:rsid w:val="005803EA"/>
    <w:rsid w:val="00580D6F"/>
    <w:rsid w:val="00580F45"/>
    <w:rsid w:val="005812C6"/>
    <w:rsid w:val="00581399"/>
    <w:rsid w:val="00581624"/>
    <w:rsid w:val="00581B34"/>
    <w:rsid w:val="00581ECB"/>
    <w:rsid w:val="00582351"/>
    <w:rsid w:val="00582A3F"/>
    <w:rsid w:val="00582D53"/>
    <w:rsid w:val="005837C2"/>
    <w:rsid w:val="0058382A"/>
    <w:rsid w:val="00584EEB"/>
    <w:rsid w:val="00585048"/>
    <w:rsid w:val="00585A2D"/>
    <w:rsid w:val="00586C41"/>
    <w:rsid w:val="005878C1"/>
    <w:rsid w:val="005878D4"/>
    <w:rsid w:val="00587B76"/>
    <w:rsid w:val="005901A8"/>
    <w:rsid w:val="00591039"/>
    <w:rsid w:val="00591578"/>
    <w:rsid w:val="005921B4"/>
    <w:rsid w:val="005922DB"/>
    <w:rsid w:val="00592E22"/>
    <w:rsid w:val="00592EE8"/>
    <w:rsid w:val="005930EB"/>
    <w:rsid w:val="00594860"/>
    <w:rsid w:val="005948FA"/>
    <w:rsid w:val="00595267"/>
    <w:rsid w:val="005959BE"/>
    <w:rsid w:val="00596210"/>
    <w:rsid w:val="00596286"/>
    <w:rsid w:val="00596741"/>
    <w:rsid w:val="00596999"/>
    <w:rsid w:val="00597460"/>
    <w:rsid w:val="005A0072"/>
    <w:rsid w:val="005A0118"/>
    <w:rsid w:val="005A0E22"/>
    <w:rsid w:val="005A0E41"/>
    <w:rsid w:val="005A0F31"/>
    <w:rsid w:val="005A1749"/>
    <w:rsid w:val="005A239E"/>
    <w:rsid w:val="005A28A1"/>
    <w:rsid w:val="005A3281"/>
    <w:rsid w:val="005A46D0"/>
    <w:rsid w:val="005A4EF2"/>
    <w:rsid w:val="005A53F1"/>
    <w:rsid w:val="005A6961"/>
    <w:rsid w:val="005A6CE3"/>
    <w:rsid w:val="005A6FB5"/>
    <w:rsid w:val="005B019F"/>
    <w:rsid w:val="005B02E5"/>
    <w:rsid w:val="005B0341"/>
    <w:rsid w:val="005B0956"/>
    <w:rsid w:val="005B1DA2"/>
    <w:rsid w:val="005B25E4"/>
    <w:rsid w:val="005B2640"/>
    <w:rsid w:val="005B2A3C"/>
    <w:rsid w:val="005B30C8"/>
    <w:rsid w:val="005B3427"/>
    <w:rsid w:val="005B34F5"/>
    <w:rsid w:val="005B39D5"/>
    <w:rsid w:val="005B3A29"/>
    <w:rsid w:val="005B3E4F"/>
    <w:rsid w:val="005B40BD"/>
    <w:rsid w:val="005B4832"/>
    <w:rsid w:val="005B65ED"/>
    <w:rsid w:val="005B67A5"/>
    <w:rsid w:val="005B6FFA"/>
    <w:rsid w:val="005B7778"/>
    <w:rsid w:val="005B7DAC"/>
    <w:rsid w:val="005B7FB0"/>
    <w:rsid w:val="005C051F"/>
    <w:rsid w:val="005C16EC"/>
    <w:rsid w:val="005C395F"/>
    <w:rsid w:val="005C3B5F"/>
    <w:rsid w:val="005C4248"/>
    <w:rsid w:val="005C6424"/>
    <w:rsid w:val="005C6532"/>
    <w:rsid w:val="005C6BA3"/>
    <w:rsid w:val="005C6E7B"/>
    <w:rsid w:val="005C740D"/>
    <w:rsid w:val="005C750E"/>
    <w:rsid w:val="005C762E"/>
    <w:rsid w:val="005D06B3"/>
    <w:rsid w:val="005D098C"/>
    <w:rsid w:val="005D0A7F"/>
    <w:rsid w:val="005D0AF0"/>
    <w:rsid w:val="005D0C81"/>
    <w:rsid w:val="005D1112"/>
    <w:rsid w:val="005D1338"/>
    <w:rsid w:val="005D1401"/>
    <w:rsid w:val="005D311B"/>
    <w:rsid w:val="005D3304"/>
    <w:rsid w:val="005D335B"/>
    <w:rsid w:val="005D35E0"/>
    <w:rsid w:val="005D3E79"/>
    <w:rsid w:val="005D3FD9"/>
    <w:rsid w:val="005D477A"/>
    <w:rsid w:val="005D65EC"/>
    <w:rsid w:val="005D6E81"/>
    <w:rsid w:val="005D6EF6"/>
    <w:rsid w:val="005D7532"/>
    <w:rsid w:val="005D7571"/>
    <w:rsid w:val="005D75CE"/>
    <w:rsid w:val="005E0B5D"/>
    <w:rsid w:val="005E119C"/>
    <w:rsid w:val="005E143B"/>
    <w:rsid w:val="005E20CB"/>
    <w:rsid w:val="005E2139"/>
    <w:rsid w:val="005E30DB"/>
    <w:rsid w:val="005E30F3"/>
    <w:rsid w:val="005E363E"/>
    <w:rsid w:val="005E3650"/>
    <w:rsid w:val="005E46BB"/>
    <w:rsid w:val="005E475B"/>
    <w:rsid w:val="005E4DE8"/>
    <w:rsid w:val="005E6ADD"/>
    <w:rsid w:val="005E74CD"/>
    <w:rsid w:val="005E7605"/>
    <w:rsid w:val="005E7673"/>
    <w:rsid w:val="005F0338"/>
    <w:rsid w:val="005F04FD"/>
    <w:rsid w:val="005F0DF9"/>
    <w:rsid w:val="005F0F20"/>
    <w:rsid w:val="005F2F1A"/>
    <w:rsid w:val="005F31F9"/>
    <w:rsid w:val="005F38A6"/>
    <w:rsid w:val="005F395C"/>
    <w:rsid w:val="005F50AB"/>
    <w:rsid w:val="005F6F4A"/>
    <w:rsid w:val="005F750C"/>
    <w:rsid w:val="006001CC"/>
    <w:rsid w:val="006003C6"/>
    <w:rsid w:val="00600AB3"/>
    <w:rsid w:val="00600E4C"/>
    <w:rsid w:val="00600F37"/>
    <w:rsid w:val="00601324"/>
    <w:rsid w:val="00601692"/>
    <w:rsid w:val="00601919"/>
    <w:rsid w:val="00601C1C"/>
    <w:rsid w:val="00601F6D"/>
    <w:rsid w:val="0060234B"/>
    <w:rsid w:val="006023D7"/>
    <w:rsid w:val="00602B4D"/>
    <w:rsid w:val="00602DCE"/>
    <w:rsid w:val="00603548"/>
    <w:rsid w:val="006035A4"/>
    <w:rsid w:val="00603724"/>
    <w:rsid w:val="00603C94"/>
    <w:rsid w:val="00603E84"/>
    <w:rsid w:val="00604635"/>
    <w:rsid w:val="006048E0"/>
    <w:rsid w:val="00604FAD"/>
    <w:rsid w:val="00605005"/>
    <w:rsid w:val="006051E2"/>
    <w:rsid w:val="0060662A"/>
    <w:rsid w:val="0060741A"/>
    <w:rsid w:val="0060745B"/>
    <w:rsid w:val="00611A1B"/>
    <w:rsid w:val="00611A7D"/>
    <w:rsid w:val="006125B9"/>
    <w:rsid w:val="00612789"/>
    <w:rsid w:val="00612F07"/>
    <w:rsid w:val="00613968"/>
    <w:rsid w:val="00613D24"/>
    <w:rsid w:val="00614BDA"/>
    <w:rsid w:val="00615BFF"/>
    <w:rsid w:val="00616332"/>
    <w:rsid w:val="00616CAD"/>
    <w:rsid w:val="00620A10"/>
    <w:rsid w:val="00620E24"/>
    <w:rsid w:val="00621665"/>
    <w:rsid w:val="00621AFB"/>
    <w:rsid w:val="00621E29"/>
    <w:rsid w:val="00622118"/>
    <w:rsid w:val="00622210"/>
    <w:rsid w:val="006226DC"/>
    <w:rsid w:val="0062343A"/>
    <w:rsid w:val="006234DA"/>
    <w:rsid w:val="00623DD7"/>
    <w:rsid w:val="00623FD0"/>
    <w:rsid w:val="0062589A"/>
    <w:rsid w:val="006262BA"/>
    <w:rsid w:val="00626962"/>
    <w:rsid w:val="00627A14"/>
    <w:rsid w:val="006307C7"/>
    <w:rsid w:val="00630A27"/>
    <w:rsid w:val="0063185C"/>
    <w:rsid w:val="00631897"/>
    <w:rsid w:val="00631F26"/>
    <w:rsid w:val="0063260E"/>
    <w:rsid w:val="00632B82"/>
    <w:rsid w:val="00632E90"/>
    <w:rsid w:val="006331B4"/>
    <w:rsid w:val="00633EEC"/>
    <w:rsid w:val="006343F3"/>
    <w:rsid w:val="00634B1D"/>
    <w:rsid w:val="0063586E"/>
    <w:rsid w:val="00636353"/>
    <w:rsid w:val="00636597"/>
    <w:rsid w:val="00637123"/>
    <w:rsid w:val="00637298"/>
    <w:rsid w:val="006375EA"/>
    <w:rsid w:val="00637842"/>
    <w:rsid w:val="00637BA1"/>
    <w:rsid w:val="006406FD"/>
    <w:rsid w:val="00640A7D"/>
    <w:rsid w:val="00640CF2"/>
    <w:rsid w:val="006417D6"/>
    <w:rsid w:val="00642190"/>
    <w:rsid w:val="00642654"/>
    <w:rsid w:val="00642906"/>
    <w:rsid w:val="00643108"/>
    <w:rsid w:val="00643223"/>
    <w:rsid w:val="00643582"/>
    <w:rsid w:val="00643B75"/>
    <w:rsid w:val="006440D3"/>
    <w:rsid w:val="00644173"/>
    <w:rsid w:val="00645164"/>
    <w:rsid w:val="00645297"/>
    <w:rsid w:val="006457EF"/>
    <w:rsid w:val="006460DB"/>
    <w:rsid w:val="006469AD"/>
    <w:rsid w:val="00646BD1"/>
    <w:rsid w:val="00646EED"/>
    <w:rsid w:val="00647C39"/>
    <w:rsid w:val="006502B0"/>
    <w:rsid w:val="00650DF8"/>
    <w:rsid w:val="00650F96"/>
    <w:rsid w:val="006512B7"/>
    <w:rsid w:val="00651C22"/>
    <w:rsid w:val="00651DC2"/>
    <w:rsid w:val="00651E34"/>
    <w:rsid w:val="00652C3E"/>
    <w:rsid w:val="00652D7D"/>
    <w:rsid w:val="006530EE"/>
    <w:rsid w:val="00653958"/>
    <w:rsid w:val="00653A4D"/>
    <w:rsid w:val="00653BFA"/>
    <w:rsid w:val="0065431F"/>
    <w:rsid w:val="006548AF"/>
    <w:rsid w:val="00654C0E"/>
    <w:rsid w:val="00655679"/>
    <w:rsid w:val="00655B4D"/>
    <w:rsid w:val="00655ED5"/>
    <w:rsid w:val="006571E9"/>
    <w:rsid w:val="00657529"/>
    <w:rsid w:val="00657826"/>
    <w:rsid w:val="00657908"/>
    <w:rsid w:val="00657B3C"/>
    <w:rsid w:val="00657D87"/>
    <w:rsid w:val="00660DBC"/>
    <w:rsid w:val="00661DB1"/>
    <w:rsid w:val="006622BB"/>
    <w:rsid w:val="00662B21"/>
    <w:rsid w:val="00664148"/>
    <w:rsid w:val="00665734"/>
    <w:rsid w:val="00665C74"/>
    <w:rsid w:val="00666E18"/>
    <w:rsid w:val="0066724B"/>
    <w:rsid w:val="00667262"/>
    <w:rsid w:val="006704A0"/>
    <w:rsid w:val="006716D0"/>
    <w:rsid w:val="00671977"/>
    <w:rsid w:val="00671D80"/>
    <w:rsid w:val="00672D0D"/>
    <w:rsid w:val="00672EFB"/>
    <w:rsid w:val="00673023"/>
    <w:rsid w:val="006739CF"/>
    <w:rsid w:val="0067526F"/>
    <w:rsid w:val="006754CF"/>
    <w:rsid w:val="00676E66"/>
    <w:rsid w:val="0067752C"/>
    <w:rsid w:val="00677557"/>
    <w:rsid w:val="006776A2"/>
    <w:rsid w:val="006776D2"/>
    <w:rsid w:val="00680069"/>
    <w:rsid w:val="006801A6"/>
    <w:rsid w:val="0068124B"/>
    <w:rsid w:val="00681610"/>
    <w:rsid w:val="00681E0A"/>
    <w:rsid w:val="00682979"/>
    <w:rsid w:val="0068371C"/>
    <w:rsid w:val="00684AD6"/>
    <w:rsid w:val="00684F59"/>
    <w:rsid w:val="006850ED"/>
    <w:rsid w:val="006851FD"/>
    <w:rsid w:val="00685A16"/>
    <w:rsid w:val="00685D36"/>
    <w:rsid w:val="006865FD"/>
    <w:rsid w:val="0068683B"/>
    <w:rsid w:val="00687304"/>
    <w:rsid w:val="0068748E"/>
    <w:rsid w:val="006901F6"/>
    <w:rsid w:val="006903D5"/>
    <w:rsid w:val="00690862"/>
    <w:rsid w:val="00690EEA"/>
    <w:rsid w:val="006920E4"/>
    <w:rsid w:val="00692770"/>
    <w:rsid w:val="00692C71"/>
    <w:rsid w:val="006931A0"/>
    <w:rsid w:val="006935BC"/>
    <w:rsid w:val="00693AB0"/>
    <w:rsid w:val="00693FCB"/>
    <w:rsid w:val="00694A48"/>
    <w:rsid w:val="00694DF0"/>
    <w:rsid w:val="00696E55"/>
    <w:rsid w:val="00697B32"/>
    <w:rsid w:val="006A0642"/>
    <w:rsid w:val="006A0B0E"/>
    <w:rsid w:val="006A0B66"/>
    <w:rsid w:val="006A0ED1"/>
    <w:rsid w:val="006A0F32"/>
    <w:rsid w:val="006A13B3"/>
    <w:rsid w:val="006A1E61"/>
    <w:rsid w:val="006A217C"/>
    <w:rsid w:val="006A26A1"/>
    <w:rsid w:val="006A27A5"/>
    <w:rsid w:val="006A311F"/>
    <w:rsid w:val="006A3A9C"/>
    <w:rsid w:val="006A3CC5"/>
    <w:rsid w:val="006A527A"/>
    <w:rsid w:val="006A57B6"/>
    <w:rsid w:val="006A5E77"/>
    <w:rsid w:val="006A65C2"/>
    <w:rsid w:val="006A671A"/>
    <w:rsid w:val="006A68C2"/>
    <w:rsid w:val="006A721F"/>
    <w:rsid w:val="006A7CCF"/>
    <w:rsid w:val="006A7F95"/>
    <w:rsid w:val="006A7F9A"/>
    <w:rsid w:val="006B0043"/>
    <w:rsid w:val="006B038F"/>
    <w:rsid w:val="006B0581"/>
    <w:rsid w:val="006B05BD"/>
    <w:rsid w:val="006B0F36"/>
    <w:rsid w:val="006B1527"/>
    <w:rsid w:val="006B2583"/>
    <w:rsid w:val="006B2720"/>
    <w:rsid w:val="006B30FD"/>
    <w:rsid w:val="006B4254"/>
    <w:rsid w:val="006B46ED"/>
    <w:rsid w:val="006B5CB4"/>
    <w:rsid w:val="006B5D0D"/>
    <w:rsid w:val="006B6087"/>
    <w:rsid w:val="006B6DCF"/>
    <w:rsid w:val="006B70B2"/>
    <w:rsid w:val="006B791B"/>
    <w:rsid w:val="006B7BD7"/>
    <w:rsid w:val="006C0813"/>
    <w:rsid w:val="006C0FFD"/>
    <w:rsid w:val="006C1F3F"/>
    <w:rsid w:val="006C209A"/>
    <w:rsid w:val="006C25BF"/>
    <w:rsid w:val="006C2B1B"/>
    <w:rsid w:val="006C30CA"/>
    <w:rsid w:val="006C3656"/>
    <w:rsid w:val="006C4793"/>
    <w:rsid w:val="006C47B2"/>
    <w:rsid w:val="006C5A2C"/>
    <w:rsid w:val="006C6551"/>
    <w:rsid w:val="006C708D"/>
    <w:rsid w:val="006C7225"/>
    <w:rsid w:val="006C771B"/>
    <w:rsid w:val="006D00F5"/>
    <w:rsid w:val="006D06E8"/>
    <w:rsid w:val="006D0C98"/>
    <w:rsid w:val="006D0EDD"/>
    <w:rsid w:val="006D188E"/>
    <w:rsid w:val="006D1F5C"/>
    <w:rsid w:val="006D22D2"/>
    <w:rsid w:val="006D2331"/>
    <w:rsid w:val="006D36FB"/>
    <w:rsid w:val="006D370E"/>
    <w:rsid w:val="006D42ED"/>
    <w:rsid w:val="006D4BF3"/>
    <w:rsid w:val="006D4D1A"/>
    <w:rsid w:val="006D5940"/>
    <w:rsid w:val="006D5982"/>
    <w:rsid w:val="006D5B0F"/>
    <w:rsid w:val="006D69B7"/>
    <w:rsid w:val="006D6F77"/>
    <w:rsid w:val="006D72EB"/>
    <w:rsid w:val="006D73F1"/>
    <w:rsid w:val="006E06C6"/>
    <w:rsid w:val="006E1208"/>
    <w:rsid w:val="006E1415"/>
    <w:rsid w:val="006E20CC"/>
    <w:rsid w:val="006E2314"/>
    <w:rsid w:val="006E2A29"/>
    <w:rsid w:val="006E3514"/>
    <w:rsid w:val="006E35FC"/>
    <w:rsid w:val="006E39E1"/>
    <w:rsid w:val="006E4783"/>
    <w:rsid w:val="006E520A"/>
    <w:rsid w:val="006E5230"/>
    <w:rsid w:val="006E5681"/>
    <w:rsid w:val="006E5BCE"/>
    <w:rsid w:val="006E6560"/>
    <w:rsid w:val="006E69FF"/>
    <w:rsid w:val="006E7421"/>
    <w:rsid w:val="006E7647"/>
    <w:rsid w:val="006E79EF"/>
    <w:rsid w:val="006E7A65"/>
    <w:rsid w:val="006F09AD"/>
    <w:rsid w:val="006F0D4F"/>
    <w:rsid w:val="006F162C"/>
    <w:rsid w:val="006F1DA8"/>
    <w:rsid w:val="006F22E9"/>
    <w:rsid w:val="006F23B3"/>
    <w:rsid w:val="006F341A"/>
    <w:rsid w:val="006F38C8"/>
    <w:rsid w:val="006F3C3F"/>
    <w:rsid w:val="006F4A4A"/>
    <w:rsid w:val="006F4CFA"/>
    <w:rsid w:val="006F5310"/>
    <w:rsid w:val="006F6578"/>
    <w:rsid w:val="006F680C"/>
    <w:rsid w:val="006F696E"/>
    <w:rsid w:val="006F6B91"/>
    <w:rsid w:val="006F7C03"/>
    <w:rsid w:val="00700A39"/>
    <w:rsid w:val="007017FC"/>
    <w:rsid w:val="007019E9"/>
    <w:rsid w:val="00701CDC"/>
    <w:rsid w:val="0070206C"/>
    <w:rsid w:val="00702504"/>
    <w:rsid w:val="00702806"/>
    <w:rsid w:val="00702F76"/>
    <w:rsid w:val="007039B5"/>
    <w:rsid w:val="00703C54"/>
    <w:rsid w:val="007040CB"/>
    <w:rsid w:val="00704D67"/>
    <w:rsid w:val="00704F40"/>
    <w:rsid w:val="0070523B"/>
    <w:rsid w:val="00705406"/>
    <w:rsid w:val="00705EDD"/>
    <w:rsid w:val="007069B6"/>
    <w:rsid w:val="00706D06"/>
    <w:rsid w:val="00707D16"/>
    <w:rsid w:val="0071037E"/>
    <w:rsid w:val="00710C44"/>
    <w:rsid w:val="0071103A"/>
    <w:rsid w:val="00711C19"/>
    <w:rsid w:val="00711E19"/>
    <w:rsid w:val="007120A5"/>
    <w:rsid w:val="007128C9"/>
    <w:rsid w:val="00712D92"/>
    <w:rsid w:val="0071363F"/>
    <w:rsid w:val="0071369F"/>
    <w:rsid w:val="00713A33"/>
    <w:rsid w:val="00713AEB"/>
    <w:rsid w:val="00713CB0"/>
    <w:rsid w:val="007142BC"/>
    <w:rsid w:val="00714D20"/>
    <w:rsid w:val="00714E82"/>
    <w:rsid w:val="00714FCF"/>
    <w:rsid w:val="007159BF"/>
    <w:rsid w:val="00715E8A"/>
    <w:rsid w:val="007161F7"/>
    <w:rsid w:val="00717226"/>
    <w:rsid w:val="00717740"/>
    <w:rsid w:val="00720D32"/>
    <w:rsid w:val="00720DD7"/>
    <w:rsid w:val="00720FDD"/>
    <w:rsid w:val="007213F6"/>
    <w:rsid w:val="00721A2A"/>
    <w:rsid w:val="00721DF2"/>
    <w:rsid w:val="00721E6A"/>
    <w:rsid w:val="00722883"/>
    <w:rsid w:val="00723974"/>
    <w:rsid w:val="00723AF0"/>
    <w:rsid w:val="00723F0B"/>
    <w:rsid w:val="00724192"/>
    <w:rsid w:val="00726572"/>
    <w:rsid w:val="00727911"/>
    <w:rsid w:val="0073007E"/>
    <w:rsid w:val="007303E6"/>
    <w:rsid w:val="007311E2"/>
    <w:rsid w:val="007319DE"/>
    <w:rsid w:val="00731B02"/>
    <w:rsid w:val="00732519"/>
    <w:rsid w:val="007327D1"/>
    <w:rsid w:val="0073365B"/>
    <w:rsid w:val="007347DB"/>
    <w:rsid w:val="00734F5A"/>
    <w:rsid w:val="0073579D"/>
    <w:rsid w:val="0073587D"/>
    <w:rsid w:val="007358FA"/>
    <w:rsid w:val="007359C1"/>
    <w:rsid w:val="00735B32"/>
    <w:rsid w:val="00735CDD"/>
    <w:rsid w:val="007362F9"/>
    <w:rsid w:val="0073688E"/>
    <w:rsid w:val="00736BB7"/>
    <w:rsid w:val="00736D79"/>
    <w:rsid w:val="00736D97"/>
    <w:rsid w:val="00737CEF"/>
    <w:rsid w:val="00737DDA"/>
    <w:rsid w:val="00737EB2"/>
    <w:rsid w:val="00740815"/>
    <w:rsid w:val="00740E76"/>
    <w:rsid w:val="0074142F"/>
    <w:rsid w:val="00741E30"/>
    <w:rsid w:val="007420DF"/>
    <w:rsid w:val="00743E72"/>
    <w:rsid w:val="00744298"/>
    <w:rsid w:val="00744695"/>
    <w:rsid w:val="00744AC1"/>
    <w:rsid w:val="00744F08"/>
    <w:rsid w:val="00745773"/>
    <w:rsid w:val="007459B8"/>
    <w:rsid w:val="007468B0"/>
    <w:rsid w:val="00746B57"/>
    <w:rsid w:val="00746EA2"/>
    <w:rsid w:val="00746FBD"/>
    <w:rsid w:val="00747D90"/>
    <w:rsid w:val="007501B9"/>
    <w:rsid w:val="00750EAB"/>
    <w:rsid w:val="00751A33"/>
    <w:rsid w:val="00751AC2"/>
    <w:rsid w:val="00751CB9"/>
    <w:rsid w:val="007529AC"/>
    <w:rsid w:val="007537DC"/>
    <w:rsid w:val="00753B8A"/>
    <w:rsid w:val="00754563"/>
    <w:rsid w:val="007548A4"/>
    <w:rsid w:val="00755120"/>
    <w:rsid w:val="00755524"/>
    <w:rsid w:val="00756117"/>
    <w:rsid w:val="00756141"/>
    <w:rsid w:val="0075624F"/>
    <w:rsid w:val="007562AA"/>
    <w:rsid w:val="00756580"/>
    <w:rsid w:val="007568D9"/>
    <w:rsid w:val="007569F5"/>
    <w:rsid w:val="00756BDF"/>
    <w:rsid w:val="00756D96"/>
    <w:rsid w:val="0076004B"/>
    <w:rsid w:val="0076097D"/>
    <w:rsid w:val="00761F46"/>
    <w:rsid w:val="007620C2"/>
    <w:rsid w:val="0076291C"/>
    <w:rsid w:val="00763641"/>
    <w:rsid w:val="00763F64"/>
    <w:rsid w:val="00764314"/>
    <w:rsid w:val="00764499"/>
    <w:rsid w:val="007660E6"/>
    <w:rsid w:val="007668BA"/>
    <w:rsid w:val="00766EA2"/>
    <w:rsid w:val="00767A46"/>
    <w:rsid w:val="00767B7F"/>
    <w:rsid w:val="00767BA9"/>
    <w:rsid w:val="00770596"/>
    <w:rsid w:val="007707EA"/>
    <w:rsid w:val="00771D54"/>
    <w:rsid w:val="00771DBC"/>
    <w:rsid w:val="00771E3A"/>
    <w:rsid w:val="0077200F"/>
    <w:rsid w:val="0077269E"/>
    <w:rsid w:val="0077277D"/>
    <w:rsid w:val="00773BF7"/>
    <w:rsid w:val="007743C3"/>
    <w:rsid w:val="007747D4"/>
    <w:rsid w:val="00774963"/>
    <w:rsid w:val="00774965"/>
    <w:rsid w:val="00775284"/>
    <w:rsid w:val="00775862"/>
    <w:rsid w:val="00775890"/>
    <w:rsid w:val="00776928"/>
    <w:rsid w:val="007810E6"/>
    <w:rsid w:val="0078139D"/>
    <w:rsid w:val="00781493"/>
    <w:rsid w:val="00781B7F"/>
    <w:rsid w:val="00781DEB"/>
    <w:rsid w:val="007823FE"/>
    <w:rsid w:val="00782B02"/>
    <w:rsid w:val="00782DCB"/>
    <w:rsid w:val="007835D5"/>
    <w:rsid w:val="00783A80"/>
    <w:rsid w:val="00784156"/>
    <w:rsid w:val="007842EE"/>
    <w:rsid w:val="00784E6D"/>
    <w:rsid w:val="00785305"/>
    <w:rsid w:val="00787096"/>
    <w:rsid w:val="00787534"/>
    <w:rsid w:val="00787E5C"/>
    <w:rsid w:val="00791280"/>
    <w:rsid w:val="00791EEF"/>
    <w:rsid w:val="00792A55"/>
    <w:rsid w:val="00792AEF"/>
    <w:rsid w:val="0079317E"/>
    <w:rsid w:val="007933B3"/>
    <w:rsid w:val="00793664"/>
    <w:rsid w:val="007939DC"/>
    <w:rsid w:val="00793E1E"/>
    <w:rsid w:val="00794977"/>
    <w:rsid w:val="00794D72"/>
    <w:rsid w:val="00795A31"/>
    <w:rsid w:val="00795CD4"/>
    <w:rsid w:val="00795FBE"/>
    <w:rsid w:val="007961EE"/>
    <w:rsid w:val="00797BB0"/>
    <w:rsid w:val="007A048E"/>
    <w:rsid w:val="007A0645"/>
    <w:rsid w:val="007A19AF"/>
    <w:rsid w:val="007A1E9D"/>
    <w:rsid w:val="007A203E"/>
    <w:rsid w:val="007A2801"/>
    <w:rsid w:val="007A2BEB"/>
    <w:rsid w:val="007A3375"/>
    <w:rsid w:val="007A465C"/>
    <w:rsid w:val="007A4EEE"/>
    <w:rsid w:val="007A5024"/>
    <w:rsid w:val="007A596D"/>
    <w:rsid w:val="007A5D5B"/>
    <w:rsid w:val="007A61F2"/>
    <w:rsid w:val="007A649C"/>
    <w:rsid w:val="007A6DAA"/>
    <w:rsid w:val="007A78ED"/>
    <w:rsid w:val="007A7E11"/>
    <w:rsid w:val="007A7EC8"/>
    <w:rsid w:val="007B0116"/>
    <w:rsid w:val="007B032C"/>
    <w:rsid w:val="007B1AF8"/>
    <w:rsid w:val="007B1EA6"/>
    <w:rsid w:val="007B21FE"/>
    <w:rsid w:val="007B24CB"/>
    <w:rsid w:val="007B2798"/>
    <w:rsid w:val="007B2A16"/>
    <w:rsid w:val="007B2F75"/>
    <w:rsid w:val="007B3AFC"/>
    <w:rsid w:val="007B3E3E"/>
    <w:rsid w:val="007B3EC2"/>
    <w:rsid w:val="007B445A"/>
    <w:rsid w:val="007B4B3F"/>
    <w:rsid w:val="007B4F7B"/>
    <w:rsid w:val="007B71F5"/>
    <w:rsid w:val="007B735F"/>
    <w:rsid w:val="007B740E"/>
    <w:rsid w:val="007B74B8"/>
    <w:rsid w:val="007B787D"/>
    <w:rsid w:val="007B7A58"/>
    <w:rsid w:val="007B7B7B"/>
    <w:rsid w:val="007B7C72"/>
    <w:rsid w:val="007B7F23"/>
    <w:rsid w:val="007C019C"/>
    <w:rsid w:val="007C1948"/>
    <w:rsid w:val="007C1CA4"/>
    <w:rsid w:val="007C1D2C"/>
    <w:rsid w:val="007C2023"/>
    <w:rsid w:val="007C2991"/>
    <w:rsid w:val="007C2B56"/>
    <w:rsid w:val="007C3165"/>
    <w:rsid w:val="007C3B59"/>
    <w:rsid w:val="007C4784"/>
    <w:rsid w:val="007C529A"/>
    <w:rsid w:val="007C58D6"/>
    <w:rsid w:val="007C6927"/>
    <w:rsid w:val="007C6DFF"/>
    <w:rsid w:val="007C6FEC"/>
    <w:rsid w:val="007C732D"/>
    <w:rsid w:val="007C7A15"/>
    <w:rsid w:val="007D04FC"/>
    <w:rsid w:val="007D06CE"/>
    <w:rsid w:val="007D078F"/>
    <w:rsid w:val="007D0B93"/>
    <w:rsid w:val="007D0E3A"/>
    <w:rsid w:val="007D1008"/>
    <w:rsid w:val="007D13B3"/>
    <w:rsid w:val="007D1744"/>
    <w:rsid w:val="007D1D4C"/>
    <w:rsid w:val="007D2D81"/>
    <w:rsid w:val="007D2EC5"/>
    <w:rsid w:val="007D33AD"/>
    <w:rsid w:val="007D3668"/>
    <w:rsid w:val="007D3976"/>
    <w:rsid w:val="007D4319"/>
    <w:rsid w:val="007D4359"/>
    <w:rsid w:val="007D4B30"/>
    <w:rsid w:val="007D4E1A"/>
    <w:rsid w:val="007D530B"/>
    <w:rsid w:val="007D556B"/>
    <w:rsid w:val="007D5B27"/>
    <w:rsid w:val="007D5C80"/>
    <w:rsid w:val="007D5CE8"/>
    <w:rsid w:val="007D62AE"/>
    <w:rsid w:val="007D771A"/>
    <w:rsid w:val="007D77D3"/>
    <w:rsid w:val="007D79FD"/>
    <w:rsid w:val="007E0018"/>
    <w:rsid w:val="007E013D"/>
    <w:rsid w:val="007E0726"/>
    <w:rsid w:val="007E0861"/>
    <w:rsid w:val="007E0A7D"/>
    <w:rsid w:val="007E120D"/>
    <w:rsid w:val="007E13B9"/>
    <w:rsid w:val="007E1CF4"/>
    <w:rsid w:val="007E2754"/>
    <w:rsid w:val="007E2857"/>
    <w:rsid w:val="007E2902"/>
    <w:rsid w:val="007E2DBD"/>
    <w:rsid w:val="007E4919"/>
    <w:rsid w:val="007E5818"/>
    <w:rsid w:val="007E61A7"/>
    <w:rsid w:val="007E6486"/>
    <w:rsid w:val="007E65D7"/>
    <w:rsid w:val="007E67FC"/>
    <w:rsid w:val="007E6BFB"/>
    <w:rsid w:val="007E6D41"/>
    <w:rsid w:val="007E6D60"/>
    <w:rsid w:val="007E7B27"/>
    <w:rsid w:val="007F0526"/>
    <w:rsid w:val="007F068C"/>
    <w:rsid w:val="007F08E5"/>
    <w:rsid w:val="007F104E"/>
    <w:rsid w:val="007F16C3"/>
    <w:rsid w:val="007F227E"/>
    <w:rsid w:val="007F3C81"/>
    <w:rsid w:val="007F43CA"/>
    <w:rsid w:val="007F47DF"/>
    <w:rsid w:val="007F4856"/>
    <w:rsid w:val="007F4CB4"/>
    <w:rsid w:val="007F51D3"/>
    <w:rsid w:val="007F57C5"/>
    <w:rsid w:val="007F6249"/>
    <w:rsid w:val="007F67F2"/>
    <w:rsid w:val="007F6BD5"/>
    <w:rsid w:val="007F70CD"/>
    <w:rsid w:val="007F70D2"/>
    <w:rsid w:val="007F71DE"/>
    <w:rsid w:val="007F7885"/>
    <w:rsid w:val="007F7A38"/>
    <w:rsid w:val="007F7F11"/>
    <w:rsid w:val="008001C0"/>
    <w:rsid w:val="0080089C"/>
    <w:rsid w:val="00800964"/>
    <w:rsid w:val="008013C6"/>
    <w:rsid w:val="008017E8"/>
    <w:rsid w:val="00801A34"/>
    <w:rsid w:val="00801AD2"/>
    <w:rsid w:val="00801C5C"/>
    <w:rsid w:val="00801EF8"/>
    <w:rsid w:val="00802788"/>
    <w:rsid w:val="00802BD9"/>
    <w:rsid w:val="00802F2F"/>
    <w:rsid w:val="00803304"/>
    <w:rsid w:val="00803318"/>
    <w:rsid w:val="00803456"/>
    <w:rsid w:val="00803581"/>
    <w:rsid w:val="0080362A"/>
    <w:rsid w:val="0080390A"/>
    <w:rsid w:val="00803CAD"/>
    <w:rsid w:val="00805993"/>
    <w:rsid w:val="00805CAE"/>
    <w:rsid w:val="00805DD8"/>
    <w:rsid w:val="00806013"/>
    <w:rsid w:val="00806377"/>
    <w:rsid w:val="00806511"/>
    <w:rsid w:val="00807046"/>
    <w:rsid w:val="0080715E"/>
    <w:rsid w:val="00807CC5"/>
    <w:rsid w:val="00807D49"/>
    <w:rsid w:val="008103FB"/>
    <w:rsid w:val="008115D9"/>
    <w:rsid w:val="008119F3"/>
    <w:rsid w:val="00811BBD"/>
    <w:rsid w:val="00811FAA"/>
    <w:rsid w:val="0081280B"/>
    <w:rsid w:val="00812875"/>
    <w:rsid w:val="00812976"/>
    <w:rsid w:val="00812B2F"/>
    <w:rsid w:val="00812BF7"/>
    <w:rsid w:val="00813521"/>
    <w:rsid w:val="00814485"/>
    <w:rsid w:val="008148FB"/>
    <w:rsid w:val="00814B71"/>
    <w:rsid w:val="00814C1E"/>
    <w:rsid w:val="00814D72"/>
    <w:rsid w:val="00814DEF"/>
    <w:rsid w:val="00817007"/>
    <w:rsid w:val="0081788D"/>
    <w:rsid w:val="00817C32"/>
    <w:rsid w:val="008207DD"/>
    <w:rsid w:val="0082239E"/>
    <w:rsid w:val="00823149"/>
    <w:rsid w:val="00824375"/>
    <w:rsid w:val="00824ED6"/>
    <w:rsid w:val="00825A87"/>
    <w:rsid w:val="0082609C"/>
    <w:rsid w:val="00826518"/>
    <w:rsid w:val="00826748"/>
    <w:rsid w:val="00827E96"/>
    <w:rsid w:val="00827F21"/>
    <w:rsid w:val="008309A6"/>
    <w:rsid w:val="00830A6B"/>
    <w:rsid w:val="00831036"/>
    <w:rsid w:val="008311C5"/>
    <w:rsid w:val="008312E1"/>
    <w:rsid w:val="00831A47"/>
    <w:rsid w:val="00831B9B"/>
    <w:rsid w:val="00831BF6"/>
    <w:rsid w:val="00831F18"/>
    <w:rsid w:val="00832381"/>
    <w:rsid w:val="00832E14"/>
    <w:rsid w:val="00834817"/>
    <w:rsid w:val="00835008"/>
    <w:rsid w:val="00835017"/>
    <w:rsid w:val="00836523"/>
    <w:rsid w:val="00836F8A"/>
    <w:rsid w:val="0083737F"/>
    <w:rsid w:val="008376EE"/>
    <w:rsid w:val="00840FE8"/>
    <w:rsid w:val="008429A1"/>
    <w:rsid w:val="00842A7E"/>
    <w:rsid w:val="00842EC2"/>
    <w:rsid w:val="008432C4"/>
    <w:rsid w:val="00843C19"/>
    <w:rsid w:val="00843C98"/>
    <w:rsid w:val="00844C4B"/>
    <w:rsid w:val="00844D3D"/>
    <w:rsid w:val="00844D98"/>
    <w:rsid w:val="0084514B"/>
    <w:rsid w:val="0084532E"/>
    <w:rsid w:val="00845810"/>
    <w:rsid w:val="00845B81"/>
    <w:rsid w:val="00845F3C"/>
    <w:rsid w:val="00846159"/>
    <w:rsid w:val="00846B44"/>
    <w:rsid w:val="008479A3"/>
    <w:rsid w:val="00847F5B"/>
    <w:rsid w:val="008505C3"/>
    <w:rsid w:val="00850E2F"/>
    <w:rsid w:val="00850F3D"/>
    <w:rsid w:val="008512E3"/>
    <w:rsid w:val="00851677"/>
    <w:rsid w:val="00851905"/>
    <w:rsid w:val="008522C6"/>
    <w:rsid w:val="00852E40"/>
    <w:rsid w:val="00853D19"/>
    <w:rsid w:val="0085483E"/>
    <w:rsid w:val="00854EB1"/>
    <w:rsid w:val="0085577A"/>
    <w:rsid w:val="00855BFA"/>
    <w:rsid w:val="00856044"/>
    <w:rsid w:val="008570EA"/>
    <w:rsid w:val="00857A90"/>
    <w:rsid w:val="00857CDD"/>
    <w:rsid w:val="00860082"/>
    <w:rsid w:val="008600D0"/>
    <w:rsid w:val="008609C9"/>
    <w:rsid w:val="00860B63"/>
    <w:rsid w:val="00860E76"/>
    <w:rsid w:val="00860EA8"/>
    <w:rsid w:val="00861022"/>
    <w:rsid w:val="008610BC"/>
    <w:rsid w:val="00861E9D"/>
    <w:rsid w:val="00862042"/>
    <w:rsid w:val="008621B8"/>
    <w:rsid w:val="008639C8"/>
    <w:rsid w:val="00863FC0"/>
    <w:rsid w:val="0086472B"/>
    <w:rsid w:val="00864734"/>
    <w:rsid w:val="008649CD"/>
    <w:rsid w:val="00864A71"/>
    <w:rsid w:val="00865813"/>
    <w:rsid w:val="008659A3"/>
    <w:rsid w:val="00865B83"/>
    <w:rsid w:val="00866494"/>
    <w:rsid w:val="0086688B"/>
    <w:rsid w:val="00866CC6"/>
    <w:rsid w:val="00866FF4"/>
    <w:rsid w:val="00870129"/>
    <w:rsid w:val="00870B36"/>
    <w:rsid w:val="00870C1E"/>
    <w:rsid w:val="00871135"/>
    <w:rsid w:val="00871226"/>
    <w:rsid w:val="0087205F"/>
    <w:rsid w:val="008721C4"/>
    <w:rsid w:val="0087368E"/>
    <w:rsid w:val="00873E1D"/>
    <w:rsid w:val="00874402"/>
    <w:rsid w:val="008752F0"/>
    <w:rsid w:val="00875DB1"/>
    <w:rsid w:val="00876034"/>
    <w:rsid w:val="00876FA0"/>
    <w:rsid w:val="008778EA"/>
    <w:rsid w:val="00877CB8"/>
    <w:rsid w:val="008802D9"/>
    <w:rsid w:val="00880B98"/>
    <w:rsid w:val="0088187F"/>
    <w:rsid w:val="00881F26"/>
    <w:rsid w:val="00882056"/>
    <w:rsid w:val="008824A5"/>
    <w:rsid w:val="008831ED"/>
    <w:rsid w:val="008838A1"/>
    <w:rsid w:val="00883D29"/>
    <w:rsid w:val="008841AB"/>
    <w:rsid w:val="00884628"/>
    <w:rsid w:val="0088478E"/>
    <w:rsid w:val="008849F6"/>
    <w:rsid w:val="0088685E"/>
    <w:rsid w:val="0088689E"/>
    <w:rsid w:val="00886ED0"/>
    <w:rsid w:val="00887A56"/>
    <w:rsid w:val="00891794"/>
    <w:rsid w:val="00891929"/>
    <w:rsid w:val="00893176"/>
    <w:rsid w:val="008937E4"/>
    <w:rsid w:val="00893B71"/>
    <w:rsid w:val="0089493D"/>
    <w:rsid w:val="00894ED7"/>
    <w:rsid w:val="0089531E"/>
    <w:rsid w:val="00895446"/>
    <w:rsid w:val="00895770"/>
    <w:rsid w:val="00895B22"/>
    <w:rsid w:val="00895DD6"/>
    <w:rsid w:val="008961DF"/>
    <w:rsid w:val="008962CB"/>
    <w:rsid w:val="00896D33"/>
    <w:rsid w:val="00897345"/>
    <w:rsid w:val="00897870"/>
    <w:rsid w:val="008979B8"/>
    <w:rsid w:val="008A0246"/>
    <w:rsid w:val="008A0327"/>
    <w:rsid w:val="008A05E4"/>
    <w:rsid w:val="008A0A0A"/>
    <w:rsid w:val="008A0B13"/>
    <w:rsid w:val="008A11F1"/>
    <w:rsid w:val="008A16C4"/>
    <w:rsid w:val="008A1F53"/>
    <w:rsid w:val="008A2098"/>
    <w:rsid w:val="008A29A2"/>
    <w:rsid w:val="008A2D78"/>
    <w:rsid w:val="008A3260"/>
    <w:rsid w:val="008A32D1"/>
    <w:rsid w:val="008A38EA"/>
    <w:rsid w:val="008A3AAF"/>
    <w:rsid w:val="008A3D7A"/>
    <w:rsid w:val="008A3F08"/>
    <w:rsid w:val="008A505D"/>
    <w:rsid w:val="008A75DA"/>
    <w:rsid w:val="008A7B50"/>
    <w:rsid w:val="008A7BB4"/>
    <w:rsid w:val="008B019C"/>
    <w:rsid w:val="008B03D8"/>
    <w:rsid w:val="008B2CDD"/>
    <w:rsid w:val="008B3C9D"/>
    <w:rsid w:val="008B4290"/>
    <w:rsid w:val="008B61CD"/>
    <w:rsid w:val="008B6915"/>
    <w:rsid w:val="008B6E9B"/>
    <w:rsid w:val="008B700A"/>
    <w:rsid w:val="008B755C"/>
    <w:rsid w:val="008B7562"/>
    <w:rsid w:val="008B7DE4"/>
    <w:rsid w:val="008C0996"/>
    <w:rsid w:val="008C0D4F"/>
    <w:rsid w:val="008C1C4E"/>
    <w:rsid w:val="008C1E9E"/>
    <w:rsid w:val="008C1F26"/>
    <w:rsid w:val="008C22E6"/>
    <w:rsid w:val="008C2AF4"/>
    <w:rsid w:val="008C3976"/>
    <w:rsid w:val="008C399B"/>
    <w:rsid w:val="008C4A61"/>
    <w:rsid w:val="008C4CB3"/>
    <w:rsid w:val="008C4F0F"/>
    <w:rsid w:val="008C4F3A"/>
    <w:rsid w:val="008C52B9"/>
    <w:rsid w:val="008C5750"/>
    <w:rsid w:val="008C6CFD"/>
    <w:rsid w:val="008C75F1"/>
    <w:rsid w:val="008C763E"/>
    <w:rsid w:val="008C77EF"/>
    <w:rsid w:val="008C7D07"/>
    <w:rsid w:val="008C7F38"/>
    <w:rsid w:val="008D0789"/>
    <w:rsid w:val="008D099D"/>
    <w:rsid w:val="008D1159"/>
    <w:rsid w:val="008D13A4"/>
    <w:rsid w:val="008D13DC"/>
    <w:rsid w:val="008D19F5"/>
    <w:rsid w:val="008D1D16"/>
    <w:rsid w:val="008D2938"/>
    <w:rsid w:val="008D2CA7"/>
    <w:rsid w:val="008D2CEB"/>
    <w:rsid w:val="008D313A"/>
    <w:rsid w:val="008D3B16"/>
    <w:rsid w:val="008D3B9E"/>
    <w:rsid w:val="008D5029"/>
    <w:rsid w:val="008D51F8"/>
    <w:rsid w:val="008D55C9"/>
    <w:rsid w:val="008E02F4"/>
    <w:rsid w:val="008E0765"/>
    <w:rsid w:val="008E1586"/>
    <w:rsid w:val="008E1E29"/>
    <w:rsid w:val="008E25A6"/>
    <w:rsid w:val="008E26CE"/>
    <w:rsid w:val="008E2C88"/>
    <w:rsid w:val="008E30DF"/>
    <w:rsid w:val="008E32EE"/>
    <w:rsid w:val="008E3AC5"/>
    <w:rsid w:val="008E4FAC"/>
    <w:rsid w:val="008E5493"/>
    <w:rsid w:val="008E5B62"/>
    <w:rsid w:val="008E5F34"/>
    <w:rsid w:val="008E622F"/>
    <w:rsid w:val="008E64D4"/>
    <w:rsid w:val="008E661B"/>
    <w:rsid w:val="008E6EC5"/>
    <w:rsid w:val="008E7460"/>
    <w:rsid w:val="008E7585"/>
    <w:rsid w:val="008E7BDE"/>
    <w:rsid w:val="008F032E"/>
    <w:rsid w:val="008F0A27"/>
    <w:rsid w:val="008F0F20"/>
    <w:rsid w:val="008F20D8"/>
    <w:rsid w:val="008F24CB"/>
    <w:rsid w:val="008F27A6"/>
    <w:rsid w:val="008F2E5C"/>
    <w:rsid w:val="008F3FDE"/>
    <w:rsid w:val="008F455E"/>
    <w:rsid w:val="008F4DC7"/>
    <w:rsid w:val="008F5C40"/>
    <w:rsid w:val="008F5F77"/>
    <w:rsid w:val="008F646F"/>
    <w:rsid w:val="008F6B3C"/>
    <w:rsid w:val="00900633"/>
    <w:rsid w:val="009006A0"/>
    <w:rsid w:val="0090119D"/>
    <w:rsid w:val="00902690"/>
    <w:rsid w:val="00902887"/>
    <w:rsid w:val="00903332"/>
    <w:rsid w:val="00903A79"/>
    <w:rsid w:val="0090474E"/>
    <w:rsid w:val="00904753"/>
    <w:rsid w:val="00904A81"/>
    <w:rsid w:val="00904B7B"/>
    <w:rsid w:val="009054A2"/>
    <w:rsid w:val="00905E47"/>
    <w:rsid w:val="00906597"/>
    <w:rsid w:val="00906982"/>
    <w:rsid w:val="009071AC"/>
    <w:rsid w:val="009076D0"/>
    <w:rsid w:val="00907B17"/>
    <w:rsid w:val="00910073"/>
    <w:rsid w:val="00910868"/>
    <w:rsid w:val="009108CA"/>
    <w:rsid w:val="00912E1F"/>
    <w:rsid w:val="0091305D"/>
    <w:rsid w:val="00913C5F"/>
    <w:rsid w:val="00913EFF"/>
    <w:rsid w:val="00914282"/>
    <w:rsid w:val="00914293"/>
    <w:rsid w:val="0091485B"/>
    <w:rsid w:val="00914A41"/>
    <w:rsid w:val="00914F38"/>
    <w:rsid w:val="00915EE2"/>
    <w:rsid w:val="009165FD"/>
    <w:rsid w:val="00916701"/>
    <w:rsid w:val="00916A54"/>
    <w:rsid w:val="00916F51"/>
    <w:rsid w:val="0091776B"/>
    <w:rsid w:val="00917AC0"/>
    <w:rsid w:val="009200C9"/>
    <w:rsid w:val="00920343"/>
    <w:rsid w:val="00920396"/>
    <w:rsid w:val="009210CA"/>
    <w:rsid w:val="009220CE"/>
    <w:rsid w:val="00922317"/>
    <w:rsid w:val="00922CDB"/>
    <w:rsid w:val="00922DB1"/>
    <w:rsid w:val="00923146"/>
    <w:rsid w:val="00923381"/>
    <w:rsid w:val="00924ABE"/>
    <w:rsid w:val="00924CEB"/>
    <w:rsid w:val="00924D09"/>
    <w:rsid w:val="00925095"/>
    <w:rsid w:val="00925B55"/>
    <w:rsid w:val="00925DDE"/>
    <w:rsid w:val="0092657D"/>
    <w:rsid w:val="00926692"/>
    <w:rsid w:val="00926A11"/>
    <w:rsid w:val="00926A28"/>
    <w:rsid w:val="009278B0"/>
    <w:rsid w:val="00931E1D"/>
    <w:rsid w:val="00932237"/>
    <w:rsid w:val="00932B67"/>
    <w:rsid w:val="00932BBC"/>
    <w:rsid w:val="009341E6"/>
    <w:rsid w:val="00934E52"/>
    <w:rsid w:val="00935018"/>
    <w:rsid w:val="00935096"/>
    <w:rsid w:val="00935AF4"/>
    <w:rsid w:val="00936138"/>
    <w:rsid w:val="0093671F"/>
    <w:rsid w:val="00937BC2"/>
    <w:rsid w:val="00937D0C"/>
    <w:rsid w:val="00937F0D"/>
    <w:rsid w:val="00941D1F"/>
    <w:rsid w:val="00941D3B"/>
    <w:rsid w:val="00942C32"/>
    <w:rsid w:val="00942CEF"/>
    <w:rsid w:val="00942D98"/>
    <w:rsid w:val="00943669"/>
    <w:rsid w:val="0094366C"/>
    <w:rsid w:val="00943DB8"/>
    <w:rsid w:val="009440B7"/>
    <w:rsid w:val="0094460A"/>
    <w:rsid w:val="00944E20"/>
    <w:rsid w:val="00945082"/>
    <w:rsid w:val="0094508A"/>
    <w:rsid w:val="0094581D"/>
    <w:rsid w:val="0094615E"/>
    <w:rsid w:val="0094666B"/>
    <w:rsid w:val="009467D5"/>
    <w:rsid w:val="00946B00"/>
    <w:rsid w:val="00947167"/>
    <w:rsid w:val="009479C0"/>
    <w:rsid w:val="00950914"/>
    <w:rsid w:val="00950C51"/>
    <w:rsid w:val="00951548"/>
    <w:rsid w:val="0095177C"/>
    <w:rsid w:val="00951973"/>
    <w:rsid w:val="00951CC3"/>
    <w:rsid w:val="0095252E"/>
    <w:rsid w:val="00952591"/>
    <w:rsid w:val="00952C90"/>
    <w:rsid w:val="00952C92"/>
    <w:rsid w:val="00952D0C"/>
    <w:rsid w:val="00952DCC"/>
    <w:rsid w:val="00952EAB"/>
    <w:rsid w:val="009530EA"/>
    <w:rsid w:val="00953170"/>
    <w:rsid w:val="00953ADF"/>
    <w:rsid w:val="00953B55"/>
    <w:rsid w:val="00953C0B"/>
    <w:rsid w:val="00953DAB"/>
    <w:rsid w:val="00954171"/>
    <w:rsid w:val="009542E2"/>
    <w:rsid w:val="009551EA"/>
    <w:rsid w:val="00955636"/>
    <w:rsid w:val="0095579B"/>
    <w:rsid w:val="00955A79"/>
    <w:rsid w:val="00955DED"/>
    <w:rsid w:val="0095634F"/>
    <w:rsid w:val="00956414"/>
    <w:rsid w:val="00956918"/>
    <w:rsid w:val="00956EDF"/>
    <w:rsid w:val="00957277"/>
    <w:rsid w:val="0095734C"/>
    <w:rsid w:val="00957B80"/>
    <w:rsid w:val="00957E73"/>
    <w:rsid w:val="00960F73"/>
    <w:rsid w:val="0096135C"/>
    <w:rsid w:val="00961396"/>
    <w:rsid w:val="009618BB"/>
    <w:rsid w:val="009629B3"/>
    <w:rsid w:val="0096338A"/>
    <w:rsid w:val="0096344B"/>
    <w:rsid w:val="00964830"/>
    <w:rsid w:val="0096499D"/>
    <w:rsid w:val="00964ACF"/>
    <w:rsid w:val="00964C23"/>
    <w:rsid w:val="00965A12"/>
    <w:rsid w:val="00965C55"/>
    <w:rsid w:val="00965DA7"/>
    <w:rsid w:val="0096611D"/>
    <w:rsid w:val="00967029"/>
    <w:rsid w:val="00967CCF"/>
    <w:rsid w:val="00970765"/>
    <w:rsid w:val="0097076C"/>
    <w:rsid w:val="00971D2D"/>
    <w:rsid w:val="00971D5B"/>
    <w:rsid w:val="009724FF"/>
    <w:rsid w:val="00972A4A"/>
    <w:rsid w:val="00972D31"/>
    <w:rsid w:val="00972E53"/>
    <w:rsid w:val="00973ED3"/>
    <w:rsid w:val="009746D7"/>
    <w:rsid w:val="0097540D"/>
    <w:rsid w:val="009758DD"/>
    <w:rsid w:val="00975C32"/>
    <w:rsid w:val="00975C6C"/>
    <w:rsid w:val="00976D9F"/>
    <w:rsid w:val="009772E4"/>
    <w:rsid w:val="00977346"/>
    <w:rsid w:val="00977367"/>
    <w:rsid w:val="009808B4"/>
    <w:rsid w:val="00981154"/>
    <w:rsid w:val="009815D6"/>
    <w:rsid w:val="00982105"/>
    <w:rsid w:val="00982344"/>
    <w:rsid w:val="00983391"/>
    <w:rsid w:val="00983B7A"/>
    <w:rsid w:val="00984124"/>
    <w:rsid w:val="00984821"/>
    <w:rsid w:val="009856C4"/>
    <w:rsid w:val="00985B3E"/>
    <w:rsid w:val="0098717E"/>
    <w:rsid w:val="00987399"/>
    <w:rsid w:val="00987C40"/>
    <w:rsid w:val="009900DC"/>
    <w:rsid w:val="0099022E"/>
    <w:rsid w:val="00991C09"/>
    <w:rsid w:val="009927E7"/>
    <w:rsid w:val="0099280B"/>
    <w:rsid w:val="00992813"/>
    <w:rsid w:val="00992E6E"/>
    <w:rsid w:val="009932DC"/>
    <w:rsid w:val="00993304"/>
    <w:rsid w:val="00994230"/>
    <w:rsid w:val="009961A7"/>
    <w:rsid w:val="009968E9"/>
    <w:rsid w:val="00996F0A"/>
    <w:rsid w:val="00997145"/>
    <w:rsid w:val="0099716A"/>
    <w:rsid w:val="009975E4"/>
    <w:rsid w:val="009A00C1"/>
    <w:rsid w:val="009A0593"/>
    <w:rsid w:val="009A06EE"/>
    <w:rsid w:val="009A137D"/>
    <w:rsid w:val="009A1592"/>
    <w:rsid w:val="009A2499"/>
    <w:rsid w:val="009A26F9"/>
    <w:rsid w:val="009A2797"/>
    <w:rsid w:val="009A2977"/>
    <w:rsid w:val="009A2C14"/>
    <w:rsid w:val="009A2DC9"/>
    <w:rsid w:val="009A3D97"/>
    <w:rsid w:val="009A3ED6"/>
    <w:rsid w:val="009A4000"/>
    <w:rsid w:val="009A4913"/>
    <w:rsid w:val="009A598B"/>
    <w:rsid w:val="009A5C36"/>
    <w:rsid w:val="009A698B"/>
    <w:rsid w:val="009A6A54"/>
    <w:rsid w:val="009A6C89"/>
    <w:rsid w:val="009A74A9"/>
    <w:rsid w:val="009B1B43"/>
    <w:rsid w:val="009B2186"/>
    <w:rsid w:val="009B298E"/>
    <w:rsid w:val="009B2994"/>
    <w:rsid w:val="009B2D86"/>
    <w:rsid w:val="009B34E5"/>
    <w:rsid w:val="009B3F94"/>
    <w:rsid w:val="009B4FE2"/>
    <w:rsid w:val="009B5607"/>
    <w:rsid w:val="009B5624"/>
    <w:rsid w:val="009B5E70"/>
    <w:rsid w:val="009B607A"/>
    <w:rsid w:val="009B621A"/>
    <w:rsid w:val="009B672F"/>
    <w:rsid w:val="009B6870"/>
    <w:rsid w:val="009B69FD"/>
    <w:rsid w:val="009B6B4B"/>
    <w:rsid w:val="009B6EAB"/>
    <w:rsid w:val="009B718D"/>
    <w:rsid w:val="009B71BA"/>
    <w:rsid w:val="009B7BE0"/>
    <w:rsid w:val="009B7CCE"/>
    <w:rsid w:val="009B7EE6"/>
    <w:rsid w:val="009C0BCC"/>
    <w:rsid w:val="009C1DE8"/>
    <w:rsid w:val="009C1EFE"/>
    <w:rsid w:val="009C1F13"/>
    <w:rsid w:val="009C299D"/>
    <w:rsid w:val="009C2A48"/>
    <w:rsid w:val="009C31C4"/>
    <w:rsid w:val="009C3FA3"/>
    <w:rsid w:val="009C4394"/>
    <w:rsid w:val="009C45D9"/>
    <w:rsid w:val="009C48B2"/>
    <w:rsid w:val="009C48D2"/>
    <w:rsid w:val="009C531D"/>
    <w:rsid w:val="009C5766"/>
    <w:rsid w:val="009C5D98"/>
    <w:rsid w:val="009C62FA"/>
    <w:rsid w:val="009C6530"/>
    <w:rsid w:val="009C6629"/>
    <w:rsid w:val="009C683E"/>
    <w:rsid w:val="009C69AC"/>
    <w:rsid w:val="009C6B70"/>
    <w:rsid w:val="009C6F32"/>
    <w:rsid w:val="009D0279"/>
    <w:rsid w:val="009D148D"/>
    <w:rsid w:val="009D2226"/>
    <w:rsid w:val="009D2707"/>
    <w:rsid w:val="009D2BEF"/>
    <w:rsid w:val="009D32FB"/>
    <w:rsid w:val="009D358E"/>
    <w:rsid w:val="009D36BA"/>
    <w:rsid w:val="009D3C6C"/>
    <w:rsid w:val="009D43E1"/>
    <w:rsid w:val="009D45C5"/>
    <w:rsid w:val="009D4A71"/>
    <w:rsid w:val="009D59F2"/>
    <w:rsid w:val="009D68B4"/>
    <w:rsid w:val="009D7187"/>
    <w:rsid w:val="009D783B"/>
    <w:rsid w:val="009D79BF"/>
    <w:rsid w:val="009E010C"/>
    <w:rsid w:val="009E01DD"/>
    <w:rsid w:val="009E0CC3"/>
    <w:rsid w:val="009E0EF3"/>
    <w:rsid w:val="009E1395"/>
    <w:rsid w:val="009E1DB2"/>
    <w:rsid w:val="009E1F4C"/>
    <w:rsid w:val="009E1FC5"/>
    <w:rsid w:val="009E31A2"/>
    <w:rsid w:val="009E3686"/>
    <w:rsid w:val="009E48BB"/>
    <w:rsid w:val="009E4EBC"/>
    <w:rsid w:val="009E5440"/>
    <w:rsid w:val="009E547A"/>
    <w:rsid w:val="009E5B7E"/>
    <w:rsid w:val="009E6243"/>
    <w:rsid w:val="009E627B"/>
    <w:rsid w:val="009E673A"/>
    <w:rsid w:val="009E6B73"/>
    <w:rsid w:val="009E7969"/>
    <w:rsid w:val="009F032A"/>
    <w:rsid w:val="009F0394"/>
    <w:rsid w:val="009F1B3A"/>
    <w:rsid w:val="009F30C8"/>
    <w:rsid w:val="009F3139"/>
    <w:rsid w:val="009F39CE"/>
    <w:rsid w:val="009F3FFC"/>
    <w:rsid w:val="009F4054"/>
    <w:rsid w:val="009F4AEB"/>
    <w:rsid w:val="009F4E51"/>
    <w:rsid w:val="009F58D8"/>
    <w:rsid w:val="009F59AE"/>
    <w:rsid w:val="009F5CAB"/>
    <w:rsid w:val="009F5D25"/>
    <w:rsid w:val="009F60CF"/>
    <w:rsid w:val="009F704B"/>
    <w:rsid w:val="009F789E"/>
    <w:rsid w:val="009F7CBA"/>
    <w:rsid w:val="009F7DEE"/>
    <w:rsid w:val="00A01063"/>
    <w:rsid w:val="00A015FD"/>
    <w:rsid w:val="00A016BA"/>
    <w:rsid w:val="00A02876"/>
    <w:rsid w:val="00A02CD7"/>
    <w:rsid w:val="00A02F7D"/>
    <w:rsid w:val="00A03791"/>
    <w:rsid w:val="00A040DF"/>
    <w:rsid w:val="00A04454"/>
    <w:rsid w:val="00A04B78"/>
    <w:rsid w:val="00A04E6C"/>
    <w:rsid w:val="00A050AE"/>
    <w:rsid w:val="00A06657"/>
    <w:rsid w:val="00A0721F"/>
    <w:rsid w:val="00A10192"/>
    <w:rsid w:val="00A10742"/>
    <w:rsid w:val="00A10AE5"/>
    <w:rsid w:val="00A10BFE"/>
    <w:rsid w:val="00A10C94"/>
    <w:rsid w:val="00A11B28"/>
    <w:rsid w:val="00A12C30"/>
    <w:rsid w:val="00A12DA0"/>
    <w:rsid w:val="00A145D8"/>
    <w:rsid w:val="00A14DD6"/>
    <w:rsid w:val="00A14FB5"/>
    <w:rsid w:val="00A150F9"/>
    <w:rsid w:val="00A16066"/>
    <w:rsid w:val="00A16143"/>
    <w:rsid w:val="00A16DFA"/>
    <w:rsid w:val="00A16FCC"/>
    <w:rsid w:val="00A17C0A"/>
    <w:rsid w:val="00A17CBA"/>
    <w:rsid w:val="00A17E5A"/>
    <w:rsid w:val="00A20212"/>
    <w:rsid w:val="00A2032F"/>
    <w:rsid w:val="00A2075C"/>
    <w:rsid w:val="00A212FA"/>
    <w:rsid w:val="00A21EDD"/>
    <w:rsid w:val="00A22D3D"/>
    <w:rsid w:val="00A22FA7"/>
    <w:rsid w:val="00A23561"/>
    <w:rsid w:val="00A238D0"/>
    <w:rsid w:val="00A246B3"/>
    <w:rsid w:val="00A24FAD"/>
    <w:rsid w:val="00A25840"/>
    <w:rsid w:val="00A259E8"/>
    <w:rsid w:val="00A260CC"/>
    <w:rsid w:val="00A265B2"/>
    <w:rsid w:val="00A267E9"/>
    <w:rsid w:val="00A26E79"/>
    <w:rsid w:val="00A2749A"/>
    <w:rsid w:val="00A27B07"/>
    <w:rsid w:val="00A3016D"/>
    <w:rsid w:val="00A309BB"/>
    <w:rsid w:val="00A30F90"/>
    <w:rsid w:val="00A317E9"/>
    <w:rsid w:val="00A31866"/>
    <w:rsid w:val="00A31868"/>
    <w:rsid w:val="00A318EC"/>
    <w:rsid w:val="00A31A48"/>
    <w:rsid w:val="00A32691"/>
    <w:rsid w:val="00A32C54"/>
    <w:rsid w:val="00A32E05"/>
    <w:rsid w:val="00A330C0"/>
    <w:rsid w:val="00A33172"/>
    <w:rsid w:val="00A33919"/>
    <w:rsid w:val="00A33EC2"/>
    <w:rsid w:val="00A340C2"/>
    <w:rsid w:val="00A343A0"/>
    <w:rsid w:val="00A34681"/>
    <w:rsid w:val="00A34684"/>
    <w:rsid w:val="00A346B2"/>
    <w:rsid w:val="00A34769"/>
    <w:rsid w:val="00A35984"/>
    <w:rsid w:val="00A35F89"/>
    <w:rsid w:val="00A3601F"/>
    <w:rsid w:val="00A36968"/>
    <w:rsid w:val="00A36DD3"/>
    <w:rsid w:val="00A36EC5"/>
    <w:rsid w:val="00A37722"/>
    <w:rsid w:val="00A409FD"/>
    <w:rsid w:val="00A40BF1"/>
    <w:rsid w:val="00A41149"/>
    <w:rsid w:val="00A4287D"/>
    <w:rsid w:val="00A44745"/>
    <w:rsid w:val="00A448A7"/>
    <w:rsid w:val="00A44F15"/>
    <w:rsid w:val="00A456A4"/>
    <w:rsid w:val="00A45D69"/>
    <w:rsid w:val="00A47B7B"/>
    <w:rsid w:val="00A47CCA"/>
    <w:rsid w:val="00A47E2F"/>
    <w:rsid w:val="00A501A4"/>
    <w:rsid w:val="00A50621"/>
    <w:rsid w:val="00A50816"/>
    <w:rsid w:val="00A50912"/>
    <w:rsid w:val="00A50C49"/>
    <w:rsid w:val="00A51296"/>
    <w:rsid w:val="00A51F01"/>
    <w:rsid w:val="00A52A12"/>
    <w:rsid w:val="00A53E8F"/>
    <w:rsid w:val="00A53ED5"/>
    <w:rsid w:val="00A53F6A"/>
    <w:rsid w:val="00A54175"/>
    <w:rsid w:val="00A55A08"/>
    <w:rsid w:val="00A55B1A"/>
    <w:rsid w:val="00A56230"/>
    <w:rsid w:val="00A562D6"/>
    <w:rsid w:val="00A563BA"/>
    <w:rsid w:val="00A56809"/>
    <w:rsid w:val="00A57579"/>
    <w:rsid w:val="00A575E4"/>
    <w:rsid w:val="00A57D9B"/>
    <w:rsid w:val="00A60398"/>
    <w:rsid w:val="00A607D1"/>
    <w:rsid w:val="00A60B41"/>
    <w:rsid w:val="00A60D9A"/>
    <w:rsid w:val="00A60E2E"/>
    <w:rsid w:val="00A61340"/>
    <w:rsid w:val="00A61C8F"/>
    <w:rsid w:val="00A61FAF"/>
    <w:rsid w:val="00A62248"/>
    <w:rsid w:val="00A629D5"/>
    <w:rsid w:val="00A62ADA"/>
    <w:rsid w:val="00A62C3C"/>
    <w:rsid w:val="00A62EE5"/>
    <w:rsid w:val="00A63A07"/>
    <w:rsid w:val="00A64B08"/>
    <w:rsid w:val="00A64E27"/>
    <w:rsid w:val="00A654A2"/>
    <w:rsid w:val="00A668D0"/>
    <w:rsid w:val="00A66E8C"/>
    <w:rsid w:val="00A67183"/>
    <w:rsid w:val="00A67C89"/>
    <w:rsid w:val="00A70079"/>
    <w:rsid w:val="00A70E7B"/>
    <w:rsid w:val="00A71D87"/>
    <w:rsid w:val="00A73DCD"/>
    <w:rsid w:val="00A73EB6"/>
    <w:rsid w:val="00A74094"/>
    <w:rsid w:val="00A74AA4"/>
    <w:rsid w:val="00A74FB5"/>
    <w:rsid w:val="00A75346"/>
    <w:rsid w:val="00A7559A"/>
    <w:rsid w:val="00A75656"/>
    <w:rsid w:val="00A76391"/>
    <w:rsid w:val="00A76452"/>
    <w:rsid w:val="00A76609"/>
    <w:rsid w:val="00A767C9"/>
    <w:rsid w:val="00A76F51"/>
    <w:rsid w:val="00A77C07"/>
    <w:rsid w:val="00A800A8"/>
    <w:rsid w:val="00A8016A"/>
    <w:rsid w:val="00A80778"/>
    <w:rsid w:val="00A80B1E"/>
    <w:rsid w:val="00A80B5B"/>
    <w:rsid w:val="00A810C0"/>
    <w:rsid w:val="00A8125A"/>
    <w:rsid w:val="00A81A0C"/>
    <w:rsid w:val="00A82170"/>
    <w:rsid w:val="00A82708"/>
    <w:rsid w:val="00A83024"/>
    <w:rsid w:val="00A83883"/>
    <w:rsid w:val="00A83D93"/>
    <w:rsid w:val="00A83F5F"/>
    <w:rsid w:val="00A845E0"/>
    <w:rsid w:val="00A84C4A"/>
    <w:rsid w:val="00A84DF8"/>
    <w:rsid w:val="00A84F2D"/>
    <w:rsid w:val="00A854F3"/>
    <w:rsid w:val="00A8619E"/>
    <w:rsid w:val="00A86245"/>
    <w:rsid w:val="00A869EB"/>
    <w:rsid w:val="00A86B32"/>
    <w:rsid w:val="00A86D3D"/>
    <w:rsid w:val="00A87CA3"/>
    <w:rsid w:val="00A87CC0"/>
    <w:rsid w:val="00A9013E"/>
    <w:rsid w:val="00A90B31"/>
    <w:rsid w:val="00A90CFA"/>
    <w:rsid w:val="00A91454"/>
    <w:rsid w:val="00A915F3"/>
    <w:rsid w:val="00A94B17"/>
    <w:rsid w:val="00A94F1F"/>
    <w:rsid w:val="00A95347"/>
    <w:rsid w:val="00A95471"/>
    <w:rsid w:val="00A95702"/>
    <w:rsid w:val="00A95A90"/>
    <w:rsid w:val="00A95F6D"/>
    <w:rsid w:val="00A962D2"/>
    <w:rsid w:val="00A966B4"/>
    <w:rsid w:val="00A96758"/>
    <w:rsid w:val="00A96CC8"/>
    <w:rsid w:val="00AA19AA"/>
    <w:rsid w:val="00AA1ADD"/>
    <w:rsid w:val="00AA24A9"/>
    <w:rsid w:val="00AA349C"/>
    <w:rsid w:val="00AA3EB5"/>
    <w:rsid w:val="00AA471D"/>
    <w:rsid w:val="00AA48CE"/>
    <w:rsid w:val="00AA4B1C"/>
    <w:rsid w:val="00AA5790"/>
    <w:rsid w:val="00AA6188"/>
    <w:rsid w:val="00AA6389"/>
    <w:rsid w:val="00AA64A1"/>
    <w:rsid w:val="00AA7055"/>
    <w:rsid w:val="00AA745D"/>
    <w:rsid w:val="00AA7C23"/>
    <w:rsid w:val="00AA7E33"/>
    <w:rsid w:val="00AB143F"/>
    <w:rsid w:val="00AB265E"/>
    <w:rsid w:val="00AB2948"/>
    <w:rsid w:val="00AB2B4F"/>
    <w:rsid w:val="00AB2CF2"/>
    <w:rsid w:val="00AB32B2"/>
    <w:rsid w:val="00AB35F2"/>
    <w:rsid w:val="00AB38F1"/>
    <w:rsid w:val="00AB39FA"/>
    <w:rsid w:val="00AB3B30"/>
    <w:rsid w:val="00AB426C"/>
    <w:rsid w:val="00AB451C"/>
    <w:rsid w:val="00AB45B0"/>
    <w:rsid w:val="00AB4B3C"/>
    <w:rsid w:val="00AB510A"/>
    <w:rsid w:val="00AB59F2"/>
    <w:rsid w:val="00AB6698"/>
    <w:rsid w:val="00AB6F79"/>
    <w:rsid w:val="00AC1706"/>
    <w:rsid w:val="00AC2E13"/>
    <w:rsid w:val="00AC3E62"/>
    <w:rsid w:val="00AC40D5"/>
    <w:rsid w:val="00AC4CF6"/>
    <w:rsid w:val="00AC5620"/>
    <w:rsid w:val="00AC5AF9"/>
    <w:rsid w:val="00AC5DE6"/>
    <w:rsid w:val="00AC6192"/>
    <w:rsid w:val="00AC6405"/>
    <w:rsid w:val="00AC68A7"/>
    <w:rsid w:val="00AC71DB"/>
    <w:rsid w:val="00AC724F"/>
    <w:rsid w:val="00AC7295"/>
    <w:rsid w:val="00AC771E"/>
    <w:rsid w:val="00AC79D8"/>
    <w:rsid w:val="00AC7FE1"/>
    <w:rsid w:val="00AD1985"/>
    <w:rsid w:val="00AD2662"/>
    <w:rsid w:val="00AD2F03"/>
    <w:rsid w:val="00AD2F44"/>
    <w:rsid w:val="00AD2FE6"/>
    <w:rsid w:val="00AD30E5"/>
    <w:rsid w:val="00AD4062"/>
    <w:rsid w:val="00AD4EB2"/>
    <w:rsid w:val="00AD4F82"/>
    <w:rsid w:val="00AD57FE"/>
    <w:rsid w:val="00AD6933"/>
    <w:rsid w:val="00AD6A36"/>
    <w:rsid w:val="00AD6B7B"/>
    <w:rsid w:val="00AD71D5"/>
    <w:rsid w:val="00AD76BC"/>
    <w:rsid w:val="00AD7CAB"/>
    <w:rsid w:val="00AE04A6"/>
    <w:rsid w:val="00AE0D6A"/>
    <w:rsid w:val="00AE1095"/>
    <w:rsid w:val="00AE10BE"/>
    <w:rsid w:val="00AE1474"/>
    <w:rsid w:val="00AE152E"/>
    <w:rsid w:val="00AE16C9"/>
    <w:rsid w:val="00AE27C5"/>
    <w:rsid w:val="00AE309B"/>
    <w:rsid w:val="00AE35E2"/>
    <w:rsid w:val="00AE3EF5"/>
    <w:rsid w:val="00AE423A"/>
    <w:rsid w:val="00AE43FF"/>
    <w:rsid w:val="00AE471D"/>
    <w:rsid w:val="00AE47C8"/>
    <w:rsid w:val="00AE4A83"/>
    <w:rsid w:val="00AE4CB4"/>
    <w:rsid w:val="00AE4F2A"/>
    <w:rsid w:val="00AE501F"/>
    <w:rsid w:val="00AE5A50"/>
    <w:rsid w:val="00AE5F33"/>
    <w:rsid w:val="00AE6012"/>
    <w:rsid w:val="00AE6047"/>
    <w:rsid w:val="00AE7C59"/>
    <w:rsid w:val="00AE7DE3"/>
    <w:rsid w:val="00AE7F14"/>
    <w:rsid w:val="00AF0AD5"/>
    <w:rsid w:val="00AF0F1A"/>
    <w:rsid w:val="00AF15E6"/>
    <w:rsid w:val="00AF1DEA"/>
    <w:rsid w:val="00AF1F09"/>
    <w:rsid w:val="00AF37DA"/>
    <w:rsid w:val="00AF4E8B"/>
    <w:rsid w:val="00AF502D"/>
    <w:rsid w:val="00AF51E7"/>
    <w:rsid w:val="00AF6249"/>
    <w:rsid w:val="00AF6372"/>
    <w:rsid w:val="00AF641F"/>
    <w:rsid w:val="00AF6744"/>
    <w:rsid w:val="00AF6E7E"/>
    <w:rsid w:val="00B00C7B"/>
    <w:rsid w:val="00B01CD0"/>
    <w:rsid w:val="00B01DF2"/>
    <w:rsid w:val="00B0253C"/>
    <w:rsid w:val="00B03EFC"/>
    <w:rsid w:val="00B04F27"/>
    <w:rsid w:val="00B0517A"/>
    <w:rsid w:val="00B05620"/>
    <w:rsid w:val="00B07977"/>
    <w:rsid w:val="00B07D77"/>
    <w:rsid w:val="00B07E68"/>
    <w:rsid w:val="00B1017C"/>
    <w:rsid w:val="00B10CDF"/>
    <w:rsid w:val="00B11C85"/>
    <w:rsid w:val="00B11EF0"/>
    <w:rsid w:val="00B12312"/>
    <w:rsid w:val="00B12433"/>
    <w:rsid w:val="00B12933"/>
    <w:rsid w:val="00B1293B"/>
    <w:rsid w:val="00B12D7B"/>
    <w:rsid w:val="00B12E05"/>
    <w:rsid w:val="00B12EBE"/>
    <w:rsid w:val="00B13403"/>
    <w:rsid w:val="00B1371C"/>
    <w:rsid w:val="00B1436B"/>
    <w:rsid w:val="00B14412"/>
    <w:rsid w:val="00B1480C"/>
    <w:rsid w:val="00B1572A"/>
    <w:rsid w:val="00B15FCE"/>
    <w:rsid w:val="00B16431"/>
    <w:rsid w:val="00B166A4"/>
    <w:rsid w:val="00B16970"/>
    <w:rsid w:val="00B20A33"/>
    <w:rsid w:val="00B20E20"/>
    <w:rsid w:val="00B20F34"/>
    <w:rsid w:val="00B219B7"/>
    <w:rsid w:val="00B22619"/>
    <w:rsid w:val="00B226B8"/>
    <w:rsid w:val="00B22B2B"/>
    <w:rsid w:val="00B23691"/>
    <w:rsid w:val="00B237EA"/>
    <w:rsid w:val="00B23AB0"/>
    <w:rsid w:val="00B23FE9"/>
    <w:rsid w:val="00B2457C"/>
    <w:rsid w:val="00B24A15"/>
    <w:rsid w:val="00B25038"/>
    <w:rsid w:val="00B25CFA"/>
    <w:rsid w:val="00B267DE"/>
    <w:rsid w:val="00B268EA"/>
    <w:rsid w:val="00B26A39"/>
    <w:rsid w:val="00B26B3F"/>
    <w:rsid w:val="00B26C5B"/>
    <w:rsid w:val="00B27973"/>
    <w:rsid w:val="00B27A4F"/>
    <w:rsid w:val="00B27FF1"/>
    <w:rsid w:val="00B3020F"/>
    <w:rsid w:val="00B313C8"/>
    <w:rsid w:val="00B3159A"/>
    <w:rsid w:val="00B33465"/>
    <w:rsid w:val="00B33D20"/>
    <w:rsid w:val="00B33DAD"/>
    <w:rsid w:val="00B33EB9"/>
    <w:rsid w:val="00B3450F"/>
    <w:rsid w:val="00B3480B"/>
    <w:rsid w:val="00B353A5"/>
    <w:rsid w:val="00B358FD"/>
    <w:rsid w:val="00B35C09"/>
    <w:rsid w:val="00B35F39"/>
    <w:rsid w:val="00B363D0"/>
    <w:rsid w:val="00B36E44"/>
    <w:rsid w:val="00B37271"/>
    <w:rsid w:val="00B379C5"/>
    <w:rsid w:val="00B4105A"/>
    <w:rsid w:val="00B4148D"/>
    <w:rsid w:val="00B4183F"/>
    <w:rsid w:val="00B42198"/>
    <w:rsid w:val="00B424BA"/>
    <w:rsid w:val="00B427E2"/>
    <w:rsid w:val="00B42B56"/>
    <w:rsid w:val="00B43E09"/>
    <w:rsid w:val="00B44FA7"/>
    <w:rsid w:val="00B45ECF"/>
    <w:rsid w:val="00B46030"/>
    <w:rsid w:val="00B46AD2"/>
    <w:rsid w:val="00B470B8"/>
    <w:rsid w:val="00B47658"/>
    <w:rsid w:val="00B476A4"/>
    <w:rsid w:val="00B47BC9"/>
    <w:rsid w:val="00B5022C"/>
    <w:rsid w:val="00B50AE9"/>
    <w:rsid w:val="00B50D32"/>
    <w:rsid w:val="00B51361"/>
    <w:rsid w:val="00B51442"/>
    <w:rsid w:val="00B517F9"/>
    <w:rsid w:val="00B53CFF"/>
    <w:rsid w:val="00B54464"/>
    <w:rsid w:val="00B54A24"/>
    <w:rsid w:val="00B54A9D"/>
    <w:rsid w:val="00B55517"/>
    <w:rsid w:val="00B565B5"/>
    <w:rsid w:val="00B56753"/>
    <w:rsid w:val="00B56CED"/>
    <w:rsid w:val="00B600FB"/>
    <w:rsid w:val="00B60DF8"/>
    <w:rsid w:val="00B60F43"/>
    <w:rsid w:val="00B61058"/>
    <w:rsid w:val="00B610B2"/>
    <w:rsid w:val="00B614D0"/>
    <w:rsid w:val="00B618E5"/>
    <w:rsid w:val="00B63755"/>
    <w:rsid w:val="00B63F34"/>
    <w:rsid w:val="00B648A3"/>
    <w:rsid w:val="00B64961"/>
    <w:rsid w:val="00B64BBE"/>
    <w:rsid w:val="00B652EB"/>
    <w:rsid w:val="00B65D17"/>
    <w:rsid w:val="00B65E1B"/>
    <w:rsid w:val="00B65F99"/>
    <w:rsid w:val="00B66836"/>
    <w:rsid w:val="00B66D7B"/>
    <w:rsid w:val="00B66E71"/>
    <w:rsid w:val="00B66F7C"/>
    <w:rsid w:val="00B67338"/>
    <w:rsid w:val="00B673DD"/>
    <w:rsid w:val="00B67CC0"/>
    <w:rsid w:val="00B67DE1"/>
    <w:rsid w:val="00B706D4"/>
    <w:rsid w:val="00B70C16"/>
    <w:rsid w:val="00B70CC6"/>
    <w:rsid w:val="00B70EB3"/>
    <w:rsid w:val="00B72D58"/>
    <w:rsid w:val="00B7320E"/>
    <w:rsid w:val="00B735EC"/>
    <w:rsid w:val="00B73894"/>
    <w:rsid w:val="00B739F7"/>
    <w:rsid w:val="00B7488A"/>
    <w:rsid w:val="00B75379"/>
    <w:rsid w:val="00B7590E"/>
    <w:rsid w:val="00B75C49"/>
    <w:rsid w:val="00B76857"/>
    <w:rsid w:val="00B776B5"/>
    <w:rsid w:val="00B802B4"/>
    <w:rsid w:val="00B80318"/>
    <w:rsid w:val="00B809EF"/>
    <w:rsid w:val="00B80D4F"/>
    <w:rsid w:val="00B8193F"/>
    <w:rsid w:val="00B819A1"/>
    <w:rsid w:val="00B81AF1"/>
    <w:rsid w:val="00B81D86"/>
    <w:rsid w:val="00B822E8"/>
    <w:rsid w:val="00B82A82"/>
    <w:rsid w:val="00B83769"/>
    <w:rsid w:val="00B83E62"/>
    <w:rsid w:val="00B841C4"/>
    <w:rsid w:val="00B8464A"/>
    <w:rsid w:val="00B84664"/>
    <w:rsid w:val="00B8473D"/>
    <w:rsid w:val="00B84B0A"/>
    <w:rsid w:val="00B84B5F"/>
    <w:rsid w:val="00B855EB"/>
    <w:rsid w:val="00B86B2C"/>
    <w:rsid w:val="00B87203"/>
    <w:rsid w:val="00B90183"/>
    <w:rsid w:val="00B902A0"/>
    <w:rsid w:val="00B90410"/>
    <w:rsid w:val="00B90E10"/>
    <w:rsid w:val="00B916DC"/>
    <w:rsid w:val="00B92F96"/>
    <w:rsid w:val="00B93BE4"/>
    <w:rsid w:val="00B93D76"/>
    <w:rsid w:val="00B94686"/>
    <w:rsid w:val="00B94974"/>
    <w:rsid w:val="00B94EA8"/>
    <w:rsid w:val="00B9511B"/>
    <w:rsid w:val="00B95591"/>
    <w:rsid w:val="00B964CA"/>
    <w:rsid w:val="00B96677"/>
    <w:rsid w:val="00B969D7"/>
    <w:rsid w:val="00BA10C4"/>
    <w:rsid w:val="00BA275E"/>
    <w:rsid w:val="00BA2C03"/>
    <w:rsid w:val="00BA31C4"/>
    <w:rsid w:val="00BA4655"/>
    <w:rsid w:val="00BA4B9E"/>
    <w:rsid w:val="00BA4BE1"/>
    <w:rsid w:val="00BA5CBD"/>
    <w:rsid w:val="00BA67C1"/>
    <w:rsid w:val="00BA6E2B"/>
    <w:rsid w:val="00BA723E"/>
    <w:rsid w:val="00BA7815"/>
    <w:rsid w:val="00BA78B6"/>
    <w:rsid w:val="00BA7935"/>
    <w:rsid w:val="00BB047B"/>
    <w:rsid w:val="00BB0C12"/>
    <w:rsid w:val="00BB0EE8"/>
    <w:rsid w:val="00BB1829"/>
    <w:rsid w:val="00BB1847"/>
    <w:rsid w:val="00BB30DE"/>
    <w:rsid w:val="00BB4554"/>
    <w:rsid w:val="00BB4818"/>
    <w:rsid w:val="00BB4AF3"/>
    <w:rsid w:val="00BB5578"/>
    <w:rsid w:val="00BB59DD"/>
    <w:rsid w:val="00BB5E88"/>
    <w:rsid w:val="00BB5F04"/>
    <w:rsid w:val="00BB62AC"/>
    <w:rsid w:val="00BB62E9"/>
    <w:rsid w:val="00BB6398"/>
    <w:rsid w:val="00BB6434"/>
    <w:rsid w:val="00BB64D5"/>
    <w:rsid w:val="00BB72E5"/>
    <w:rsid w:val="00BB7A0D"/>
    <w:rsid w:val="00BC1011"/>
    <w:rsid w:val="00BC1A69"/>
    <w:rsid w:val="00BC25EF"/>
    <w:rsid w:val="00BC28EA"/>
    <w:rsid w:val="00BC2DAF"/>
    <w:rsid w:val="00BC37D8"/>
    <w:rsid w:val="00BC3DC0"/>
    <w:rsid w:val="00BC400A"/>
    <w:rsid w:val="00BC416D"/>
    <w:rsid w:val="00BC4FD3"/>
    <w:rsid w:val="00BC65B2"/>
    <w:rsid w:val="00BC6827"/>
    <w:rsid w:val="00BC6C7A"/>
    <w:rsid w:val="00BC6CE9"/>
    <w:rsid w:val="00BC7D9E"/>
    <w:rsid w:val="00BD0372"/>
    <w:rsid w:val="00BD0F47"/>
    <w:rsid w:val="00BD2267"/>
    <w:rsid w:val="00BD3658"/>
    <w:rsid w:val="00BD44F5"/>
    <w:rsid w:val="00BD4BEE"/>
    <w:rsid w:val="00BD4C0A"/>
    <w:rsid w:val="00BD4C2B"/>
    <w:rsid w:val="00BD52D8"/>
    <w:rsid w:val="00BD5F65"/>
    <w:rsid w:val="00BD61B2"/>
    <w:rsid w:val="00BD7C6B"/>
    <w:rsid w:val="00BD7DB9"/>
    <w:rsid w:val="00BD7E7A"/>
    <w:rsid w:val="00BE0950"/>
    <w:rsid w:val="00BE0B3A"/>
    <w:rsid w:val="00BE0F02"/>
    <w:rsid w:val="00BE1D56"/>
    <w:rsid w:val="00BE3F04"/>
    <w:rsid w:val="00BE4340"/>
    <w:rsid w:val="00BE5808"/>
    <w:rsid w:val="00BE5C41"/>
    <w:rsid w:val="00BE6200"/>
    <w:rsid w:val="00BE6DC2"/>
    <w:rsid w:val="00BE79B8"/>
    <w:rsid w:val="00BE7CF0"/>
    <w:rsid w:val="00BF0162"/>
    <w:rsid w:val="00BF0646"/>
    <w:rsid w:val="00BF0DB7"/>
    <w:rsid w:val="00BF0EC0"/>
    <w:rsid w:val="00BF1C32"/>
    <w:rsid w:val="00BF2BA5"/>
    <w:rsid w:val="00BF2FD4"/>
    <w:rsid w:val="00BF3FB9"/>
    <w:rsid w:val="00BF4145"/>
    <w:rsid w:val="00BF4380"/>
    <w:rsid w:val="00BF54CE"/>
    <w:rsid w:val="00BF5619"/>
    <w:rsid w:val="00BF6702"/>
    <w:rsid w:val="00BF7475"/>
    <w:rsid w:val="00BF76A6"/>
    <w:rsid w:val="00C00244"/>
    <w:rsid w:val="00C00371"/>
    <w:rsid w:val="00C0065D"/>
    <w:rsid w:val="00C0068D"/>
    <w:rsid w:val="00C01F23"/>
    <w:rsid w:val="00C02556"/>
    <w:rsid w:val="00C03BB0"/>
    <w:rsid w:val="00C044BE"/>
    <w:rsid w:val="00C047D8"/>
    <w:rsid w:val="00C04BAB"/>
    <w:rsid w:val="00C04C4C"/>
    <w:rsid w:val="00C052B4"/>
    <w:rsid w:val="00C05C27"/>
    <w:rsid w:val="00C0607B"/>
    <w:rsid w:val="00C064BD"/>
    <w:rsid w:val="00C06836"/>
    <w:rsid w:val="00C06C6C"/>
    <w:rsid w:val="00C06DEF"/>
    <w:rsid w:val="00C075A2"/>
    <w:rsid w:val="00C075F1"/>
    <w:rsid w:val="00C07626"/>
    <w:rsid w:val="00C07E5B"/>
    <w:rsid w:val="00C107CB"/>
    <w:rsid w:val="00C11166"/>
    <w:rsid w:val="00C112B0"/>
    <w:rsid w:val="00C11672"/>
    <w:rsid w:val="00C118C4"/>
    <w:rsid w:val="00C11F58"/>
    <w:rsid w:val="00C120D7"/>
    <w:rsid w:val="00C129B2"/>
    <w:rsid w:val="00C12DF3"/>
    <w:rsid w:val="00C12F48"/>
    <w:rsid w:val="00C132D1"/>
    <w:rsid w:val="00C139CA"/>
    <w:rsid w:val="00C13A7D"/>
    <w:rsid w:val="00C14420"/>
    <w:rsid w:val="00C1578A"/>
    <w:rsid w:val="00C15CB1"/>
    <w:rsid w:val="00C161DF"/>
    <w:rsid w:val="00C16FCC"/>
    <w:rsid w:val="00C2116D"/>
    <w:rsid w:val="00C21814"/>
    <w:rsid w:val="00C2187D"/>
    <w:rsid w:val="00C21F19"/>
    <w:rsid w:val="00C236D0"/>
    <w:rsid w:val="00C23E98"/>
    <w:rsid w:val="00C241A8"/>
    <w:rsid w:val="00C24ABA"/>
    <w:rsid w:val="00C25C99"/>
    <w:rsid w:val="00C2616C"/>
    <w:rsid w:val="00C263A5"/>
    <w:rsid w:val="00C2641C"/>
    <w:rsid w:val="00C264CB"/>
    <w:rsid w:val="00C27ED9"/>
    <w:rsid w:val="00C30B7A"/>
    <w:rsid w:val="00C31253"/>
    <w:rsid w:val="00C31BBE"/>
    <w:rsid w:val="00C320F5"/>
    <w:rsid w:val="00C3217F"/>
    <w:rsid w:val="00C32FE0"/>
    <w:rsid w:val="00C33083"/>
    <w:rsid w:val="00C33B91"/>
    <w:rsid w:val="00C3450A"/>
    <w:rsid w:val="00C34CA6"/>
    <w:rsid w:val="00C34E7B"/>
    <w:rsid w:val="00C35129"/>
    <w:rsid w:val="00C3574C"/>
    <w:rsid w:val="00C35982"/>
    <w:rsid w:val="00C35BD6"/>
    <w:rsid w:val="00C35DDB"/>
    <w:rsid w:val="00C36159"/>
    <w:rsid w:val="00C3678A"/>
    <w:rsid w:val="00C4079A"/>
    <w:rsid w:val="00C41197"/>
    <w:rsid w:val="00C4124C"/>
    <w:rsid w:val="00C41350"/>
    <w:rsid w:val="00C41985"/>
    <w:rsid w:val="00C419DB"/>
    <w:rsid w:val="00C421CE"/>
    <w:rsid w:val="00C42406"/>
    <w:rsid w:val="00C426DE"/>
    <w:rsid w:val="00C43395"/>
    <w:rsid w:val="00C439BD"/>
    <w:rsid w:val="00C4422D"/>
    <w:rsid w:val="00C446D2"/>
    <w:rsid w:val="00C45590"/>
    <w:rsid w:val="00C45692"/>
    <w:rsid w:val="00C46152"/>
    <w:rsid w:val="00C461AE"/>
    <w:rsid w:val="00C46A35"/>
    <w:rsid w:val="00C46FC5"/>
    <w:rsid w:val="00C476F1"/>
    <w:rsid w:val="00C47FA4"/>
    <w:rsid w:val="00C50275"/>
    <w:rsid w:val="00C50716"/>
    <w:rsid w:val="00C50FA4"/>
    <w:rsid w:val="00C51429"/>
    <w:rsid w:val="00C51E8F"/>
    <w:rsid w:val="00C521AB"/>
    <w:rsid w:val="00C52CE9"/>
    <w:rsid w:val="00C52FC0"/>
    <w:rsid w:val="00C53E56"/>
    <w:rsid w:val="00C53F9E"/>
    <w:rsid w:val="00C54495"/>
    <w:rsid w:val="00C548D2"/>
    <w:rsid w:val="00C54A63"/>
    <w:rsid w:val="00C55873"/>
    <w:rsid w:val="00C559E9"/>
    <w:rsid w:val="00C55CB5"/>
    <w:rsid w:val="00C56FB3"/>
    <w:rsid w:val="00C57A1A"/>
    <w:rsid w:val="00C608C1"/>
    <w:rsid w:val="00C611ED"/>
    <w:rsid w:val="00C61360"/>
    <w:rsid w:val="00C61DAD"/>
    <w:rsid w:val="00C62060"/>
    <w:rsid w:val="00C63013"/>
    <w:rsid w:val="00C630DE"/>
    <w:rsid w:val="00C633CE"/>
    <w:rsid w:val="00C63687"/>
    <w:rsid w:val="00C63A92"/>
    <w:rsid w:val="00C63B2D"/>
    <w:rsid w:val="00C63D0F"/>
    <w:rsid w:val="00C63D4E"/>
    <w:rsid w:val="00C63DA9"/>
    <w:rsid w:val="00C63EA9"/>
    <w:rsid w:val="00C6407B"/>
    <w:rsid w:val="00C65240"/>
    <w:rsid w:val="00C66033"/>
    <w:rsid w:val="00C661A4"/>
    <w:rsid w:val="00C6649D"/>
    <w:rsid w:val="00C665A0"/>
    <w:rsid w:val="00C67015"/>
    <w:rsid w:val="00C67725"/>
    <w:rsid w:val="00C67EC9"/>
    <w:rsid w:val="00C700F3"/>
    <w:rsid w:val="00C7049C"/>
    <w:rsid w:val="00C7067D"/>
    <w:rsid w:val="00C7092F"/>
    <w:rsid w:val="00C70BDF"/>
    <w:rsid w:val="00C714FD"/>
    <w:rsid w:val="00C71948"/>
    <w:rsid w:val="00C71BEA"/>
    <w:rsid w:val="00C725F9"/>
    <w:rsid w:val="00C72B28"/>
    <w:rsid w:val="00C735B5"/>
    <w:rsid w:val="00C74D88"/>
    <w:rsid w:val="00C752E1"/>
    <w:rsid w:val="00C7539F"/>
    <w:rsid w:val="00C7540B"/>
    <w:rsid w:val="00C75609"/>
    <w:rsid w:val="00C757B2"/>
    <w:rsid w:val="00C75A39"/>
    <w:rsid w:val="00C75E28"/>
    <w:rsid w:val="00C75EC4"/>
    <w:rsid w:val="00C7607F"/>
    <w:rsid w:val="00C7622C"/>
    <w:rsid w:val="00C76C15"/>
    <w:rsid w:val="00C76DDA"/>
    <w:rsid w:val="00C770A9"/>
    <w:rsid w:val="00C774C7"/>
    <w:rsid w:val="00C807B3"/>
    <w:rsid w:val="00C810AB"/>
    <w:rsid w:val="00C81CBC"/>
    <w:rsid w:val="00C81EF3"/>
    <w:rsid w:val="00C825C9"/>
    <w:rsid w:val="00C843C9"/>
    <w:rsid w:val="00C847AA"/>
    <w:rsid w:val="00C84FD4"/>
    <w:rsid w:val="00C85066"/>
    <w:rsid w:val="00C85572"/>
    <w:rsid w:val="00C85E4B"/>
    <w:rsid w:val="00C86202"/>
    <w:rsid w:val="00C86548"/>
    <w:rsid w:val="00C8664B"/>
    <w:rsid w:val="00C8677A"/>
    <w:rsid w:val="00C86CC3"/>
    <w:rsid w:val="00C86E37"/>
    <w:rsid w:val="00C87ED2"/>
    <w:rsid w:val="00C901B1"/>
    <w:rsid w:val="00C90EBC"/>
    <w:rsid w:val="00C91800"/>
    <w:rsid w:val="00C91809"/>
    <w:rsid w:val="00C91B69"/>
    <w:rsid w:val="00C9397A"/>
    <w:rsid w:val="00C93B40"/>
    <w:rsid w:val="00C93DA3"/>
    <w:rsid w:val="00C9469B"/>
    <w:rsid w:val="00C9496A"/>
    <w:rsid w:val="00C9525D"/>
    <w:rsid w:val="00C95C31"/>
    <w:rsid w:val="00C9612C"/>
    <w:rsid w:val="00C9711E"/>
    <w:rsid w:val="00C9725F"/>
    <w:rsid w:val="00C9727D"/>
    <w:rsid w:val="00C972A5"/>
    <w:rsid w:val="00C973A2"/>
    <w:rsid w:val="00C976D7"/>
    <w:rsid w:val="00C97CEF"/>
    <w:rsid w:val="00CA00FC"/>
    <w:rsid w:val="00CA2F4D"/>
    <w:rsid w:val="00CA3828"/>
    <w:rsid w:val="00CA3856"/>
    <w:rsid w:val="00CA5A3F"/>
    <w:rsid w:val="00CA6486"/>
    <w:rsid w:val="00CA64C5"/>
    <w:rsid w:val="00CA66B9"/>
    <w:rsid w:val="00CA67E0"/>
    <w:rsid w:val="00CA6E95"/>
    <w:rsid w:val="00CA70D7"/>
    <w:rsid w:val="00CA7B34"/>
    <w:rsid w:val="00CB0122"/>
    <w:rsid w:val="00CB0269"/>
    <w:rsid w:val="00CB03F7"/>
    <w:rsid w:val="00CB0449"/>
    <w:rsid w:val="00CB05E4"/>
    <w:rsid w:val="00CB06BB"/>
    <w:rsid w:val="00CB0833"/>
    <w:rsid w:val="00CB18F5"/>
    <w:rsid w:val="00CB2328"/>
    <w:rsid w:val="00CB2602"/>
    <w:rsid w:val="00CB27D4"/>
    <w:rsid w:val="00CB3031"/>
    <w:rsid w:val="00CB334C"/>
    <w:rsid w:val="00CB4140"/>
    <w:rsid w:val="00CB4FA5"/>
    <w:rsid w:val="00CB62C7"/>
    <w:rsid w:val="00CB64E9"/>
    <w:rsid w:val="00CB689C"/>
    <w:rsid w:val="00CB78FD"/>
    <w:rsid w:val="00CB7AF0"/>
    <w:rsid w:val="00CC008E"/>
    <w:rsid w:val="00CC0258"/>
    <w:rsid w:val="00CC02ED"/>
    <w:rsid w:val="00CC0A2D"/>
    <w:rsid w:val="00CC1746"/>
    <w:rsid w:val="00CC245A"/>
    <w:rsid w:val="00CC31AE"/>
    <w:rsid w:val="00CC3259"/>
    <w:rsid w:val="00CC3F3A"/>
    <w:rsid w:val="00CC4776"/>
    <w:rsid w:val="00CC5245"/>
    <w:rsid w:val="00CC5825"/>
    <w:rsid w:val="00CC5C04"/>
    <w:rsid w:val="00CC63EB"/>
    <w:rsid w:val="00CC6557"/>
    <w:rsid w:val="00CC71E9"/>
    <w:rsid w:val="00CC7E49"/>
    <w:rsid w:val="00CD00B1"/>
    <w:rsid w:val="00CD022A"/>
    <w:rsid w:val="00CD03BE"/>
    <w:rsid w:val="00CD0707"/>
    <w:rsid w:val="00CD070F"/>
    <w:rsid w:val="00CD0789"/>
    <w:rsid w:val="00CD0B73"/>
    <w:rsid w:val="00CD1A25"/>
    <w:rsid w:val="00CD1D8D"/>
    <w:rsid w:val="00CD2228"/>
    <w:rsid w:val="00CD2A75"/>
    <w:rsid w:val="00CD2E16"/>
    <w:rsid w:val="00CD3A88"/>
    <w:rsid w:val="00CD4B6A"/>
    <w:rsid w:val="00CD4B84"/>
    <w:rsid w:val="00CD53AA"/>
    <w:rsid w:val="00CD5442"/>
    <w:rsid w:val="00CD597C"/>
    <w:rsid w:val="00CD61F0"/>
    <w:rsid w:val="00CD65E7"/>
    <w:rsid w:val="00CD66C9"/>
    <w:rsid w:val="00CD684D"/>
    <w:rsid w:val="00CD77AA"/>
    <w:rsid w:val="00CD7B8B"/>
    <w:rsid w:val="00CD7BFC"/>
    <w:rsid w:val="00CD7F7B"/>
    <w:rsid w:val="00CE081A"/>
    <w:rsid w:val="00CE0962"/>
    <w:rsid w:val="00CE0CED"/>
    <w:rsid w:val="00CE0EAC"/>
    <w:rsid w:val="00CE1380"/>
    <w:rsid w:val="00CE1597"/>
    <w:rsid w:val="00CE1759"/>
    <w:rsid w:val="00CE1926"/>
    <w:rsid w:val="00CE1E51"/>
    <w:rsid w:val="00CE2182"/>
    <w:rsid w:val="00CE21C1"/>
    <w:rsid w:val="00CE28D7"/>
    <w:rsid w:val="00CE2B95"/>
    <w:rsid w:val="00CE2F1A"/>
    <w:rsid w:val="00CE3A17"/>
    <w:rsid w:val="00CE456A"/>
    <w:rsid w:val="00CE5364"/>
    <w:rsid w:val="00CE5690"/>
    <w:rsid w:val="00CE5968"/>
    <w:rsid w:val="00CE5EBD"/>
    <w:rsid w:val="00CE680E"/>
    <w:rsid w:val="00CE6E22"/>
    <w:rsid w:val="00CE71B7"/>
    <w:rsid w:val="00CF07C9"/>
    <w:rsid w:val="00CF1A11"/>
    <w:rsid w:val="00CF1F67"/>
    <w:rsid w:val="00CF203B"/>
    <w:rsid w:val="00CF30FC"/>
    <w:rsid w:val="00CF322F"/>
    <w:rsid w:val="00CF3BFD"/>
    <w:rsid w:val="00CF3C79"/>
    <w:rsid w:val="00CF4286"/>
    <w:rsid w:val="00CF4DBD"/>
    <w:rsid w:val="00CF4EB4"/>
    <w:rsid w:val="00CF5222"/>
    <w:rsid w:val="00CF52B8"/>
    <w:rsid w:val="00CF5CB2"/>
    <w:rsid w:val="00CF691A"/>
    <w:rsid w:val="00CF7701"/>
    <w:rsid w:val="00CF7949"/>
    <w:rsid w:val="00D00174"/>
    <w:rsid w:val="00D00E1A"/>
    <w:rsid w:val="00D019BA"/>
    <w:rsid w:val="00D01B9F"/>
    <w:rsid w:val="00D021F7"/>
    <w:rsid w:val="00D02520"/>
    <w:rsid w:val="00D02858"/>
    <w:rsid w:val="00D02C8E"/>
    <w:rsid w:val="00D03017"/>
    <w:rsid w:val="00D03081"/>
    <w:rsid w:val="00D0330E"/>
    <w:rsid w:val="00D0337C"/>
    <w:rsid w:val="00D03633"/>
    <w:rsid w:val="00D03A96"/>
    <w:rsid w:val="00D03B05"/>
    <w:rsid w:val="00D03B38"/>
    <w:rsid w:val="00D03F87"/>
    <w:rsid w:val="00D0486C"/>
    <w:rsid w:val="00D04BF7"/>
    <w:rsid w:val="00D04C66"/>
    <w:rsid w:val="00D04CD4"/>
    <w:rsid w:val="00D0508A"/>
    <w:rsid w:val="00D05592"/>
    <w:rsid w:val="00D07174"/>
    <w:rsid w:val="00D07DB1"/>
    <w:rsid w:val="00D103A7"/>
    <w:rsid w:val="00D10766"/>
    <w:rsid w:val="00D11922"/>
    <w:rsid w:val="00D11BFC"/>
    <w:rsid w:val="00D12095"/>
    <w:rsid w:val="00D13460"/>
    <w:rsid w:val="00D13BBF"/>
    <w:rsid w:val="00D13E8A"/>
    <w:rsid w:val="00D13EE4"/>
    <w:rsid w:val="00D14D3D"/>
    <w:rsid w:val="00D1507A"/>
    <w:rsid w:val="00D15671"/>
    <w:rsid w:val="00D156FB"/>
    <w:rsid w:val="00D15795"/>
    <w:rsid w:val="00D16618"/>
    <w:rsid w:val="00D166BF"/>
    <w:rsid w:val="00D16DED"/>
    <w:rsid w:val="00D17381"/>
    <w:rsid w:val="00D17694"/>
    <w:rsid w:val="00D177F0"/>
    <w:rsid w:val="00D20B5F"/>
    <w:rsid w:val="00D20F6B"/>
    <w:rsid w:val="00D210F7"/>
    <w:rsid w:val="00D21282"/>
    <w:rsid w:val="00D215C9"/>
    <w:rsid w:val="00D21943"/>
    <w:rsid w:val="00D21AEC"/>
    <w:rsid w:val="00D22D06"/>
    <w:rsid w:val="00D22E06"/>
    <w:rsid w:val="00D233A8"/>
    <w:rsid w:val="00D235C8"/>
    <w:rsid w:val="00D24772"/>
    <w:rsid w:val="00D24A44"/>
    <w:rsid w:val="00D254E7"/>
    <w:rsid w:val="00D2564B"/>
    <w:rsid w:val="00D25A9E"/>
    <w:rsid w:val="00D25E99"/>
    <w:rsid w:val="00D26E91"/>
    <w:rsid w:val="00D272A6"/>
    <w:rsid w:val="00D27476"/>
    <w:rsid w:val="00D27553"/>
    <w:rsid w:val="00D27E68"/>
    <w:rsid w:val="00D30F5C"/>
    <w:rsid w:val="00D316FF"/>
    <w:rsid w:val="00D31808"/>
    <w:rsid w:val="00D31C5A"/>
    <w:rsid w:val="00D31E2D"/>
    <w:rsid w:val="00D32716"/>
    <w:rsid w:val="00D329AE"/>
    <w:rsid w:val="00D331FA"/>
    <w:rsid w:val="00D33318"/>
    <w:rsid w:val="00D338EA"/>
    <w:rsid w:val="00D33FC1"/>
    <w:rsid w:val="00D342F4"/>
    <w:rsid w:val="00D34340"/>
    <w:rsid w:val="00D3441D"/>
    <w:rsid w:val="00D34A58"/>
    <w:rsid w:val="00D35190"/>
    <w:rsid w:val="00D35281"/>
    <w:rsid w:val="00D355C4"/>
    <w:rsid w:val="00D35877"/>
    <w:rsid w:val="00D3593D"/>
    <w:rsid w:val="00D3612A"/>
    <w:rsid w:val="00D37703"/>
    <w:rsid w:val="00D37836"/>
    <w:rsid w:val="00D37DBF"/>
    <w:rsid w:val="00D37F25"/>
    <w:rsid w:val="00D40064"/>
    <w:rsid w:val="00D42252"/>
    <w:rsid w:val="00D42F4F"/>
    <w:rsid w:val="00D434A8"/>
    <w:rsid w:val="00D4382F"/>
    <w:rsid w:val="00D43A74"/>
    <w:rsid w:val="00D44141"/>
    <w:rsid w:val="00D44FB6"/>
    <w:rsid w:val="00D45CF5"/>
    <w:rsid w:val="00D45D0F"/>
    <w:rsid w:val="00D477D4"/>
    <w:rsid w:val="00D4796B"/>
    <w:rsid w:val="00D47C65"/>
    <w:rsid w:val="00D47EA9"/>
    <w:rsid w:val="00D503E3"/>
    <w:rsid w:val="00D50814"/>
    <w:rsid w:val="00D515B4"/>
    <w:rsid w:val="00D51A3F"/>
    <w:rsid w:val="00D5213D"/>
    <w:rsid w:val="00D52679"/>
    <w:rsid w:val="00D53195"/>
    <w:rsid w:val="00D53FEC"/>
    <w:rsid w:val="00D55490"/>
    <w:rsid w:val="00D56606"/>
    <w:rsid w:val="00D56A53"/>
    <w:rsid w:val="00D56B8B"/>
    <w:rsid w:val="00D56ED0"/>
    <w:rsid w:val="00D574B3"/>
    <w:rsid w:val="00D619A9"/>
    <w:rsid w:val="00D6324F"/>
    <w:rsid w:val="00D63458"/>
    <w:rsid w:val="00D64626"/>
    <w:rsid w:val="00D6574D"/>
    <w:rsid w:val="00D65FA9"/>
    <w:rsid w:val="00D66D37"/>
    <w:rsid w:val="00D70671"/>
    <w:rsid w:val="00D710C7"/>
    <w:rsid w:val="00D72FB8"/>
    <w:rsid w:val="00D72FCA"/>
    <w:rsid w:val="00D73183"/>
    <w:rsid w:val="00D73D04"/>
    <w:rsid w:val="00D744B0"/>
    <w:rsid w:val="00D74848"/>
    <w:rsid w:val="00D750CC"/>
    <w:rsid w:val="00D75154"/>
    <w:rsid w:val="00D7532D"/>
    <w:rsid w:val="00D7542A"/>
    <w:rsid w:val="00D755BE"/>
    <w:rsid w:val="00D758DC"/>
    <w:rsid w:val="00D768AD"/>
    <w:rsid w:val="00D768EE"/>
    <w:rsid w:val="00D76A3E"/>
    <w:rsid w:val="00D76B3D"/>
    <w:rsid w:val="00D778BC"/>
    <w:rsid w:val="00D779A9"/>
    <w:rsid w:val="00D779C3"/>
    <w:rsid w:val="00D77B8A"/>
    <w:rsid w:val="00D8026A"/>
    <w:rsid w:val="00D80544"/>
    <w:rsid w:val="00D80857"/>
    <w:rsid w:val="00D8221B"/>
    <w:rsid w:val="00D823D7"/>
    <w:rsid w:val="00D825A5"/>
    <w:rsid w:val="00D8263A"/>
    <w:rsid w:val="00D82738"/>
    <w:rsid w:val="00D8297A"/>
    <w:rsid w:val="00D82B46"/>
    <w:rsid w:val="00D82CB1"/>
    <w:rsid w:val="00D82CC9"/>
    <w:rsid w:val="00D8328F"/>
    <w:rsid w:val="00D83483"/>
    <w:rsid w:val="00D84329"/>
    <w:rsid w:val="00D84369"/>
    <w:rsid w:val="00D843D5"/>
    <w:rsid w:val="00D84C8F"/>
    <w:rsid w:val="00D84D8E"/>
    <w:rsid w:val="00D8513B"/>
    <w:rsid w:val="00D85421"/>
    <w:rsid w:val="00D85C6F"/>
    <w:rsid w:val="00D861A7"/>
    <w:rsid w:val="00D86326"/>
    <w:rsid w:val="00D86CBB"/>
    <w:rsid w:val="00D86D83"/>
    <w:rsid w:val="00D87040"/>
    <w:rsid w:val="00D873AD"/>
    <w:rsid w:val="00D8746C"/>
    <w:rsid w:val="00D87493"/>
    <w:rsid w:val="00D90BEE"/>
    <w:rsid w:val="00D910D4"/>
    <w:rsid w:val="00D91AAC"/>
    <w:rsid w:val="00D91C06"/>
    <w:rsid w:val="00D91C9F"/>
    <w:rsid w:val="00D93C61"/>
    <w:rsid w:val="00D93FD1"/>
    <w:rsid w:val="00D94127"/>
    <w:rsid w:val="00D9466C"/>
    <w:rsid w:val="00D94787"/>
    <w:rsid w:val="00D948A7"/>
    <w:rsid w:val="00D9505D"/>
    <w:rsid w:val="00D96D7E"/>
    <w:rsid w:val="00D97998"/>
    <w:rsid w:val="00D97D7B"/>
    <w:rsid w:val="00DA081C"/>
    <w:rsid w:val="00DA08F5"/>
    <w:rsid w:val="00DA0F5E"/>
    <w:rsid w:val="00DA1170"/>
    <w:rsid w:val="00DA1C96"/>
    <w:rsid w:val="00DA1CDE"/>
    <w:rsid w:val="00DA2828"/>
    <w:rsid w:val="00DA2ADC"/>
    <w:rsid w:val="00DA3EDD"/>
    <w:rsid w:val="00DA49F4"/>
    <w:rsid w:val="00DA511F"/>
    <w:rsid w:val="00DA67C2"/>
    <w:rsid w:val="00DA6A52"/>
    <w:rsid w:val="00DA6B9F"/>
    <w:rsid w:val="00DA732B"/>
    <w:rsid w:val="00DB0122"/>
    <w:rsid w:val="00DB0189"/>
    <w:rsid w:val="00DB01E2"/>
    <w:rsid w:val="00DB03B2"/>
    <w:rsid w:val="00DB06B2"/>
    <w:rsid w:val="00DB0764"/>
    <w:rsid w:val="00DB1154"/>
    <w:rsid w:val="00DB1A70"/>
    <w:rsid w:val="00DB1FD0"/>
    <w:rsid w:val="00DB23C5"/>
    <w:rsid w:val="00DB2470"/>
    <w:rsid w:val="00DB2992"/>
    <w:rsid w:val="00DB2DA9"/>
    <w:rsid w:val="00DB318E"/>
    <w:rsid w:val="00DB3506"/>
    <w:rsid w:val="00DB376A"/>
    <w:rsid w:val="00DB3A94"/>
    <w:rsid w:val="00DB3CA2"/>
    <w:rsid w:val="00DB51B0"/>
    <w:rsid w:val="00DB52B1"/>
    <w:rsid w:val="00DB7A9A"/>
    <w:rsid w:val="00DB7BF3"/>
    <w:rsid w:val="00DB7E30"/>
    <w:rsid w:val="00DC01F1"/>
    <w:rsid w:val="00DC05A4"/>
    <w:rsid w:val="00DC2068"/>
    <w:rsid w:val="00DC2A7E"/>
    <w:rsid w:val="00DC2C28"/>
    <w:rsid w:val="00DC2D12"/>
    <w:rsid w:val="00DC310E"/>
    <w:rsid w:val="00DC3177"/>
    <w:rsid w:val="00DC3276"/>
    <w:rsid w:val="00DC36BC"/>
    <w:rsid w:val="00DC4AE4"/>
    <w:rsid w:val="00DC4CA5"/>
    <w:rsid w:val="00DC532E"/>
    <w:rsid w:val="00DC5D14"/>
    <w:rsid w:val="00DC5F37"/>
    <w:rsid w:val="00DC6295"/>
    <w:rsid w:val="00DC62A3"/>
    <w:rsid w:val="00DC6CB0"/>
    <w:rsid w:val="00DD08F5"/>
    <w:rsid w:val="00DD08F8"/>
    <w:rsid w:val="00DD111B"/>
    <w:rsid w:val="00DD135A"/>
    <w:rsid w:val="00DD13AB"/>
    <w:rsid w:val="00DD243A"/>
    <w:rsid w:val="00DD2584"/>
    <w:rsid w:val="00DD26FB"/>
    <w:rsid w:val="00DD2841"/>
    <w:rsid w:val="00DD3121"/>
    <w:rsid w:val="00DD323F"/>
    <w:rsid w:val="00DD32B1"/>
    <w:rsid w:val="00DD37D8"/>
    <w:rsid w:val="00DD3B93"/>
    <w:rsid w:val="00DD4107"/>
    <w:rsid w:val="00DD4596"/>
    <w:rsid w:val="00DD4EB5"/>
    <w:rsid w:val="00DD56AB"/>
    <w:rsid w:val="00DD5902"/>
    <w:rsid w:val="00DD5A10"/>
    <w:rsid w:val="00DD5C6D"/>
    <w:rsid w:val="00DD6576"/>
    <w:rsid w:val="00DD76A9"/>
    <w:rsid w:val="00DD7C6A"/>
    <w:rsid w:val="00DE01A4"/>
    <w:rsid w:val="00DE0781"/>
    <w:rsid w:val="00DE0AE7"/>
    <w:rsid w:val="00DE1377"/>
    <w:rsid w:val="00DE273E"/>
    <w:rsid w:val="00DE3019"/>
    <w:rsid w:val="00DE3598"/>
    <w:rsid w:val="00DE3867"/>
    <w:rsid w:val="00DE3D00"/>
    <w:rsid w:val="00DE3E40"/>
    <w:rsid w:val="00DE4597"/>
    <w:rsid w:val="00DE643F"/>
    <w:rsid w:val="00DE68D6"/>
    <w:rsid w:val="00DE7E5E"/>
    <w:rsid w:val="00DF0032"/>
    <w:rsid w:val="00DF072F"/>
    <w:rsid w:val="00DF291B"/>
    <w:rsid w:val="00DF292E"/>
    <w:rsid w:val="00DF299B"/>
    <w:rsid w:val="00DF2D69"/>
    <w:rsid w:val="00DF2EC7"/>
    <w:rsid w:val="00DF3112"/>
    <w:rsid w:val="00DF380E"/>
    <w:rsid w:val="00DF3904"/>
    <w:rsid w:val="00DF5796"/>
    <w:rsid w:val="00DF6840"/>
    <w:rsid w:val="00DF7A79"/>
    <w:rsid w:val="00DF7BFA"/>
    <w:rsid w:val="00DF7E49"/>
    <w:rsid w:val="00E00427"/>
    <w:rsid w:val="00E0043D"/>
    <w:rsid w:val="00E00881"/>
    <w:rsid w:val="00E010AB"/>
    <w:rsid w:val="00E015AD"/>
    <w:rsid w:val="00E01856"/>
    <w:rsid w:val="00E0222C"/>
    <w:rsid w:val="00E0233F"/>
    <w:rsid w:val="00E02484"/>
    <w:rsid w:val="00E02678"/>
    <w:rsid w:val="00E02788"/>
    <w:rsid w:val="00E02AC7"/>
    <w:rsid w:val="00E02C4D"/>
    <w:rsid w:val="00E0361D"/>
    <w:rsid w:val="00E042D6"/>
    <w:rsid w:val="00E050EC"/>
    <w:rsid w:val="00E054C1"/>
    <w:rsid w:val="00E06055"/>
    <w:rsid w:val="00E06262"/>
    <w:rsid w:val="00E06A21"/>
    <w:rsid w:val="00E0712C"/>
    <w:rsid w:val="00E0748A"/>
    <w:rsid w:val="00E10050"/>
    <w:rsid w:val="00E105FD"/>
    <w:rsid w:val="00E10B77"/>
    <w:rsid w:val="00E11E3E"/>
    <w:rsid w:val="00E124F2"/>
    <w:rsid w:val="00E128A9"/>
    <w:rsid w:val="00E12B9A"/>
    <w:rsid w:val="00E1334A"/>
    <w:rsid w:val="00E13928"/>
    <w:rsid w:val="00E13C5C"/>
    <w:rsid w:val="00E143DA"/>
    <w:rsid w:val="00E144E3"/>
    <w:rsid w:val="00E14A40"/>
    <w:rsid w:val="00E14AD5"/>
    <w:rsid w:val="00E14BA3"/>
    <w:rsid w:val="00E14D54"/>
    <w:rsid w:val="00E14F9C"/>
    <w:rsid w:val="00E15477"/>
    <w:rsid w:val="00E15864"/>
    <w:rsid w:val="00E159ED"/>
    <w:rsid w:val="00E163E8"/>
    <w:rsid w:val="00E16639"/>
    <w:rsid w:val="00E16744"/>
    <w:rsid w:val="00E1781F"/>
    <w:rsid w:val="00E17C5A"/>
    <w:rsid w:val="00E204E8"/>
    <w:rsid w:val="00E2078D"/>
    <w:rsid w:val="00E20AC8"/>
    <w:rsid w:val="00E20CD5"/>
    <w:rsid w:val="00E20D6B"/>
    <w:rsid w:val="00E20FCE"/>
    <w:rsid w:val="00E215EE"/>
    <w:rsid w:val="00E2171B"/>
    <w:rsid w:val="00E21F33"/>
    <w:rsid w:val="00E2235E"/>
    <w:rsid w:val="00E22A50"/>
    <w:rsid w:val="00E23081"/>
    <w:rsid w:val="00E23855"/>
    <w:rsid w:val="00E239A6"/>
    <w:rsid w:val="00E24898"/>
    <w:rsid w:val="00E24CDE"/>
    <w:rsid w:val="00E24EFB"/>
    <w:rsid w:val="00E25432"/>
    <w:rsid w:val="00E25473"/>
    <w:rsid w:val="00E257A2"/>
    <w:rsid w:val="00E25953"/>
    <w:rsid w:val="00E266CB"/>
    <w:rsid w:val="00E27175"/>
    <w:rsid w:val="00E2761C"/>
    <w:rsid w:val="00E27760"/>
    <w:rsid w:val="00E27F5A"/>
    <w:rsid w:val="00E30772"/>
    <w:rsid w:val="00E3134E"/>
    <w:rsid w:val="00E32BEA"/>
    <w:rsid w:val="00E32F5B"/>
    <w:rsid w:val="00E3348E"/>
    <w:rsid w:val="00E34CBC"/>
    <w:rsid w:val="00E3594E"/>
    <w:rsid w:val="00E35CAB"/>
    <w:rsid w:val="00E3658C"/>
    <w:rsid w:val="00E366BD"/>
    <w:rsid w:val="00E37060"/>
    <w:rsid w:val="00E3799F"/>
    <w:rsid w:val="00E37D83"/>
    <w:rsid w:val="00E37DA2"/>
    <w:rsid w:val="00E40275"/>
    <w:rsid w:val="00E4084D"/>
    <w:rsid w:val="00E410F7"/>
    <w:rsid w:val="00E4121B"/>
    <w:rsid w:val="00E41465"/>
    <w:rsid w:val="00E41E86"/>
    <w:rsid w:val="00E42D62"/>
    <w:rsid w:val="00E42FA4"/>
    <w:rsid w:val="00E438A1"/>
    <w:rsid w:val="00E43ACF"/>
    <w:rsid w:val="00E43B5E"/>
    <w:rsid w:val="00E44923"/>
    <w:rsid w:val="00E449C2"/>
    <w:rsid w:val="00E455D2"/>
    <w:rsid w:val="00E4584A"/>
    <w:rsid w:val="00E45864"/>
    <w:rsid w:val="00E4622C"/>
    <w:rsid w:val="00E4756D"/>
    <w:rsid w:val="00E47834"/>
    <w:rsid w:val="00E47F40"/>
    <w:rsid w:val="00E5003F"/>
    <w:rsid w:val="00E50EED"/>
    <w:rsid w:val="00E5176F"/>
    <w:rsid w:val="00E51899"/>
    <w:rsid w:val="00E51FFB"/>
    <w:rsid w:val="00E52DD3"/>
    <w:rsid w:val="00E53261"/>
    <w:rsid w:val="00E53D44"/>
    <w:rsid w:val="00E5471E"/>
    <w:rsid w:val="00E54B58"/>
    <w:rsid w:val="00E54C37"/>
    <w:rsid w:val="00E558A4"/>
    <w:rsid w:val="00E55906"/>
    <w:rsid w:val="00E55A37"/>
    <w:rsid w:val="00E5622F"/>
    <w:rsid w:val="00E56572"/>
    <w:rsid w:val="00E576D9"/>
    <w:rsid w:val="00E57C75"/>
    <w:rsid w:val="00E606CF"/>
    <w:rsid w:val="00E60C31"/>
    <w:rsid w:val="00E61443"/>
    <w:rsid w:val="00E62115"/>
    <w:rsid w:val="00E62435"/>
    <w:rsid w:val="00E626CA"/>
    <w:rsid w:val="00E62786"/>
    <w:rsid w:val="00E62898"/>
    <w:rsid w:val="00E6303D"/>
    <w:rsid w:val="00E634EA"/>
    <w:rsid w:val="00E63D55"/>
    <w:rsid w:val="00E65404"/>
    <w:rsid w:val="00E65C76"/>
    <w:rsid w:val="00E65EA1"/>
    <w:rsid w:val="00E6605D"/>
    <w:rsid w:val="00E6611F"/>
    <w:rsid w:val="00E66187"/>
    <w:rsid w:val="00E66395"/>
    <w:rsid w:val="00E664DE"/>
    <w:rsid w:val="00E665FD"/>
    <w:rsid w:val="00E67A87"/>
    <w:rsid w:val="00E67CDD"/>
    <w:rsid w:val="00E715EC"/>
    <w:rsid w:val="00E733E9"/>
    <w:rsid w:val="00E73458"/>
    <w:rsid w:val="00E745DA"/>
    <w:rsid w:val="00E7480A"/>
    <w:rsid w:val="00E74A5B"/>
    <w:rsid w:val="00E751B0"/>
    <w:rsid w:val="00E755E4"/>
    <w:rsid w:val="00E7572F"/>
    <w:rsid w:val="00E758C1"/>
    <w:rsid w:val="00E76262"/>
    <w:rsid w:val="00E767EF"/>
    <w:rsid w:val="00E76D5D"/>
    <w:rsid w:val="00E77AF0"/>
    <w:rsid w:val="00E800AA"/>
    <w:rsid w:val="00E826A4"/>
    <w:rsid w:val="00E8289E"/>
    <w:rsid w:val="00E83375"/>
    <w:rsid w:val="00E83770"/>
    <w:rsid w:val="00E83E04"/>
    <w:rsid w:val="00E84652"/>
    <w:rsid w:val="00E84DB6"/>
    <w:rsid w:val="00E85099"/>
    <w:rsid w:val="00E85B7F"/>
    <w:rsid w:val="00E863CF"/>
    <w:rsid w:val="00E8761C"/>
    <w:rsid w:val="00E87741"/>
    <w:rsid w:val="00E908CB"/>
    <w:rsid w:val="00E914AE"/>
    <w:rsid w:val="00E914E5"/>
    <w:rsid w:val="00E9168B"/>
    <w:rsid w:val="00E91A28"/>
    <w:rsid w:val="00E91E5A"/>
    <w:rsid w:val="00E923A0"/>
    <w:rsid w:val="00E9265B"/>
    <w:rsid w:val="00E92C89"/>
    <w:rsid w:val="00E92DEF"/>
    <w:rsid w:val="00E93413"/>
    <w:rsid w:val="00E9427F"/>
    <w:rsid w:val="00E95253"/>
    <w:rsid w:val="00E9539F"/>
    <w:rsid w:val="00E95569"/>
    <w:rsid w:val="00E955A5"/>
    <w:rsid w:val="00E9637F"/>
    <w:rsid w:val="00E96D5A"/>
    <w:rsid w:val="00E97860"/>
    <w:rsid w:val="00E978F3"/>
    <w:rsid w:val="00E97EC7"/>
    <w:rsid w:val="00E97F8B"/>
    <w:rsid w:val="00EA0A8A"/>
    <w:rsid w:val="00EA0DE1"/>
    <w:rsid w:val="00EA1CB1"/>
    <w:rsid w:val="00EA2558"/>
    <w:rsid w:val="00EA26E8"/>
    <w:rsid w:val="00EA29B1"/>
    <w:rsid w:val="00EA2E60"/>
    <w:rsid w:val="00EA45B5"/>
    <w:rsid w:val="00EA4DE1"/>
    <w:rsid w:val="00EA5B99"/>
    <w:rsid w:val="00EA6125"/>
    <w:rsid w:val="00EB00B4"/>
    <w:rsid w:val="00EB0A1D"/>
    <w:rsid w:val="00EB0E44"/>
    <w:rsid w:val="00EB10EE"/>
    <w:rsid w:val="00EB1819"/>
    <w:rsid w:val="00EB181D"/>
    <w:rsid w:val="00EB1CD8"/>
    <w:rsid w:val="00EB27E4"/>
    <w:rsid w:val="00EB3D28"/>
    <w:rsid w:val="00EB59B2"/>
    <w:rsid w:val="00EB5F5E"/>
    <w:rsid w:val="00EB6933"/>
    <w:rsid w:val="00EB6AE2"/>
    <w:rsid w:val="00EB6BCB"/>
    <w:rsid w:val="00EB7747"/>
    <w:rsid w:val="00EB7F3B"/>
    <w:rsid w:val="00EC0354"/>
    <w:rsid w:val="00EC0435"/>
    <w:rsid w:val="00EC3ED2"/>
    <w:rsid w:val="00EC5080"/>
    <w:rsid w:val="00EC56A5"/>
    <w:rsid w:val="00EC6D6B"/>
    <w:rsid w:val="00EC711C"/>
    <w:rsid w:val="00EC7180"/>
    <w:rsid w:val="00ED0297"/>
    <w:rsid w:val="00ED0951"/>
    <w:rsid w:val="00ED10C4"/>
    <w:rsid w:val="00ED1198"/>
    <w:rsid w:val="00ED14A6"/>
    <w:rsid w:val="00ED179E"/>
    <w:rsid w:val="00ED209D"/>
    <w:rsid w:val="00ED26EC"/>
    <w:rsid w:val="00ED4006"/>
    <w:rsid w:val="00ED418D"/>
    <w:rsid w:val="00ED4443"/>
    <w:rsid w:val="00ED46C4"/>
    <w:rsid w:val="00ED4B01"/>
    <w:rsid w:val="00ED5073"/>
    <w:rsid w:val="00ED5421"/>
    <w:rsid w:val="00ED5F88"/>
    <w:rsid w:val="00ED62BD"/>
    <w:rsid w:val="00ED664B"/>
    <w:rsid w:val="00ED7359"/>
    <w:rsid w:val="00ED7C2E"/>
    <w:rsid w:val="00EE0485"/>
    <w:rsid w:val="00EE108E"/>
    <w:rsid w:val="00EE226E"/>
    <w:rsid w:val="00EE2DFD"/>
    <w:rsid w:val="00EE31F8"/>
    <w:rsid w:val="00EE3DF2"/>
    <w:rsid w:val="00EE4BC4"/>
    <w:rsid w:val="00EE4F2C"/>
    <w:rsid w:val="00EE5111"/>
    <w:rsid w:val="00EE5AA9"/>
    <w:rsid w:val="00EE6248"/>
    <w:rsid w:val="00EE7589"/>
    <w:rsid w:val="00EF05F6"/>
    <w:rsid w:val="00EF08E4"/>
    <w:rsid w:val="00EF099E"/>
    <w:rsid w:val="00EF0FB8"/>
    <w:rsid w:val="00EF157F"/>
    <w:rsid w:val="00EF2730"/>
    <w:rsid w:val="00EF28D7"/>
    <w:rsid w:val="00EF2F86"/>
    <w:rsid w:val="00EF3771"/>
    <w:rsid w:val="00EF3943"/>
    <w:rsid w:val="00EF3AB8"/>
    <w:rsid w:val="00EF4972"/>
    <w:rsid w:val="00EF51B9"/>
    <w:rsid w:val="00EF5550"/>
    <w:rsid w:val="00EF59F6"/>
    <w:rsid w:val="00EF67A6"/>
    <w:rsid w:val="00EF6C29"/>
    <w:rsid w:val="00F002E6"/>
    <w:rsid w:val="00F00A18"/>
    <w:rsid w:val="00F00E9C"/>
    <w:rsid w:val="00F0157B"/>
    <w:rsid w:val="00F01C9E"/>
    <w:rsid w:val="00F01D63"/>
    <w:rsid w:val="00F022A7"/>
    <w:rsid w:val="00F02366"/>
    <w:rsid w:val="00F02471"/>
    <w:rsid w:val="00F029C2"/>
    <w:rsid w:val="00F02E1D"/>
    <w:rsid w:val="00F03175"/>
    <w:rsid w:val="00F03786"/>
    <w:rsid w:val="00F03A1B"/>
    <w:rsid w:val="00F03AB8"/>
    <w:rsid w:val="00F05D09"/>
    <w:rsid w:val="00F05E37"/>
    <w:rsid w:val="00F066BF"/>
    <w:rsid w:val="00F06D1C"/>
    <w:rsid w:val="00F070B1"/>
    <w:rsid w:val="00F07897"/>
    <w:rsid w:val="00F07E2A"/>
    <w:rsid w:val="00F07EF7"/>
    <w:rsid w:val="00F07F58"/>
    <w:rsid w:val="00F10013"/>
    <w:rsid w:val="00F100CA"/>
    <w:rsid w:val="00F105E5"/>
    <w:rsid w:val="00F10753"/>
    <w:rsid w:val="00F112AC"/>
    <w:rsid w:val="00F11B70"/>
    <w:rsid w:val="00F11F5A"/>
    <w:rsid w:val="00F12FF3"/>
    <w:rsid w:val="00F130AD"/>
    <w:rsid w:val="00F13754"/>
    <w:rsid w:val="00F13D03"/>
    <w:rsid w:val="00F14640"/>
    <w:rsid w:val="00F14A16"/>
    <w:rsid w:val="00F14FEA"/>
    <w:rsid w:val="00F15BD4"/>
    <w:rsid w:val="00F17000"/>
    <w:rsid w:val="00F17455"/>
    <w:rsid w:val="00F175EE"/>
    <w:rsid w:val="00F2002D"/>
    <w:rsid w:val="00F204D1"/>
    <w:rsid w:val="00F20A6E"/>
    <w:rsid w:val="00F21DF3"/>
    <w:rsid w:val="00F22093"/>
    <w:rsid w:val="00F2265A"/>
    <w:rsid w:val="00F227E8"/>
    <w:rsid w:val="00F22950"/>
    <w:rsid w:val="00F2363E"/>
    <w:rsid w:val="00F24647"/>
    <w:rsid w:val="00F2587A"/>
    <w:rsid w:val="00F25C14"/>
    <w:rsid w:val="00F26374"/>
    <w:rsid w:val="00F26757"/>
    <w:rsid w:val="00F26A9F"/>
    <w:rsid w:val="00F30301"/>
    <w:rsid w:val="00F307E2"/>
    <w:rsid w:val="00F309EC"/>
    <w:rsid w:val="00F30DE4"/>
    <w:rsid w:val="00F312C8"/>
    <w:rsid w:val="00F3183E"/>
    <w:rsid w:val="00F31CE2"/>
    <w:rsid w:val="00F31DA7"/>
    <w:rsid w:val="00F31DC9"/>
    <w:rsid w:val="00F32A0F"/>
    <w:rsid w:val="00F33144"/>
    <w:rsid w:val="00F331B5"/>
    <w:rsid w:val="00F34186"/>
    <w:rsid w:val="00F34AF9"/>
    <w:rsid w:val="00F353D9"/>
    <w:rsid w:val="00F358BC"/>
    <w:rsid w:val="00F37788"/>
    <w:rsid w:val="00F37C48"/>
    <w:rsid w:val="00F408E2"/>
    <w:rsid w:val="00F40920"/>
    <w:rsid w:val="00F4121F"/>
    <w:rsid w:val="00F4125C"/>
    <w:rsid w:val="00F4140E"/>
    <w:rsid w:val="00F41BCC"/>
    <w:rsid w:val="00F41E62"/>
    <w:rsid w:val="00F41EEF"/>
    <w:rsid w:val="00F43D1C"/>
    <w:rsid w:val="00F448C6"/>
    <w:rsid w:val="00F44B5D"/>
    <w:rsid w:val="00F4533B"/>
    <w:rsid w:val="00F45725"/>
    <w:rsid w:val="00F465ED"/>
    <w:rsid w:val="00F46EA9"/>
    <w:rsid w:val="00F46FFF"/>
    <w:rsid w:val="00F47453"/>
    <w:rsid w:val="00F477B9"/>
    <w:rsid w:val="00F47B58"/>
    <w:rsid w:val="00F47BED"/>
    <w:rsid w:val="00F500EA"/>
    <w:rsid w:val="00F509E5"/>
    <w:rsid w:val="00F509F3"/>
    <w:rsid w:val="00F5140A"/>
    <w:rsid w:val="00F51A50"/>
    <w:rsid w:val="00F52AEA"/>
    <w:rsid w:val="00F5347B"/>
    <w:rsid w:val="00F53521"/>
    <w:rsid w:val="00F53991"/>
    <w:rsid w:val="00F53FB9"/>
    <w:rsid w:val="00F55705"/>
    <w:rsid w:val="00F55FB0"/>
    <w:rsid w:val="00F5678B"/>
    <w:rsid w:val="00F5685A"/>
    <w:rsid w:val="00F5698E"/>
    <w:rsid w:val="00F57941"/>
    <w:rsid w:val="00F603D3"/>
    <w:rsid w:val="00F60738"/>
    <w:rsid w:val="00F60B6C"/>
    <w:rsid w:val="00F60F5F"/>
    <w:rsid w:val="00F6144B"/>
    <w:rsid w:val="00F61722"/>
    <w:rsid w:val="00F617C6"/>
    <w:rsid w:val="00F618D1"/>
    <w:rsid w:val="00F61B45"/>
    <w:rsid w:val="00F61C51"/>
    <w:rsid w:val="00F62062"/>
    <w:rsid w:val="00F6208E"/>
    <w:rsid w:val="00F63AC0"/>
    <w:rsid w:val="00F63CD9"/>
    <w:rsid w:val="00F63D60"/>
    <w:rsid w:val="00F63E33"/>
    <w:rsid w:val="00F64041"/>
    <w:rsid w:val="00F6416D"/>
    <w:rsid w:val="00F644A7"/>
    <w:rsid w:val="00F66337"/>
    <w:rsid w:val="00F6657B"/>
    <w:rsid w:val="00F66A33"/>
    <w:rsid w:val="00F66F7C"/>
    <w:rsid w:val="00F67569"/>
    <w:rsid w:val="00F703A9"/>
    <w:rsid w:val="00F705B9"/>
    <w:rsid w:val="00F70662"/>
    <w:rsid w:val="00F70A13"/>
    <w:rsid w:val="00F70BA5"/>
    <w:rsid w:val="00F711FA"/>
    <w:rsid w:val="00F71818"/>
    <w:rsid w:val="00F723C0"/>
    <w:rsid w:val="00F72848"/>
    <w:rsid w:val="00F72F2B"/>
    <w:rsid w:val="00F737AD"/>
    <w:rsid w:val="00F73842"/>
    <w:rsid w:val="00F73B39"/>
    <w:rsid w:val="00F73E4E"/>
    <w:rsid w:val="00F74463"/>
    <w:rsid w:val="00F7493D"/>
    <w:rsid w:val="00F7497C"/>
    <w:rsid w:val="00F74981"/>
    <w:rsid w:val="00F74A3F"/>
    <w:rsid w:val="00F75585"/>
    <w:rsid w:val="00F75C04"/>
    <w:rsid w:val="00F76202"/>
    <w:rsid w:val="00F76A1B"/>
    <w:rsid w:val="00F76D77"/>
    <w:rsid w:val="00F76FC1"/>
    <w:rsid w:val="00F774DB"/>
    <w:rsid w:val="00F77C01"/>
    <w:rsid w:val="00F80A59"/>
    <w:rsid w:val="00F80CF1"/>
    <w:rsid w:val="00F81A33"/>
    <w:rsid w:val="00F81F50"/>
    <w:rsid w:val="00F825BF"/>
    <w:rsid w:val="00F82ADF"/>
    <w:rsid w:val="00F83C2A"/>
    <w:rsid w:val="00F8512A"/>
    <w:rsid w:val="00F854E1"/>
    <w:rsid w:val="00F86E5A"/>
    <w:rsid w:val="00F90004"/>
    <w:rsid w:val="00F90403"/>
    <w:rsid w:val="00F90692"/>
    <w:rsid w:val="00F909BB"/>
    <w:rsid w:val="00F91AFB"/>
    <w:rsid w:val="00F91DBC"/>
    <w:rsid w:val="00F91F1C"/>
    <w:rsid w:val="00F92D07"/>
    <w:rsid w:val="00F93F30"/>
    <w:rsid w:val="00F94066"/>
    <w:rsid w:val="00F94143"/>
    <w:rsid w:val="00F948E3"/>
    <w:rsid w:val="00F94F2A"/>
    <w:rsid w:val="00F95772"/>
    <w:rsid w:val="00F95A2F"/>
    <w:rsid w:val="00F965DD"/>
    <w:rsid w:val="00F97BA0"/>
    <w:rsid w:val="00F97EF9"/>
    <w:rsid w:val="00F97FB0"/>
    <w:rsid w:val="00FA00B5"/>
    <w:rsid w:val="00FA024A"/>
    <w:rsid w:val="00FA0846"/>
    <w:rsid w:val="00FA0CE3"/>
    <w:rsid w:val="00FA0EA1"/>
    <w:rsid w:val="00FA129A"/>
    <w:rsid w:val="00FA1491"/>
    <w:rsid w:val="00FA176D"/>
    <w:rsid w:val="00FA1866"/>
    <w:rsid w:val="00FA1A74"/>
    <w:rsid w:val="00FA1E97"/>
    <w:rsid w:val="00FA2354"/>
    <w:rsid w:val="00FA27ED"/>
    <w:rsid w:val="00FA2BF2"/>
    <w:rsid w:val="00FA374C"/>
    <w:rsid w:val="00FA3D4B"/>
    <w:rsid w:val="00FA48DE"/>
    <w:rsid w:val="00FA52CE"/>
    <w:rsid w:val="00FA569D"/>
    <w:rsid w:val="00FA6511"/>
    <w:rsid w:val="00FA6B98"/>
    <w:rsid w:val="00FA7334"/>
    <w:rsid w:val="00FA7861"/>
    <w:rsid w:val="00FB05FE"/>
    <w:rsid w:val="00FB0D06"/>
    <w:rsid w:val="00FB1402"/>
    <w:rsid w:val="00FB18B9"/>
    <w:rsid w:val="00FB2736"/>
    <w:rsid w:val="00FB2AE3"/>
    <w:rsid w:val="00FB2CA2"/>
    <w:rsid w:val="00FB2D1F"/>
    <w:rsid w:val="00FB2F26"/>
    <w:rsid w:val="00FB2F59"/>
    <w:rsid w:val="00FB314B"/>
    <w:rsid w:val="00FB3717"/>
    <w:rsid w:val="00FB4289"/>
    <w:rsid w:val="00FB5140"/>
    <w:rsid w:val="00FB5E2F"/>
    <w:rsid w:val="00FB6564"/>
    <w:rsid w:val="00FB6831"/>
    <w:rsid w:val="00FB6B8C"/>
    <w:rsid w:val="00FB6E53"/>
    <w:rsid w:val="00FB78D8"/>
    <w:rsid w:val="00FB7E0E"/>
    <w:rsid w:val="00FB7E7E"/>
    <w:rsid w:val="00FC0149"/>
    <w:rsid w:val="00FC1824"/>
    <w:rsid w:val="00FC1D93"/>
    <w:rsid w:val="00FC1ECB"/>
    <w:rsid w:val="00FC2985"/>
    <w:rsid w:val="00FC2E58"/>
    <w:rsid w:val="00FC2F38"/>
    <w:rsid w:val="00FC3316"/>
    <w:rsid w:val="00FC4163"/>
    <w:rsid w:val="00FC436B"/>
    <w:rsid w:val="00FC4972"/>
    <w:rsid w:val="00FC65D8"/>
    <w:rsid w:val="00FC6C8A"/>
    <w:rsid w:val="00FC70FD"/>
    <w:rsid w:val="00FC7254"/>
    <w:rsid w:val="00FC7ED3"/>
    <w:rsid w:val="00FD008B"/>
    <w:rsid w:val="00FD0E0E"/>
    <w:rsid w:val="00FD103A"/>
    <w:rsid w:val="00FD12A2"/>
    <w:rsid w:val="00FD12FA"/>
    <w:rsid w:val="00FD13C9"/>
    <w:rsid w:val="00FD18F0"/>
    <w:rsid w:val="00FD381D"/>
    <w:rsid w:val="00FD3FBE"/>
    <w:rsid w:val="00FD424D"/>
    <w:rsid w:val="00FD4280"/>
    <w:rsid w:val="00FD4971"/>
    <w:rsid w:val="00FD5751"/>
    <w:rsid w:val="00FD5803"/>
    <w:rsid w:val="00FD6ADB"/>
    <w:rsid w:val="00FD6F97"/>
    <w:rsid w:val="00FD70D9"/>
    <w:rsid w:val="00FD7549"/>
    <w:rsid w:val="00FE0141"/>
    <w:rsid w:val="00FE0154"/>
    <w:rsid w:val="00FE06B1"/>
    <w:rsid w:val="00FE104A"/>
    <w:rsid w:val="00FE18DB"/>
    <w:rsid w:val="00FE196D"/>
    <w:rsid w:val="00FE1DDD"/>
    <w:rsid w:val="00FE22AC"/>
    <w:rsid w:val="00FE2331"/>
    <w:rsid w:val="00FE2CE3"/>
    <w:rsid w:val="00FE2CF0"/>
    <w:rsid w:val="00FE303E"/>
    <w:rsid w:val="00FE3223"/>
    <w:rsid w:val="00FE32BB"/>
    <w:rsid w:val="00FE35B2"/>
    <w:rsid w:val="00FE446C"/>
    <w:rsid w:val="00FE51AA"/>
    <w:rsid w:val="00FE52B2"/>
    <w:rsid w:val="00FE5C33"/>
    <w:rsid w:val="00FE5DE0"/>
    <w:rsid w:val="00FE66D0"/>
    <w:rsid w:val="00FE67A2"/>
    <w:rsid w:val="00FE7F11"/>
    <w:rsid w:val="00FF0014"/>
    <w:rsid w:val="00FF00C9"/>
    <w:rsid w:val="00FF09B3"/>
    <w:rsid w:val="00FF1221"/>
    <w:rsid w:val="00FF1AF3"/>
    <w:rsid w:val="00FF20D4"/>
    <w:rsid w:val="00FF2AF6"/>
    <w:rsid w:val="00FF2E97"/>
    <w:rsid w:val="00FF2FEE"/>
    <w:rsid w:val="00FF3F44"/>
    <w:rsid w:val="00FF41E2"/>
    <w:rsid w:val="00FF491C"/>
    <w:rsid w:val="00FF4CE4"/>
    <w:rsid w:val="00FF50E3"/>
    <w:rsid w:val="00FF52AF"/>
    <w:rsid w:val="00FF599D"/>
    <w:rsid w:val="00FF6467"/>
    <w:rsid w:val="00FF6E6F"/>
    <w:rsid w:val="00FF7050"/>
    <w:rsid w:val="00FF7DBD"/>
    <w:rsid w:val="14C86F75"/>
    <w:rsid w:val="2D081C5D"/>
    <w:rsid w:val="2D98E17B"/>
    <w:rsid w:val="2E0DBC9C"/>
    <w:rsid w:val="38481248"/>
    <w:rsid w:val="45BBBE32"/>
    <w:rsid w:val="57F7D340"/>
    <w:rsid w:val="748B0464"/>
    <w:rsid w:val="7CE43D44"/>
    <w:rsid w:val="7D53F2F1"/>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C6F662"/>
  <w15:chartTrackingRefBased/>
  <w15:docId w15:val="{67DE96D0-8EA0-45B1-8C6C-28A98D204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Typewriter"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ICEnormal"/>
    <w:link w:val="Heading1Char"/>
    <w:qFormat/>
    <w:rsid w:val="00F81F50"/>
    <w:pPr>
      <w:keepNext/>
      <w:spacing w:before="240" w:after="120" w:line="360" w:lineRule="auto"/>
      <w:outlineLvl w:val="0"/>
    </w:pPr>
    <w:rPr>
      <w:rFonts w:ascii="Arial" w:hAnsi="Arial" w:cs="Arial"/>
      <w:b/>
      <w:bCs/>
      <w:kern w:val="32"/>
      <w:sz w:val="32"/>
      <w:szCs w:val="32"/>
    </w:rPr>
  </w:style>
  <w:style w:type="paragraph" w:styleId="Heading2">
    <w:name w:val="heading 2"/>
    <w:basedOn w:val="Normal"/>
    <w:next w:val="NICEnormal"/>
    <w:link w:val="Heading2Char"/>
    <w:qFormat/>
    <w:rsid w:val="00F81F50"/>
    <w:pPr>
      <w:keepNext/>
      <w:spacing w:before="240" w:after="60" w:line="360" w:lineRule="auto"/>
      <w:outlineLvl w:val="1"/>
    </w:pPr>
    <w:rPr>
      <w:rFonts w:ascii="Arial" w:hAnsi="Arial" w:cs="Arial"/>
      <w:b/>
      <w:bCs/>
      <w:sz w:val="28"/>
      <w:szCs w:val="28"/>
    </w:rPr>
  </w:style>
  <w:style w:type="paragraph" w:styleId="Heading3">
    <w:name w:val="heading 3"/>
    <w:basedOn w:val="Normal"/>
    <w:next w:val="NICEnormal"/>
    <w:link w:val="Heading3Char"/>
    <w:qFormat/>
    <w:rsid w:val="008E4FAC"/>
    <w:pPr>
      <w:keepNext/>
      <w:spacing w:before="120" w:after="60" w:line="360" w:lineRule="auto"/>
      <w:outlineLvl w:val="2"/>
    </w:pPr>
    <w:rPr>
      <w:rFonts w:ascii="Arial" w:hAnsi="Arial" w:cs="Arial"/>
      <w:b/>
      <w:bCs/>
      <w:sz w:val="26"/>
      <w:szCs w:val="26"/>
    </w:rPr>
  </w:style>
  <w:style w:type="paragraph" w:styleId="Heading4">
    <w:name w:val="heading 4"/>
    <w:basedOn w:val="Normal"/>
    <w:next w:val="NICEnormal"/>
    <w:qFormat/>
    <w:rsid w:val="00FA0846"/>
    <w:pPr>
      <w:keepNext/>
      <w:spacing w:before="240" w:after="60" w:line="360" w:lineRule="auto"/>
      <w:outlineLvl w:val="3"/>
    </w:pPr>
    <w:rPr>
      <w:rFonts w:ascii="Arial" w:hAnsi="Arial"/>
      <w:b/>
      <w:bCs/>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ICEnormal">
    <w:name w:val="NICE normal"/>
    <w:link w:val="NICEnormalChar"/>
    <w:qFormat/>
    <w:rsid w:val="00857CDD"/>
    <w:pPr>
      <w:spacing w:after="240" w:line="360" w:lineRule="auto"/>
    </w:pPr>
    <w:rPr>
      <w:rFonts w:ascii="Arial" w:hAnsi="Arial"/>
      <w:sz w:val="24"/>
      <w:szCs w:val="24"/>
      <w:lang w:eastAsia="en-US"/>
    </w:rPr>
  </w:style>
  <w:style w:type="character" w:customStyle="1" w:styleId="NICEnormalChar">
    <w:name w:val="NICE normal Char"/>
    <w:link w:val="NICEnormal"/>
    <w:rsid w:val="00857CDD"/>
    <w:rPr>
      <w:rFonts w:ascii="Arial" w:hAnsi="Arial"/>
      <w:sz w:val="24"/>
      <w:szCs w:val="24"/>
      <w:lang w:val="en-GB" w:eastAsia="en-US" w:bidi="ar-SA"/>
    </w:rPr>
  </w:style>
  <w:style w:type="character" w:customStyle="1" w:styleId="Heading1Char">
    <w:name w:val="Heading 1 Char"/>
    <w:link w:val="Heading1"/>
    <w:rsid w:val="00F81F50"/>
    <w:rPr>
      <w:rFonts w:ascii="Arial" w:hAnsi="Arial" w:cs="Arial"/>
      <w:b/>
      <w:bCs/>
      <w:kern w:val="32"/>
      <w:sz w:val="32"/>
      <w:szCs w:val="32"/>
      <w:lang w:eastAsia="en-US"/>
    </w:rPr>
  </w:style>
  <w:style w:type="character" w:customStyle="1" w:styleId="Heading2Char">
    <w:name w:val="Heading 2 Char"/>
    <w:link w:val="Heading2"/>
    <w:rsid w:val="00F81F50"/>
    <w:rPr>
      <w:rFonts w:ascii="Arial" w:hAnsi="Arial" w:cs="Arial"/>
      <w:b/>
      <w:bCs/>
      <w:sz w:val="28"/>
      <w:szCs w:val="28"/>
      <w:lang w:eastAsia="en-US"/>
    </w:rPr>
  </w:style>
  <w:style w:type="paragraph" w:customStyle="1" w:styleId="NICEnormalsinglespacing">
    <w:name w:val="NICE normal single spacing"/>
    <w:basedOn w:val="NICEnormal"/>
    <w:rsid w:val="005C762E"/>
    <w:pPr>
      <w:spacing w:line="240" w:lineRule="auto"/>
    </w:pPr>
  </w:style>
  <w:style w:type="paragraph" w:customStyle="1" w:styleId="Title2">
    <w:name w:val="Title 2"/>
    <w:basedOn w:val="Normal"/>
    <w:rsid w:val="00133921"/>
    <w:pPr>
      <w:keepNext/>
      <w:spacing w:before="240" w:after="240"/>
      <w:jc w:val="center"/>
      <w:outlineLvl w:val="0"/>
    </w:pPr>
    <w:rPr>
      <w:rFonts w:ascii="Arial" w:hAnsi="Arial" w:cs="Arial"/>
      <w:b/>
      <w:bCs/>
      <w:kern w:val="28"/>
      <w:sz w:val="32"/>
      <w:szCs w:val="32"/>
    </w:rPr>
  </w:style>
  <w:style w:type="paragraph" w:customStyle="1" w:styleId="Numberedheading1">
    <w:name w:val="Numbered heading 1"/>
    <w:basedOn w:val="Heading1"/>
    <w:next w:val="NICEnormal"/>
    <w:link w:val="Numberedheading1CharChar"/>
    <w:rsid w:val="00F81F50"/>
    <w:pPr>
      <w:numPr>
        <w:numId w:val="23"/>
      </w:numPr>
    </w:pPr>
    <w:rPr>
      <w:szCs w:val="24"/>
    </w:rPr>
  </w:style>
  <w:style w:type="character" w:customStyle="1" w:styleId="Numberedheading1CharChar">
    <w:name w:val="Numbered heading 1 Char Char"/>
    <w:link w:val="Numberedheading1"/>
    <w:rsid w:val="00F81F50"/>
    <w:rPr>
      <w:rFonts w:ascii="Arial" w:hAnsi="Arial" w:cs="Arial"/>
      <w:b/>
      <w:bCs/>
      <w:kern w:val="32"/>
      <w:sz w:val="32"/>
      <w:szCs w:val="24"/>
      <w:lang w:eastAsia="en-US"/>
    </w:rPr>
  </w:style>
  <w:style w:type="paragraph" w:customStyle="1" w:styleId="Bulletindent2">
    <w:name w:val="Bullet indent 2"/>
    <w:basedOn w:val="NICEnormal"/>
    <w:rsid w:val="00D3612A"/>
    <w:pPr>
      <w:numPr>
        <w:ilvl w:val="1"/>
        <w:numId w:val="4"/>
      </w:numPr>
      <w:tabs>
        <w:tab w:val="clear" w:pos="1701"/>
        <w:tab w:val="num" w:pos="1134"/>
      </w:tabs>
      <w:spacing w:after="0"/>
      <w:ind w:left="1702" w:hanging="284"/>
    </w:pPr>
  </w:style>
  <w:style w:type="paragraph" w:customStyle="1" w:styleId="Bulletleft1">
    <w:name w:val="Bullet left 1"/>
    <w:basedOn w:val="NICEnormal"/>
    <w:qFormat/>
    <w:rsid w:val="00D37F25"/>
    <w:pPr>
      <w:numPr>
        <w:numId w:val="7"/>
      </w:numPr>
      <w:spacing w:after="0"/>
    </w:pPr>
  </w:style>
  <w:style w:type="paragraph" w:customStyle="1" w:styleId="Bulletleft2">
    <w:name w:val="Bullet left 2"/>
    <w:basedOn w:val="NICEnormal"/>
    <w:rsid w:val="008505C3"/>
    <w:pPr>
      <w:numPr>
        <w:ilvl w:val="1"/>
        <w:numId w:val="2"/>
      </w:numPr>
      <w:spacing w:after="0"/>
      <w:ind w:left="568" w:hanging="284"/>
    </w:pPr>
  </w:style>
  <w:style w:type="paragraph" w:customStyle="1" w:styleId="Bulletleft3">
    <w:name w:val="Bullet left 3"/>
    <w:basedOn w:val="NICEnormal"/>
    <w:rsid w:val="008505C3"/>
    <w:pPr>
      <w:numPr>
        <w:ilvl w:val="2"/>
        <w:numId w:val="3"/>
      </w:numPr>
      <w:spacing w:after="0"/>
    </w:pPr>
  </w:style>
  <w:style w:type="paragraph" w:customStyle="1" w:styleId="Bulletindent1">
    <w:name w:val="Bullet indent 1"/>
    <w:basedOn w:val="NICEnormal"/>
    <w:link w:val="Bulletindent1Char"/>
    <w:rsid w:val="00483527"/>
    <w:pPr>
      <w:numPr>
        <w:numId w:val="6"/>
      </w:numPr>
      <w:spacing w:after="0"/>
    </w:pPr>
  </w:style>
  <w:style w:type="character" w:customStyle="1" w:styleId="Bulletindent1Char">
    <w:name w:val="Bullet indent 1 Char"/>
    <w:link w:val="Bulletindent1"/>
    <w:rsid w:val="00483527"/>
    <w:rPr>
      <w:rFonts w:ascii="Arial" w:hAnsi="Arial"/>
      <w:sz w:val="24"/>
      <w:szCs w:val="24"/>
      <w:lang w:eastAsia="en-US"/>
    </w:rPr>
  </w:style>
  <w:style w:type="paragraph" w:customStyle="1" w:styleId="Bulletindent3">
    <w:name w:val="Bullet indent 3"/>
    <w:basedOn w:val="NICEnormal"/>
    <w:rsid w:val="00D3612A"/>
    <w:pPr>
      <w:numPr>
        <w:ilvl w:val="2"/>
        <w:numId w:val="5"/>
      </w:numPr>
      <w:spacing w:after="0"/>
    </w:pPr>
  </w:style>
  <w:style w:type="paragraph" w:customStyle="1" w:styleId="Numberedlevel2text">
    <w:name w:val="Numbered level 2 text"/>
    <w:basedOn w:val="Normal"/>
    <w:link w:val="Numberedlevel2textChar"/>
    <w:qFormat/>
    <w:rsid w:val="00DD323F"/>
    <w:pPr>
      <w:numPr>
        <w:ilvl w:val="1"/>
        <w:numId w:val="23"/>
      </w:numPr>
      <w:spacing w:after="240" w:line="360" w:lineRule="auto"/>
    </w:pPr>
    <w:rPr>
      <w:rFonts w:ascii="Arial" w:hAnsi="Arial"/>
      <w:bCs/>
      <w:iCs/>
      <w:szCs w:val="28"/>
      <w:lang w:val="x-none"/>
    </w:rPr>
  </w:style>
  <w:style w:type="character" w:customStyle="1" w:styleId="Numberedlevel2textChar">
    <w:name w:val="Numbered level 2 text Char"/>
    <w:link w:val="Numberedlevel2text"/>
    <w:rsid w:val="00DD323F"/>
    <w:rPr>
      <w:rFonts w:ascii="Arial" w:hAnsi="Arial"/>
      <w:bCs/>
      <w:iCs/>
      <w:sz w:val="24"/>
      <w:szCs w:val="28"/>
      <w:lang w:val="x-none" w:eastAsia="en-US"/>
    </w:rPr>
  </w:style>
  <w:style w:type="paragraph" w:customStyle="1" w:styleId="Bulletleft1last">
    <w:name w:val="Bullet left 1 last"/>
    <w:basedOn w:val="NICEnormal"/>
    <w:link w:val="Bulletleft1lastChar"/>
    <w:rsid w:val="00953ADF"/>
    <w:pPr>
      <w:numPr>
        <w:numId w:val="8"/>
      </w:numPr>
    </w:pPr>
    <w:rPr>
      <w:rFonts w:cs="Arial"/>
    </w:rPr>
  </w:style>
  <w:style w:type="character" w:customStyle="1" w:styleId="Bulletleft1lastChar">
    <w:name w:val="Bullet left 1 last Char"/>
    <w:link w:val="Bulletleft1last"/>
    <w:rsid w:val="00A17C0A"/>
    <w:rPr>
      <w:rFonts w:ascii="Arial" w:hAnsi="Arial" w:cs="Arial"/>
      <w:sz w:val="24"/>
      <w:szCs w:val="24"/>
      <w:lang w:eastAsia="en-US"/>
    </w:rPr>
  </w:style>
  <w:style w:type="paragraph" w:styleId="Header">
    <w:name w:val="header"/>
    <w:basedOn w:val="NICEnormalsinglespacing"/>
    <w:rsid w:val="0053387C"/>
    <w:pPr>
      <w:tabs>
        <w:tab w:val="center" w:pos="4153"/>
        <w:tab w:val="right" w:pos="8306"/>
      </w:tabs>
    </w:pPr>
  </w:style>
  <w:style w:type="paragraph" w:styleId="Footer">
    <w:name w:val="footer"/>
    <w:basedOn w:val="NICEnormalsinglespacing"/>
    <w:rsid w:val="0053387C"/>
    <w:pPr>
      <w:tabs>
        <w:tab w:val="center" w:pos="4153"/>
        <w:tab w:val="right" w:pos="8306"/>
      </w:tabs>
    </w:pPr>
  </w:style>
  <w:style w:type="character" w:styleId="PageNumber">
    <w:name w:val="page number"/>
    <w:rsid w:val="00A86D3D"/>
    <w:rPr>
      <w:rFonts w:ascii="Arial" w:hAnsi="Arial"/>
      <w:sz w:val="24"/>
    </w:rPr>
  </w:style>
  <w:style w:type="paragraph" w:customStyle="1" w:styleId="Bulletindent1last">
    <w:name w:val="Bullet indent 1 last"/>
    <w:basedOn w:val="NICEnormal"/>
    <w:next w:val="NICEnormal"/>
    <w:rsid w:val="00245E4C"/>
    <w:pPr>
      <w:numPr>
        <w:numId w:val="9"/>
      </w:numPr>
    </w:pPr>
  </w:style>
  <w:style w:type="paragraph" w:customStyle="1" w:styleId="NICEnormalindented">
    <w:name w:val="NICE normal indented"/>
    <w:basedOn w:val="NICEnormal"/>
    <w:rsid w:val="00BD0372"/>
    <w:pPr>
      <w:tabs>
        <w:tab w:val="left" w:pos="1134"/>
      </w:tabs>
      <w:ind w:left="1134"/>
    </w:pPr>
  </w:style>
  <w:style w:type="paragraph" w:customStyle="1" w:styleId="Tabletext">
    <w:name w:val="Table text"/>
    <w:basedOn w:val="NICEnormalsinglespacing"/>
    <w:rsid w:val="00F81F50"/>
    <w:pPr>
      <w:keepNext/>
      <w:spacing w:after="60"/>
    </w:pPr>
    <w:rPr>
      <w:sz w:val="22"/>
    </w:rPr>
  </w:style>
  <w:style w:type="paragraph" w:styleId="BalloonText">
    <w:name w:val="Balloon Text"/>
    <w:basedOn w:val="Normal"/>
    <w:semiHidden/>
    <w:rsid w:val="00F130AD"/>
    <w:rPr>
      <w:rFonts w:ascii="Tahoma" w:hAnsi="Tahoma" w:cs="Tahoma"/>
      <w:sz w:val="16"/>
      <w:szCs w:val="16"/>
    </w:rPr>
  </w:style>
  <w:style w:type="character" w:styleId="CommentReference">
    <w:name w:val="annotation reference"/>
    <w:rsid w:val="00F130AD"/>
    <w:rPr>
      <w:sz w:val="16"/>
      <w:szCs w:val="16"/>
    </w:rPr>
  </w:style>
  <w:style w:type="paragraph" w:styleId="CommentText">
    <w:name w:val="annotation text"/>
    <w:basedOn w:val="Normal"/>
    <w:link w:val="CommentTextChar"/>
    <w:rsid w:val="00F130AD"/>
    <w:rPr>
      <w:sz w:val="20"/>
      <w:szCs w:val="20"/>
      <w:lang w:val="x-none"/>
    </w:rPr>
  </w:style>
  <w:style w:type="character" w:customStyle="1" w:styleId="CommentTextChar">
    <w:name w:val="Comment Text Char"/>
    <w:link w:val="CommentText"/>
    <w:rsid w:val="000711F1"/>
    <w:rPr>
      <w:lang w:eastAsia="en-US"/>
    </w:rPr>
  </w:style>
  <w:style w:type="paragraph" w:styleId="CommentSubject">
    <w:name w:val="annotation subject"/>
    <w:basedOn w:val="CommentText"/>
    <w:next w:val="CommentText"/>
    <w:semiHidden/>
    <w:rsid w:val="00F130AD"/>
    <w:rPr>
      <w:b/>
      <w:bCs/>
    </w:rPr>
  </w:style>
  <w:style w:type="character" w:styleId="Hyperlink">
    <w:name w:val="Hyperlink"/>
    <w:rsid w:val="00952C90"/>
    <w:rPr>
      <w:color w:val="0000FF"/>
      <w:u w:val="single"/>
    </w:rPr>
  </w:style>
  <w:style w:type="paragraph" w:customStyle="1" w:styleId="Title1">
    <w:name w:val="Title 1"/>
    <w:basedOn w:val="Normal"/>
    <w:qFormat/>
    <w:rsid w:val="00133921"/>
    <w:pPr>
      <w:keepNext/>
      <w:spacing w:before="240" w:after="240"/>
      <w:jc w:val="center"/>
      <w:outlineLvl w:val="0"/>
    </w:pPr>
    <w:rPr>
      <w:rFonts w:ascii="Arial" w:hAnsi="Arial" w:cs="Arial"/>
      <w:b/>
      <w:bCs/>
      <w:kern w:val="28"/>
      <w:sz w:val="40"/>
      <w:szCs w:val="32"/>
    </w:rPr>
  </w:style>
  <w:style w:type="paragraph" w:customStyle="1" w:styleId="Guidanceissuedate">
    <w:name w:val="Guidance issue date"/>
    <w:basedOn w:val="NICEnormal"/>
    <w:qFormat/>
    <w:rsid w:val="00034110"/>
    <w:rPr>
      <w:lang w:val="en-US"/>
    </w:rPr>
  </w:style>
  <w:style w:type="paragraph" w:customStyle="1" w:styleId="Documentissuedate">
    <w:name w:val="Document issue date"/>
    <w:basedOn w:val="NICEnormal"/>
    <w:qFormat/>
    <w:rsid w:val="00034110"/>
    <w:rPr>
      <w:lang w:val="en-US"/>
    </w:rPr>
  </w:style>
  <w:style w:type="table" w:styleId="TableGrid">
    <w:name w:val="Table Grid"/>
    <w:basedOn w:val="TableNormal"/>
    <w:rsid w:val="00C76D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9A3D97"/>
    <w:rPr>
      <w:color w:val="800080"/>
      <w:u w:val="single"/>
    </w:rPr>
  </w:style>
  <w:style w:type="paragraph" w:styleId="FootnoteText">
    <w:name w:val="footnote text"/>
    <w:basedOn w:val="Normal"/>
    <w:link w:val="FootnoteTextChar"/>
    <w:rsid w:val="00ED46C4"/>
    <w:rPr>
      <w:sz w:val="20"/>
      <w:szCs w:val="20"/>
    </w:rPr>
  </w:style>
  <w:style w:type="character" w:customStyle="1" w:styleId="FootnoteTextChar">
    <w:name w:val="Footnote Text Char"/>
    <w:link w:val="FootnoteText"/>
    <w:rsid w:val="00ED46C4"/>
    <w:rPr>
      <w:lang w:eastAsia="en-US"/>
    </w:rPr>
  </w:style>
  <w:style w:type="character" w:styleId="FootnoteReference">
    <w:name w:val="footnote reference"/>
    <w:rsid w:val="00ED46C4"/>
    <w:rPr>
      <w:vertAlign w:val="superscript"/>
    </w:rPr>
  </w:style>
  <w:style w:type="paragraph" w:styleId="Revision">
    <w:name w:val="Revision"/>
    <w:hidden/>
    <w:uiPriority w:val="99"/>
    <w:semiHidden/>
    <w:rsid w:val="002119CD"/>
    <w:rPr>
      <w:sz w:val="24"/>
      <w:szCs w:val="24"/>
      <w:lang w:eastAsia="en-US"/>
    </w:rPr>
  </w:style>
  <w:style w:type="character" w:customStyle="1" w:styleId="Heading3Char">
    <w:name w:val="Heading 3 Char"/>
    <w:basedOn w:val="DefaultParagraphFont"/>
    <w:link w:val="Heading3"/>
    <w:rsid w:val="008E4FAC"/>
    <w:rPr>
      <w:rFonts w:ascii="Arial" w:hAnsi="Arial" w:cs="Arial"/>
      <w:b/>
      <w:bCs/>
      <w:sz w:val="26"/>
      <w:szCs w:val="26"/>
      <w:lang w:eastAsia="en-US"/>
    </w:rPr>
  </w:style>
  <w:style w:type="character" w:styleId="PlaceholderText">
    <w:name w:val="Placeholder Text"/>
    <w:basedOn w:val="DefaultParagraphFont"/>
    <w:uiPriority w:val="99"/>
    <w:semiHidden/>
    <w:rsid w:val="009D783B"/>
    <w:rPr>
      <w:color w:val="808080"/>
    </w:rPr>
  </w:style>
  <w:style w:type="paragraph" w:styleId="ListParagraph">
    <w:name w:val="List Paragraph"/>
    <w:basedOn w:val="Normal"/>
    <w:uiPriority w:val="34"/>
    <w:qFormat/>
    <w:rsid w:val="00665734"/>
    <w:pPr>
      <w:ind w:left="720"/>
      <w:contextualSpacing/>
    </w:pPr>
    <w:rPr>
      <w:lang w:eastAsia="en-GB"/>
    </w:rPr>
  </w:style>
  <w:style w:type="character" w:styleId="UnresolvedMention">
    <w:name w:val="Unresolved Mention"/>
    <w:basedOn w:val="DefaultParagraphFont"/>
    <w:uiPriority w:val="99"/>
    <w:semiHidden/>
    <w:unhideWhenUsed/>
    <w:rsid w:val="00D019BA"/>
    <w:rPr>
      <w:color w:val="605E5C"/>
      <w:shd w:val="clear" w:color="auto" w:fill="E1DFDD"/>
    </w:rPr>
  </w:style>
  <w:style w:type="paragraph" w:styleId="Caption">
    <w:name w:val="caption"/>
    <w:basedOn w:val="NICEnormal"/>
    <w:next w:val="NICEnormal"/>
    <w:unhideWhenUsed/>
    <w:qFormat/>
    <w:rsid w:val="00F81F50"/>
    <w:pPr>
      <w:keepNext/>
      <w:spacing w:after="200"/>
    </w:pPr>
    <w:rPr>
      <w:b/>
      <w:bCs/>
      <w:iCs/>
      <w:szCs w:val="18"/>
    </w:rPr>
  </w:style>
  <w:style w:type="paragraph" w:customStyle="1" w:styleId="Numberedheading2">
    <w:name w:val="Numbered heading 2"/>
    <w:basedOn w:val="Heading2"/>
    <w:next w:val="NICEnormal"/>
    <w:link w:val="Numberedheading2Char"/>
    <w:rsid w:val="00F81F50"/>
  </w:style>
  <w:style w:type="character" w:customStyle="1" w:styleId="Numberedheading2Char">
    <w:name w:val="Numbered heading 2 Char"/>
    <w:basedOn w:val="Heading2Char"/>
    <w:link w:val="Numberedheading2"/>
    <w:rsid w:val="00F81F50"/>
    <w:rPr>
      <w:rFonts w:ascii="Arial" w:hAnsi="Arial" w:cs="Arial"/>
      <w:b/>
      <w:bCs/>
      <w:sz w:val="28"/>
      <w:szCs w:val="28"/>
      <w:lang w:eastAsia="en-US"/>
    </w:rPr>
  </w:style>
  <w:style w:type="table" w:customStyle="1" w:styleId="PanelDefault">
    <w:name w:val="Panel (Default)"/>
    <w:basedOn w:val="TableNormal"/>
    <w:uiPriority w:val="99"/>
    <w:rsid w:val="00A36EC5"/>
    <w:pPr>
      <w:spacing w:after="360"/>
    </w:pPr>
    <w:tblPr>
      <w:tblBorders>
        <w:top w:val="single" w:sz="4" w:space="0" w:color="auto"/>
        <w:left w:val="single" w:sz="4" w:space="0" w:color="auto"/>
        <w:bottom w:val="single" w:sz="4" w:space="0" w:color="auto"/>
        <w:right w:val="single" w:sz="4" w:space="0" w:color="auto"/>
      </w:tblBorders>
    </w:tblPr>
    <w:tcPr>
      <w:shd w:val="clear" w:color="auto" w:fill="BFBFBF" w:themeFill="background1" w:themeFillShade="BF"/>
    </w:tcPr>
  </w:style>
  <w:style w:type="table" w:customStyle="1" w:styleId="PanelImpact">
    <w:name w:val="Panel (Impact)"/>
    <w:basedOn w:val="TableNormal"/>
    <w:uiPriority w:val="99"/>
    <w:rsid w:val="00A36EC5"/>
    <w:rPr>
      <w:color w:val="FFFFFF"/>
    </w:rPr>
    <w:tblPr>
      <w:tblBorders>
        <w:top w:val="single" w:sz="8" w:space="0" w:color="314C60"/>
        <w:left w:val="single" w:sz="8" w:space="0" w:color="314C60"/>
        <w:bottom w:val="single" w:sz="8" w:space="0" w:color="314C60"/>
        <w:right w:val="single" w:sz="8" w:space="0" w:color="314C60"/>
      </w:tblBorders>
    </w:tblPr>
    <w:tcPr>
      <w:shd w:val="clear" w:color="auto" w:fill="517489"/>
    </w:tcPr>
  </w:style>
  <w:style w:type="table" w:customStyle="1" w:styleId="PanelPrimary">
    <w:name w:val="Panel (Primary)"/>
    <w:basedOn w:val="TableNormal"/>
    <w:uiPriority w:val="99"/>
    <w:rsid w:val="00756580"/>
    <w:pPr>
      <w:spacing w:after="240"/>
    </w:pPr>
    <w:tblPr>
      <w:tblBorders>
        <w:top w:val="single" w:sz="24" w:space="0" w:color="A2BDC1"/>
        <w:left w:val="single" w:sz="24" w:space="0" w:color="A2BDC1"/>
        <w:bottom w:val="single" w:sz="24" w:space="0" w:color="A2BDC1"/>
        <w:right w:val="single" w:sz="24" w:space="0" w:color="A2BDC1"/>
      </w:tblBorders>
    </w:tblPr>
  </w:style>
  <w:style w:type="paragraph" w:customStyle="1" w:styleId="Panelbullet1">
    <w:name w:val="Panel bullet 1"/>
    <w:basedOn w:val="ListParagraph"/>
    <w:qFormat/>
    <w:rsid w:val="00A36EC5"/>
    <w:pPr>
      <w:numPr>
        <w:numId w:val="13"/>
      </w:numPr>
      <w:tabs>
        <w:tab w:val="num" w:pos="360"/>
        <w:tab w:val="num" w:pos="1134"/>
      </w:tabs>
    </w:pPr>
    <w:rPr>
      <w:rFonts w:ascii="Arial" w:hAnsi="Arial"/>
      <w:lang w:eastAsia="en-US"/>
    </w:rPr>
  </w:style>
  <w:style w:type="paragraph" w:customStyle="1" w:styleId="Panelhyperlink">
    <w:name w:val="Panel hyperlink"/>
    <w:basedOn w:val="NICEnormal"/>
    <w:next w:val="NICEnormal"/>
    <w:qFormat/>
    <w:rsid w:val="00A36EC5"/>
    <w:rPr>
      <w:color w:val="FFFFFF" w:themeColor="background1"/>
      <w:u w:val="single"/>
    </w:rPr>
  </w:style>
  <w:style w:type="paragraph" w:styleId="Quote">
    <w:name w:val="Quote"/>
    <w:basedOn w:val="NICEnormal"/>
    <w:next w:val="NICEnormal"/>
    <w:link w:val="QuoteChar"/>
    <w:uiPriority w:val="29"/>
    <w:qFormat/>
    <w:rsid w:val="00F81F50"/>
    <w:pPr>
      <w:spacing w:before="200" w:after="160"/>
      <w:ind w:left="864" w:right="864"/>
      <w:jc w:val="center"/>
    </w:pPr>
    <w:rPr>
      <w:iCs/>
    </w:rPr>
  </w:style>
  <w:style w:type="character" w:customStyle="1" w:styleId="QuoteChar">
    <w:name w:val="Quote Char"/>
    <w:basedOn w:val="DefaultParagraphFont"/>
    <w:link w:val="Quote"/>
    <w:uiPriority w:val="29"/>
    <w:rsid w:val="00F81F50"/>
    <w:rPr>
      <w:rFonts w:ascii="Arial" w:hAnsi="Arial"/>
      <w:iCs/>
      <w:sz w:val="24"/>
      <w:szCs w:val="24"/>
      <w:lang w:eastAsia="en-US"/>
    </w:rPr>
  </w:style>
  <w:style w:type="paragraph" w:customStyle="1" w:styleId="Tableheading">
    <w:name w:val="Table heading"/>
    <w:basedOn w:val="Tabletext"/>
    <w:qFormat/>
    <w:rsid w:val="00F81F50"/>
    <w:rPr>
      <w:b/>
    </w:rPr>
  </w:style>
  <w:style w:type="paragraph" w:customStyle="1" w:styleId="Tablebullet">
    <w:name w:val="Table bullet"/>
    <w:basedOn w:val="Tabletext"/>
    <w:qFormat/>
    <w:rsid w:val="00F81F50"/>
    <w:pPr>
      <w:numPr>
        <w:numId w:val="12"/>
      </w:numPr>
    </w:pPr>
  </w:style>
  <w:style w:type="paragraph" w:customStyle="1" w:styleId="Section412paragraphs">
    <w:name w:val="Section 4.1.2 paragraphs"/>
    <w:basedOn w:val="NICEnormal"/>
    <w:rsid w:val="00FB5140"/>
    <w:pPr>
      <w:numPr>
        <w:numId w:val="14"/>
      </w:numPr>
    </w:pPr>
  </w:style>
  <w:style w:type="paragraph" w:customStyle="1" w:styleId="Bullets">
    <w:name w:val="Bullets"/>
    <w:basedOn w:val="Normal"/>
    <w:uiPriority w:val="5"/>
    <w:qFormat/>
    <w:rsid w:val="004B063F"/>
    <w:pPr>
      <w:spacing w:after="120" w:line="276" w:lineRule="auto"/>
      <w:ind w:left="1134" w:hanging="454"/>
    </w:pPr>
    <w:rPr>
      <w:rFonts w:ascii="Arial" w:hAnsi="Arial"/>
      <w:lang w:eastAsia="en-GB"/>
    </w:rPr>
  </w:style>
  <w:style w:type="paragraph" w:customStyle="1" w:styleId="Paragraphnonumbers">
    <w:name w:val="Paragraph no numbers"/>
    <w:basedOn w:val="Normal"/>
    <w:uiPriority w:val="99"/>
    <w:qFormat/>
    <w:rsid w:val="004B063F"/>
    <w:pPr>
      <w:spacing w:after="240" w:line="276" w:lineRule="auto"/>
    </w:pPr>
    <w:rPr>
      <w:rFonts w:ascii="Arial" w:hAnsi="Arial"/>
      <w:lang w:eastAsia="en-GB"/>
    </w:rPr>
  </w:style>
  <w:style w:type="paragraph" w:customStyle="1" w:styleId="pf0">
    <w:name w:val="pf0"/>
    <w:basedOn w:val="Normal"/>
    <w:rsid w:val="00A62248"/>
    <w:pPr>
      <w:spacing w:before="100" w:beforeAutospacing="1" w:after="100" w:afterAutospacing="1"/>
    </w:pPr>
    <w:rPr>
      <w:lang w:eastAsia="en-GB"/>
    </w:rPr>
  </w:style>
  <w:style w:type="character" w:customStyle="1" w:styleId="cf01">
    <w:name w:val="cf01"/>
    <w:basedOn w:val="DefaultParagraphFont"/>
    <w:rsid w:val="00A62248"/>
    <w:rPr>
      <w:rFonts w:ascii="Segoe UI" w:hAnsi="Segoe UI" w:cs="Segoe UI" w:hint="default"/>
      <w:sz w:val="18"/>
      <w:szCs w:val="18"/>
      <w:shd w:val="clear" w:color="auto" w:fill="00FFFF"/>
    </w:rPr>
  </w:style>
  <w:style w:type="character" w:customStyle="1" w:styleId="cf11">
    <w:name w:val="cf11"/>
    <w:basedOn w:val="DefaultParagraphFont"/>
    <w:rsid w:val="00A62248"/>
    <w:rPr>
      <w:rFonts w:ascii="Segoe UI" w:hAnsi="Segoe UI" w:cs="Segoe UI" w:hint="default"/>
      <w:sz w:val="18"/>
      <w:szCs w:val="18"/>
    </w:rPr>
  </w:style>
  <w:style w:type="character" w:customStyle="1" w:styleId="cf21">
    <w:name w:val="cf21"/>
    <w:basedOn w:val="DefaultParagraphFont"/>
    <w:rsid w:val="00A62248"/>
    <w:rPr>
      <w:rFonts w:ascii="Segoe UI" w:hAnsi="Segoe UI" w:cs="Segoe UI" w:hint="default"/>
      <w:sz w:val="18"/>
      <w:szCs w:val="18"/>
      <w:shd w:val="clear" w:color="auto" w:fill="D3D3D3"/>
    </w:rPr>
  </w:style>
  <w:style w:type="character" w:customStyle="1" w:styleId="cf31">
    <w:name w:val="cf31"/>
    <w:basedOn w:val="DefaultParagraphFont"/>
    <w:rsid w:val="00A62248"/>
    <w:rPr>
      <w:rFonts w:ascii="Segoe UI" w:hAnsi="Segoe UI" w:cs="Segoe UI" w:hint="default"/>
      <w:sz w:val="18"/>
      <w:szCs w:val="18"/>
      <w:shd w:val="clear" w:color="auto" w:fill="FFFF00"/>
    </w:rPr>
  </w:style>
  <w:style w:type="character" w:customStyle="1" w:styleId="ui-provider">
    <w:name w:val="ui-provider"/>
    <w:basedOn w:val="DefaultParagraphFont"/>
    <w:rsid w:val="00714FCF"/>
  </w:style>
  <w:style w:type="character" w:customStyle="1" w:styleId="normaltextrun">
    <w:name w:val="normaltextrun"/>
    <w:basedOn w:val="DefaultParagraphFont"/>
    <w:rsid w:val="00A33172"/>
  </w:style>
  <w:style w:type="paragraph" w:customStyle="1" w:styleId="5E411910E3FE4C2B80F447CF1ACDD9CB">
    <w:name w:val="5E411910E3FE4C2B80F447CF1ACDD9CB"/>
    <w:rsid w:val="007303E6"/>
    <w:pPr>
      <w:spacing w:after="160" w:line="278" w:lineRule="auto"/>
    </w:pPr>
    <w:rPr>
      <w:rFonts w:asciiTheme="minorHAnsi" w:eastAsiaTheme="minorEastAsia" w:hAnsiTheme="minorHAnsi" w:cstheme="minorBidi"/>
      <w:kern w:val="2"/>
      <w:sz w:val="24"/>
      <w:szCs w:val="24"/>
      <w14:ligatures w14:val="standardContextual"/>
    </w:rPr>
  </w:style>
  <w:style w:type="paragraph" w:customStyle="1" w:styleId="1282BD8EFCEC43F690250BCDADA5F224">
    <w:name w:val="1282BD8EFCEC43F690250BCDADA5F224"/>
    <w:rsid w:val="00B50D32"/>
    <w:pPr>
      <w:spacing w:after="160" w:line="278" w:lineRule="auto"/>
    </w:pPr>
    <w:rPr>
      <w:rFonts w:asciiTheme="minorHAnsi" w:eastAsiaTheme="minorEastAsia" w:hAnsiTheme="minorHAnsi" w:cstheme="minorBidi"/>
      <w:kern w:val="2"/>
      <w:sz w:val="24"/>
      <w:szCs w:val="24"/>
      <w14:ligatures w14:val="standardContextual"/>
    </w:rPr>
  </w:style>
  <w:style w:type="character" w:styleId="Mention">
    <w:name w:val="Mention"/>
    <w:basedOn w:val="DefaultParagraphFont"/>
    <w:uiPriority w:val="99"/>
    <w:unhideWhenUsed/>
    <w:rsid w:val="00736D79"/>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152495">
      <w:bodyDiv w:val="1"/>
      <w:marLeft w:val="0"/>
      <w:marRight w:val="0"/>
      <w:marTop w:val="0"/>
      <w:marBottom w:val="0"/>
      <w:divBdr>
        <w:top w:val="none" w:sz="0" w:space="0" w:color="auto"/>
        <w:left w:val="none" w:sz="0" w:space="0" w:color="auto"/>
        <w:bottom w:val="none" w:sz="0" w:space="0" w:color="auto"/>
        <w:right w:val="none" w:sz="0" w:space="0" w:color="auto"/>
      </w:divBdr>
    </w:div>
    <w:div w:id="86465750">
      <w:bodyDiv w:val="1"/>
      <w:marLeft w:val="0"/>
      <w:marRight w:val="0"/>
      <w:marTop w:val="0"/>
      <w:marBottom w:val="0"/>
      <w:divBdr>
        <w:top w:val="none" w:sz="0" w:space="0" w:color="auto"/>
        <w:left w:val="none" w:sz="0" w:space="0" w:color="auto"/>
        <w:bottom w:val="none" w:sz="0" w:space="0" w:color="auto"/>
        <w:right w:val="none" w:sz="0" w:space="0" w:color="auto"/>
      </w:divBdr>
    </w:div>
    <w:div w:id="88548686">
      <w:bodyDiv w:val="1"/>
      <w:marLeft w:val="0"/>
      <w:marRight w:val="0"/>
      <w:marTop w:val="0"/>
      <w:marBottom w:val="0"/>
      <w:divBdr>
        <w:top w:val="none" w:sz="0" w:space="0" w:color="auto"/>
        <w:left w:val="none" w:sz="0" w:space="0" w:color="auto"/>
        <w:bottom w:val="none" w:sz="0" w:space="0" w:color="auto"/>
        <w:right w:val="none" w:sz="0" w:space="0" w:color="auto"/>
      </w:divBdr>
    </w:div>
    <w:div w:id="106775060">
      <w:bodyDiv w:val="1"/>
      <w:marLeft w:val="0"/>
      <w:marRight w:val="0"/>
      <w:marTop w:val="0"/>
      <w:marBottom w:val="0"/>
      <w:divBdr>
        <w:top w:val="none" w:sz="0" w:space="0" w:color="auto"/>
        <w:left w:val="none" w:sz="0" w:space="0" w:color="auto"/>
        <w:bottom w:val="none" w:sz="0" w:space="0" w:color="auto"/>
        <w:right w:val="none" w:sz="0" w:space="0" w:color="auto"/>
      </w:divBdr>
    </w:div>
    <w:div w:id="120727462">
      <w:bodyDiv w:val="1"/>
      <w:marLeft w:val="0"/>
      <w:marRight w:val="0"/>
      <w:marTop w:val="0"/>
      <w:marBottom w:val="0"/>
      <w:divBdr>
        <w:top w:val="none" w:sz="0" w:space="0" w:color="auto"/>
        <w:left w:val="none" w:sz="0" w:space="0" w:color="auto"/>
        <w:bottom w:val="none" w:sz="0" w:space="0" w:color="auto"/>
        <w:right w:val="none" w:sz="0" w:space="0" w:color="auto"/>
      </w:divBdr>
      <w:divsChild>
        <w:div w:id="1573278140">
          <w:marLeft w:val="1526"/>
          <w:marRight w:val="0"/>
          <w:marTop w:val="120"/>
          <w:marBottom w:val="0"/>
          <w:divBdr>
            <w:top w:val="none" w:sz="0" w:space="0" w:color="auto"/>
            <w:left w:val="none" w:sz="0" w:space="0" w:color="auto"/>
            <w:bottom w:val="none" w:sz="0" w:space="0" w:color="auto"/>
            <w:right w:val="none" w:sz="0" w:space="0" w:color="auto"/>
          </w:divBdr>
        </w:div>
        <w:div w:id="1857814623">
          <w:marLeft w:val="1526"/>
          <w:marRight w:val="0"/>
          <w:marTop w:val="120"/>
          <w:marBottom w:val="0"/>
          <w:divBdr>
            <w:top w:val="none" w:sz="0" w:space="0" w:color="auto"/>
            <w:left w:val="none" w:sz="0" w:space="0" w:color="auto"/>
            <w:bottom w:val="none" w:sz="0" w:space="0" w:color="auto"/>
            <w:right w:val="none" w:sz="0" w:space="0" w:color="auto"/>
          </w:divBdr>
        </w:div>
        <w:div w:id="1965189348">
          <w:marLeft w:val="1526"/>
          <w:marRight w:val="0"/>
          <w:marTop w:val="120"/>
          <w:marBottom w:val="0"/>
          <w:divBdr>
            <w:top w:val="none" w:sz="0" w:space="0" w:color="auto"/>
            <w:left w:val="none" w:sz="0" w:space="0" w:color="auto"/>
            <w:bottom w:val="none" w:sz="0" w:space="0" w:color="auto"/>
            <w:right w:val="none" w:sz="0" w:space="0" w:color="auto"/>
          </w:divBdr>
        </w:div>
        <w:div w:id="2123380154">
          <w:marLeft w:val="1526"/>
          <w:marRight w:val="0"/>
          <w:marTop w:val="120"/>
          <w:marBottom w:val="0"/>
          <w:divBdr>
            <w:top w:val="none" w:sz="0" w:space="0" w:color="auto"/>
            <w:left w:val="none" w:sz="0" w:space="0" w:color="auto"/>
            <w:bottom w:val="none" w:sz="0" w:space="0" w:color="auto"/>
            <w:right w:val="none" w:sz="0" w:space="0" w:color="auto"/>
          </w:divBdr>
        </w:div>
      </w:divsChild>
    </w:div>
    <w:div w:id="172837783">
      <w:bodyDiv w:val="1"/>
      <w:marLeft w:val="0"/>
      <w:marRight w:val="0"/>
      <w:marTop w:val="0"/>
      <w:marBottom w:val="0"/>
      <w:divBdr>
        <w:top w:val="none" w:sz="0" w:space="0" w:color="auto"/>
        <w:left w:val="none" w:sz="0" w:space="0" w:color="auto"/>
        <w:bottom w:val="none" w:sz="0" w:space="0" w:color="auto"/>
        <w:right w:val="none" w:sz="0" w:space="0" w:color="auto"/>
      </w:divBdr>
    </w:div>
    <w:div w:id="278879942">
      <w:bodyDiv w:val="1"/>
      <w:marLeft w:val="0"/>
      <w:marRight w:val="0"/>
      <w:marTop w:val="0"/>
      <w:marBottom w:val="0"/>
      <w:divBdr>
        <w:top w:val="none" w:sz="0" w:space="0" w:color="auto"/>
        <w:left w:val="none" w:sz="0" w:space="0" w:color="auto"/>
        <w:bottom w:val="none" w:sz="0" w:space="0" w:color="auto"/>
        <w:right w:val="none" w:sz="0" w:space="0" w:color="auto"/>
      </w:divBdr>
    </w:div>
    <w:div w:id="317810853">
      <w:bodyDiv w:val="1"/>
      <w:marLeft w:val="0"/>
      <w:marRight w:val="0"/>
      <w:marTop w:val="0"/>
      <w:marBottom w:val="0"/>
      <w:divBdr>
        <w:top w:val="none" w:sz="0" w:space="0" w:color="auto"/>
        <w:left w:val="none" w:sz="0" w:space="0" w:color="auto"/>
        <w:bottom w:val="none" w:sz="0" w:space="0" w:color="auto"/>
        <w:right w:val="none" w:sz="0" w:space="0" w:color="auto"/>
      </w:divBdr>
    </w:div>
    <w:div w:id="328220230">
      <w:bodyDiv w:val="1"/>
      <w:marLeft w:val="0"/>
      <w:marRight w:val="0"/>
      <w:marTop w:val="0"/>
      <w:marBottom w:val="0"/>
      <w:divBdr>
        <w:top w:val="none" w:sz="0" w:space="0" w:color="auto"/>
        <w:left w:val="none" w:sz="0" w:space="0" w:color="auto"/>
        <w:bottom w:val="none" w:sz="0" w:space="0" w:color="auto"/>
        <w:right w:val="none" w:sz="0" w:space="0" w:color="auto"/>
      </w:divBdr>
    </w:div>
    <w:div w:id="354772144">
      <w:bodyDiv w:val="1"/>
      <w:marLeft w:val="0"/>
      <w:marRight w:val="0"/>
      <w:marTop w:val="0"/>
      <w:marBottom w:val="0"/>
      <w:divBdr>
        <w:top w:val="none" w:sz="0" w:space="0" w:color="auto"/>
        <w:left w:val="none" w:sz="0" w:space="0" w:color="auto"/>
        <w:bottom w:val="none" w:sz="0" w:space="0" w:color="auto"/>
        <w:right w:val="none" w:sz="0" w:space="0" w:color="auto"/>
      </w:divBdr>
    </w:div>
    <w:div w:id="432894032">
      <w:bodyDiv w:val="1"/>
      <w:marLeft w:val="0"/>
      <w:marRight w:val="0"/>
      <w:marTop w:val="0"/>
      <w:marBottom w:val="0"/>
      <w:divBdr>
        <w:top w:val="none" w:sz="0" w:space="0" w:color="auto"/>
        <w:left w:val="none" w:sz="0" w:space="0" w:color="auto"/>
        <w:bottom w:val="none" w:sz="0" w:space="0" w:color="auto"/>
        <w:right w:val="none" w:sz="0" w:space="0" w:color="auto"/>
      </w:divBdr>
    </w:div>
    <w:div w:id="456532743">
      <w:bodyDiv w:val="1"/>
      <w:marLeft w:val="0"/>
      <w:marRight w:val="0"/>
      <w:marTop w:val="0"/>
      <w:marBottom w:val="0"/>
      <w:divBdr>
        <w:top w:val="none" w:sz="0" w:space="0" w:color="auto"/>
        <w:left w:val="none" w:sz="0" w:space="0" w:color="auto"/>
        <w:bottom w:val="none" w:sz="0" w:space="0" w:color="auto"/>
        <w:right w:val="none" w:sz="0" w:space="0" w:color="auto"/>
      </w:divBdr>
    </w:div>
    <w:div w:id="591403411">
      <w:bodyDiv w:val="1"/>
      <w:marLeft w:val="0"/>
      <w:marRight w:val="0"/>
      <w:marTop w:val="0"/>
      <w:marBottom w:val="0"/>
      <w:divBdr>
        <w:top w:val="none" w:sz="0" w:space="0" w:color="auto"/>
        <w:left w:val="none" w:sz="0" w:space="0" w:color="auto"/>
        <w:bottom w:val="none" w:sz="0" w:space="0" w:color="auto"/>
        <w:right w:val="none" w:sz="0" w:space="0" w:color="auto"/>
      </w:divBdr>
    </w:div>
    <w:div w:id="596138938">
      <w:bodyDiv w:val="1"/>
      <w:marLeft w:val="0"/>
      <w:marRight w:val="0"/>
      <w:marTop w:val="0"/>
      <w:marBottom w:val="0"/>
      <w:divBdr>
        <w:top w:val="none" w:sz="0" w:space="0" w:color="auto"/>
        <w:left w:val="none" w:sz="0" w:space="0" w:color="auto"/>
        <w:bottom w:val="none" w:sz="0" w:space="0" w:color="auto"/>
        <w:right w:val="none" w:sz="0" w:space="0" w:color="auto"/>
      </w:divBdr>
      <w:divsChild>
        <w:div w:id="1380282083">
          <w:marLeft w:val="360"/>
          <w:marRight w:val="0"/>
          <w:marTop w:val="200"/>
          <w:marBottom w:val="0"/>
          <w:divBdr>
            <w:top w:val="none" w:sz="0" w:space="0" w:color="auto"/>
            <w:left w:val="none" w:sz="0" w:space="0" w:color="auto"/>
            <w:bottom w:val="none" w:sz="0" w:space="0" w:color="auto"/>
            <w:right w:val="none" w:sz="0" w:space="0" w:color="auto"/>
          </w:divBdr>
        </w:div>
        <w:div w:id="1712416032">
          <w:marLeft w:val="360"/>
          <w:marRight w:val="0"/>
          <w:marTop w:val="200"/>
          <w:marBottom w:val="0"/>
          <w:divBdr>
            <w:top w:val="none" w:sz="0" w:space="0" w:color="auto"/>
            <w:left w:val="none" w:sz="0" w:space="0" w:color="auto"/>
            <w:bottom w:val="none" w:sz="0" w:space="0" w:color="auto"/>
            <w:right w:val="none" w:sz="0" w:space="0" w:color="auto"/>
          </w:divBdr>
        </w:div>
      </w:divsChild>
    </w:div>
    <w:div w:id="658538275">
      <w:bodyDiv w:val="1"/>
      <w:marLeft w:val="0"/>
      <w:marRight w:val="0"/>
      <w:marTop w:val="0"/>
      <w:marBottom w:val="0"/>
      <w:divBdr>
        <w:top w:val="none" w:sz="0" w:space="0" w:color="auto"/>
        <w:left w:val="none" w:sz="0" w:space="0" w:color="auto"/>
        <w:bottom w:val="none" w:sz="0" w:space="0" w:color="auto"/>
        <w:right w:val="none" w:sz="0" w:space="0" w:color="auto"/>
      </w:divBdr>
    </w:div>
    <w:div w:id="687020821">
      <w:bodyDiv w:val="1"/>
      <w:marLeft w:val="0"/>
      <w:marRight w:val="0"/>
      <w:marTop w:val="0"/>
      <w:marBottom w:val="0"/>
      <w:divBdr>
        <w:top w:val="none" w:sz="0" w:space="0" w:color="auto"/>
        <w:left w:val="none" w:sz="0" w:space="0" w:color="auto"/>
        <w:bottom w:val="none" w:sz="0" w:space="0" w:color="auto"/>
        <w:right w:val="none" w:sz="0" w:space="0" w:color="auto"/>
      </w:divBdr>
    </w:div>
    <w:div w:id="748576667">
      <w:bodyDiv w:val="1"/>
      <w:marLeft w:val="0"/>
      <w:marRight w:val="0"/>
      <w:marTop w:val="0"/>
      <w:marBottom w:val="0"/>
      <w:divBdr>
        <w:top w:val="none" w:sz="0" w:space="0" w:color="auto"/>
        <w:left w:val="none" w:sz="0" w:space="0" w:color="auto"/>
        <w:bottom w:val="none" w:sz="0" w:space="0" w:color="auto"/>
        <w:right w:val="none" w:sz="0" w:space="0" w:color="auto"/>
      </w:divBdr>
    </w:div>
    <w:div w:id="749501883">
      <w:bodyDiv w:val="1"/>
      <w:marLeft w:val="0"/>
      <w:marRight w:val="0"/>
      <w:marTop w:val="0"/>
      <w:marBottom w:val="0"/>
      <w:divBdr>
        <w:top w:val="none" w:sz="0" w:space="0" w:color="auto"/>
        <w:left w:val="none" w:sz="0" w:space="0" w:color="auto"/>
        <w:bottom w:val="none" w:sz="0" w:space="0" w:color="auto"/>
        <w:right w:val="none" w:sz="0" w:space="0" w:color="auto"/>
      </w:divBdr>
    </w:div>
    <w:div w:id="790393445">
      <w:bodyDiv w:val="1"/>
      <w:marLeft w:val="0"/>
      <w:marRight w:val="0"/>
      <w:marTop w:val="0"/>
      <w:marBottom w:val="0"/>
      <w:divBdr>
        <w:top w:val="none" w:sz="0" w:space="0" w:color="auto"/>
        <w:left w:val="none" w:sz="0" w:space="0" w:color="auto"/>
        <w:bottom w:val="none" w:sz="0" w:space="0" w:color="auto"/>
        <w:right w:val="none" w:sz="0" w:space="0" w:color="auto"/>
      </w:divBdr>
      <w:divsChild>
        <w:div w:id="295188428">
          <w:marLeft w:val="446"/>
          <w:marRight w:val="0"/>
          <w:marTop w:val="200"/>
          <w:marBottom w:val="0"/>
          <w:divBdr>
            <w:top w:val="none" w:sz="0" w:space="0" w:color="auto"/>
            <w:left w:val="none" w:sz="0" w:space="0" w:color="auto"/>
            <w:bottom w:val="none" w:sz="0" w:space="0" w:color="auto"/>
            <w:right w:val="none" w:sz="0" w:space="0" w:color="auto"/>
          </w:divBdr>
        </w:div>
        <w:div w:id="406416362">
          <w:marLeft w:val="446"/>
          <w:marRight w:val="0"/>
          <w:marTop w:val="200"/>
          <w:marBottom w:val="0"/>
          <w:divBdr>
            <w:top w:val="none" w:sz="0" w:space="0" w:color="auto"/>
            <w:left w:val="none" w:sz="0" w:space="0" w:color="auto"/>
            <w:bottom w:val="none" w:sz="0" w:space="0" w:color="auto"/>
            <w:right w:val="none" w:sz="0" w:space="0" w:color="auto"/>
          </w:divBdr>
        </w:div>
      </w:divsChild>
    </w:div>
    <w:div w:id="832645229">
      <w:bodyDiv w:val="1"/>
      <w:marLeft w:val="0"/>
      <w:marRight w:val="0"/>
      <w:marTop w:val="0"/>
      <w:marBottom w:val="0"/>
      <w:divBdr>
        <w:top w:val="none" w:sz="0" w:space="0" w:color="auto"/>
        <w:left w:val="none" w:sz="0" w:space="0" w:color="auto"/>
        <w:bottom w:val="none" w:sz="0" w:space="0" w:color="auto"/>
        <w:right w:val="none" w:sz="0" w:space="0" w:color="auto"/>
      </w:divBdr>
    </w:div>
    <w:div w:id="847986912">
      <w:bodyDiv w:val="1"/>
      <w:marLeft w:val="0"/>
      <w:marRight w:val="0"/>
      <w:marTop w:val="0"/>
      <w:marBottom w:val="0"/>
      <w:divBdr>
        <w:top w:val="none" w:sz="0" w:space="0" w:color="auto"/>
        <w:left w:val="none" w:sz="0" w:space="0" w:color="auto"/>
        <w:bottom w:val="none" w:sz="0" w:space="0" w:color="auto"/>
        <w:right w:val="none" w:sz="0" w:space="0" w:color="auto"/>
      </w:divBdr>
    </w:div>
    <w:div w:id="889149795">
      <w:bodyDiv w:val="1"/>
      <w:marLeft w:val="0"/>
      <w:marRight w:val="0"/>
      <w:marTop w:val="0"/>
      <w:marBottom w:val="0"/>
      <w:divBdr>
        <w:top w:val="none" w:sz="0" w:space="0" w:color="auto"/>
        <w:left w:val="none" w:sz="0" w:space="0" w:color="auto"/>
        <w:bottom w:val="none" w:sz="0" w:space="0" w:color="auto"/>
        <w:right w:val="none" w:sz="0" w:space="0" w:color="auto"/>
      </w:divBdr>
      <w:divsChild>
        <w:div w:id="591819465">
          <w:marLeft w:val="0"/>
          <w:marRight w:val="0"/>
          <w:marTop w:val="0"/>
          <w:marBottom w:val="0"/>
          <w:divBdr>
            <w:top w:val="none" w:sz="0" w:space="0" w:color="auto"/>
            <w:left w:val="none" w:sz="0" w:space="0" w:color="auto"/>
            <w:bottom w:val="none" w:sz="0" w:space="0" w:color="auto"/>
            <w:right w:val="none" w:sz="0" w:space="0" w:color="auto"/>
          </w:divBdr>
        </w:div>
      </w:divsChild>
    </w:div>
    <w:div w:id="927544964">
      <w:bodyDiv w:val="1"/>
      <w:marLeft w:val="0"/>
      <w:marRight w:val="0"/>
      <w:marTop w:val="0"/>
      <w:marBottom w:val="0"/>
      <w:divBdr>
        <w:top w:val="none" w:sz="0" w:space="0" w:color="auto"/>
        <w:left w:val="none" w:sz="0" w:space="0" w:color="auto"/>
        <w:bottom w:val="none" w:sz="0" w:space="0" w:color="auto"/>
        <w:right w:val="none" w:sz="0" w:space="0" w:color="auto"/>
      </w:divBdr>
    </w:div>
    <w:div w:id="1008094992">
      <w:bodyDiv w:val="1"/>
      <w:marLeft w:val="0"/>
      <w:marRight w:val="0"/>
      <w:marTop w:val="0"/>
      <w:marBottom w:val="0"/>
      <w:divBdr>
        <w:top w:val="none" w:sz="0" w:space="0" w:color="auto"/>
        <w:left w:val="none" w:sz="0" w:space="0" w:color="auto"/>
        <w:bottom w:val="none" w:sz="0" w:space="0" w:color="auto"/>
        <w:right w:val="none" w:sz="0" w:space="0" w:color="auto"/>
      </w:divBdr>
    </w:div>
    <w:div w:id="1031878784">
      <w:bodyDiv w:val="1"/>
      <w:marLeft w:val="0"/>
      <w:marRight w:val="0"/>
      <w:marTop w:val="0"/>
      <w:marBottom w:val="0"/>
      <w:divBdr>
        <w:top w:val="none" w:sz="0" w:space="0" w:color="auto"/>
        <w:left w:val="none" w:sz="0" w:space="0" w:color="auto"/>
        <w:bottom w:val="none" w:sz="0" w:space="0" w:color="auto"/>
        <w:right w:val="none" w:sz="0" w:space="0" w:color="auto"/>
      </w:divBdr>
    </w:div>
    <w:div w:id="1043793369">
      <w:bodyDiv w:val="1"/>
      <w:marLeft w:val="0"/>
      <w:marRight w:val="0"/>
      <w:marTop w:val="0"/>
      <w:marBottom w:val="0"/>
      <w:divBdr>
        <w:top w:val="none" w:sz="0" w:space="0" w:color="auto"/>
        <w:left w:val="none" w:sz="0" w:space="0" w:color="auto"/>
        <w:bottom w:val="none" w:sz="0" w:space="0" w:color="auto"/>
        <w:right w:val="none" w:sz="0" w:space="0" w:color="auto"/>
      </w:divBdr>
    </w:div>
    <w:div w:id="1092505899">
      <w:bodyDiv w:val="1"/>
      <w:marLeft w:val="0"/>
      <w:marRight w:val="0"/>
      <w:marTop w:val="0"/>
      <w:marBottom w:val="0"/>
      <w:divBdr>
        <w:top w:val="none" w:sz="0" w:space="0" w:color="auto"/>
        <w:left w:val="none" w:sz="0" w:space="0" w:color="auto"/>
        <w:bottom w:val="none" w:sz="0" w:space="0" w:color="auto"/>
        <w:right w:val="none" w:sz="0" w:space="0" w:color="auto"/>
      </w:divBdr>
      <w:divsChild>
        <w:div w:id="469176072">
          <w:marLeft w:val="960"/>
          <w:marRight w:val="0"/>
          <w:marTop w:val="0"/>
          <w:marBottom w:val="0"/>
          <w:divBdr>
            <w:top w:val="none" w:sz="0" w:space="0" w:color="auto"/>
            <w:left w:val="none" w:sz="0" w:space="0" w:color="auto"/>
            <w:bottom w:val="none" w:sz="0" w:space="0" w:color="auto"/>
            <w:right w:val="none" w:sz="0" w:space="0" w:color="auto"/>
          </w:divBdr>
        </w:div>
      </w:divsChild>
    </w:div>
    <w:div w:id="1121997854">
      <w:bodyDiv w:val="1"/>
      <w:marLeft w:val="0"/>
      <w:marRight w:val="0"/>
      <w:marTop w:val="0"/>
      <w:marBottom w:val="0"/>
      <w:divBdr>
        <w:top w:val="none" w:sz="0" w:space="0" w:color="auto"/>
        <w:left w:val="none" w:sz="0" w:space="0" w:color="auto"/>
        <w:bottom w:val="none" w:sz="0" w:space="0" w:color="auto"/>
        <w:right w:val="none" w:sz="0" w:space="0" w:color="auto"/>
      </w:divBdr>
    </w:div>
    <w:div w:id="1123813600">
      <w:bodyDiv w:val="1"/>
      <w:marLeft w:val="0"/>
      <w:marRight w:val="0"/>
      <w:marTop w:val="0"/>
      <w:marBottom w:val="0"/>
      <w:divBdr>
        <w:top w:val="none" w:sz="0" w:space="0" w:color="auto"/>
        <w:left w:val="none" w:sz="0" w:space="0" w:color="auto"/>
        <w:bottom w:val="none" w:sz="0" w:space="0" w:color="auto"/>
        <w:right w:val="none" w:sz="0" w:space="0" w:color="auto"/>
      </w:divBdr>
      <w:divsChild>
        <w:div w:id="245462869">
          <w:marLeft w:val="547"/>
          <w:marRight w:val="0"/>
          <w:marTop w:val="200"/>
          <w:marBottom w:val="0"/>
          <w:divBdr>
            <w:top w:val="none" w:sz="0" w:space="0" w:color="auto"/>
            <w:left w:val="none" w:sz="0" w:space="0" w:color="auto"/>
            <w:bottom w:val="none" w:sz="0" w:space="0" w:color="auto"/>
            <w:right w:val="none" w:sz="0" w:space="0" w:color="auto"/>
          </w:divBdr>
        </w:div>
        <w:div w:id="476528915">
          <w:marLeft w:val="547"/>
          <w:marRight w:val="0"/>
          <w:marTop w:val="200"/>
          <w:marBottom w:val="0"/>
          <w:divBdr>
            <w:top w:val="none" w:sz="0" w:space="0" w:color="auto"/>
            <w:left w:val="none" w:sz="0" w:space="0" w:color="auto"/>
            <w:bottom w:val="none" w:sz="0" w:space="0" w:color="auto"/>
            <w:right w:val="none" w:sz="0" w:space="0" w:color="auto"/>
          </w:divBdr>
        </w:div>
        <w:div w:id="976758755">
          <w:marLeft w:val="547"/>
          <w:marRight w:val="0"/>
          <w:marTop w:val="200"/>
          <w:marBottom w:val="0"/>
          <w:divBdr>
            <w:top w:val="none" w:sz="0" w:space="0" w:color="auto"/>
            <w:left w:val="none" w:sz="0" w:space="0" w:color="auto"/>
            <w:bottom w:val="none" w:sz="0" w:space="0" w:color="auto"/>
            <w:right w:val="none" w:sz="0" w:space="0" w:color="auto"/>
          </w:divBdr>
        </w:div>
        <w:div w:id="1145126995">
          <w:marLeft w:val="547"/>
          <w:marRight w:val="0"/>
          <w:marTop w:val="200"/>
          <w:marBottom w:val="0"/>
          <w:divBdr>
            <w:top w:val="none" w:sz="0" w:space="0" w:color="auto"/>
            <w:left w:val="none" w:sz="0" w:space="0" w:color="auto"/>
            <w:bottom w:val="none" w:sz="0" w:space="0" w:color="auto"/>
            <w:right w:val="none" w:sz="0" w:space="0" w:color="auto"/>
          </w:divBdr>
        </w:div>
        <w:div w:id="2086798882">
          <w:marLeft w:val="547"/>
          <w:marRight w:val="0"/>
          <w:marTop w:val="200"/>
          <w:marBottom w:val="0"/>
          <w:divBdr>
            <w:top w:val="none" w:sz="0" w:space="0" w:color="auto"/>
            <w:left w:val="none" w:sz="0" w:space="0" w:color="auto"/>
            <w:bottom w:val="none" w:sz="0" w:space="0" w:color="auto"/>
            <w:right w:val="none" w:sz="0" w:space="0" w:color="auto"/>
          </w:divBdr>
        </w:div>
      </w:divsChild>
    </w:div>
    <w:div w:id="1164012626">
      <w:bodyDiv w:val="1"/>
      <w:marLeft w:val="0"/>
      <w:marRight w:val="0"/>
      <w:marTop w:val="0"/>
      <w:marBottom w:val="0"/>
      <w:divBdr>
        <w:top w:val="none" w:sz="0" w:space="0" w:color="auto"/>
        <w:left w:val="none" w:sz="0" w:space="0" w:color="auto"/>
        <w:bottom w:val="none" w:sz="0" w:space="0" w:color="auto"/>
        <w:right w:val="none" w:sz="0" w:space="0" w:color="auto"/>
      </w:divBdr>
      <w:divsChild>
        <w:div w:id="1059980333">
          <w:marLeft w:val="446"/>
          <w:marRight w:val="0"/>
          <w:marTop w:val="0"/>
          <w:marBottom w:val="0"/>
          <w:divBdr>
            <w:top w:val="none" w:sz="0" w:space="0" w:color="auto"/>
            <w:left w:val="none" w:sz="0" w:space="0" w:color="auto"/>
            <w:bottom w:val="none" w:sz="0" w:space="0" w:color="auto"/>
            <w:right w:val="none" w:sz="0" w:space="0" w:color="auto"/>
          </w:divBdr>
        </w:div>
      </w:divsChild>
    </w:div>
    <w:div w:id="1217667128">
      <w:bodyDiv w:val="1"/>
      <w:marLeft w:val="0"/>
      <w:marRight w:val="0"/>
      <w:marTop w:val="0"/>
      <w:marBottom w:val="0"/>
      <w:divBdr>
        <w:top w:val="none" w:sz="0" w:space="0" w:color="auto"/>
        <w:left w:val="none" w:sz="0" w:space="0" w:color="auto"/>
        <w:bottom w:val="none" w:sz="0" w:space="0" w:color="auto"/>
        <w:right w:val="none" w:sz="0" w:space="0" w:color="auto"/>
      </w:divBdr>
    </w:div>
    <w:div w:id="1224289451">
      <w:bodyDiv w:val="1"/>
      <w:marLeft w:val="0"/>
      <w:marRight w:val="0"/>
      <w:marTop w:val="0"/>
      <w:marBottom w:val="0"/>
      <w:divBdr>
        <w:top w:val="none" w:sz="0" w:space="0" w:color="auto"/>
        <w:left w:val="none" w:sz="0" w:space="0" w:color="auto"/>
        <w:bottom w:val="none" w:sz="0" w:space="0" w:color="auto"/>
        <w:right w:val="none" w:sz="0" w:space="0" w:color="auto"/>
      </w:divBdr>
    </w:div>
    <w:div w:id="1239250364">
      <w:bodyDiv w:val="1"/>
      <w:marLeft w:val="0"/>
      <w:marRight w:val="0"/>
      <w:marTop w:val="0"/>
      <w:marBottom w:val="0"/>
      <w:divBdr>
        <w:top w:val="none" w:sz="0" w:space="0" w:color="auto"/>
        <w:left w:val="none" w:sz="0" w:space="0" w:color="auto"/>
        <w:bottom w:val="none" w:sz="0" w:space="0" w:color="auto"/>
        <w:right w:val="none" w:sz="0" w:space="0" w:color="auto"/>
      </w:divBdr>
    </w:div>
    <w:div w:id="1252660525">
      <w:bodyDiv w:val="1"/>
      <w:marLeft w:val="0"/>
      <w:marRight w:val="0"/>
      <w:marTop w:val="0"/>
      <w:marBottom w:val="0"/>
      <w:divBdr>
        <w:top w:val="none" w:sz="0" w:space="0" w:color="auto"/>
        <w:left w:val="none" w:sz="0" w:space="0" w:color="auto"/>
        <w:bottom w:val="none" w:sz="0" w:space="0" w:color="auto"/>
        <w:right w:val="none" w:sz="0" w:space="0" w:color="auto"/>
      </w:divBdr>
    </w:div>
    <w:div w:id="1313557449">
      <w:bodyDiv w:val="1"/>
      <w:marLeft w:val="0"/>
      <w:marRight w:val="0"/>
      <w:marTop w:val="0"/>
      <w:marBottom w:val="0"/>
      <w:divBdr>
        <w:top w:val="none" w:sz="0" w:space="0" w:color="auto"/>
        <w:left w:val="none" w:sz="0" w:space="0" w:color="auto"/>
        <w:bottom w:val="none" w:sz="0" w:space="0" w:color="auto"/>
        <w:right w:val="none" w:sz="0" w:space="0" w:color="auto"/>
      </w:divBdr>
    </w:div>
    <w:div w:id="1450124915">
      <w:bodyDiv w:val="1"/>
      <w:marLeft w:val="0"/>
      <w:marRight w:val="0"/>
      <w:marTop w:val="0"/>
      <w:marBottom w:val="0"/>
      <w:divBdr>
        <w:top w:val="none" w:sz="0" w:space="0" w:color="auto"/>
        <w:left w:val="none" w:sz="0" w:space="0" w:color="auto"/>
        <w:bottom w:val="none" w:sz="0" w:space="0" w:color="auto"/>
        <w:right w:val="none" w:sz="0" w:space="0" w:color="auto"/>
      </w:divBdr>
    </w:div>
    <w:div w:id="1513300575">
      <w:bodyDiv w:val="1"/>
      <w:marLeft w:val="0"/>
      <w:marRight w:val="0"/>
      <w:marTop w:val="0"/>
      <w:marBottom w:val="0"/>
      <w:divBdr>
        <w:top w:val="none" w:sz="0" w:space="0" w:color="auto"/>
        <w:left w:val="none" w:sz="0" w:space="0" w:color="auto"/>
        <w:bottom w:val="none" w:sz="0" w:space="0" w:color="auto"/>
        <w:right w:val="none" w:sz="0" w:space="0" w:color="auto"/>
      </w:divBdr>
    </w:div>
    <w:div w:id="1537884311">
      <w:bodyDiv w:val="1"/>
      <w:marLeft w:val="0"/>
      <w:marRight w:val="0"/>
      <w:marTop w:val="0"/>
      <w:marBottom w:val="0"/>
      <w:divBdr>
        <w:top w:val="none" w:sz="0" w:space="0" w:color="auto"/>
        <w:left w:val="none" w:sz="0" w:space="0" w:color="auto"/>
        <w:bottom w:val="none" w:sz="0" w:space="0" w:color="auto"/>
        <w:right w:val="none" w:sz="0" w:space="0" w:color="auto"/>
      </w:divBdr>
    </w:div>
    <w:div w:id="1612274316">
      <w:bodyDiv w:val="1"/>
      <w:marLeft w:val="0"/>
      <w:marRight w:val="0"/>
      <w:marTop w:val="0"/>
      <w:marBottom w:val="0"/>
      <w:divBdr>
        <w:top w:val="none" w:sz="0" w:space="0" w:color="auto"/>
        <w:left w:val="none" w:sz="0" w:space="0" w:color="auto"/>
        <w:bottom w:val="none" w:sz="0" w:space="0" w:color="auto"/>
        <w:right w:val="none" w:sz="0" w:space="0" w:color="auto"/>
      </w:divBdr>
    </w:div>
    <w:div w:id="1724013220">
      <w:bodyDiv w:val="1"/>
      <w:marLeft w:val="0"/>
      <w:marRight w:val="0"/>
      <w:marTop w:val="0"/>
      <w:marBottom w:val="0"/>
      <w:divBdr>
        <w:top w:val="none" w:sz="0" w:space="0" w:color="auto"/>
        <w:left w:val="none" w:sz="0" w:space="0" w:color="auto"/>
        <w:bottom w:val="none" w:sz="0" w:space="0" w:color="auto"/>
        <w:right w:val="none" w:sz="0" w:space="0" w:color="auto"/>
      </w:divBdr>
      <w:divsChild>
        <w:div w:id="1034963982">
          <w:marLeft w:val="1080"/>
          <w:marRight w:val="0"/>
          <w:marTop w:val="100"/>
          <w:marBottom w:val="0"/>
          <w:divBdr>
            <w:top w:val="none" w:sz="0" w:space="0" w:color="auto"/>
            <w:left w:val="none" w:sz="0" w:space="0" w:color="auto"/>
            <w:bottom w:val="none" w:sz="0" w:space="0" w:color="auto"/>
            <w:right w:val="none" w:sz="0" w:space="0" w:color="auto"/>
          </w:divBdr>
        </w:div>
        <w:div w:id="1162618352">
          <w:marLeft w:val="1080"/>
          <w:marRight w:val="0"/>
          <w:marTop w:val="100"/>
          <w:marBottom w:val="0"/>
          <w:divBdr>
            <w:top w:val="none" w:sz="0" w:space="0" w:color="auto"/>
            <w:left w:val="none" w:sz="0" w:space="0" w:color="auto"/>
            <w:bottom w:val="none" w:sz="0" w:space="0" w:color="auto"/>
            <w:right w:val="none" w:sz="0" w:space="0" w:color="auto"/>
          </w:divBdr>
        </w:div>
        <w:div w:id="1882353174">
          <w:marLeft w:val="1080"/>
          <w:marRight w:val="0"/>
          <w:marTop w:val="100"/>
          <w:marBottom w:val="0"/>
          <w:divBdr>
            <w:top w:val="none" w:sz="0" w:space="0" w:color="auto"/>
            <w:left w:val="none" w:sz="0" w:space="0" w:color="auto"/>
            <w:bottom w:val="none" w:sz="0" w:space="0" w:color="auto"/>
            <w:right w:val="none" w:sz="0" w:space="0" w:color="auto"/>
          </w:divBdr>
        </w:div>
      </w:divsChild>
    </w:div>
    <w:div w:id="1740786620">
      <w:bodyDiv w:val="1"/>
      <w:marLeft w:val="0"/>
      <w:marRight w:val="0"/>
      <w:marTop w:val="0"/>
      <w:marBottom w:val="0"/>
      <w:divBdr>
        <w:top w:val="none" w:sz="0" w:space="0" w:color="auto"/>
        <w:left w:val="none" w:sz="0" w:space="0" w:color="auto"/>
        <w:bottom w:val="none" w:sz="0" w:space="0" w:color="auto"/>
        <w:right w:val="none" w:sz="0" w:space="0" w:color="auto"/>
      </w:divBdr>
    </w:div>
    <w:div w:id="1786805904">
      <w:bodyDiv w:val="1"/>
      <w:marLeft w:val="0"/>
      <w:marRight w:val="0"/>
      <w:marTop w:val="0"/>
      <w:marBottom w:val="0"/>
      <w:divBdr>
        <w:top w:val="none" w:sz="0" w:space="0" w:color="auto"/>
        <w:left w:val="none" w:sz="0" w:space="0" w:color="auto"/>
        <w:bottom w:val="none" w:sz="0" w:space="0" w:color="auto"/>
        <w:right w:val="none" w:sz="0" w:space="0" w:color="auto"/>
      </w:divBdr>
    </w:div>
    <w:div w:id="1841265903">
      <w:bodyDiv w:val="1"/>
      <w:marLeft w:val="0"/>
      <w:marRight w:val="0"/>
      <w:marTop w:val="0"/>
      <w:marBottom w:val="0"/>
      <w:divBdr>
        <w:top w:val="none" w:sz="0" w:space="0" w:color="auto"/>
        <w:left w:val="none" w:sz="0" w:space="0" w:color="auto"/>
        <w:bottom w:val="none" w:sz="0" w:space="0" w:color="auto"/>
        <w:right w:val="none" w:sz="0" w:space="0" w:color="auto"/>
      </w:divBdr>
    </w:div>
    <w:div w:id="1859734659">
      <w:bodyDiv w:val="1"/>
      <w:marLeft w:val="0"/>
      <w:marRight w:val="0"/>
      <w:marTop w:val="0"/>
      <w:marBottom w:val="0"/>
      <w:divBdr>
        <w:top w:val="none" w:sz="0" w:space="0" w:color="auto"/>
        <w:left w:val="none" w:sz="0" w:space="0" w:color="auto"/>
        <w:bottom w:val="none" w:sz="0" w:space="0" w:color="auto"/>
        <w:right w:val="none" w:sz="0" w:space="0" w:color="auto"/>
      </w:divBdr>
      <w:divsChild>
        <w:div w:id="69549056">
          <w:marLeft w:val="446"/>
          <w:marRight w:val="0"/>
          <w:marTop w:val="200"/>
          <w:marBottom w:val="0"/>
          <w:divBdr>
            <w:top w:val="none" w:sz="0" w:space="0" w:color="auto"/>
            <w:left w:val="none" w:sz="0" w:space="0" w:color="auto"/>
            <w:bottom w:val="none" w:sz="0" w:space="0" w:color="auto"/>
            <w:right w:val="none" w:sz="0" w:space="0" w:color="auto"/>
          </w:divBdr>
        </w:div>
        <w:div w:id="595360303">
          <w:marLeft w:val="446"/>
          <w:marRight w:val="0"/>
          <w:marTop w:val="200"/>
          <w:marBottom w:val="0"/>
          <w:divBdr>
            <w:top w:val="none" w:sz="0" w:space="0" w:color="auto"/>
            <w:left w:val="none" w:sz="0" w:space="0" w:color="auto"/>
            <w:bottom w:val="none" w:sz="0" w:space="0" w:color="auto"/>
            <w:right w:val="none" w:sz="0" w:space="0" w:color="auto"/>
          </w:divBdr>
        </w:div>
      </w:divsChild>
    </w:div>
    <w:div w:id="1920095294">
      <w:bodyDiv w:val="1"/>
      <w:marLeft w:val="0"/>
      <w:marRight w:val="0"/>
      <w:marTop w:val="0"/>
      <w:marBottom w:val="0"/>
      <w:divBdr>
        <w:top w:val="none" w:sz="0" w:space="0" w:color="auto"/>
        <w:left w:val="none" w:sz="0" w:space="0" w:color="auto"/>
        <w:bottom w:val="none" w:sz="0" w:space="0" w:color="auto"/>
        <w:right w:val="none" w:sz="0" w:space="0" w:color="auto"/>
      </w:divBdr>
    </w:div>
    <w:div w:id="1942253729">
      <w:bodyDiv w:val="1"/>
      <w:marLeft w:val="0"/>
      <w:marRight w:val="0"/>
      <w:marTop w:val="0"/>
      <w:marBottom w:val="0"/>
      <w:divBdr>
        <w:top w:val="none" w:sz="0" w:space="0" w:color="auto"/>
        <w:left w:val="none" w:sz="0" w:space="0" w:color="auto"/>
        <w:bottom w:val="none" w:sz="0" w:space="0" w:color="auto"/>
        <w:right w:val="none" w:sz="0" w:space="0" w:color="auto"/>
      </w:divBdr>
    </w:div>
    <w:div w:id="1997996461">
      <w:bodyDiv w:val="1"/>
      <w:marLeft w:val="0"/>
      <w:marRight w:val="0"/>
      <w:marTop w:val="0"/>
      <w:marBottom w:val="0"/>
      <w:divBdr>
        <w:top w:val="none" w:sz="0" w:space="0" w:color="auto"/>
        <w:left w:val="none" w:sz="0" w:space="0" w:color="auto"/>
        <w:bottom w:val="none" w:sz="0" w:space="0" w:color="auto"/>
        <w:right w:val="none" w:sz="0" w:space="0" w:color="auto"/>
      </w:divBdr>
    </w:div>
    <w:div w:id="2013221746">
      <w:bodyDiv w:val="1"/>
      <w:marLeft w:val="0"/>
      <w:marRight w:val="0"/>
      <w:marTop w:val="0"/>
      <w:marBottom w:val="0"/>
      <w:divBdr>
        <w:top w:val="none" w:sz="0" w:space="0" w:color="auto"/>
        <w:left w:val="none" w:sz="0" w:space="0" w:color="auto"/>
        <w:bottom w:val="none" w:sz="0" w:space="0" w:color="auto"/>
        <w:right w:val="none" w:sz="0" w:space="0" w:color="auto"/>
      </w:divBdr>
    </w:div>
    <w:div w:id="2085956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ice.org.uk/guidance/ta566" TargetMode="External"/><Relationship Id="rId18" Type="http://schemas.openxmlformats.org/officeDocument/2006/relationships/hyperlink" Target="https://www.nice.org.uk/get-involved/meetings-in-public/technology-appraisal-committee"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nice.org.uk/guidance/indevelopment/gid-ta10611/documents" TargetMode="External"/><Relationship Id="rId17" Type="http://schemas.openxmlformats.org/officeDocument/2006/relationships/hyperlink" Target="https://www.nice.org.uk/Get-Involved/Meetings-in-public/Technology-appraisal-Committee/Committee-B-Members" TargetMode="External"/><Relationship Id="rId2" Type="http://schemas.openxmlformats.org/officeDocument/2006/relationships/customXml" Target="../customXml/item2.xml"/><Relationship Id="rId16" Type="http://schemas.openxmlformats.org/officeDocument/2006/relationships/hyperlink" Target="http://www.legislation.gov.uk/uksi/2013/259/contents/made"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edicines.org.uk/emc/product/15947/smpc" TargetMode="External"/><Relationship Id="rId5" Type="http://schemas.openxmlformats.org/officeDocument/2006/relationships/numbering" Target="numbering.xml"/><Relationship Id="rId15" Type="http://schemas.openxmlformats.org/officeDocument/2006/relationships/hyperlink" Target="https://www.nice.org.uk/process/pmg36/chapter/introduction-to-health-technology-evaluation"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nice.org.uk/process/pmg36/chapter/introduction-to-health-technology-evaluation" TargetMode="External"/><Relationship Id="rId22"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hyperlink" Target="https://www.nice.org.uk/terms-and-condition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G:\Templates\Technology%20appraisals%20(TA)%20and%20highly%20specialised%20technologies%20(HST)\Fill-in%20draft%20guidance%20and%20final%20draft%20guidance%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01580F9BB66E4B0496E728F246935287"/>
        <w:category>
          <w:name w:val="General"/>
          <w:gallery w:val="placeholder"/>
        </w:category>
        <w:types>
          <w:type w:val="bbPlcHdr"/>
        </w:types>
        <w:behaviors>
          <w:behavior w:val="content"/>
        </w:behaviors>
        <w:guid w:val="{E2CC3ED7-9CEA-4C3E-B979-B58911E55CF2}"/>
      </w:docPartPr>
      <w:docPartBody>
        <w:p w:rsidR="003B2933" w:rsidRDefault="003B2933">
          <w:pPr>
            <w:pStyle w:val="01580F9BB66E4B0496E728F246935287"/>
          </w:pPr>
          <w:r>
            <w:t>shows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1F3F"/>
    <w:rsid w:val="00071E6D"/>
    <w:rsid w:val="000A2C90"/>
    <w:rsid w:val="000C15A7"/>
    <w:rsid w:val="000D4D18"/>
    <w:rsid w:val="0011561B"/>
    <w:rsid w:val="001558AA"/>
    <w:rsid w:val="001A49F0"/>
    <w:rsid w:val="001B1DEF"/>
    <w:rsid w:val="001E04D5"/>
    <w:rsid w:val="001F238A"/>
    <w:rsid w:val="002164AE"/>
    <w:rsid w:val="00254C8B"/>
    <w:rsid w:val="002576E4"/>
    <w:rsid w:val="002A4DDC"/>
    <w:rsid w:val="002B36C3"/>
    <w:rsid w:val="002E089E"/>
    <w:rsid w:val="00367EDF"/>
    <w:rsid w:val="003B2933"/>
    <w:rsid w:val="003B4B49"/>
    <w:rsid w:val="003E1424"/>
    <w:rsid w:val="004C1B7D"/>
    <w:rsid w:val="004C5E56"/>
    <w:rsid w:val="005F5FB6"/>
    <w:rsid w:val="00645297"/>
    <w:rsid w:val="006754CE"/>
    <w:rsid w:val="006C1F3F"/>
    <w:rsid w:val="006C30CA"/>
    <w:rsid w:val="006F35C4"/>
    <w:rsid w:val="00702806"/>
    <w:rsid w:val="00753D7F"/>
    <w:rsid w:val="007A3EE6"/>
    <w:rsid w:val="007C2023"/>
    <w:rsid w:val="007C7A15"/>
    <w:rsid w:val="00812BF7"/>
    <w:rsid w:val="00833CBC"/>
    <w:rsid w:val="00840FE8"/>
    <w:rsid w:val="008A2982"/>
    <w:rsid w:val="008B6C1D"/>
    <w:rsid w:val="008D3B40"/>
    <w:rsid w:val="008F4D63"/>
    <w:rsid w:val="00931A04"/>
    <w:rsid w:val="00971FFA"/>
    <w:rsid w:val="009C5D98"/>
    <w:rsid w:val="009F7738"/>
    <w:rsid w:val="00A16FCC"/>
    <w:rsid w:val="00A43D1C"/>
    <w:rsid w:val="00AC186E"/>
    <w:rsid w:val="00AE27C5"/>
    <w:rsid w:val="00B20E20"/>
    <w:rsid w:val="00B30874"/>
    <w:rsid w:val="00B72D58"/>
    <w:rsid w:val="00C03BB0"/>
    <w:rsid w:val="00C47FA4"/>
    <w:rsid w:val="00CA100F"/>
    <w:rsid w:val="00CA75F6"/>
    <w:rsid w:val="00CC736D"/>
    <w:rsid w:val="00D34A58"/>
    <w:rsid w:val="00D710C7"/>
    <w:rsid w:val="00D717B7"/>
    <w:rsid w:val="00DA081C"/>
    <w:rsid w:val="00DC62A3"/>
    <w:rsid w:val="00E10050"/>
    <w:rsid w:val="00E40850"/>
    <w:rsid w:val="00E84F2D"/>
    <w:rsid w:val="00E921B8"/>
    <w:rsid w:val="00F87B57"/>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A3EE6"/>
    <w:rPr>
      <w:color w:val="808080"/>
    </w:rPr>
  </w:style>
  <w:style w:type="paragraph" w:customStyle="1" w:styleId="01580F9BB66E4B0496E728F246935287">
    <w:name w:val="01580F9BB66E4B0496E728F246935287"/>
    <w:rPr>
      <w:lang w:eastAsia="zh-C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3164B6419967F4F9BC885BCC38080FE" ma:contentTypeVersion="11" ma:contentTypeDescription="Create a new document." ma:contentTypeScope="" ma:versionID="6516a2bc60fbe0d773c60f25fbb427f8">
  <xsd:schema xmlns:xsd="http://www.w3.org/2001/XMLSchema" xmlns:xs="http://www.w3.org/2001/XMLSchema" xmlns:p="http://schemas.microsoft.com/office/2006/metadata/properties" xmlns:ns2="6113f790-c252-4bfe-890a-0e01b9de803a" xmlns:ns3="0eb656aa-4e79-4e95-9076-bc119a23e0cc" targetNamespace="http://schemas.microsoft.com/office/2006/metadata/properties" ma:root="true" ma:fieldsID="c1ec19c2f9f8c8a5aaea9ad470486144" ns2:_="" ns3:_="">
    <xsd:import namespace="6113f790-c252-4bfe-890a-0e01b9de803a"/>
    <xsd:import namespace="0eb656aa-4e79-4e95-9076-bc119a23e0c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3f790-c252-4bfe-890a-0e01b9de80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abb4586-6e39-4769-a9e9-e64cee0e77fc"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descriptio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eb656aa-4e79-4e95-9076-bc119a23e0cc"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6d3fad2-883a-4eaf-9e1c-8c20d986e5dc}" ma:internalName="TaxCatchAll" ma:showField="CatchAllData" ma:web="c484c3bf-3e79-421f-a326-5c77b32e9f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0eb656aa-4e79-4e95-9076-bc119a23e0cc" xsi:nil="true"/>
    <lcf76f155ced4ddcb4097134ff3c332f xmlns="6113f790-c252-4bfe-890a-0e01b9de803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F39D2F8-A069-466A-962F-190B243BC055}">
  <ds:schemaRefs>
    <ds:schemaRef ds:uri="http://schemas.openxmlformats.org/officeDocument/2006/bibliography"/>
  </ds:schemaRefs>
</ds:datastoreItem>
</file>

<file path=customXml/itemProps2.xml><?xml version="1.0" encoding="utf-8"?>
<ds:datastoreItem xmlns:ds="http://schemas.openxmlformats.org/officeDocument/2006/customXml" ds:itemID="{B8B127E4-69AC-4D7A-906B-CDFE7CB301C5}">
  <ds:schemaRefs>
    <ds:schemaRef ds:uri="http://schemas.microsoft.com/sharepoint/v3/contenttype/forms"/>
  </ds:schemaRefs>
</ds:datastoreItem>
</file>

<file path=customXml/itemProps3.xml><?xml version="1.0" encoding="utf-8"?>
<ds:datastoreItem xmlns:ds="http://schemas.openxmlformats.org/officeDocument/2006/customXml" ds:itemID="{822BCA51-7347-43EE-BCEE-94058D0593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3f790-c252-4bfe-890a-0e01b9de803a"/>
    <ds:schemaRef ds:uri="0eb656aa-4e79-4e95-9076-bc119a23e0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AEBF818-8D0C-49E6-8152-9B14F4A5CBB4}">
  <ds:schemaRefs>
    <ds:schemaRef ds:uri="http://schemas.microsoft.com/office/2006/documentManagement/types"/>
    <ds:schemaRef ds:uri="0eb656aa-4e79-4e95-9076-bc119a23e0cc"/>
    <ds:schemaRef ds:uri="http://purl.org/dc/dcmitype/"/>
    <ds:schemaRef ds:uri="6113f790-c252-4bfe-890a-0e01b9de803a"/>
    <ds:schemaRef ds:uri="http://schemas.microsoft.com/office/infopath/2007/PartnerControls"/>
    <ds:schemaRef ds:uri="http://purl.org/dc/terms/"/>
    <ds:schemaRef ds:uri="http://schemas.openxmlformats.org/package/2006/metadata/core-properties"/>
    <ds:schemaRef ds:uri="http://schemas.microsoft.com/office/2006/metadata/properties"/>
    <ds:schemaRef ds:uri="http://www.w3.org/XML/1998/namespac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Fill-in draft guidance and final draft guidance template</Template>
  <TotalTime>21</TotalTime>
  <Pages>21</Pages>
  <Words>5851</Words>
  <Characters>33353</Characters>
  <Application>Microsoft Office Word</Application>
  <DocSecurity>0</DocSecurity>
  <Lines>277</Lines>
  <Paragraphs>78</Paragraphs>
  <ScaleCrop>false</ScaleCrop>
  <Company>Happy</Company>
  <LinksUpToDate>false</LinksUpToDate>
  <CharactersWithSpaces>39126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Emilene Coventry</dc:creator>
  <cp:keywords>Fill-in template</cp:keywords>
  <cp:lastModifiedBy>Emilene Coventry</cp:lastModifiedBy>
  <cp:revision>15</cp:revision>
  <cp:lastPrinted>2012-11-14T14:34:00Z</cp:lastPrinted>
  <dcterms:created xsi:type="dcterms:W3CDTF">2024-11-04T15:24:00Z</dcterms:created>
  <dcterms:modified xsi:type="dcterms:W3CDTF">2024-12-19T15:09:00Z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69d85d5-6d9e-4305-a294-1f636ec0f2d6_Enabled">
    <vt:lpwstr>true</vt:lpwstr>
  </property>
  <property fmtid="{D5CDD505-2E9C-101B-9397-08002B2CF9AE}" pid="3" name="MSIP_Label_c69d85d5-6d9e-4305-a294-1f636ec0f2d6_SetDate">
    <vt:lpwstr>2023-03-09T11:42:05Z</vt:lpwstr>
  </property>
  <property fmtid="{D5CDD505-2E9C-101B-9397-08002B2CF9AE}" pid="4" name="MSIP_Label_c69d85d5-6d9e-4305-a294-1f636ec0f2d6_Method">
    <vt:lpwstr>Standard</vt:lpwstr>
  </property>
  <property fmtid="{D5CDD505-2E9C-101B-9397-08002B2CF9AE}" pid="5" name="MSIP_Label_c69d85d5-6d9e-4305-a294-1f636ec0f2d6_Name">
    <vt:lpwstr>OFFICIAL</vt:lpwstr>
  </property>
  <property fmtid="{D5CDD505-2E9C-101B-9397-08002B2CF9AE}" pid="6" name="MSIP_Label_c69d85d5-6d9e-4305-a294-1f636ec0f2d6_SiteId">
    <vt:lpwstr>6030f479-b342-472d-a5dd-740ff7538de9</vt:lpwstr>
  </property>
  <property fmtid="{D5CDD505-2E9C-101B-9397-08002B2CF9AE}" pid="7" name="MSIP_Label_c69d85d5-6d9e-4305-a294-1f636ec0f2d6_ActionId">
    <vt:lpwstr>a227fe5c-d20f-418d-8240-e68035d2bb6a</vt:lpwstr>
  </property>
  <property fmtid="{D5CDD505-2E9C-101B-9397-08002B2CF9AE}" pid="8" name="MSIP_Label_c69d85d5-6d9e-4305-a294-1f636ec0f2d6_ContentBits">
    <vt:lpwstr>0</vt:lpwstr>
  </property>
  <property fmtid="{D5CDD505-2E9C-101B-9397-08002B2CF9AE}" pid="9" name="ContentTypeId">
    <vt:lpwstr>0x010100C3164B6419967F4F9BC885BCC38080FE</vt:lpwstr>
  </property>
  <property fmtid="{D5CDD505-2E9C-101B-9397-08002B2CF9AE}" pid="10" name="MediaServiceImageTags">
    <vt:lpwstr/>
  </property>
  <property fmtid="{D5CDD505-2E9C-101B-9397-08002B2CF9AE}" pid="11" name="Condition category">
    <vt:lpwstr/>
  </property>
  <property fmtid="{D5CDD505-2E9C-101B-9397-08002B2CF9AE}" pid="12" name="e18a3a9fb01f4e1185d6fd80a961dfc5">
    <vt:lpwstr/>
  </property>
  <property fmtid="{D5CDD505-2E9C-101B-9397-08002B2CF9AE}" pid="13" name="lcf76f155ced4ddcb4097134ff3c332f">
    <vt:lpwstr/>
  </property>
  <property fmtid="{D5CDD505-2E9C-101B-9397-08002B2CF9AE}" pid="14" name="TaxCatchAll">
    <vt:lpwstr/>
  </property>
  <property fmtid="{D5CDD505-2E9C-101B-9397-08002B2CF9AE}" pid="15" name="_ExtendedDescription">
    <vt:lpwstr/>
  </property>
</Properties>
</file>