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54D93" w:rsidRDefault="003323F1" w14:paraId="672A6659" w14:textId="77777777">
      <w:pPr>
        <w:pStyle w:val="BodyText"/>
        <w:ind w:left="112"/>
        <w:rPr>
          <w:rFonts w:ascii="Times New Roman"/>
          <w:sz w:val="20"/>
        </w:rPr>
      </w:pPr>
      <w:r>
        <w:rPr>
          <w:rFonts w:ascii="Times New Roman"/>
          <w:noProof/>
          <w:sz w:val="20"/>
        </w:rPr>
        <w:drawing>
          <wp:inline distT="0" distB="0" distL="0" distR="0" wp14:anchorId="4612972D" wp14:editId="07777777">
            <wp:extent cx="2351752" cy="44348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351752" cy="443483"/>
                    </a:xfrm>
                    <a:prstGeom prst="rect">
                      <a:avLst/>
                    </a:prstGeom>
                  </pic:spPr>
                </pic:pic>
              </a:graphicData>
            </a:graphic>
          </wp:inline>
        </w:drawing>
      </w:r>
    </w:p>
    <w:p w:rsidR="00554D93" w:rsidRDefault="00554D93" w14:paraId="0A37501D" w14:textId="77777777">
      <w:pPr>
        <w:pStyle w:val="BodyText"/>
        <w:rPr>
          <w:rFonts w:ascii="Times New Roman"/>
        </w:rPr>
      </w:pPr>
    </w:p>
    <w:p w:rsidR="00554D93" w:rsidRDefault="00554D93" w14:paraId="5DAB6C7B" w14:textId="77777777">
      <w:pPr>
        <w:pStyle w:val="BodyText"/>
        <w:spacing w:before="249"/>
        <w:rPr>
          <w:rFonts w:ascii="Times New Roman"/>
        </w:rPr>
      </w:pPr>
    </w:p>
    <w:p w:rsidR="00554D93" w:rsidRDefault="003323F1" w14:paraId="422D2F5E" w14:textId="77777777">
      <w:pPr>
        <w:pStyle w:val="BodyText"/>
        <w:ind w:left="760"/>
      </w:pPr>
      <w:r>
        <w:t>Dr</w:t>
      </w:r>
      <w:r>
        <w:rPr>
          <w:spacing w:val="-1"/>
        </w:rPr>
        <w:t xml:space="preserve"> </w:t>
      </w:r>
      <w:r>
        <w:t>Mark</w:t>
      </w:r>
      <w:r>
        <w:rPr>
          <w:spacing w:val="3"/>
        </w:rPr>
        <w:t xml:space="preserve"> </w:t>
      </w:r>
      <w:r>
        <w:rPr>
          <w:spacing w:val="-2"/>
        </w:rPr>
        <w:t>Chakravarty</w:t>
      </w:r>
    </w:p>
    <w:p w:rsidR="00554D93" w:rsidRDefault="003323F1" w14:paraId="010A0601" w14:textId="77777777">
      <w:pPr>
        <w:pStyle w:val="BodyText"/>
        <w:spacing w:before="37" w:line="276" w:lineRule="auto"/>
        <w:ind w:left="760" w:right="4030"/>
      </w:pPr>
      <w:r>
        <w:t>Lead</w:t>
      </w:r>
      <w:r>
        <w:rPr>
          <w:spacing w:val="-12"/>
        </w:rPr>
        <w:t xml:space="preserve"> </w:t>
      </w:r>
      <w:r>
        <w:t>non-executive</w:t>
      </w:r>
      <w:r>
        <w:rPr>
          <w:spacing w:val="-12"/>
        </w:rPr>
        <w:t xml:space="preserve"> </w:t>
      </w:r>
      <w:r>
        <w:t>director</w:t>
      </w:r>
      <w:r>
        <w:rPr>
          <w:spacing w:val="-16"/>
        </w:rPr>
        <w:t xml:space="preserve"> </w:t>
      </w:r>
      <w:r>
        <w:t>for</w:t>
      </w:r>
      <w:r>
        <w:rPr>
          <w:spacing w:val="-12"/>
        </w:rPr>
        <w:t xml:space="preserve"> </w:t>
      </w:r>
      <w:r>
        <w:t>appeals National Institute for Health and Care Excellence 2nd Floor, 2 Redman</w:t>
      </w:r>
    </w:p>
    <w:p w:rsidR="00554D93" w:rsidRDefault="003323F1" w14:paraId="02148DB9" w14:textId="77777777">
      <w:pPr>
        <w:pStyle w:val="BodyText"/>
        <w:spacing w:before="3"/>
        <w:ind w:left="760"/>
      </w:pPr>
      <w:r>
        <w:rPr>
          <w:spacing w:val="-4"/>
        </w:rPr>
        <w:t>Place</w:t>
      </w:r>
    </w:p>
    <w:p w:rsidR="00554D93" w:rsidRDefault="003323F1" w14:paraId="0D8CC33A" w14:textId="77777777">
      <w:pPr>
        <w:pStyle w:val="BodyText"/>
        <w:spacing w:before="43" w:line="720" w:lineRule="auto"/>
        <w:ind w:left="760" w:right="6989"/>
      </w:pPr>
      <w:r>
        <w:t>London</w:t>
      </w:r>
      <w:r>
        <w:rPr>
          <w:spacing w:val="-16"/>
        </w:rPr>
        <w:t xml:space="preserve"> </w:t>
      </w:r>
      <w:r>
        <w:t>E20</w:t>
      </w:r>
      <w:r>
        <w:rPr>
          <w:spacing w:val="-15"/>
        </w:rPr>
        <w:t xml:space="preserve"> </w:t>
      </w:r>
      <w:r>
        <w:t>1JQ 24 May 2024</w:t>
      </w:r>
    </w:p>
    <w:p w:rsidR="00554D93" w:rsidRDefault="00554D93" w14:paraId="02EB378F" w14:textId="77777777">
      <w:pPr>
        <w:pStyle w:val="BodyText"/>
        <w:spacing w:before="125"/>
      </w:pPr>
    </w:p>
    <w:p w:rsidR="00554D93" w:rsidRDefault="003323F1" w14:paraId="3B17349A" w14:textId="77777777">
      <w:pPr>
        <w:pStyle w:val="BodyText"/>
        <w:ind w:left="760"/>
      </w:pPr>
      <w:r>
        <w:t>Dear</w:t>
      </w:r>
      <w:r>
        <w:rPr>
          <w:spacing w:val="-2"/>
        </w:rPr>
        <w:t xml:space="preserve"> </w:t>
      </w:r>
      <w:r>
        <w:t>Dr</w:t>
      </w:r>
      <w:r>
        <w:rPr>
          <w:spacing w:val="-3"/>
        </w:rPr>
        <w:t xml:space="preserve"> </w:t>
      </w:r>
      <w:r>
        <w:rPr>
          <w:spacing w:val="-2"/>
        </w:rPr>
        <w:t>Chakravarty,</w:t>
      </w:r>
    </w:p>
    <w:p w:rsidR="00554D93" w:rsidRDefault="00554D93" w14:paraId="6A05A809" w14:textId="77777777">
      <w:pPr>
        <w:pStyle w:val="BodyText"/>
      </w:pPr>
    </w:p>
    <w:p w:rsidR="00554D93" w:rsidRDefault="00554D93" w14:paraId="5A39BBE3" w14:textId="77777777">
      <w:pPr>
        <w:pStyle w:val="BodyText"/>
      </w:pPr>
    </w:p>
    <w:p w:rsidR="00554D93" w:rsidRDefault="003323F1" w14:paraId="4E612B4E" w14:textId="77777777">
      <w:pPr>
        <w:pStyle w:val="Heading1"/>
        <w:spacing w:line="360" w:lineRule="auto"/>
        <w:ind w:left="760" w:firstLine="0"/>
        <w:jc w:val="both"/>
      </w:pPr>
      <w:r>
        <w:t>Re: Final draft guidance (‘FDG’) for ID1651: Fenfluramine for treating seizures associated with Lennox–Gastaut syndrome (‘LGS’) in people 2 years and over</w:t>
      </w:r>
    </w:p>
    <w:p w:rsidR="00554D93" w:rsidRDefault="00554D93" w14:paraId="41C8F396" w14:textId="77777777">
      <w:pPr>
        <w:pStyle w:val="BodyText"/>
        <w:spacing w:before="128"/>
        <w:rPr>
          <w:b/>
        </w:rPr>
      </w:pPr>
    </w:p>
    <w:p w:rsidR="00554D93" w:rsidRDefault="003323F1" w14:paraId="421A83A4" w14:textId="77777777">
      <w:pPr>
        <w:pStyle w:val="BodyText"/>
        <w:spacing w:line="360" w:lineRule="auto"/>
        <w:ind w:left="760" w:right="112"/>
        <w:jc w:val="both"/>
      </w:pPr>
      <w:r>
        <w:t>Thank</w:t>
      </w:r>
      <w:r>
        <w:rPr>
          <w:spacing w:val="-8"/>
        </w:rPr>
        <w:t xml:space="preserve"> </w:t>
      </w:r>
      <w:r>
        <w:t>you</w:t>
      </w:r>
      <w:r>
        <w:rPr>
          <w:spacing w:val="-12"/>
        </w:rPr>
        <w:t xml:space="preserve"> </w:t>
      </w:r>
      <w:r>
        <w:t>for</w:t>
      </w:r>
      <w:r>
        <w:rPr>
          <w:spacing w:val="-8"/>
        </w:rPr>
        <w:t xml:space="preserve"> </w:t>
      </w:r>
      <w:r>
        <w:t>your</w:t>
      </w:r>
      <w:r>
        <w:rPr>
          <w:spacing w:val="-8"/>
        </w:rPr>
        <w:t xml:space="preserve"> </w:t>
      </w:r>
      <w:r>
        <w:t>letter</w:t>
      </w:r>
      <w:r>
        <w:rPr>
          <w:spacing w:val="-13"/>
        </w:rPr>
        <w:t xml:space="preserve"> </w:t>
      </w:r>
      <w:r>
        <w:t>dated</w:t>
      </w:r>
      <w:r>
        <w:rPr>
          <w:spacing w:val="-9"/>
        </w:rPr>
        <w:t xml:space="preserve"> </w:t>
      </w:r>
      <w:r>
        <w:t>10</w:t>
      </w:r>
      <w:r>
        <w:rPr>
          <w:spacing w:val="-12"/>
        </w:rPr>
        <w:t xml:space="preserve"> </w:t>
      </w:r>
      <w:r>
        <w:t>May</w:t>
      </w:r>
      <w:r>
        <w:rPr>
          <w:spacing w:val="-11"/>
        </w:rPr>
        <w:t xml:space="preserve"> </w:t>
      </w:r>
      <w:r>
        <w:t>2024,</w:t>
      </w:r>
      <w:r>
        <w:rPr>
          <w:spacing w:val="-7"/>
        </w:rPr>
        <w:t xml:space="preserve"> </w:t>
      </w:r>
      <w:r>
        <w:t>in</w:t>
      </w:r>
      <w:r>
        <w:rPr>
          <w:spacing w:val="-9"/>
        </w:rPr>
        <w:t xml:space="preserve"> </w:t>
      </w:r>
      <w:r>
        <w:t>which</w:t>
      </w:r>
      <w:r>
        <w:rPr>
          <w:spacing w:val="-9"/>
        </w:rPr>
        <w:t xml:space="preserve"> </w:t>
      </w:r>
      <w:r>
        <w:t>you</w:t>
      </w:r>
      <w:r>
        <w:rPr>
          <w:spacing w:val="-9"/>
        </w:rPr>
        <w:t xml:space="preserve"> </w:t>
      </w:r>
      <w:r>
        <w:t>set</w:t>
      </w:r>
      <w:r>
        <w:rPr>
          <w:spacing w:val="-8"/>
        </w:rPr>
        <w:t xml:space="preserve"> </w:t>
      </w:r>
      <w:r>
        <w:t>out</w:t>
      </w:r>
      <w:r>
        <w:rPr>
          <w:spacing w:val="-7"/>
        </w:rPr>
        <w:t xml:space="preserve"> </w:t>
      </w:r>
      <w:r>
        <w:t>your</w:t>
      </w:r>
      <w:r>
        <w:rPr>
          <w:spacing w:val="-10"/>
        </w:rPr>
        <w:t xml:space="preserve"> </w:t>
      </w:r>
      <w:r>
        <w:t>preliminary</w:t>
      </w:r>
      <w:r>
        <w:rPr>
          <w:spacing w:val="-11"/>
        </w:rPr>
        <w:t xml:space="preserve"> </w:t>
      </w:r>
      <w:r>
        <w:t>views on the admissibility of the points of appeal advanced by UCB and set out in our appeal document of 2 May 2024.</w:t>
      </w:r>
      <w:r>
        <w:rPr>
          <w:spacing w:val="40"/>
        </w:rPr>
        <w:t xml:space="preserve"> </w:t>
      </w:r>
      <w:r>
        <w:t>This letter provides our response to your preliminary views before</w:t>
      </w:r>
      <w:r>
        <w:rPr>
          <w:spacing w:val="-1"/>
        </w:rPr>
        <w:t xml:space="preserve"> </w:t>
      </w:r>
      <w:r>
        <w:t>you</w:t>
      </w:r>
      <w:r>
        <w:rPr>
          <w:spacing w:val="-4"/>
        </w:rPr>
        <w:t xml:space="preserve"> </w:t>
      </w:r>
      <w:r>
        <w:t>make</w:t>
      </w:r>
      <w:r>
        <w:rPr>
          <w:spacing w:val="-2"/>
        </w:rPr>
        <w:t xml:space="preserve"> </w:t>
      </w:r>
      <w:r>
        <w:t>your</w:t>
      </w:r>
      <w:r>
        <w:rPr>
          <w:spacing w:val="-3"/>
        </w:rPr>
        <w:t xml:space="preserve"> </w:t>
      </w:r>
      <w:r>
        <w:t>final</w:t>
      </w:r>
      <w:r>
        <w:rPr>
          <w:spacing w:val="-3"/>
        </w:rPr>
        <w:t xml:space="preserve"> </w:t>
      </w:r>
      <w:r>
        <w:t>decision</w:t>
      </w:r>
      <w:r>
        <w:rPr>
          <w:spacing w:val="-2"/>
        </w:rPr>
        <w:t xml:space="preserve"> </w:t>
      </w:r>
      <w:r>
        <w:t>on those</w:t>
      </w:r>
      <w:r>
        <w:rPr>
          <w:spacing w:val="-4"/>
        </w:rPr>
        <w:t xml:space="preserve"> </w:t>
      </w:r>
      <w:r>
        <w:t>points of appeal</w:t>
      </w:r>
      <w:r>
        <w:rPr>
          <w:spacing w:val="-2"/>
        </w:rPr>
        <w:t xml:space="preserve"> </w:t>
      </w:r>
      <w:r>
        <w:t>which</w:t>
      </w:r>
      <w:r>
        <w:rPr>
          <w:spacing w:val="-2"/>
        </w:rPr>
        <w:t xml:space="preserve"> </w:t>
      </w:r>
      <w:r>
        <w:t>will</w:t>
      </w:r>
      <w:r>
        <w:rPr>
          <w:spacing w:val="-2"/>
        </w:rPr>
        <w:t xml:space="preserve"> </w:t>
      </w:r>
      <w:r>
        <w:t>be permitted</w:t>
      </w:r>
      <w:r>
        <w:rPr>
          <w:spacing w:val="-4"/>
        </w:rPr>
        <w:t xml:space="preserve"> </w:t>
      </w:r>
      <w:r>
        <w:t>to proceed to an oral hearing.</w:t>
      </w:r>
    </w:p>
    <w:p w:rsidR="00554D93" w:rsidRDefault="00554D93" w14:paraId="72A3D3EC" w14:textId="77777777">
      <w:pPr>
        <w:pStyle w:val="BodyText"/>
        <w:spacing w:before="125"/>
      </w:pPr>
    </w:p>
    <w:p w:rsidR="00554D93" w:rsidRDefault="003323F1" w14:paraId="5DF5B92F" w14:textId="77777777">
      <w:pPr>
        <w:pStyle w:val="Heading1"/>
        <w:numPr>
          <w:ilvl w:val="0"/>
          <w:numId w:val="1"/>
        </w:numPr>
        <w:tabs>
          <w:tab w:val="left" w:pos="1478"/>
          <w:tab w:val="left" w:pos="1480"/>
        </w:tabs>
        <w:spacing w:line="360" w:lineRule="auto"/>
        <w:ind w:right="701"/>
      </w:pPr>
      <w:r>
        <w:t>Ground 1(a).1: NICE’s refusal of UCB’s request for technical engagement</w:t>
      </w:r>
      <w:r>
        <w:rPr>
          <w:spacing w:val="-3"/>
        </w:rPr>
        <w:t xml:space="preserve"> </w:t>
      </w:r>
      <w:r>
        <w:t>before</w:t>
      </w:r>
      <w:r>
        <w:rPr>
          <w:spacing w:val="-4"/>
        </w:rPr>
        <w:t xml:space="preserve"> </w:t>
      </w:r>
      <w:r>
        <w:t>the</w:t>
      </w:r>
      <w:r>
        <w:rPr>
          <w:spacing w:val="-5"/>
        </w:rPr>
        <w:t xml:space="preserve"> </w:t>
      </w:r>
      <w:r>
        <w:t>first</w:t>
      </w:r>
      <w:r>
        <w:rPr>
          <w:spacing w:val="-3"/>
        </w:rPr>
        <w:t xml:space="preserve"> </w:t>
      </w:r>
      <w:r>
        <w:t>meeting</w:t>
      </w:r>
      <w:r>
        <w:rPr>
          <w:spacing w:val="-5"/>
        </w:rPr>
        <w:t xml:space="preserve"> </w:t>
      </w:r>
      <w:r>
        <w:t>of</w:t>
      </w:r>
      <w:r>
        <w:rPr>
          <w:spacing w:val="-3"/>
        </w:rPr>
        <w:t xml:space="preserve"> </w:t>
      </w:r>
      <w:r>
        <w:t>the</w:t>
      </w:r>
      <w:r>
        <w:rPr>
          <w:spacing w:val="-2"/>
        </w:rPr>
        <w:t xml:space="preserve"> </w:t>
      </w:r>
      <w:r>
        <w:t>Appraisal</w:t>
      </w:r>
      <w:r>
        <w:rPr>
          <w:spacing w:val="-3"/>
        </w:rPr>
        <w:t xml:space="preserve"> </w:t>
      </w:r>
      <w:r>
        <w:t>Committee</w:t>
      </w:r>
      <w:r>
        <w:rPr>
          <w:spacing w:val="-7"/>
        </w:rPr>
        <w:t xml:space="preserve"> </w:t>
      </w:r>
      <w:r>
        <w:t>was procedurally unfair and has prejudiced the conduct of the appraisal</w:t>
      </w:r>
    </w:p>
    <w:p w:rsidR="00554D93" w:rsidRDefault="00554D93" w14:paraId="0D0B940D" w14:textId="77777777">
      <w:pPr>
        <w:pStyle w:val="BodyText"/>
        <w:spacing w:before="128"/>
        <w:rPr>
          <w:b/>
        </w:rPr>
      </w:pPr>
    </w:p>
    <w:p w:rsidR="00554D93" w:rsidRDefault="003323F1" w14:paraId="24ACCFD9" w14:textId="77777777">
      <w:pPr>
        <w:pStyle w:val="BodyText"/>
        <w:spacing w:line="360" w:lineRule="auto"/>
        <w:ind w:left="760" w:right="411"/>
      </w:pPr>
      <w:r>
        <w:t>In</w:t>
      </w:r>
      <w:r>
        <w:rPr>
          <w:spacing w:val="-2"/>
        </w:rPr>
        <w:t xml:space="preserve"> </w:t>
      </w:r>
      <w:r>
        <w:t>your</w:t>
      </w:r>
      <w:r>
        <w:rPr>
          <w:spacing w:val="-1"/>
        </w:rPr>
        <w:t xml:space="preserve"> </w:t>
      </w:r>
      <w:r>
        <w:t>letter</w:t>
      </w:r>
      <w:r>
        <w:rPr>
          <w:spacing w:val="-3"/>
        </w:rPr>
        <w:t xml:space="preserve"> </w:t>
      </w:r>
      <w:r>
        <w:t>of 10</w:t>
      </w:r>
      <w:r>
        <w:rPr>
          <w:spacing w:val="-4"/>
        </w:rPr>
        <w:t xml:space="preserve"> </w:t>
      </w:r>
      <w:r>
        <w:t>May</w:t>
      </w:r>
      <w:r>
        <w:rPr>
          <w:spacing w:val="-4"/>
        </w:rPr>
        <w:t xml:space="preserve"> </w:t>
      </w:r>
      <w:r>
        <w:t>2024, you</w:t>
      </w:r>
      <w:r>
        <w:rPr>
          <w:spacing w:val="-2"/>
        </w:rPr>
        <w:t xml:space="preserve"> </w:t>
      </w:r>
      <w:r>
        <w:t>say</w:t>
      </w:r>
      <w:r>
        <w:rPr>
          <w:spacing w:val="-4"/>
        </w:rPr>
        <w:t xml:space="preserve"> </w:t>
      </w:r>
      <w:r>
        <w:t>that you</w:t>
      </w:r>
      <w:r>
        <w:rPr>
          <w:spacing w:val="-2"/>
        </w:rPr>
        <w:t xml:space="preserve"> </w:t>
      </w:r>
      <w:r>
        <w:t>are</w:t>
      </w:r>
      <w:r>
        <w:rPr>
          <w:spacing w:val="-2"/>
        </w:rPr>
        <w:t xml:space="preserve"> </w:t>
      </w:r>
      <w:r>
        <w:t>minded</w:t>
      </w:r>
      <w:r>
        <w:rPr>
          <w:spacing w:val="-4"/>
        </w:rPr>
        <w:t xml:space="preserve"> </w:t>
      </w:r>
      <w:r>
        <w:t>to</w:t>
      </w:r>
      <w:r>
        <w:rPr>
          <w:spacing w:val="-4"/>
        </w:rPr>
        <w:t xml:space="preserve"> </w:t>
      </w:r>
      <w:r>
        <w:t>refer</w:t>
      </w:r>
      <w:r>
        <w:rPr>
          <w:spacing w:val="-3"/>
        </w:rPr>
        <w:t xml:space="preserve"> </w:t>
      </w:r>
      <w:r>
        <w:t>this</w:t>
      </w:r>
      <w:r>
        <w:rPr>
          <w:spacing w:val="-1"/>
        </w:rPr>
        <w:t xml:space="preserve"> </w:t>
      </w:r>
      <w:r>
        <w:t>appeal</w:t>
      </w:r>
      <w:r>
        <w:rPr>
          <w:spacing w:val="-3"/>
        </w:rPr>
        <w:t xml:space="preserve"> </w:t>
      </w:r>
      <w:r>
        <w:t>point to the Appeal Panel.</w:t>
      </w:r>
      <w:r>
        <w:rPr>
          <w:spacing w:val="40"/>
        </w:rPr>
        <w:t xml:space="preserve"> </w:t>
      </w:r>
      <w:r>
        <w:t>However, before making a final decision, you request further detail from UCB on the consequences which flow from the absence of technical engagement in this case.</w:t>
      </w:r>
    </w:p>
    <w:p w:rsidR="00554D93" w:rsidRDefault="00554D93" w14:paraId="0E27B00A" w14:textId="77777777">
      <w:pPr>
        <w:pStyle w:val="BodyText"/>
        <w:spacing w:before="128"/>
      </w:pPr>
    </w:p>
    <w:p w:rsidR="00554D93" w:rsidRDefault="003323F1" w14:paraId="268393C8" w14:textId="77777777">
      <w:pPr>
        <w:pStyle w:val="BodyText"/>
        <w:spacing w:line="360" w:lineRule="auto"/>
        <w:ind w:left="760" w:right="411"/>
      </w:pPr>
      <w:r>
        <w:t>The</w:t>
      </w:r>
      <w:r>
        <w:rPr>
          <w:spacing w:val="-4"/>
        </w:rPr>
        <w:t xml:space="preserve"> </w:t>
      </w:r>
      <w:r>
        <w:t>purpose</w:t>
      </w:r>
      <w:r>
        <w:rPr>
          <w:spacing w:val="-4"/>
        </w:rPr>
        <w:t xml:space="preserve"> </w:t>
      </w:r>
      <w:r>
        <w:t>of technical</w:t>
      </w:r>
      <w:r>
        <w:rPr>
          <w:spacing w:val="-3"/>
        </w:rPr>
        <w:t xml:space="preserve"> </w:t>
      </w:r>
      <w:r>
        <w:t>engagement,</w:t>
      </w:r>
      <w:r>
        <w:rPr>
          <w:spacing w:val="-3"/>
        </w:rPr>
        <w:t xml:space="preserve"> </w:t>
      </w:r>
      <w:r>
        <w:t>as</w:t>
      </w:r>
      <w:r>
        <w:rPr>
          <w:spacing w:val="-4"/>
        </w:rPr>
        <w:t xml:space="preserve"> </w:t>
      </w:r>
      <w:r>
        <w:t>set</w:t>
      </w:r>
      <w:r>
        <w:rPr>
          <w:spacing w:val="-3"/>
        </w:rPr>
        <w:t xml:space="preserve"> </w:t>
      </w:r>
      <w:r>
        <w:t>out</w:t>
      </w:r>
      <w:r>
        <w:rPr>
          <w:spacing w:val="-5"/>
        </w:rPr>
        <w:t xml:space="preserve"> </w:t>
      </w:r>
      <w:r>
        <w:t>in</w:t>
      </w:r>
      <w:r>
        <w:rPr>
          <w:spacing w:val="-2"/>
        </w:rPr>
        <w:t xml:space="preserve"> </w:t>
      </w:r>
      <w:r>
        <w:t>NICE’s</w:t>
      </w:r>
      <w:r>
        <w:rPr>
          <w:spacing w:val="-1"/>
        </w:rPr>
        <w:t xml:space="preserve"> </w:t>
      </w:r>
      <w:r>
        <w:t>Guide</w:t>
      </w:r>
      <w:r>
        <w:rPr>
          <w:spacing w:val="-4"/>
        </w:rPr>
        <w:t xml:space="preserve"> </w:t>
      </w:r>
      <w:r>
        <w:t>to</w:t>
      </w:r>
      <w:r>
        <w:rPr>
          <w:spacing w:val="-4"/>
        </w:rPr>
        <w:t xml:space="preserve"> </w:t>
      </w:r>
      <w:r>
        <w:t>the</w:t>
      </w:r>
      <w:r>
        <w:rPr>
          <w:spacing w:val="-4"/>
        </w:rPr>
        <w:t xml:space="preserve"> </w:t>
      </w:r>
      <w:r>
        <w:t>Processes of Technology Appraisal, is to consider the judgments made by the technical team and</w:t>
      </w:r>
      <w:r>
        <w:rPr>
          <w:spacing w:val="-1"/>
        </w:rPr>
        <w:t xml:space="preserve"> </w:t>
      </w:r>
      <w:r>
        <w:t>to</w:t>
      </w:r>
      <w:r>
        <w:rPr>
          <w:spacing w:val="-3"/>
        </w:rPr>
        <w:t xml:space="preserve"> </w:t>
      </w:r>
      <w:r>
        <w:t>provide</w:t>
      </w:r>
      <w:r>
        <w:rPr>
          <w:spacing w:val="-1"/>
        </w:rPr>
        <w:t xml:space="preserve"> </w:t>
      </w:r>
      <w:r>
        <w:t>an</w:t>
      </w:r>
      <w:r>
        <w:rPr>
          <w:spacing w:val="-1"/>
        </w:rPr>
        <w:t xml:space="preserve"> </w:t>
      </w:r>
      <w:r>
        <w:t>opportunity</w:t>
      </w:r>
      <w:r>
        <w:rPr>
          <w:spacing w:val="-3"/>
        </w:rPr>
        <w:t xml:space="preserve"> </w:t>
      </w:r>
      <w:r>
        <w:t>for any</w:t>
      </w:r>
      <w:r>
        <w:rPr>
          <w:spacing w:val="-5"/>
        </w:rPr>
        <w:t xml:space="preserve"> </w:t>
      </w:r>
      <w:r>
        <w:t>remaining uncertainties</w:t>
      </w:r>
      <w:r>
        <w:rPr>
          <w:spacing w:val="-3"/>
        </w:rPr>
        <w:t xml:space="preserve"> </w:t>
      </w:r>
      <w:r>
        <w:t>in</w:t>
      </w:r>
      <w:r>
        <w:rPr>
          <w:spacing w:val="-1"/>
        </w:rPr>
        <w:t xml:space="preserve"> </w:t>
      </w:r>
      <w:r>
        <w:t>the</w:t>
      </w:r>
      <w:r>
        <w:rPr>
          <w:spacing w:val="-3"/>
        </w:rPr>
        <w:t xml:space="preserve"> </w:t>
      </w:r>
      <w:r>
        <w:t>case</w:t>
      </w:r>
      <w:r>
        <w:rPr>
          <w:spacing w:val="-6"/>
        </w:rPr>
        <w:t xml:space="preserve"> </w:t>
      </w:r>
      <w:r>
        <w:t xml:space="preserve">for clinical effectiveness and cost effectiveness to be mitigated </w:t>
      </w:r>
      <w:r>
        <w:rPr>
          <w:u w:val="single"/>
        </w:rPr>
        <w:t>before</w:t>
      </w:r>
      <w:r>
        <w:t xml:space="preserve"> the technology is considered by the Appraisal Committee.</w:t>
      </w:r>
      <w:r>
        <w:rPr>
          <w:spacing w:val="40"/>
        </w:rPr>
        <w:t xml:space="preserve"> </w:t>
      </w:r>
      <w:r>
        <w:t>The fact that technical judgments have</w:t>
      </w:r>
    </w:p>
    <w:p w:rsidR="00554D93" w:rsidRDefault="00554D93" w14:paraId="60061E4C" w14:textId="77777777">
      <w:pPr>
        <w:spacing w:line="360" w:lineRule="auto"/>
        <w:sectPr w:rsidR="00554D93">
          <w:headerReference w:type="default" r:id="rId11"/>
          <w:footerReference w:type="default" r:id="rId12"/>
          <w:type w:val="continuous"/>
          <w:pgSz w:w="11910" w:h="16840" w:orient="portrait"/>
          <w:pgMar w:top="860" w:right="1480" w:bottom="1200" w:left="1040" w:header="182" w:footer="1007" w:gutter="0"/>
          <w:pgNumType w:start="1"/>
          <w:cols w:space="720"/>
        </w:sectPr>
      </w:pPr>
    </w:p>
    <w:p w:rsidR="00554D93" w:rsidRDefault="00554D93" w14:paraId="44EAFD9C" w14:textId="77777777">
      <w:pPr>
        <w:pStyle w:val="BodyText"/>
      </w:pPr>
    </w:p>
    <w:p w:rsidR="00554D93" w:rsidRDefault="00554D93" w14:paraId="4B94D5A5" w14:textId="77777777">
      <w:pPr>
        <w:pStyle w:val="BodyText"/>
        <w:spacing w:before="59"/>
      </w:pPr>
    </w:p>
    <w:p w:rsidR="00554D93" w:rsidRDefault="003323F1" w14:paraId="7CFD58A6" w14:textId="77777777">
      <w:pPr>
        <w:pStyle w:val="BodyText"/>
        <w:spacing w:line="360" w:lineRule="auto"/>
        <w:ind w:left="760"/>
      </w:pPr>
      <w:r>
        <w:t>been</w:t>
      </w:r>
      <w:r>
        <w:rPr>
          <w:spacing w:val="-3"/>
        </w:rPr>
        <w:t xml:space="preserve"> </w:t>
      </w:r>
      <w:r>
        <w:t>considered</w:t>
      </w:r>
      <w:r>
        <w:rPr>
          <w:spacing w:val="-5"/>
        </w:rPr>
        <w:t xml:space="preserve"> </w:t>
      </w:r>
      <w:r>
        <w:t>and</w:t>
      </w:r>
      <w:r>
        <w:rPr>
          <w:spacing w:val="-3"/>
        </w:rPr>
        <w:t xml:space="preserve"> </w:t>
      </w:r>
      <w:r>
        <w:t>uncertainties</w:t>
      </w:r>
      <w:r>
        <w:rPr>
          <w:spacing w:val="-5"/>
        </w:rPr>
        <w:t xml:space="preserve"> </w:t>
      </w:r>
      <w:r>
        <w:t>mitigated</w:t>
      </w:r>
      <w:r>
        <w:rPr>
          <w:spacing w:val="-5"/>
        </w:rPr>
        <w:t xml:space="preserve"> </w:t>
      </w:r>
      <w:r>
        <w:t>means</w:t>
      </w:r>
      <w:r>
        <w:rPr>
          <w:spacing w:val="-3"/>
        </w:rPr>
        <w:t xml:space="preserve"> </w:t>
      </w:r>
      <w:r>
        <w:t>that</w:t>
      </w:r>
      <w:r>
        <w:rPr>
          <w:spacing w:val="-4"/>
        </w:rPr>
        <w:t xml:space="preserve"> </w:t>
      </w:r>
      <w:r>
        <w:t>fewer</w:t>
      </w:r>
      <w:r>
        <w:rPr>
          <w:spacing w:val="-2"/>
        </w:rPr>
        <w:t xml:space="preserve"> </w:t>
      </w:r>
      <w:r>
        <w:t>Appraisal</w:t>
      </w:r>
      <w:r>
        <w:rPr>
          <w:spacing w:val="-3"/>
        </w:rPr>
        <w:t xml:space="preserve"> </w:t>
      </w:r>
      <w:r>
        <w:t>Committee meetings are likely to be needed in order to conclude the appraisal.</w:t>
      </w:r>
    </w:p>
    <w:p w:rsidR="00554D93" w:rsidRDefault="00554D93" w14:paraId="3DEEC669" w14:textId="77777777">
      <w:pPr>
        <w:pStyle w:val="BodyText"/>
        <w:spacing w:before="126"/>
      </w:pPr>
    </w:p>
    <w:p w:rsidR="00554D93" w:rsidRDefault="003323F1" w14:paraId="3591FD81" w14:textId="77777777">
      <w:pPr>
        <w:pStyle w:val="BodyText"/>
        <w:spacing w:line="360" w:lineRule="auto"/>
        <w:ind w:left="760" w:right="379"/>
      </w:pPr>
      <w:r>
        <w:t>In</w:t>
      </w:r>
      <w:r>
        <w:rPr>
          <w:spacing w:val="-2"/>
        </w:rPr>
        <w:t xml:space="preserve"> </w:t>
      </w:r>
      <w:r>
        <w:t>this case, as explained in our</w:t>
      </w:r>
      <w:r>
        <w:rPr>
          <w:spacing w:val="-1"/>
        </w:rPr>
        <w:t xml:space="preserve"> </w:t>
      </w:r>
      <w:r>
        <w:t>appeal</w:t>
      </w:r>
      <w:r>
        <w:rPr>
          <w:spacing w:val="-1"/>
        </w:rPr>
        <w:t xml:space="preserve"> </w:t>
      </w:r>
      <w:r>
        <w:t>document of 2</w:t>
      </w:r>
      <w:r>
        <w:rPr>
          <w:spacing w:val="-2"/>
        </w:rPr>
        <w:t xml:space="preserve"> </w:t>
      </w:r>
      <w:r>
        <w:t>May</w:t>
      </w:r>
      <w:r>
        <w:rPr>
          <w:spacing w:val="-2"/>
        </w:rPr>
        <w:t xml:space="preserve"> </w:t>
      </w:r>
      <w:r>
        <w:t>2024,</w:t>
      </w:r>
      <w:r>
        <w:rPr>
          <w:spacing w:val="-1"/>
        </w:rPr>
        <w:t xml:space="preserve"> </w:t>
      </w:r>
      <w:r>
        <w:t>the specific</w:t>
      </w:r>
      <w:r>
        <w:rPr>
          <w:spacing w:val="-2"/>
        </w:rPr>
        <w:t xml:space="preserve"> </w:t>
      </w:r>
      <w:r>
        <w:t>issues identified</w:t>
      </w:r>
      <w:r>
        <w:rPr>
          <w:spacing w:val="-5"/>
        </w:rPr>
        <w:t xml:space="preserve"> </w:t>
      </w:r>
      <w:r>
        <w:t>by</w:t>
      </w:r>
      <w:r>
        <w:rPr>
          <w:spacing w:val="-5"/>
        </w:rPr>
        <w:t xml:space="preserve"> </w:t>
      </w:r>
      <w:r>
        <w:t>UCB</w:t>
      </w:r>
      <w:r>
        <w:rPr>
          <w:spacing w:val="-5"/>
        </w:rPr>
        <w:t xml:space="preserve"> </w:t>
      </w:r>
      <w:r>
        <w:t>for</w:t>
      </w:r>
      <w:r>
        <w:rPr>
          <w:spacing w:val="-4"/>
        </w:rPr>
        <w:t xml:space="preserve"> </w:t>
      </w:r>
      <w:r>
        <w:t>technical</w:t>
      </w:r>
      <w:r>
        <w:rPr>
          <w:spacing w:val="-4"/>
        </w:rPr>
        <w:t xml:space="preserve"> </w:t>
      </w:r>
      <w:r>
        <w:t>engagement</w:t>
      </w:r>
      <w:r>
        <w:rPr>
          <w:spacing w:val="-4"/>
        </w:rPr>
        <w:t xml:space="preserve"> </w:t>
      </w:r>
      <w:r>
        <w:t>remained</w:t>
      </w:r>
      <w:r>
        <w:rPr>
          <w:spacing w:val="-3"/>
        </w:rPr>
        <w:t xml:space="preserve"> </w:t>
      </w:r>
      <w:r>
        <w:t>unresolved</w:t>
      </w:r>
      <w:r>
        <w:rPr>
          <w:spacing w:val="-3"/>
        </w:rPr>
        <w:t xml:space="preserve"> </w:t>
      </w:r>
      <w:r>
        <w:t>at</w:t>
      </w:r>
      <w:r>
        <w:rPr>
          <w:spacing w:val="-2"/>
        </w:rPr>
        <w:t xml:space="preserve"> </w:t>
      </w:r>
      <w:r>
        <w:t>ACM1</w:t>
      </w:r>
      <w:r>
        <w:rPr>
          <w:spacing w:val="-3"/>
        </w:rPr>
        <w:t xml:space="preserve"> </w:t>
      </w:r>
      <w:r>
        <w:t>and</w:t>
      </w:r>
      <w:r>
        <w:rPr>
          <w:spacing w:val="-3"/>
        </w:rPr>
        <w:t xml:space="preserve"> </w:t>
      </w:r>
      <w:r>
        <w:t>even in some instances at ACM2.</w:t>
      </w:r>
      <w:r>
        <w:rPr>
          <w:spacing w:val="40"/>
        </w:rPr>
        <w:t xml:space="preserve"> </w:t>
      </w:r>
      <w:r>
        <w:t>If there had been technical engagement before ACM1, as UCB contends there should have been, there would have been substantial progress in resolving these issues before any meeting of the Committee and it is likely that some of them would have been resolved.</w:t>
      </w:r>
      <w:r>
        <w:rPr>
          <w:spacing w:val="40"/>
        </w:rPr>
        <w:t xml:space="preserve"> </w:t>
      </w:r>
      <w:r>
        <w:t>The main result would have been that two meetings of the Apprais</w:t>
      </w:r>
      <w:r>
        <w:t>al Committee would have been sufficient to bring the appraisal to a satisfactory conclusion, rather than the current situation where important issues remain unresolved after ACM2.</w:t>
      </w:r>
      <w:r>
        <w:rPr>
          <w:spacing w:val="40"/>
        </w:rPr>
        <w:t xml:space="preserve"> </w:t>
      </w:r>
      <w:r>
        <w:t>The prejudice to the appraisal resulting from this situation is demonstrated, for example by the following:</w:t>
      </w:r>
    </w:p>
    <w:p w:rsidR="00554D93" w:rsidRDefault="003323F1" w14:paraId="1D516A4A" w14:textId="77777777">
      <w:pPr>
        <w:pStyle w:val="ListParagraph"/>
        <w:numPr>
          <w:ilvl w:val="1"/>
          <w:numId w:val="1"/>
        </w:numPr>
        <w:tabs>
          <w:tab w:val="left" w:pos="1480"/>
        </w:tabs>
        <w:spacing w:line="360" w:lineRule="auto"/>
        <w:ind w:right="346"/>
      </w:pPr>
      <w:r>
        <w:t>Technical engagement would have permitted adequate consideration of the relevant comparators for this appraisal.</w:t>
      </w:r>
      <w:r>
        <w:rPr>
          <w:spacing w:val="40"/>
        </w:rPr>
        <w:t xml:space="preserve"> </w:t>
      </w:r>
      <w:r>
        <w:t>Right up to ACM2 the EAG maintained</w:t>
      </w:r>
      <w:r>
        <w:rPr>
          <w:spacing w:val="-5"/>
        </w:rPr>
        <w:t xml:space="preserve"> </w:t>
      </w:r>
      <w:r>
        <w:t>that</w:t>
      </w:r>
      <w:r>
        <w:rPr>
          <w:spacing w:val="-4"/>
        </w:rPr>
        <w:t xml:space="preserve"> </w:t>
      </w:r>
      <w:r>
        <w:t>the</w:t>
      </w:r>
      <w:r>
        <w:rPr>
          <w:spacing w:val="-5"/>
        </w:rPr>
        <w:t xml:space="preserve"> </w:t>
      </w:r>
      <w:r>
        <w:t>issue</w:t>
      </w:r>
      <w:r>
        <w:rPr>
          <w:spacing w:val="-5"/>
        </w:rPr>
        <w:t xml:space="preserve"> </w:t>
      </w:r>
      <w:r>
        <w:t>of</w:t>
      </w:r>
      <w:r>
        <w:rPr>
          <w:spacing w:val="-1"/>
        </w:rPr>
        <w:t xml:space="preserve"> </w:t>
      </w:r>
      <w:r>
        <w:t>comparators</w:t>
      </w:r>
      <w:r>
        <w:rPr>
          <w:spacing w:val="-5"/>
        </w:rPr>
        <w:t xml:space="preserve"> </w:t>
      </w:r>
      <w:r>
        <w:t>had</w:t>
      </w:r>
      <w:r>
        <w:rPr>
          <w:spacing w:val="-3"/>
        </w:rPr>
        <w:t xml:space="preserve"> </w:t>
      </w:r>
      <w:r>
        <w:t>not</w:t>
      </w:r>
      <w:r>
        <w:rPr>
          <w:spacing w:val="-4"/>
        </w:rPr>
        <w:t xml:space="preserve"> </w:t>
      </w:r>
      <w:r>
        <w:t>been</w:t>
      </w:r>
      <w:r>
        <w:rPr>
          <w:spacing w:val="-3"/>
        </w:rPr>
        <w:t xml:space="preserve"> </w:t>
      </w:r>
      <w:r>
        <w:t>resolved</w:t>
      </w:r>
      <w:r>
        <w:rPr>
          <w:spacing w:val="-3"/>
        </w:rPr>
        <w:t xml:space="preserve"> </w:t>
      </w:r>
      <w:r>
        <w:t>and</w:t>
      </w:r>
      <w:r>
        <w:rPr>
          <w:spacing w:val="-3"/>
        </w:rPr>
        <w:t xml:space="preserve"> </w:t>
      </w:r>
      <w:r>
        <w:t>criticised the network meta-analysis submitted by UCB on the basis that this did not include a number of treatments considered by the EAG to be relevant.</w:t>
      </w:r>
      <w:r>
        <w:rPr>
          <w:spacing w:val="40"/>
        </w:rPr>
        <w:t xml:space="preserve"> </w:t>
      </w:r>
      <w:r>
        <w:t>UCB was</w:t>
      </w:r>
      <w:r>
        <w:rPr>
          <w:spacing w:val="-1"/>
        </w:rPr>
        <w:t xml:space="preserve"> </w:t>
      </w:r>
      <w:r>
        <w:t>ultimately</w:t>
      </w:r>
      <w:r>
        <w:rPr>
          <w:spacing w:val="-3"/>
        </w:rPr>
        <w:t xml:space="preserve"> </w:t>
      </w:r>
      <w:r>
        <w:t>asked, a</w:t>
      </w:r>
      <w:r>
        <w:rPr>
          <w:spacing w:val="-5"/>
        </w:rPr>
        <w:t xml:space="preserve"> </w:t>
      </w:r>
      <w:r>
        <w:t>mere</w:t>
      </w:r>
      <w:r>
        <w:rPr>
          <w:spacing w:val="-3"/>
        </w:rPr>
        <w:t xml:space="preserve"> </w:t>
      </w:r>
      <w:r>
        <w:t>two</w:t>
      </w:r>
      <w:r>
        <w:rPr>
          <w:spacing w:val="-1"/>
        </w:rPr>
        <w:t xml:space="preserve"> </w:t>
      </w:r>
      <w:r>
        <w:t>days before</w:t>
      </w:r>
      <w:r>
        <w:rPr>
          <w:spacing w:val="-3"/>
        </w:rPr>
        <w:t xml:space="preserve"> </w:t>
      </w:r>
      <w:r>
        <w:t>ACM2</w:t>
      </w:r>
      <w:r>
        <w:rPr>
          <w:spacing w:val="-1"/>
        </w:rPr>
        <w:t xml:space="preserve"> </w:t>
      </w:r>
      <w:r>
        <w:t>to</w:t>
      </w:r>
      <w:r>
        <w:rPr>
          <w:spacing w:val="-1"/>
        </w:rPr>
        <w:t xml:space="preserve"> </w:t>
      </w:r>
      <w:r>
        <w:t>provide</w:t>
      </w:r>
      <w:r>
        <w:rPr>
          <w:spacing w:val="-1"/>
        </w:rPr>
        <w:t xml:space="preserve"> </w:t>
      </w:r>
      <w:r>
        <w:t>a</w:t>
      </w:r>
      <w:r>
        <w:rPr>
          <w:spacing w:val="-1"/>
        </w:rPr>
        <w:t xml:space="preserve"> </w:t>
      </w:r>
      <w:r>
        <w:t>comparison between fenfluramine and standard of care alone, despite its position that such a comparison is inappropriate.</w:t>
      </w:r>
    </w:p>
    <w:p w:rsidR="00554D93" w:rsidRDefault="003323F1" w14:paraId="7B67DD18" w14:textId="77777777">
      <w:pPr>
        <w:pStyle w:val="ListParagraph"/>
        <w:numPr>
          <w:ilvl w:val="1"/>
          <w:numId w:val="1"/>
        </w:numPr>
        <w:tabs>
          <w:tab w:val="left" w:pos="1480"/>
        </w:tabs>
        <w:spacing w:line="360" w:lineRule="auto"/>
      </w:pPr>
      <w:r>
        <w:t>The</w:t>
      </w:r>
      <w:r>
        <w:rPr>
          <w:spacing w:val="-5"/>
        </w:rPr>
        <w:t xml:space="preserve"> </w:t>
      </w:r>
      <w:r>
        <w:t>efficacy</w:t>
      </w:r>
      <w:r>
        <w:rPr>
          <w:spacing w:val="-5"/>
        </w:rPr>
        <w:t xml:space="preserve"> </w:t>
      </w:r>
      <w:r>
        <w:t>assumptions</w:t>
      </w:r>
      <w:r>
        <w:rPr>
          <w:spacing w:val="-2"/>
        </w:rPr>
        <w:t xml:space="preserve"> </w:t>
      </w:r>
      <w:r>
        <w:t>are</w:t>
      </w:r>
      <w:r>
        <w:rPr>
          <w:spacing w:val="-5"/>
        </w:rPr>
        <w:t xml:space="preserve"> </w:t>
      </w:r>
      <w:r>
        <w:t>complex</w:t>
      </w:r>
      <w:r>
        <w:rPr>
          <w:spacing w:val="-5"/>
        </w:rPr>
        <w:t xml:space="preserve"> </w:t>
      </w:r>
      <w:r>
        <w:t>in</w:t>
      </w:r>
      <w:r>
        <w:rPr>
          <w:spacing w:val="-3"/>
        </w:rPr>
        <w:t xml:space="preserve"> </w:t>
      </w:r>
      <w:r>
        <w:t>this</w:t>
      </w:r>
      <w:r>
        <w:rPr>
          <w:spacing w:val="-2"/>
        </w:rPr>
        <w:t xml:space="preserve"> </w:t>
      </w:r>
      <w:r>
        <w:t>appraisal</w:t>
      </w:r>
      <w:r>
        <w:rPr>
          <w:spacing w:val="-4"/>
        </w:rPr>
        <w:t xml:space="preserve"> </w:t>
      </w:r>
      <w:r>
        <w:t>in</w:t>
      </w:r>
      <w:r>
        <w:rPr>
          <w:spacing w:val="-3"/>
        </w:rPr>
        <w:t xml:space="preserve"> </w:t>
      </w:r>
      <w:r>
        <w:t>view</w:t>
      </w:r>
      <w:r>
        <w:rPr>
          <w:spacing w:val="-6"/>
        </w:rPr>
        <w:t xml:space="preserve"> </w:t>
      </w:r>
      <w:r>
        <w:t>of</w:t>
      </w:r>
      <w:r>
        <w:rPr>
          <w:spacing w:val="-2"/>
        </w:rPr>
        <w:t xml:space="preserve"> </w:t>
      </w:r>
      <w:r>
        <w:t>the</w:t>
      </w:r>
      <w:r>
        <w:rPr>
          <w:spacing w:val="-5"/>
        </w:rPr>
        <w:t xml:space="preserve"> </w:t>
      </w:r>
      <w:r>
        <w:t>absence of head</w:t>
      </w:r>
      <w:r>
        <w:rPr>
          <w:spacing w:val="-2"/>
        </w:rPr>
        <w:t xml:space="preserve"> </w:t>
      </w:r>
      <w:r>
        <w:t>to</w:t>
      </w:r>
      <w:r>
        <w:rPr>
          <w:spacing w:val="-2"/>
        </w:rPr>
        <w:t xml:space="preserve"> </w:t>
      </w:r>
      <w:r>
        <w:t>head</w:t>
      </w:r>
      <w:r>
        <w:rPr>
          <w:spacing w:val="-2"/>
        </w:rPr>
        <w:t xml:space="preserve"> </w:t>
      </w:r>
      <w:r>
        <w:t>trials and the</w:t>
      </w:r>
      <w:r>
        <w:rPr>
          <w:spacing w:val="-2"/>
        </w:rPr>
        <w:t xml:space="preserve"> </w:t>
      </w:r>
      <w:r>
        <w:t>heterogeneous</w:t>
      </w:r>
      <w:r>
        <w:rPr>
          <w:spacing w:val="-2"/>
        </w:rPr>
        <w:t xml:space="preserve"> </w:t>
      </w:r>
      <w:r>
        <w:t>nature of</w:t>
      </w:r>
      <w:r>
        <w:rPr>
          <w:spacing w:val="-1"/>
        </w:rPr>
        <w:t xml:space="preserve"> </w:t>
      </w:r>
      <w:r>
        <w:t>the patient population. It was therefore inevitable that, without technical engagement, it would be challenging to agree the appropriate method to compare the efficacy of fenfluramine and cannabidiol and to resolve the issues in a timely manner within the scope of two Appraisal Committee meetings.</w:t>
      </w:r>
      <w:r>
        <w:rPr>
          <w:spacing w:val="40"/>
        </w:rPr>
        <w:t xml:space="preserve"> </w:t>
      </w:r>
      <w:r>
        <w:t>Ultimately the first discussions regarding these matters took place during ACM1, wi</w:t>
      </w:r>
      <w:r>
        <w:t>th the result that UCB was asked to explore a range of options following the draft guidance, in circumstances where there was inadequate time for consideration at ACM2</w:t>
      </w:r>
    </w:p>
    <w:p w:rsidR="00554D93" w:rsidRDefault="00554D93" w14:paraId="3656B9AB" w14:textId="77777777">
      <w:pPr>
        <w:pStyle w:val="BodyText"/>
        <w:spacing w:before="109"/>
      </w:pPr>
    </w:p>
    <w:p w:rsidR="00554D93" w:rsidRDefault="003323F1" w14:paraId="7EFDA52F" w14:textId="77777777">
      <w:pPr>
        <w:pStyle w:val="BodyText"/>
        <w:spacing w:before="1" w:line="360" w:lineRule="auto"/>
        <w:ind w:left="760" w:right="411"/>
      </w:pPr>
      <w:r>
        <w:t>Overall, in the context of a complex appraisal of a treatment, such as fenfluramine, for a rare disease with a heterogeneous patient population and no direct treatment comparison,</w:t>
      </w:r>
      <w:r>
        <w:rPr>
          <w:spacing w:val="-4"/>
        </w:rPr>
        <w:t xml:space="preserve"> </w:t>
      </w:r>
      <w:r>
        <w:t>technical</w:t>
      </w:r>
      <w:r>
        <w:rPr>
          <w:spacing w:val="-4"/>
        </w:rPr>
        <w:t xml:space="preserve"> </w:t>
      </w:r>
      <w:r>
        <w:t>engagement</w:t>
      </w:r>
      <w:r>
        <w:rPr>
          <w:spacing w:val="-4"/>
        </w:rPr>
        <w:t xml:space="preserve"> </w:t>
      </w:r>
      <w:r>
        <w:t>is</w:t>
      </w:r>
      <w:r>
        <w:rPr>
          <w:spacing w:val="-2"/>
        </w:rPr>
        <w:t xml:space="preserve"> </w:t>
      </w:r>
      <w:r>
        <w:t>almost</w:t>
      </w:r>
      <w:r>
        <w:rPr>
          <w:spacing w:val="-4"/>
        </w:rPr>
        <w:t xml:space="preserve"> </w:t>
      </w:r>
      <w:r>
        <w:t>certainly</w:t>
      </w:r>
      <w:r>
        <w:rPr>
          <w:spacing w:val="-5"/>
        </w:rPr>
        <w:t xml:space="preserve"> </w:t>
      </w:r>
      <w:r>
        <w:t>necessary</w:t>
      </w:r>
      <w:r>
        <w:rPr>
          <w:spacing w:val="-5"/>
        </w:rPr>
        <w:t xml:space="preserve"> </w:t>
      </w:r>
      <w:r>
        <w:t>in</w:t>
      </w:r>
      <w:r>
        <w:rPr>
          <w:spacing w:val="-3"/>
        </w:rPr>
        <w:t xml:space="preserve"> </w:t>
      </w:r>
      <w:r>
        <w:t>order</w:t>
      </w:r>
      <w:r>
        <w:rPr>
          <w:spacing w:val="-4"/>
        </w:rPr>
        <w:t xml:space="preserve"> </w:t>
      </w:r>
      <w:r>
        <w:t>to</w:t>
      </w:r>
      <w:r>
        <w:rPr>
          <w:spacing w:val="-3"/>
        </w:rPr>
        <w:t xml:space="preserve"> </w:t>
      </w:r>
      <w:r>
        <w:t>resolve uncertainties before ACM1.</w:t>
      </w:r>
      <w:r>
        <w:rPr>
          <w:spacing w:val="40"/>
        </w:rPr>
        <w:t xml:space="preserve"> </w:t>
      </w:r>
      <w:r>
        <w:t>The experience with the current appraisal clearly</w:t>
      </w:r>
    </w:p>
    <w:p w:rsidR="00554D93" w:rsidRDefault="00554D93" w14:paraId="45FB0818" w14:textId="77777777">
      <w:pPr>
        <w:spacing w:line="360" w:lineRule="auto"/>
        <w:sectPr w:rsidR="00554D93">
          <w:pgSz w:w="11910" w:h="16840" w:orient="portrait"/>
          <w:pgMar w:top="860" w:right="1480" w:bottom="1200" w:left="1040" w:header="182" w:footer="1007" w:gutter="0"/>
          <w:cols w:space="720"/>
        </w:sectPr>
      </w:pPr>
    </w:p>
    <w:p w:rsidR="00554D93" w:rsidRDefault="00554D93" w14:paraId="049F31CB" w14:textId="77777777">
      <w:pPr>
        <w:pStyle w:val="BodyText"/>
      </w:pPr>
    </w:p>
    <w:p w:rsidR="00554D93" w:rsidRDefault="00554D93" w14:paraId="53128261" w14:textId="77777777">
      <w:pPr>
        <w:pStyle w:val="BodyText"/>
        <w:spacing w:before="59"/>
      </w:pPr>
    </w:p>
    <w:p w:rsidR="00554D93" w:rsidRDefault="003323F1" w14:paraId="03B9EC5D" w14:textId="77777777">
      <w:pPr>
        <w:pStyle w:val="BodyText"/>
        <w:spacing w:line="360" w:lineRule="auto"/>
        <w:ind w:left="760" w:right="411"/>
      </w:pPr>
      <w:r>
        <w:t>illustrates</w:t>
      </w:r>
      <w:r>
        <w:rPr>
          <w:spacing w:val="-5"/>
        </w:rPr>
        <w:t xml:space="preserve"> </w:t>
      </w:r>
      <w:r>
        <w:t>that,</w:t>
      </w:r>
      <w:r>
        <w:rPr>
          <w:spacing w:val="-2"/>
        </w:rPr>
        <w:t xml:space="preserve"> </w:t>
      </w:r>
      <w:r>
        <w:t>in</w:t>
      </w:r>
      <w:r>
        <w:rPr>
          <w:spacing w:val="-6"/>
        </w:rPr>
        <w:t xml:space="preserve"> </w:t>
      </w:r>
      <w:r>
        <w:t>the</w:t>
      </w:r>
      <w:r>
        <w:rPr>
          <w:spacing w:val="-6"/>
        </w:rPr>
        <w:t xml:space="preserve"> </w:t>
      </w:r>
      <w:r>
        <w:t>absence</w:t>
      </w:r>
      <w:r>
        <w:rPr>
          <w:spacing w:val="-4"/>
        </w:rPr>
        <w:t xml:space="preserve"> </w:t>
      </w:r>
      <w:r>
        <w:t>of</w:t>
      </w:r>
      <w:r>
        <w:rPr>
          <w:spacing w:val="-2"/>
        </w:rPr>
        <w:t xml:space="preserve"> </w:t>
      </w:r>
      <w:r>
        <w:t>technical</w:t>
      </w:r>
      <w:r>
        <w:rPr>
          <w:spacing w:val="-5"/>
        </w:rPr>
        <w:t xml:space="preserve"> </w:t>
      </w:r>
      <w:r>
        <w:t>engagement,</w:t>
      </w:r>
      <w:r>
        <w:rPr>
          <w:spacing w:val="-5"/>
        </w:rPr>
        <w:t xml:space="preserve"> </w:t>
      </w:r>
      <w:r>
        <w:t>two</w:t>
      </w:r>
      <w:r>
        <w:rPr>
          <w:spacing w:val="-4"/>
        </w:rPr>
        <w:t xml:space="preserve"> </w:t>
      </w:r>
      <w:r>
        <w:t>meetings</w:t>
      </w:r>
      <w:r>
        <w:rPr>
          <w:spacing w:val="-6"/>
        </w:rPr>
        <w:t xml:space="preserve"> </w:t>
      </w:r>
      <w:r>
        <w:t>of</w:t>
      </w:r>
      <w:r>
        <w:rPr>
          <w:spacing w:val="-2"/>
        </w:rPr>
        <w:t xml:space="preserve"> </w:t>
      </w:r>
      <w:r>
        <w:t>the Appraisal Committee is insufficient for consideration of the issues.</w:t>
      </w:r>
    </w:p>
    <w:p w:rsidR="00554D93" w:rsidRDefault="00554D93" w14:paraId="62486C05" w14:textId="77777777">
      <w:pPr>
        <w:pStyle w:val="BodyText"/>
        <w:spacing w:before="126"/>
      </w:pPr>
    </w:p>
    <w:p w:rsidR="00554D93" w:rsidRDefault="003323F1" w14:paraId="672C4EF9" w14:textId="77777777">
      <w:pPr>
        <w:pStyle w:val="BodyText"/>
        <w:spacing w:line="360" w:lineRule="auto"/>
        <w:ind w:left="760" w:right="350"/>
      </w:pPr>
      <w:r>
        <w:t>Our appeal document of 2 May explained that NICE had applied an incorrect test in deciding not</w:t>
      </w:r>
      <w:r>
        <w:rPr>
          <w:spacing w:val="-3"/>
        </w:rPr>
        <w:t xml:space="preserve"> </w:t>
      </w:r>
      <w:r>
        <w:t>to</w:t>
      </w:r>
      <w:r>
        <w:rPr>
          <w:spacing w:val="-2"/>
        </w:rPr>
        <w:t xml:space="preserve"> </w:t>
      </w:r>
      <w:r>
        <w:t>include</w:t>
      </w:r>
      <w:r>
        <w:rPr>
          <w:spacing w:val="-2"/>
        </w:rPr>
        <w:t xml:space="preserve"> </w:t>
      </w:r>
      <w:r>
        <w:t>a</w:t>
      </w:r>
      <w:r>
        <w:rPr>
          <w:spacing w:val="-6"/>
        </w:rPr>
        <w:t xml:space="preserve"> </w:t>
      </w:r>
      <w:r>
        <w:t>technical</w:t>
      </w:r>
      <w:r>
        <w:rPr>
          <w:spacing w:val="-3"/>
        </w:rPr>
        <w:t xml:space="preserve"> </w:t>
      </w:r>
      <w:r>
        <w:t>engagement</w:t>
      </w:r>
      <w:r>
        <w:rPr>
          <w:spacing w:val="-3"/>
        </w:rPr>
        <w:t xml:space="preserve"> </w:t>
      </w:r>
      <w:r>
        <w:t>step</w:t>
      </w:r>
      <w:r>
        <w:rPr>
          <w:spacing w:val="-2"/>
        </w:rPr>
        <w:t xml:space="preserve"> </w:t>
      </w:r>
      <w:r>
        <w:t>in</w:t>
      </w:r>
      <w:r>
        <w:rPr>
          <w:spacing w:val="-2"/>
        </w:rPr>
        <w:t xml:space="preserve"> </w:t>
      </w:r>
      <w:r>
        <w:t>this</w:t>
      </w:r>
      <w:r>
        <w:rPr>
          <w:spacing w:val="-4"/>
        </w:rPr>
        <w:t xml:space="preserve"> </w:t>
      </w:r>
      <w:r>
        <w:t>case</w:t>
      </w:r>
      <w:r>
        <w:rPr>
          <w:spacing w:val="-4"/>
        </w:rPr>
        <w:t xml:space="preserve"> </w:t>
      </w:r>
      <w:r>
        <w:t>and</w:t>
      </w:r>
      <w:r>
        <w:rPr>
          <w:spacing w:val="-2"/>
        </w:rPr>
        <w:t xml:space="preserve"> </w:t>
      </w:r>
      <w:r>
        <w:t>why</w:t>
      </w:r>
      <w:r>
        <w:rPr>
          <w:spacing w:val="-4"/>
        </w:rPr>
        <w:t xml:space="preserve"> </w:t>
      </w:r>
      <w:r>
        <w:t>it should,</w:t>
      </w:r>
      <w:r>
        <w:rPr>
          <w:spacing w:val="-3"/>
        </w:rPr>
        <w:t xml:space="preserve"> </w:t>
      </w:r>
      <w:r>
        <w:t>in accordance with the Manual and as a matter of procedural fairness, have included this part of the process in the current case.</w:t>
      </w:r>
      <w:r>
        <w:rPr>
          <w:spacing w:val="40"/>
        </w:rPr>
        <w:t xml:space="preserve"> </w:t>
      </w:r>
      <w:r>
        <w:t>We</w:t>
      </w:r>
      <w:r>
        <w:rPr>
          <w:spacing w:val="-1"/>
        </w:rPr>
        <w:t xml:space="preserve"> </w:t>
      </w:r>
      <w:r>
        <w:t>understood from your letter that you accepted that this argument should proceed to appeal and required only further details of the prejudice resulting from technical engagement.</w:t>
      </w:r>
      <w:r>
        <w:rPr>
          <w:spacing w:val="40"/>
        </w:rPr>
        <w:t xml:space="preserve"> </w:t>
      </w:r>
      <w:r>
        <w:t>We have therefore limited the information in this letter to the prejudice element of this point of appeal and why the lack of tec</w:t>
      </w:r>
      <w:r>
        <w:t>hnical engagement has resulted in an appraisal where key issues have not been resolved following two meetings of the Appraisal Committee.</w:t>
      </w:r>
    </w:p>
    <w:p w:rsidR="00554D93" w:rsidRDefault="00554D93" w14:paraId="4101652C" w14:textId="77777777">
      <w:pPr>
        <w:pStyle w:val="BodyText"/>
      </w:pPr>
    </w:p>
    <w:p w:rsidR="00554D93" w:rsidRDefault="00554D93" w14:paraId="4B99056E" w14:textId="77777777">
      <w:pPr>
        <w:pStyle w:val="BodyText"/>
        <w:spacing w:before="11"/>
      </w:pPr>
    </w:p>
    <w:p w:rsidR="00554D93" w:rsidRDefault="003323F1" w14:paraId="230B191F" w14:textId="77777777">
      <w:pPr>
        <w:pStyle w:val="Heading1"/>
        <w:numPr>
          <w:ilvl w:val="0"/>
          <w:numId w:val="1"/>
        </w:numPr>
        <w:tabs>
          <w:tab w:val="left" w:pos="1478"/>
          <w:tab w:val="left" w:pos="1480"/>
        </w:tabs>
        <w:spacing w:line="360" w:lineRule="auto"/>
        <w:ind w:right="337"/>
      </w:pPr>
      <w:r>
        <w:t>Ground 1(a).2: In the circumstances of this appraisal, including the lack of technical engagement, the multiple unresolved issues and the</w:t>
      </w:r>
      <w:r>
        <w:rPr>
          <w:spacing w:val="40"/>
        </w:rPr>
        <w:t xml:space="preserve"> </w:t>
      </w:r>
      <w:r>
        <w:t>change in approach between ACM1 and ACM2, a third meeting of the Appraisal</w:t>
      </w:r>
      <w:r>
        <w:rPr>
          <w:spacing w:val="-1"/>
        </w:rPr>
        <w:t xml:space="preserve"> </w:t>
      </w:r>
      <w:r>
        <w:t>Committee</w:t>
      </w:r>
      <w:r>
        <w:rPr>
          <w:spacing w:val="-5"/>
        </w:rPr>
        <w:t xml:space="preserve"> </w:t>
      </w:r>
      <w:r>
        <w:t>should</w:t>
      </w:r>
      <w:r>
        <w:rPr>
          <w:spacing w:val="-2"/>
        </w:rPr>
        <w:t xml:space="preserve"> </w:t>
      </w:r>
      <w:r>
        <w:t>have</w:t>
      </w:r>
      <w:r>
        <w:rPr>
          <w:spacing w:val="-3"/>
        </w:rPr>
        <w:t xml:space="preserve"> </w:t>
      </w:r>
      <w:r>
        <w:t>been</w:t>
      </w:r>
      <w:r>
        <w:rPr>
          <w:spacing w:val="-3"/>
        </w:rPr>
        <w:t xml:space="preserve"> </w:t>
      </w:r>
      <w:r>
        <w:t>scheduled</w:t>
      </w:r>
      <w:r>
        <w:rPr>
          <w:spacing w:val="-3"/>
        </w:rPr>
        <w:t xml:space="preserve"> </w:t>
      </w:r>
      <w:r>
        <w:t>prior</w:t>
      </w:r>
      <w:r>
        <w:rPr>
          <w:spacing w:val="-5"/>
        </w:rPr>
        <w:t xml:space="preserve"> </w:t>
      </w:r>
      <w:r>
        <w:t>to</w:t>
      </w:r>
      <w:r>
        <w:rPr>
          <w:spacing w:val="-5"/>
        </w:rPr>
        <w:t xml:space="preserve"> </w:t>
      </w:r>
      <w:r>
        <w:t>issue</w:t>
      </w:r>
      <w:r>
        <w:rPr>
          <w:spacing w:val="-6"/>
        </w:rPr>
        <w:t xml:space="preserve"> </w:t>
      </w:r>
      <w:r>
        <w:t>of</w:t>
      </w:r>
      <w:r>
        <w:rPr>
          <w:spacing w:val="-4"/>
        </w:rPr>
        <w:t xml:space="preserve"> </w:t>
      </w:r>
      <w:r>
        <w:t>Final Draft Guidance</w:t>
      </w:r>
    </w:p>
    <w:p w:rsidR="00554D93" w:rsidRDefault="00554D93" w14:paraId="1299C43A" w14:textId="77777777">
      <w:pPr>
        <w:pStyle w:val="BodyText"/>
        <w:spacing w:before="130"/>
        <w:rPr>
          <w:b/>
        </w:rPr>
      </w:pPr>
    </w:p>
    <w:p w:rsidR="00554D93" w:rsidRDefault="003323F1" w14:paraId="5665050C" w14:textId="77777777">
      <w:pPr>
        <w:pStyle w:val="BodyText"/>
        <w:spacing w:line="360" w:lineRule="auto"/>
        <w:ind w:left="760" w:right="411"/>
      </w:pPr>
      <w:r>
        <w:t>You suggest in your letter of 10 May 2024 that you are not minded to refer this appeal</w:t>
      </w:r>
      <w:r>
        <w:rPr>
          <w:spacing w:val="-3"/>
        </w:rPr>
        <w:t xml:space="preserve"> </w:t>
      </w:r>
      <w:r>
        <w:t>point</w:t>
      </w:r>
      <w:r>
        <w:rPr>
          <w:spacing w:val="-3"/>
        </w:rPr>
        <w:t xml:space="preserve"> </w:t>
      </w:r>
      <w:r>
        <w:t>to</w:t>
      </w:r>
      <w:r>
        <w:rPr>
          <w:spacing w:val="-4"/>
        </w:rPr>
        <w:t xml:space="preserve"> </w:t>
      </w:r>
      <w:r>
        <w:t>the</w:t>
      </w:r>
      <w:r>
        <w:rPr>
          <w:spacing w:val="-2"/>
        </w:rPr>
        <w:t xml:space="preserve"> </w:t>
      </w:r>
      <w:r>
        <w:t>Appeal</w:t>
      </w:r>
      <w:r>
        <w:rPr>
          <w:spacing w:val="-3"/>
        </w:rPr>
        <w:t xml:space="preserve"> </w:t>
      </w:r>
      <w:r>
        <w:t>Panel</w:t>
      </w:r>
      <w:r>
        <w:rPr>
          <w:spacing w:val="-3"/>
        </w:rPr>
        <w:t xml:space="preserve"> </w:t>
      </w:r>
      <w:r>
        <w:t>on</w:t>
      </w:r>
      <w:r>
        <w:rPr>
          <w:spacing w:val="-2"/>
        </w:rPr>
        <w:t xml:space="preserve"> </w:t>
      </w:r>
      <w:r>
        <w:t>the</w:t>
      </w:r>
      <w:r>
        <w:rPr>
          <w:spacing w:val="-4"/>
        </w:rPr>
        <w:t xml:space="preserve"> </w:t>
      </w:r>
      <w:r>
        <w:t>basis</w:t>
      </w:r>
      <w:r>
        <w:rPr>
          <w:spacing w:val="-4"/>
        </w:rPr>
        <w:t xml:space="preserve"> </w:t>
      </w:r>
      <w:r>
        <w:t>that,</w:t>
      </w:r>
      <w:r>
        <w:rPr>
          <w:spacing w:val="-3"/>
        </w:rPr>
        <w:t xml:space="preserve"> </w:t>
      </w:r>
      <w:r>
        <w:t>you</w:t>
      </w:r>
      <w:r>
        <w:rPr>
          <w:spacing w:val="-2"/>
        </w:rPr>
        <w:t xml:space="preserve"> </w:t>
      </w:r>
      <w:r>
        <w:t>say, outstanding uncertainty is</w:t>
      </w:r>
      <w:r>
        <w:rPr>
          <w:spacing w:val="-1"/>
        </w:rPr>
        <w:t xml:space="preserve"> </w:t>
      </w:r>
      <w:r>
        <w:t>not a</w:t>
      </w:r>
      <w:r>
        <w:rPr>
          <w:spacing w:val="-4"/>
        </w:rPr>
        <w:t xml:space="preserve"> </w:t>
      </w:r>
      <w:r>
        <w:t>basis</w:t>
      </w:r>
      <w:r>
        <w:rPr>
          <w:spacing w:val="-1"/>
        </w:rPr>
        <w:t xml:space="preserve"> </w:t>
      </w:r>
      <w:r>
        <w:t>on</w:t>
      </w:r>
      <w:r>
        <w:rPr>
          <w:spacing w:val="-2"/>
        </w:rPr>
        <w:t xml:space="preserve"> </w:t>
      </w:r>
      <w:r>
        <w:t>its</w:t>
      </w:r>
      <w:r>
        <w:rPr>
          <w:spacing w:val="-3"/>
        </w:rPr>
        <w:t xml:space="preserve"> </w:t>
      </w:r>
      <w:r>
        <w:t>own</w:t>
      </w:r>
      <w:r>
        <w:rPr>
          <w:spacing w:val="-2"/>
        </w:rPr>
        <w:t xml:space="preserve"> </w:t>
      </w:r>
      <w:r>
        <w:t>for</w:t>
      </w:r>
      <w:r>
        <w:rPr>
          <w:spacing w:val="-3"/>
        </w:rPr>
        <w:t xml:space="preserve"> </w:t>
      </w:r>
      <w:r>
        <w:t>a</w:t>
      </w:r>
      <w:r>
        <w:rPr>
          <w:spacing w:val="-2"/>
        </w:rPr>
        <w:t xml:space="preserve"> </w:t>
      </w:r>
      <w:r>
        <w:t>conclusion</w:t>
      </w:r>
      <w:r>
        <w:rPr>
          <w:spacing w:val="-4"/>
        </w:rPr>
        <w:t xml:space="preserve"> </w:t>
      </w:r>
      <w:r>
        <w:t>that it</w:t>
      </w:r>
      <w:r>
        <w:rPr>
          <w:spacing w:val="-3"/>
        </w:rPr>
        <w:t xml:space="preserve"> </w:t>
      </w:r>
      <w:r>
        <w:t>was</w:t>
      </w:r>
      <w:r>
        <w:rPr>
          <w:spacing w:val="-2"/>
        </w:rPr>
        <w:t xml:space="preserve"> </w:t>
      </w:r>
      <w:r>
        <w:t>procedurally</w:t>
      </w:r>
      <w:r>
        <w:rPr>
          <w:spacing w:val="-4"/>
        </w:rPr>
        <w:t xml:space="preserve"> </w:t>
      </w:r>
      <w:r>
        <w:t>unfair</w:t>
      </w:r>
      <w:r>
        <w:rPr>
          <w:spacing w:val="-1"/>
        </w:rPr>
        <w:t xml:space="preserve"> </w:t>
      </w:r>
      <w:r>
        <w:t>not</w:t>
      </w:r>
      <w:r>
        <w:rPr>
          <w:spacing w:val="-3"/>
        </w:rPr>
        <w:t xml:space="preserve"> </w:t>
      </w:r>
      <w:r>
        <w:t>to</w:t>
      </w:r>
      <w:r>
        <w:rPr>
          <w:spacing w:val="-2"/>
        </w:rPr>
        <w:t xml:space="preserve"> </w:t>
      </w:r>
      <w:r>
        <w:t>hold</w:t>
      </w:r>
      <w:r>
        <w:rPr>
          <w:spacing w:val="-2"/>
        </w:rPr>
        <w:t xml:space="preserve"> </w:t>
      </w:r>
      <w:r>
        <w:t>a third meeting of the Committee.</w:t>
      </w:r>
    </w:p>
    <w:p w:rsidR="00554D93" w:rsidRDefault="00554D93" w14:paraId="4DDBEF00" w14:textId="77777777">
      <w:pPr>
        <w:pStyle w:val="BodyText"/>
        <w:spacing w:before="125"/>
      </w:pPr>
    </w:p>
    <w:p w:rsidR="00554D93" w:rsidRDefault="003323F1" w14:paraId="76DED5EB" w14:textId="77777777">
      <w:pPr>
        <w:pStyle w:val="BodyText"/>
        <w:spacing w:line="360" w:lineRule="auto"/>
        <w:ind w:left="760" w:right="411"/>
      </w:pPr>
      <w:r>
        <w:t>However, the point of appeal advanced by UCB is not based solely on residual uncertainty, but on the following matters which cumulatively mean that a third meeting</w:t>
      </w:r>
      <w:r>
        <w:rPr>
          <w:spacing w:val="-5"/>
        </w:rPr>
        <w:t xml:space="preserve"> </w:t>
      </w:r>
      <w:r>
        <w:t>of</w:t>
      </w:r>
      <w:r>
        <w:rPr>
          <w:spacing w:val="-5"/>
        </w:rPr>
        <w:t xml:space="preserve"> </w:t>
      </w:r>
      <w:r>
        <w:t>the</w:t>
      </w:r>
      <w:r>
        <w:rPr>
          <w:spacing w:val="-6"/>
        </w:rPr>
        <w:t xml:space="preserve"> </w:t>
      </w:r>
      <w:r>
        <w:t>Appraisal</w:t>
      </w:r>
      <w:r>
        <w:rPr>
          <w:spacing w:val="-7"/>
        </w:rPr>
        <w:t xml:space="preserve"> </w:t>
      </w:r>
      <w:r>
        <w:t>Committee</w:t>
      </w:r>
      <w:r>
        <w:rPr>
          <w:spacing w:val="-4"/>
        </w:rPr>
        <w:t xml:space="preserve"> </w:t>
      </w:r>
      <w:r>
        <w:t>was</w:t>
      </w:r>
      <w:r>
        <w:rPr>
          <w:spacing w:val="-4"/>
        </w:rPr>
        <w:t xml:space="preserve"> </w:t>
      </w:r>
      <w:r>
        <w:t>required</w:t>
      </w:r>
      <w:r>
        <w:rPr>
          <w:spacing w:val="-8"/>
        </w:rPr>
        <w:t xml:space="preserve"> </w:t>
      </w:r>
      <w:r>
        <w:t>as</w:t>
      </w:r>
      <w:r>
        <w:rPr>
          <w:spacing w:val="-5"/>
        </w:rPr>
        <w:t xml:space="preserve"> </w:t>
      </w:r>
      <w:r>
        <w:t>a</w:t>
      </w:r>
      <w:r>
        <w:rPr>
          <w:spacing w:val="-5"/>
        </w:rPr>
        <w:t xml:space="preserve"> </w:t>
      </w:r>
      <w:r>
        <w:t>matter</w:t>
      </w:r>
      <w:r>
        <w:rPr>
          <w:spacing w:val="-5"/>
        </w:rPr>
        <w:t xml:space="preserve"> </w:t>
      </w:r>
      <w:r>
        <w:t>of</w:t>
      </w:r>
      <w:r>
        <w:rPr>
          <w:spacing w:val="-2"/>
        </w:rPr>
        <w:t xml:space="preserve"> </w:t>
      </w:r>
      <w:r>
        <w:t>procedural</w:t>
      </w:r>
      <w:r>
        <w:rPr>
          <w:spacing w:val="-8"/>
        </w:rPr>
        <w:t xml:space="preserve"> </w:t>
      </w:r>
      <w:r>
        <w:rPr>
          <w:spacing w:val="-2"/>
        </w:rPr>
        <w:t>fairness.</w:t>
      </w:r>
    </w:p>
    <w:p w:rsidR="00554D93" w:rsidRDefault="003323F1" w14:paraId="4FBBCA93" w14:textId="77777777">
      <w:pPr>
        <w:pStyle w:val="ListParagraph"/>
        <w:numPr>
          <w:ilvl w:val="1"/>
          <w:numId w:val="1"/>
        </w:numPr>
        <w:tabs>
          <w:tab w:val="left" w:pos="1540"/>
        </w:tabs>
        <w:spacing w:before="2" w:line="355" w:lineRule="auto"/>
        <w:ind w:left="1540" w:right="421"/>
      </w:pPr>
      <w:r>
        <w:t>The</w:t>
      </w:r>
      <w:r>
        <w:rPr>
          <w:spacing w:val="-5"/>
        </w:rPr>
        <w:t xml:space="preserve"> </w:t>
      </w:r>
      <w:r>
        <w:t>lack of</w:t>
      </w:r>
      <w:r>
        <w:rPr>
          <w:spacing w:val="-4"/>
        </w:rPr>
        <w:t xml:space="preserve"> </w:t>
      </w:r>
      <w:r>
        <w:t>technical</w:t>
      </w:r>
      <w:r>
        <w:rPr>
          <w:spacing w:val="-4"/>
        </w:rPr>
        <w:t xml:space="preserve"> </w:t>
      </w:r>
      <w:r>
        <w:t>engagement</w:t>
      </w:r>
      <w:r>
        <w:rPr>
          <w:spacing w:val="-4"/>
        </w:rPr>
        <w:t xml:space="preserve"> </w:t>
      </w:r>
      <w:r>
        <w:t>in</w:t>
      </w:r>
      <w:r>
        <w:rPr>
          <w:spacing w:val="-3"/>
        </w:rPr>
        <w:t xml:space="preserve"> </w:t>
      </w:r>
      <w:r>
        <w:t>the</w:t>
      </w:r>
      <w:r>
        <w:rPr>
          <w:spacing w:val="-3"/>
        </w:rPr>
        <w:t xml:space="preserve"> </w:t>
      </w:r>
      <w:r>
        <w:t>context</w:t>
      </w:r>
      <w:r>
        <w:rPr>
          <w:spacing w:val="-1"/>
        </w:rPr>
        <w:t xml:space="preserve"> </w:t>
      </w:r>
      <w:r>
        <w:t>of</w:t>
      </w:r>
      <w:r>
        <w:rPr>
          <w:spacing w:val="-1"/>
        </w:rPr>
        <w:t xml:space="preserve"> </w:t>
      </w:r>
      <w:r>
        <w:t>a</w:t>
      </w:r>
      <w:r>
        <w:rPr>
          <w:spacing w:val="-5"/>
        </w:rPr>
        <w:t xml:space="preserve"> </w:t>
      </w:r>
      <w:r>
        <w:t>complex</w:t>
      </w:r>
      <w:r>
        <w:rPr>
          <w:spacing w:val="-5"/>
        </w:rPr>
        <w:t xml:space="preserve"> </w:t>
      </w:r>
      <w:r>
        <w:t>appraisal</w:t>
      </w:r>
      <w:r>
        <w:rPr>
          <w:spacing w:val="-6"/>
        </w:rPr>
        <w:t xml:space="preserve"> </w:t>
      </w:r>
      <w:r>
        <w:t>for</w:t>
      </w:r>
      <w:r>
        <w:rPr>
          <w:spacing w:val="-4"/>
        </w:rPr>
        <w:t xml:space="preserve"> </w:t>
      </w:r>
      <w:r>
        <w:t>a rare disease with a heterogeneous patient population, which meant there were unresolved issues following ACM2.</w:t>
      </w:r>
    </w:p>
    <w:p w:rsidR="00554D93" w:rsidRDefault="003323F1" w14:paraId="68040F51" w14:textId="77777777">
      <w:pPr>
        <w:pStyle w:val="ListParagraph"/>
        <w:numPr>
          <w:ilvl w:val="1"/>
          <w:numId w:val="1"/>
        </w:numPr>
        <w:tabs>
          <w:tab w:val="left" w:pos="1540"/>
        </w:tabs>
        <w:spacing w:before="4" w:line="357" w:lineRule="auto"/>
        <w:ind w:left="1540" w:right="423"/>
      </w:pPr>
      <w:r>
        <w:t>The fact that additional analyses were requested from UCB immediately before ACM2 with inadequate time for fair preparation (in one case a mere half a working day) and inadequate time for consideration by NICE or the Committee before the date of the meeting.</w:t>
      </w:r>
      <w:r>
        <w:rPr>
          <w:spacing w:val="40"/>
        </w:rPr>
        <w:t xml:space="preserve"> </w:t>
      </w:r>
      <w:r>
        <w:t>If additional analyses are required by the Committee it is clearly necessary that sufficient time is permitted</w:t>
      </w:r>
      <w:r>
        <w:rPr>
          <w:spacing w:val="-4"/>
        </w:rPr>
        <w:t xml:space="preserve"> </w:t>
      </w:r>
      <w:r>
        <w:t>for</w:t>
      </w:r>
      <w:r>
        <w:rPr>
          <w:spacing w:val="-3"/>
        </w:rPr>
        <w:t xml:space="preserve"> </w:t>
      </w:r>
      <w:r>
        <w:t>these</w:t>
      </w:r>
      <w:r>
        <w:rPr>
          <w:spacing w:val="-4"/>
        </w:rPr>
        <w:t xml:space="preserve"> </w:t>
      </w:r>
      <w:r>
        <w:t>to</w:t>
      </w:r>
      <w:r>
        <w:rPr>
          <w:spacing w:val="-2"/>
        </w:rPr>
        <w:t xml:space="preserve"> </w:t>
      </w:r>
      <w:r>
        <w:t>be</w:t>
      </w:r>
      <w:r>
        <w:rPr>
          <w:spacing w:val="-6"/>
        </w:rPr>
        <w:t xml:space="preserve"> </w:t>
      </w:r>
      <w:r>
        <w:t>prepared</w:t>
      </w:r>
      <w:r>
        <w:rPr>
          <w:spacing w:val="-4"/>
        </w:rPr>
        <w:t xml:space="preserve"> </w:t>
      </w:r>
      <w:r>
        <w:t>and</w:t>
      </w:r>
      <w:r>
        <w:rPr>
          <w:spacing w:val="-4"/>
        </w:rPr>
        <w:t xml:space="preserve"> </w:t>
      </w:r>
      <w:r>
        <w:t>then</w:t>
      </w:r>
      <w:r>
        <w:rPr>
          <w:spacing w:val="-2"/>
        </w:rPr>
        <w:t xml:space="preserve"> </w:t>
      </w:r>
      <w:r>
        <w:t>considered</w:t>
      </w:r>
      <w:r>
        <w:rPr>
          <w:spacing w:val="-2"/>
        </w:rPr>
        <w:t xml:space="preserve"> </w:t>
      </w:r>
      <w:r>
        <w:t>and</w:t>
      </w:r>
      <w:r>
        <w:rPr>
          <w:spacing w:val="-4"/>
        </w:rPr>
        <w:t xml:space="preserve"> </w:t>
      </w:r>
      <w:r>
        <w:t>the</w:t>
      </w:r>
      <w:r>
        <w:rPr>
          <w:spacing w:val="-7"/>
        </w:rPr>
        <w:t xml:space="preserve"> </w:t>
      </w:r>
      <w:r>
        <w:t>fact</w:t>
      </w:r>
      <w:r>
        <w:rPr>
          <w:spacing w:val="-3"/>
        </w:rPr>
        <w:t xml:space="preserve"> </w:t>
      </w:r>
      <w:r>
        <w:t>that</w:t>
      </w:r>
      <w:r>
        <w:rPr>
          <w:spacing w:val="-3"/>
        </w:rPr>
        <w:t xml:space="preserve"> </w:t>
      </w:r>
      <w:r>
        <w:t>this</w:t>
      </w:r>
    </w:p>
    <w:p w:rsidR="00554D93" w:rsidRDefault="00554D93" w14:paraId="3461D779" w14:textId="77777777">
      <w:pPr>
        <w:spacing w:line="357" w:lineRule="auto"/>
        <w:sectPr w:rsidR="00554D93">
          <w:pgSz w:w="11910" w:h="16840" w:orient="portrait"/>
          <w:pgMar w:top="860" w:right="1480" w:bottom="1200" w:left="1040" w:header="182" w:footer="1007" w:gutter="0"/>
          <w:cols w:space="720"/>
        </w:sectPr>
      </w:pPr>
    </w:p>
    <w:p w:rsidR="00554D93" w:rsidRDefault="00554D93" w14:paraId="3CF2D8B6" w14:textId="77777777">
      <w:pPr>
        <w:pStyle w:val="BodyText"/>
      </w:pPr>
    </w:p>
    <w:p w:rsidR="00554D93" w:rsidRDefault="00554D93" w14:paraId="0FB78278" w14:textId="77777777">
      <w:pPr>
        <w:pStyle w:val="BodyText"/>
        <w:spacing w:before="59"/>
      </w:pPr>
    </w:p>
    <w:p w:rsidR="00554D93" w:rsidRDefault="003323F1" w14:paraId="533A0C23" w14:textId="77777777">
      <w:pPr>
        <w:pStyle w:val="BodyText"/>
        <w:spacing w:line="360" w:lineRule="auto"/>
        <w:ind w:left="1540" w:right="411"/>
      </w:pPr>
      <w:r>
        <w:t>was not the position in relation to the material requested before ACM2 means</w:t>
      </w:r>
      <w:r>
        <w:rPr>
          <w:spacing w:val="-4"/>
        </w:rPr>
        <w:t xml:space="preserve"> </w:t>
      </w:r>
      <w:r>
        <w:t>that</w:t>
      </w:r>
      <w:r>
        <w:rPr>
          <w:spacing w:val="-3"/>
        </w:rPr>
        <w:t xml:space="preserve"> </w:t>
      </w:r>
      <w:r>
        <w:t>a</w:t>
      </w:r>
      <w:r>
        <w:rPr>
          <w:spacing w:val="-6"/>
        </w:rPr>
        <w:t xml:space="preserve"> </w:t>
      </w:r>
      <w:r>
        <w:t>further</w:t>
      </w:r>
      <w:r>
        <w:rPr>
          <w:spacing w:val="-3"/>
        </w:rPr>
        <w:t xml:space="preserve"> </w:t>
      </w:r>
      <w:r>
        <w:t>meeting</w:t>
      </w:r>
      <w:r>
        <w:rPr>
          <w:spacing w:val="-2"/>
        </w:rPr>
        <w:t xml:space="preserve"> </w:t>
      </w:r>
      <w:r>
        <w:t>should</w:t>
      </w:r>
      <w:r>
        <w:rPr>
          <w:spacing w:val="-2"/>
        </w:rPr>
        <w:t xml:space="preserve"> </w:t>
      </w:r>
      <w:r>
        <w:t>have</w:t>
      </w:r>
      <w:r>
        <w:rPr>
          <w:spacing w:val="-2"/>
        </w:rPr>
        <w:t xml:space="preserve"> </w:t>
      </w:r>
      <w:r>
        <w:t>been</w:t>
      </w:r>
      <w:r>
        <w:rPr>
          <w:spacing w:val="-4"/>
        </w:rPr>
        <w:t xml:space="preserve"> </w:t>
      </w:r>
      <w:r>
        <w:t>scheduled</w:t>
      </w:r>
      <w:r>
        <w:rPr>
          <w:spacing w:val="-2"/>
        </w:rPr>
        <w:t xml:space="preserve"> </w:t>
      </w:r>
      <w:r>
        <w:t>to</w:t>
      </w:r>
      <w:r>
        <w:rPr>
          <w:spacing w:val="-4"/>
        </w:rPr>
        <w:t xml:space="preserve"> </w:t>
      </w:r>
      <w:r>
        <w:t>address</w:t>
      </w:r>
      <w:r>
        <w:rPr>
          <w:spacing w:val="-4"/>
        </w:rPr>
        <w:t xml:space="preserve"> </w:t>
      </w:r>
      <w:r>
        <w:t xml:space="preserve">the </w:t>
      </w:r>
      <w:r>
        <w:rPr>
          <w:spacing w:val="-2"/>
        </w:rPr>
        <w:t>unfairness.</w:t>
      </w:r>
    </w:p>
    <w:p w:rsidR="00554D93" w:rsidRDefault="003323F1" w14:paraId="104D74CD" w14:textId="77777777">
      <w:pPr>
        <w:pStyle w:val="ListParagraph"/>
        <w:numPr>
          <w:ilvl w:val="1"/>
          <w:numId w:val="1"/>
        </w:numPr>
        <w:tabs>
          <w:tab w:val="left" w:pos="1540"/>
        </w:tabs>
        <w:spacing w:line="357" w:lineRule="auto"/>
        <w:ind w:left="1540" w:right="416"/>
      </w:pPr>
      <w:r>
        <w:t>Key</w:t>
      </w:r>
      <w:r>
        <w:rPr>
          <w:spacing w:val="-4"/>
        </w:rPr>
        <w:t xml:space="preserve"> </w:t>
      </w:r>
      <w:r>
        <w:t>material</w:t>
      </w:r>
      <w:r>
        <w:rPr>
          <w:spacing w:val="-3"/>
        </w:rPr>
        <w:t xml:space="preserve"> </w:t>
      </w:r>
      <w:r>
        <w:t>was disclosed</w:t>
      </w:r>
      <w:r>
        <w:rPr>
          <w:spacing w:val="-2"/>
        </w:rPr>
        <w:t xml:space="preserve"> </w:t>
      </w:r>
      <w:r>
        <w:t>to</w:t>
      </w:r>
      <w:r>
        <w:rPr>
          <w:spacing w:val="-4"/>
        </w:rPr>
        <w:t xml:space="preserve"> </w:t>
      </w:r>
      <w:r>
        <w:t>UCB</w:t>
      </w:r>
      <w:r>
        <w:rPr>
          <w:spacing w:val="-2"/>
        </w:rPr>
        <w:t xml:space="preserve"> </w:t>
      </w:r>
      <w:r>
        <w:t>by</w:t>
      </w:r>
      <w:r>
        <w:rPr>
          <w:spacing w:val="-4"/>
        </w:rPr>
        <w:t xml:space="preserve"> </w:t>
      </w:r>
      <w:r>
        <w:t>NICE only</w:t>
      </w:r>
      <w:r>
        <w:rPr>
          <w:spacing w:val="-4"/>
        </w:rPr>
        <w:t xml:space="preserve"> </w:t>
      </w:r>
      <w:r>
        <w:t>the</w:t>
      </w:r>
      <w:r>
        <w:rPr>
          <w:spacing w:val="-2"/>
        </w:rPr>
        <w:t xml:space="preserve"> </w:t>
      </w:r>
      <w:r>
        <w:t>day</w:t>
      </w:r>
      <w:r>
        <w:rPr>
          <w:spacing w:val="-4"/>
        </w:rPr>
        <w:t xml:space="preserve"> </w:t>
      </w:r>
      <w:r>
        <w:t>before</w:t>
      </w:r>
      <w:r>
        <w:rPr>
          <w:spacing w:val="-2"/>
        </w:rPr>
        <w:t xml:space="preserve"> </w:t>
      </w:r>
      <w:r>
        <w:t>ACM2, with inadequate time for appropriate consideration in advance of the meeting. If material is disclosed it is clearly necessary as a matter of fairness that sufficient time is provided for this to be reviewed; that did not happen in the current appraisal. A third meeting of the Appraisal Committee would have allowed adequate time for consideration of this material and any responses made before FDG was issued.</w:t>
      </w:r>
    </w:p>
    <w:p w:rsidR="00554D93" w:rsidRDefault="003323F1" w14:paraId="0CBCC678" w14:textId="77777777">
      <w:pPr>
        <w:pStyle w:val="ListParagraph"/>
        <w:numPr>
          <w:ilvl w:val="1"/>
          <w:numId w:val="1"/>
        </w:numPr>
        <w:tabs>
          <w:tab w:val="left" w:pos="1540"/>
        </w:tabs>
        <w:spacing w:before="8" w:line="360" w:lineRule="auto"/>
        <w:ind w:left="1540" w:right="321"/>
      </w:pPr>
      <w:r>
        <w:t>UCB’s response to the draft guidance reflected the acceptance of the Committee at ACM1 for an indirect treatment comparison for the</w:t>
      </w:r>
      <w:r>
        <w:rPr>
          <w:spacing w:val="40"/>
        </w:rPr>
        <w:t xml:space="preserve"> </w:t>
      </w:r>
      <w:r>
        <w:t>registrational trial (cycle 1 within the model), as an indirect treatment comparison was also conducted for the OLE period (cycles 2-5). Only for UCB to be informed that the Committee selectively prefers the naïve comparison</w:t>
      </w:r>
      <w:r>
        <w:rPr>
          <w:spacing w:val="-4"/>
        </w:rPr>
        <w:t xml:space="preserve"> </w:t>
      </w:r>
      <w:r>
        <w:t>in</w:t>
      </w:r>
      <w:r>
        <w:rPr>
          <w:spacing w:val="-3"/>
        </w:rPr>
        <w:t xml:space="preserve"> </w:t>
      </w:r>
      <w:r>
        <w:t>some</w:t>
      </w:r>
      <w:r>
        <w:rPr>
          <w:spacing w:val="-3"/>
        </w:rPr>
        <w:t xml:space="preserve"> </w:t>
      </w:r>
      <w:r>
        <w:t>areas</w:t>
      </w:r>
      <w:r>
        <w:rPr>
          <w:spacing w:val="-3"/>
        </w:rPr>
        <w:t xml:space="preserve"> </w:t>
      </w:r>
      <w:r>
        <w:t>of</w:t>
      </w:r>
      <w:r>
        <w:rPr>
          <w:spacing w:val="-1"/>
        </w:rPr>
        <w:t xml:space="preserve"> </w:t>
      </w:r>
      <w:r>
        <w:t>the</w:t>
      </w:r>
      <w:r>
        <w:rPr>
          <w:spacing w:val="-5"/>
        </w:rPr>
        <w:t xml:space="preserve"> </w:t>
      </w:r>
      <w:r>
        <w:t>analysis instead</w:t>
      </w:r>
      <w:r>
        <w:rPr>
          <w:spacing w:val="-3"/>
        </w:rPr>
        <w:t xml:space="preserve"> </w:t>
      </w:r>
      <w:r>
        <w:t>of</w:t>
      </w:r>
      <w:r>
        <w:rPr>
          <w:spacing w:val="-1"/>
        </w:rPr>
        <w:t xml:space="preserve"> </w:t>
      </w:r>
      <w:r>
        <w:t>a</w:t>
      </w:r>
      <w:r>
        <w:rPr>
          <w:spacing w:val="-4"/>
        </w:rPr>
        <w:t xml:space="preserve"> </w:t>
      </w:r>
      <w:r>
        <w:t>more</w:t>
      </w:r>
      <w:r>
        <w:rPr>
          <w:spacing w:val="-5"/>
        </w:rPr>
        <w:t xml:space="preserve"> </w:t>
      </w:r>
      <w:r>
        <w:t>robust</w:t>
      </w:r>
      <w:r>
        <w:rPr>
          <w:spacing w:val="-4"/>
        </w:rPr>
        <w:t xml:space="preserve"> </w:t>
      </w:r>
      <w:r>
        <w:t>method</w:t>
      </w:r>
      <w:r>
        <w:rPr>
          <w:spacing w:val="-3"/>
        </w:rPr>
        <w:t xml:space="preserve"> </w:t>
      </w:r>
      <w:r>
        <w:t>to inform the analysis, an indirect treatment comparison. While it is UCB’s position that the Committee’s preference for a naïve comparison is unreasonable, it is also the case that the inconsistent, unreasonable approach to</w:t>
      </w:r>
      <w:r>
        <w:t xml:space="preserve"> evaluating and considering the comparison of efficacy</w:t>
      </w:r>
      <w:r>
        <w:rPr>
          <w:spacing w:val="40"/>
        </w:rPr>
        <w:t xml:space="preserve"> </w:t>
      </w:r>
      <w:r>
        <w:t>between ACM1 and ACM2 amounted to a substantial back and forth in the evaluation process. An example of a key unresolved issue with regards to the indirect treatment comparison mentioned within the FDG in section 3.7 was that</w:t>
      </w:r>
    </w:p>
    <w:p w:rsidR="00554D93" w:rsidRDefault="003323F1" w14:paraId="1BCDF004" w14:textId="77777777">
      <w:pPr>
        <w:pStyle w:val="BodyText"/>
        <w:spacing w:line="360" w:lineRule="auto"/>
        <w:ind w:left="1540" w:right="359"/>
      </w:pPr>
      <w:r>
        <w:t>“potential changes in the placebo response during the trials, for example because of changes in the participants’ beliefs or the natural history of the disease,</w:t>
      </w:r>
      <w:r>
        <w:rPr>
          <w:spacing w:val="-2"/>
        </w:rPr>
        <w:t xml:space="preserve"> </w:t>
      </w:r>
      <w:r>
        <w:t>were</w:t>
      </w:r>
      <w:r>
        <w:rPr>
          <w:spacing w:val="-2"/>
        </w:rPr>
        <w:t xml:space="preserve"> </w:t>
      </w:r>
      <w:r>
        <w:t>not</w:t>
      </w:r>
      <w:r>
        <w:rPr>
          <w:spacing w:val="-4"/>
        </w:rPr>
        <w:t xml:space="preserve"> </w:t>
      </w:r>
      <w:r>
        <w:t>accounted</w:t>
      </w:r>
      <w:r>
        <w:rPr>
          <w:spacing w:val="-5"/>
        </w:rPr>
        <w:t xml:space="preserve"> </w:t>
      </w:r>
      <w:r>
        <w:t>for”.</w:t>
      </w:r>
      <w:r>
        <w:rPr>
          <w:spacing w:val="-6"/>
        </w:rPr>
        <w:t xml:space="preserve"> </w:t>
      </w:r>
      <w:r>
        <w:t>The</w:t>
      </w:r>
      <w:r>
        <w:rPr>
          <w:spacing w:val="-3"/>
        </w:rPr>
        <w:t xml:space="preserve"> </w:t>
      </w:r>
      <w:r>
        <w:t>continued</w:t>
      </w:r>
      <w:r>
        <w:rPr>
          <w:spacing w:val="-3"/>
        </w:rPr>
        <w:t xml:space="preserve"> </w:t>
      </w:r>
      <w:r>
        <w:t>issues</w:t>
      </w:r>
      <w:r>
        <w:rPr>
          <w:spacing w:val="-1"/>
        </w:rPr>
        <w:t xml:space="preserve"> </w:t>
      </w:r>
      <w:r>
        <w:t>should</w:t>
      </w:r>
      <w:r>
        <w:rPr>
          <w:spacing w:val="-3"/>
        </w:rPr>
        <w:t xml:space="preserve"> </w:t>
      </w:r>
      <w:r>
        <w:t>have</w:t>
      </w:r>
      <w:r>
        <w:rPr>
          <w:spacing w:val="-5"/>
        </w:rPr>
        <w:t xml:space="preserve"> </w:t>
      </w:r>
      <w:r>
        <w:t>resulted in a second consultation and third meeting of the Committee so that UCB</w:t>
      </w:r>
      <w:r>
        <w:rPr>
          <w:spacing w:val="40"/>
        </w:rPr>
        <w:t xml:space="preserve"> </w:t>
      </w:r>
      <w:r>
        <w:t>had an opportunity to resolve</w:t>
      </w:r>
      <w:r>
        <w:rPr>
          <w:spacing w:val="40"/>
        </w:rPr>
        <w:t xml:space="preserve"> </w:t>
      </w:r>
      <w:r>
        <w:t>this.</w:t>
      </w:r>
    </w:p>
    <w:p w:rsidR="00554D93" w:rsidRDefault="00554D93" w14:paraId="1FC39945" w14:textId="77777777">
      <w:pPr>
        <w:pStyle w:val="BodyText"/>
        <w:spacing w:before="119"/>
      </w:pPr>
    </w:p>
    <w:p w:rsidR="00554D93" w:rsidRDefault="003323F1" w14:paraId="3BC191EE" w14:textId="77777777">
      <w:pPr>
        <w:pStyle w:val="BodyText"/>
        <w:spacing w:line="360" w:lineRule="auto"/>
        <w:ind w:left="760" w:right="411"/>
      </w:pPr>
      <w:r>
        <w:t>The</w:t>
      </w:r>
      <w:r>
        <w:rPr>
          <w:spacing w:val="-5"/>
        </w:rPr>
        <w:t xml:space="preserve"> </w:t>
      </w:r>
      <w:r>
        <w:t>cumulative</w:t>
      </w:r>
      <w:r>
        <w:rPr>
          <w:spacing w:val="-3"/>
        </w:rPr>
        <w:t xml:space="preserve"> </w:t>
      </w:r>
      <w:r>
        <w:t>effect</w:t>
      </w:r>
      <w:r>
        <w:rPr>
          <w:spacing w:val="-1"/>
        </w:rPr>
        <w:t xml:space="preserve"> </w:t>
      </w:r>
      <w:r>
        <w:t>of</w:t>
      </w:r>
      <w:r>
        <w:rPr>
          <w:spacing w:val="-4"/>
        </w:rPr>
        <w:t xml:space="preserve"> </w:t>
      </w:r>
      <w:r>
        <w:t>each</w:t>
      </w:r>
      <w:r>
        <w:rPr>
          <w:spacing w:val="-3"/>
        </w:rPr>
        <w:t xml:space="preserve"> </w:t>
      </w:r>
      <w:r>
        <w:t>of</w:t>
      </w:r>
      <w:r>
        <w:rPr>
          <w:spacing w:val="-1"/>
        </w:rPr>
        <w:t xml:space="preserve"> </w:t>
      </w:r>
      <w:r>
        <w:t>the</w:t>
      </w:r>
      <w:r>
        <w:rPr>
          <w:spacing w:val="-5"/>
        </w:rPr>
        <w:t xml:space="preserve"> </w:t>
      </w:r>
      <w:r>
        <w:t>above</w:t>
      </w:r>
      <w:r>
        <w:rPr>
          <w:spacing w:val="-3"/>
        </w:rPr>
        <w:t xml:space="preserve"> </w:t>
      </w:r>
      <w:r>
        <w:t>elements</w:t>
      </w:r>
      <w:r>
        <w:rPr>
          <w:spacing w:val="-2"/>
        </w:rPr>
        <w:t xml:space="preserve"> </w:t>
      </w:r>
      <w:r>
        <w:t>is</w:t>
      </w:r>
      <w:r>
        <w:rPr>
          <w:spacing w:val="-5"/>
        </w:rPr>
        <w:t xml:space="preserve"> </w:t>
      </w:r>
      <w:r>
        <w:t>that</w:t>
      </w:r>
      <w:r>
        <w:rPr>
          <w:spacing w:val="-1"/>
        </w:rPr>
        <w:t xml:space="preserve"> </w:t>
      </w:r>
      <w:r>
        <w:t>it</w:t>
      </w:r>
      <w:r>
        <w:rPr>
          <w:spacing w:val="-4"/>
        </w:rPr>
        <w:t xml:space="preserve"> </w:t>
      </w:r>
      <w:r>
        <w:t>was</w:t>
      </w:r>
      <w:r>
        <w:rPr>
          <w:spacing w:val="-3"/>
        </w:rPr>
        <w:t xml:space="preserve"> </w:t>
      </w:r>
      <w:r>
        <w:t>plainly</w:t>
      </w:r>
      <w:r>
        <w:rPr>
          <w:spacing w:val="-5"/>
        </w:rPr>
        <w:t xml:space="preserve"> </w:t>
      </w:r>
      <w:r>
        <w:t xml:space="preserve">necessary for a third meeting of the Committee in order to ensure procedural fairness in this </w:t>
      </w:r>
      <w:r>
        <w:rPr>
          <w:spacing w:val="-2"/>
        </w:rPr>
        <w:t>appraisal.</w:t>
      </w:r>
    </w:p>
    <w:p w:rsidR="00554D93" w:rsidRDefault="00554D93" w14:paraId="0562CB0E" w14:textId="77777777">
      <w:pPr>
        <w:pStyle w:val="BodyText"/>
        <w:spacing w:before="124"/>
      </w:pPr>
    </w:p>
    <w:p w:rsidR="00554D93" w:rsidRDefault="003323F1" w14:paraId="0BBC43F2" w14:textId="77777777">
      <w:pPr>
        <w:pStyle w:val="Heading1"/>
        <w:numPr>
          <w:ilvl w:val="0"/>
          <w:numId w:val="1"/>
        </w:numPr>
        <w:tabs>
          <w:tab w:val="left" w:pos="1478"/>
          <w:tab w:val="left" w:pos="1480"/>
        </w:tabs>
        <w:spacing w:line="360" w:lineRule="auto"/>
        <w:ind w:right="557"/>
      </w:pPr>
      <w:r>
        <w:t>Ground 1(a).3: Standard of Care (SoC) alone does not reflect NHS clinical</w:t>
      </w:r>
      <w:r>
        <w:rPr>
          <w:spacing w:val="-4"/>
        </w:rPr>
        <w:t xml:space="preserve"> </w:t>
      </w:r>
      <w:r>
        <w:t>practice</w:t>
      </w:r>
      <w:r>
        <w:rPr>
          <w:spacing w:val="-5"/>
        </w:rPr>
        <w:t xml:space="preserve"> </w:t>
      </w:r>
      <w:r>
        <w:t>and</w:t>
      </w:r>
      <w:r>
        <w:rPr>
          <w:spacing w:val="-5"/>
        </w:rPr>
        <w:t xml:space="preserve"> </w:t>
      </w:r>
      <w:r>
        <w:t>is</w:t>
      </w:r>
      <w:r>
        <w:rPr>
          <w:spacing w:val="-5"/>
        </w:rPr>
        <w:t xml:space="preserve"> </w:t>
      </w:r>
      <w:r>
        <w:t>not</w:t>
      </w:r>
      <w:r>
        <w:rPr>
          <w:spacing w:val="-2"/>
        </w:rPr>
        <w:t xml:space="preserve"> </w:t>
      </w:r>
      <w:r>
        <w:t>an</w:t>
      </w:r>
      <w:r>
        <w:rPr>
          <w:spacing w:val="-6"/>
        </w:rPr>
        <w:t xml:space="preserve"> </w:t>
      </w:r>
      <w:r>
        <w:t>appropriate</w:t>
      </w:r>
      <w:r>
        <w:rPr>
          <w:spacing w:val="-5"/>
        </w:rPr>
        <w:t xml:space="preserve"> </w:t>
      </w:r>
      <w:r>
        <w:t>comparator</w:t>
      </w:r>
      <w:r>
        <w:rPr>
          <w:spacing w:val="-5"/>
        </w:rPr>
        <w:t xml:space="preserve"> </w:t>
      </w:r>
      <w:r>
        <w:t>for</w:t>
      </w:r>
      <w:r>
        <w:rPr>
          <w:spacing w:val="-5"/>
        </w:rPr>
        <w:t xml:space="preserve"> </w:t>
      </w:r>
      <w:r>
        <w:t>fenfluramine</w:t>
      </w:r>
    </w:p>
    <w:p w:rsidR="00554D93" w:rsidRDefault="00554D93" w14:paraId="34CE0A41" w14:textId="77777777">
      <w:pPr>
        <w:spacing w:line="360" w:lineRule="auto"/>
        <w:sectPr w:rsidR="00554D93">
          <w:pgSz w:w="11910" w:h="16840" w:orient="portrait"/>
          <w:pgMar w:top="860" w:right="1480" w:bottom="1200" w:left="1040" w:header="182" w:footer="1007" w:gutter="0"/>
          <w:cols w:space="720"/>
        </w:sectPr>
      </w:pPr>
    </w:p>
    <w:p w:rsidR="00554D93" w:rsidRDefault="00554D93" w14:paraId="62EBF3C5" w14:textId="77777777">
      <w:pPr>
        <w:pStyle w:val="BodyText"/>
        <w:rPr>
          <w:b/>
        </w:rPr>
      </w:pPr>
    </w:p>
    <w:p w:rsidR="00554D93" w:rsidRDefault="00554D93" w14:paraId="6D98A12B" w14:textId="77777777">
      <w:pPr>
        <w:pStyle w:val="BodyText"/>
        <w:spacing w:before="59"/>
        <w:rPr>
          <w:b/>
        </w:rPr>
      </w:pPr>
    </w:p>
    <w:p w:rsidR="00554D93" w:rsidRDefault="003323F1" w14:paraId="0F233197" w14:textId="77777777">
      <w:pPr>
        <w:pStyle w:val="BodyText"/>
        <w:spacing w:line="360" w:lineRule="auto"/>
        <w:ind w:left="760" w:right="333"/>
      </w:pPr>
      <w:r>
        <w:t>You express the preliminary</w:t>
      </w:r>
      <w:r>
        <w:rPr>
          <w:spacing w:val="-2"/>
        </w:rPr>
        <w:t xml:space="preserve"> </w:t>
      </w:r>
      <w:r>
        <w:t>view</w:t>
      </w:r>
      <w:r>
        <w:rPr>
          <w:spacing w:val="-3"/>
        </w:rPr>
        <w:t xml:space="preserve"> </w:t>
      </w:r>
      <w:r>
        <w:t>that this</w:t>
      </w:r>
      <w:r>
        <w:rPr>
          <w:spacing w:val="-2"/>
        </w:rPr>
        <w:t xml:space="preserve"> </w:t>
      </w:r>
      <w:r>
        <w:t>point</w:t>
      </w:r>
      <w:r>
        <w:rPr>
          <w:spacing w:val="-1"/>
        </w:rPr>
        <w:t xml:space="preserve"> </w:t>
      </w:r>
      <w:r>
        <w:t>of appeal</w:t>
      </w:r>
      <w:r>
        <w:rPr>
          <w:spacing w:val="-1"/>
        </w:rPr>
        <w:t xml:space="preserve"> </w:t>
      </w:r>
      <w:r>
        <w:t>should be</w:t>
      </w:r>
      <w:r>
        <w:rPr>
          <w:spacing w:val="-2"/>
        </w:rPr>
        <w:t xml:space="preserve"> </w:t>
      </w:r>
      <w:r>
        <w:t>advanced under Ground</w:t>
      </w:r>
      <w:r>
        <w:rPr>
          <w:spacing w:val="-3"/>
        </w:rPr>
        <w:t xml:space="preserve"> </w:t>
      </w:r>
      <w:r>
        <w:t>2,</w:t>
      </w:r>
      <w:r>
        <w:rPr>
          <w:spacing w:val="-2"/>
        </w:rPr>
        <w:t xml:space="preserve"> </w:t>
      </w:r>
      <w:r>
        <w:t>rather</w:t>
      </w:r>
      <w:r>
        <w:rPr>
          <w:spacing w:val="-2"/>
        </w:rPr>
        <w:t xml:space="preserve"> </w:t>
      </w:r>
      <w:r>
        <w:t>than</w:t>
      </w:r>
      <w:r>
        <w:rPr>
          <w:spacing w:val="-5"/>
        </w:rPr>
        <w:t xml:space="preserve"> </w:t>
      </w:r>
      <w:r>
        <w:t>Ground</w:t>
      </w:r>
      <w:r>
        <w:rPr>
          <w:spacing w:val="-2"/>
        </w:rPr>
        <w:t xml:space="preserve"> </w:t>
      </w:r>
      <w:r>
        <w:t>1</w:t>
      </w:r>
      <w:r>
        <w:rPr>
          <w:spacing w:val="-2"/>
        </w:rPr>
        <w:t xml:space="preserve"> </w:t>
      </w:r>
      <w:r>
        <w:t>on</w:t>
      </w:r>
      <w:r>
        <w:rPr>
          <w:spacing w:val="-3"/>
        </w:rPr>
        <w:t xml:space="preserve"> </w:t>
      </w:r>
      <w:r>
        <w:t>the</w:t>
      </w:r>
      <w:r>
        <w:rPr>
          <w:spacing w:val="-3"/>
        </w:rPr>
        <w:t xml:space="preserve"> </w:t>
      </w:r>
      <w:r>
        <w:t>basis</w:t>
      </w:r>
      <w:r>
        <w:rPr>
          <w:spacing w:val="-3"/>
        </w:rPr>
        <w:t xml:space="preserve"> </w:t>
      </w:r>
      <w:r>
        <w:t>that,</w:t>
      </w:r>
      <w:r>
        <w:rPr>
          <w:spacing w:val="-2"/>
        </w:rPr>
        <w:t xml:space="preserve"> </w:t>
      </w:r>
      <w:r>
        <w:t>you</w:t>
      </w:r>
      <w:r>
        <w:rPr>
          <w:spacing w:val="-2"/>
        </w:rPr>
        <w:t xml:space="preserve"> </w:t>
      </w:r>
      <w:r>
        <w:t>say, the</w:t>
      </w:r>
      <w:r>
        <w:rPr>
          <w:spacing w:val="-3"/>
        </w:rPr>
        <w:t xml:space="preserve"> </w:t>
      </w:r>
      <w:r>
        <w:t>Committee</w:t>
      </w:r>
      <w:r>
        <w:rPr>
          <w:spacing w:val="-3"/>
        </w:rPr>
        <w:t xml:space="preserve"> </w:t>
      </w:r>
      <w:r>
        <w:t>did</w:t>
      </w:r>
      <w:r>
        <w:rPr>
          <w:spacing w:val="-2"/>
        </w:rPr>
        <w:t xml:space="preserve"> </w:t>
      </w:r>
      <w:r>
        <w:t>not</w:t>
      </w:r>
      <w:r>
        <w:rPr>
          <w:spacing w:val="-2"/>
        </w:rPr>
        <w:t xml:space="preserve"> </w:t>
      </w:r>
      <w:r>
        <w:t>fail to seek relevant information before reaching its view and that you construe UCB’s point of appeal to be that having collected such information the conclusion of the Committee was unreasonable.</w:t>
      </w:r>
    </w:p>
    <w:p w:rsidR="00554D93" w:rsidRDefault="00554D93" w14:paraId="2946DB82" w14:textId="77777777">
      <w:pPr>
        <w:pStyle w:val="BodyText"/>
      </w:pPr>
    </w:p>
    <w:p w:rsidR="00554D93" w:rsidRDefault="00554D93" w14:paraId="5997CC1D" w14:textId="77777777">
      <w:pPr>
        <w:pStyle w:val="BodyText"/>
        <w:spacing w:before="115"/>
      </w:pPr>
    </w:p>
    <w:p w:rsidR="00554D93" w:rsidRDefault="003323F1" w14:paraId="599EA52B" w14:textId="77777777">
      <w:pPr>
        <w:pStyle w:val="BodyText"/>
        <w:spacing w:line="360" w:lineRule="auto"/>
        <w:ind w:left="760" w:right="411"/>
      </w:pPr>
      <w:r>
        <w:t>Paragraph 2.2.12 of the Manual describes “potentially relevant comparators” as those that are “established practice in the NHS”.</w:t>
      </w:r>
      <w:r>
        <w:rPr>
          <w:spacing w:val="40"/>
        </w:rPr>
        <w:t xml:space="preserve"> </w:t>
      </w:r>
      <w:r>
        <w:t>The evidence from all clinical experts was that cannabidiol is the appropriate comparator (as reflected in the Committee</w:t>
      </w:r>
      <w:r>
        <w:rPr>
          <w:spacing w:val="-3"/>
        </w:rPr>
        <w:t xml:space="preserve"> </w:t>
      </w:r>
      <w:r>
        <w:t>slides</w:t>
      </w:r>
      <w:r>
        <w:rPr>
          <w:spacing w:val="-4"/>
        </w:rPr>
        <w:t xml:space="preserve"> </w:t>
      </w:r>
      <w:r>
        <w:t>at</w:t>
      </w:r>
      <w:r>
        <w:rPr>
          <w:spacing w:val="-4"/>
        </w:rPr>
        <w:t xml:space="preserve"> </w:t>
      </w:r>
      <w:r>
        <w:t>ACM1)</w:t>
      </w:r>
      <w:r>
        <w:rPr>
          <w:spacing w:val="-2"/>
        </w:rPr>
        <w:t xml:space="preserve"> </w:t>
      </w:r>
      <w:r>
        <w:t>and</w:t>
      </w:r>
      <w:r>
        <w:rPr>
          <w:spacing w:val="-1"/>
        </w:rPr>
        <w:t xml:space="preserve"> </w:t>
      </w:r>
      <w:r>
        <w:t>this</w:t>
      </w:r>
      <w:r>
        <w:rPr>
          <w:spacing w:val="-2"/>
        </w:rPr>
        <w:t xml:space="preserve"> </w:t>
      </w:r>
      <w:r>
        <w:t>was</w:t>
      </w:r>
      <w:r>
        <w:rPr>
          <w:spacing w:val="-3"/>
        </w:rPr>
        <w:t xml:space="preserve"> </w:t>
      </w:r>
      <w:r>
        <w:t>the</w:t>
      </w:r>
      <w:r>
        <w:rPr>
          <w:spacing w:val="-4"/>
        </w:rPr>
        <w:t xml:space="preserve"> </w:t>
      </w:r>
      <w:r>
        <w:t>positioning</w:t>
      </w:r>
      <w:r>
        <w:rPr>
          <w:spacing w:val="-1"/>
        </w:rPr>
        <w:t xml:space="preserve"> </w:t>
      </w:r>
      <w:r>
        <w:t>advanced</w:t>
      </w:r>
      <w:r>
        <w:rPr>
          <w:spacing w:val="-3"/>
        </w:rPr>
        <w:t xml:space="preserve"> </w:t>
      </w:r>
      <w:r>
        <w:t>by</w:t>
      </w:r>
      <w:r>
        <w:rPr>
          <w:spacing w:val="-4"/>
        </w:rPr>
        <w:t xml:space="preserve"> </w:t>
      </w:r>
      <w:r>
        <w:t>UCB.</w:t>
      </w:r>
      <w:r>
        <w:rPr>
          <w:spacing w:val="40"/>
        </w:rPr>
        <w:t xml:space="preserve"> </w:t>
      </w:r>
      <w:r>
        <w:t>There was no evidence given to the Committee suggesting that standard of care alone should be considered.</w:t>
      </w:r>
    </w:p>
    <w:p w:rsidR="00554D93" w:rsidRDefault="003323F1" w14:paraId="3767B0E4" w14:textId="77777777">
      <w:pPr>
        <w:pStyle w:val="BodyText"/>
        <w:spacing w:before="239" w:line="360" w:lineRule="auto"/>
        <w:ind w:left="760" w:right="379"/>
      </w:pPr>
      <w:r>
        <w:t>In these circumstances, the view of the Committee at paragraph 3.3 of the FDG that standard of care alone is an appropriate comparator, conflicts with the test at paragraph 2.2.12 of the Manual, the views of clinical experts and UCB.</w:t>
      </w:r>
      <w:r>
        <w:rPr>
          <w:spacing w:val="40"/>
        </w:rPr>
        <w:t xml:space="preserve"> </w:t>
      </w:r>
      <w:r>
        <w:t>The conflict with</w:t>
      </w:r>
      <w:r>
        <w:rPr>
          <w:spacing w:val="-2"/>
        </w:rPr>
        <w:t xml:space="preserve"> </w:t>
      </w:r>
      <w:r>
        <w:t>the</w:t>
      </w:r>
      <w:r>
        <w:rPr>
          <w:spacing w:val="-4"/>
        </w:rPr>
        <w:t xml:space="preserve"> </w:t>
      </w:r>
      <w:r>
        <w:t>procedural</w:t>
      </w:r>
      <w:r>
        <w:rPr>
          <w:spacing w:val="-3"/>
        </w:rPr>
        <w:t xml:space="preserve"> </w:t>
      </w:r>
      <w:r>
        <w:t>test</w:t>
      </w:r>
      <w:r>
        <w:rPr>
          <w:spacing w:val="-5"/>
        </w:rPr>
        <w:t xml:space="preserve"> </w:t>
      </w:r>
      <w:r>
        <w:t>under</w:t>
      </w:r>
      <w:r>
        <w:rPr>
          <w:spacing w:val="-3"/>
        </w:rPr>
        <w:t xml:space="preserve"> </w:t>
      </w:r>
      <w:r>
        <w:t>the</w:t>
      </w:r>
      <w:r>
        <w:rPr>
          <w:spacing w:val="-2"/>
        </w:rPr>
        <w:t xml:space="preserve"> </w:t>
      </w:r>
      <w:r>
        <w:t>Manual</w:t>
      </w:r>
      <w:r>
        <w:rPr>
          <w:spacing w:val="-2"/>
        </w:rPr>
        <w:t xml:space="preserve"> </w:t>
      </w:r>
      <w:r>
        <w:t>was</w:t>
      </w:r>
      <w:r>
        <w:rPr>
          <w:spacing w:val="-2"/>
        </w:rPr>
        <w:t xml:space="preserve"> </w:t>
      </w:r>
      <w:r>
        <w:t>the</w:t>
      </w:r>
      <w:r>
        <w:rPr>
          <w:spacing w:val="-2"/>
        </w:rPr>
        <w:t xml:space="preserve"> </w:t>
      </w:r>
      <w:r>
        <w:t>basis</w:t>
      </w:r>
      <w:r>
        <w:rPr>
          <w:spacing w:val="-4"/>
        </w:rPr>
        <w:t xml:space="preserve"> </w:t>
      </w:r>
      <w:r>
        <w:t>for</w:t>
      </w:r>
      <w:r>
        <w:rPr>
          <w:spacing w:val="-3"/>
        </w:rPr>
        <w:t xml:space="preserve"> </w:t>
      </w:r>
      <w:r>
        <w:t>the</w:t>
      </w:r>
      <w:r>
        <w:rPr>
          <w:spacing w:val="-4"/>
        </w:rPr>
        <w:t xml:space="preserve"> </w:t>
      </w:r>
      <w:r>
        <w:t>inclusion</w:t>
      </w:r>
      <w:r>
        <w:rPr>
          <w:spacing w:val="-4"/>
        </w:rPr>
        <w:t xml:space="preserve"> </w:t>
      </w:r>
      <w:r>
        <w:t>of this</w:t>
      </w:r>
      <w:r>
        <w:rPr>
          <w:spacing w:val="-1"/>
        </w:rPr>
        <w:t xml:space="preserve"> </w:t>
      </w:r>
      <w:r>
        <w:t>point of appeal under Ground 1, however to the extent that the point raises questions of interpretation of the evidence of clinical experts, we agree that it also raises issues under Ground 2.</w:t>
      </w:r>
    </w:p>
    <w:p w:rsidR="00554D93" w:rsidRDefault="00554D93" w14:paraId="110FFD37" w14:textId="77777777">
      <w:pPr>
        <w:pStyle w:val="BodyText"/>
      </w:pPr>
    </w:p>
    <w:p w:rsidR="00554D93" w:rsidRDefault="00554D93" w14:paraId="6B699379" w14:textId="77777777">
      <w:pPr>
        <w:pStyle w:val="BodyText"/>
        <w:spacing w:before="112"/>
      </w:pPr>
    </w:p>
    <w:p w:rsidR="00554D93" w:rsidRDefault="003323F1" w14:paraId="29CB9BF4" w14:textId="77777777">
      <w:pPr>
        <w:pStyle w:val="Heading1"/>
        <w:numPr>
          <w:ilvl w:val="0"/>
          <w:numId w:val="1"/>
        </w:numPr>
        <w:tabs>
          <w:tab w:val="left" w:pos="1478"/>
          <w:tab w:val="left" w:pos="1480"/>
        </w:tabs>
        <w:spacing w:line="360" w:lineRule="auto"/>
        <w:ind w:right="360"/>
      </w:pPr>
      <w:r>
        <w:t>Ground 1(a).4: NICE’s approach to the use of ITT LOCF data versus clinical trial state occupancy data in order to compare fenfluramine + SoC</w:t>
      </w:r>
      <w:r>
        <w:rPr>
          <w:spacing w:val="-4"/>
        </w:rPr>
        <w:t xml:space="preserve"> </w:t>
      </w:r>
      <w:r>
        <w:t>with</w:t>
      </w:r>
      <w:r>
        <w:rPr>
          <w:spacing w:val="-2"/>
        </w:rPr>
        <w:t xml:space="preserve"> </w:t>
      </w:r>
      <w:r>
        <w:t>CBD</w:t>
      </w:r>
      <w:r>
        <w:rPr>
          <w:spacing w:val="-4"/>
        </w:rPr>
        <w:t xml:space="preserve"> </w:t>
      </w:r>
      <w:r>
        <w:t>+</w:t>
      </w:r>
      <w:r>
        <w:rPr>
          <w:spacing w:val="-1"/>
        </w:rPr>
        <w:t xml:space="preserve"> </w:t>
      </w:r>
      <w:r>
        <w:t>CLB</w:t>
      </w:r>
      <w:r>
        <w:rPr>
          <w:spacing w:val="-4"/>
        </w:rPr>
        <w:t xml:space="preserve"> </w:t>
      </w:r>
      <w:r>
        <w:t>+</w:t>
      </w:r>
      <w:r>
        <w:rPr>
          <w:spacing w:val="-3"/>
        </w:rPr>
        <w:t xml:space="preserve"> </w:t>
      </w:r>
      <w:r>
        <w:t>SoC, is</w:t>
      </w:r>
      <w:r>
        <w:rPr>
          <w:spacing w:val="-3"/>
        </w:rPr>
        <w:t xml:space="preserve"> </w:t>
      </w:r>
      <w:r>
        <w:t>procedurally</w:t>
      </w:r>
      <w:r>
        <w:rPr>
          <w:spacing w:val="-5"/>
        </w:rPr>
        <w:t xml:space="preserve"> </w:t>
      </w:r>
      <w:r>
        <w:t>unfair</w:t>
      </w:r>
      <w:r>
        <w:rPr>
          <w:spacing w:val="-3"/>
        </w:rPr>
        <w:t xml:space="preserve"> </w:t>
      </w:r>
      <w:r>
        <w:t>and</w:t>
      </w:r>
      <w:r>
        <w:rPr>
          <w:spacing w:val="-3"/>
        </w:rPr>
        <w:t xml:space="preserve"> </w:t>
      </w:r>
      <w:r>
        <w:t>inconsistent</w:t>
      </w:r>
      <w:r>
        <w:rPr>
          <w:spacing w:val="-5"/>
        </w:rPr>
        <w:t xml:space="preserve"> </w:t>
      </w:r>
      <w:r>
        <w:t xml:space="preserve">with the approach followed in the appraisal of CBD for the same indication </w:t>
      </w:r>
      <w:r>
        <w:rPr>
          <w:spacing w:val="-2"/>
        </w:rPr>
        <w:t>(TA615)</w:t>
      </w:r>
    </w:p>
    <w:p w:rsidR="00554D93" w:rsidRDefault="003323F1" w14:paraId="2DB7F645" w14:textId="77777777">
      <w:pPr>
        <w:pStyle w:val="BodyText"/>
        <w:spacing w:before="3"/>
        <w:ind w:left="760"/>
      </w:pPr>
      <w:r>
        <w:t>We</w:t>
      </w:r>
      <w:r>
        <w:rPr>
          <w:spacing w:val="-10"/>
        </w:rPr>
        <w:t xml:space="preserve"> </w:t>
      </w:r>
      <w:r>
        <w:t>note</w:t>
      </w:r>
      <w:r>
        <w:rPr>
          <w:spacing w:val="-3"/>
        </w:rPr>
        <w:t xml:space="preserve"> </w:t>
      </w:r>
      <w:r>
        <w:t>your</w:t>
      </w:r>
      <w:r>
        <w:rPr>
          <w:spacing w:val="-2"/>
        </w:rPr>
        <w:t xml:space="preserve"> </w:t>
      </w:r>
      <w:r>
        <w:t>view</w:t>
      </w:r>
      <w:r>
        <w:rPr>
          <w:spacing w:val="-6"/>
        </w:rPr>
        <w:t xml:space="preserve"> </w:t>
      </w:r>
      <w:r>
        <w:t>that</w:t>
      </w:r>
      <w:r>
        <w:rPr>
          <w:spacing w:val="-4"/>
        </w:rPr>
        <w:t xml:space="preserve"> </w:t>
      </w:r>
      <w:r>
        <w:t>this</w:t>
      </w:r>
      <w:r>
        <w:rPr>
          <w:spacing w:val="-3"/>
        </w:rPr>
        <w:t xml:space="preserve"> </w:t>
      </w:r>
      <w:r>
        <w:t>point</w:t>
      </w:r>
      <w:r>
        <w:rPr>
          <w:spacing w:val="-2"/>
        </w:rPr>
        <w:t xml:space="preserve"> </w:t>
      </w:r>
      <w:r>
        <w:t>of</w:t>
      </w:r>
      <w:r>
        <w:rPr>
          <w:spacing w:val="-1"/>
        </w:rPr>
        <w:t xml:space="preserve"> </w:t>
      </w:r>
      <w:r>
        <w:t>appeal</w:t>
      </w:r>
      <w:r>
        <w:rPr>
          <w:spacing w:val="-6"/>
        </w:rPr>
        <w:t xml:space="preserve"> </w:t>
      </w:r>
      <w:r>
        <w:t>should</w:t>
      </w:r>
      <w:r>
        <w:rPr>
          <w:spacing w:val="-4"/>
        </w:rPr>
        <w:t xml:space="preserve"> </w:t>
      </w:r>
      <w:r>
        <w:t>proceed</w:t>
      </w:r>
      <w:r>
        <w:rPr>
          <w:spacing w:val="-5"/>
        </w:rPr>
        <w:t xml:space="preserve"> </w:t>
      </w:r>
      <w:r>
        <w:t>to</w:t>
      </w:r>
      <w:r>
        <w:rPr>
          <w:spacing w:val="-5"/>
        </w:rPr>
        <w:t xml:space="preserve"> </w:t>
      </w:r>
      <w:r>
        <w:t>an</w:t>
      </w:r>
      <w:r>
        <w:rPr>
          <w:spacing w:val="-3"/>
        </w:rPr>
        <w:t xml:space="preserve"> </w:t>
      </w:r>
      <w:r>
        <w:t>oral</w:t>
      </w:r>
      <w:r>
        <w:rPr>
          <w:spacing w:val="-4"/>
        </w:rPr>
        <w:t xml:space="preserve"> </w:t>
      </w:r>
      <w:r>
        <w:rPr>
          <w:spacing w:val="-2"/>
        </w:rPr>
        <w:t>hearing.</w:t>
      </w:r>
    </w:p>
    <w:p w:rsidR="00554D93" w:rsidRDefault="00554D93" w14:paraId="3FE9F23F" w14:textId="77777777">
      <w:pPr>
        <w:pStyle w:val="BodyText"/>
        <w:spacing w:before="250"/>
      </w:pPr>
    </w:p>
    <w:p w:rsidR="00554D93" w:rsidRDefault="003323F1" w14:paraId="0E57DBBA" w14:textId="77777777">
      <w:pPr>
        <w:pStyle w:val="Heading1"/>
        <w:numPr>
          <w:ilvl w:val="0"/>
          <w:numId w:val="1"/>
        </w:numPr>
        <w:tabs>
          <w:tab w:val="left" w:pos="1478"/>
          <w:tab w:val="left" w:pos="1480"/>
        </w:tabs>
        <w:spacing w:line="360" w:lineRule="auto"/>
        <w:ind w:right="445"/>
        <w:rPr>
          <w:b w:val="0"/>
        </w:rPr>
      </w:pPr>
      <w:r>
        <w:t>Ground</w:t>
      </w:r>
      <w:r>
        <w:rPr>
          <w:spacing w:val="-6"/>
        </w:rPr>
        <w:t xml:space="preserve"> </w:t>
      </w:r>
      <w:r>
        <w:t>1(a).5:</w:t>
      </w:r>
      <w:r>
        <w:rPr>
          <w:spacing w:val="-2"/>
        </w:rPr>
        <w:t xml:space="preserve"> </w:t>
      </w:r>
      <w:r>
        <w:t>The</w:t>
      </w:r>
      <w:r>
        <w:rPr>
          <w:spacing w:val="-4"/>
        </w:rPr>
        <w:t xml:space="preserve"> </w:t>
      </w:r>
      <w:r>
        <w:t>absence</w:t>
      </w:r>
      <w:r>
        <w:rPr>
          <w:spacing w:val="-4"/>
        </w:rPr>
        <w:t xml:space="preserve"> </w:t>
      </w:r>
      <w:r>
        <w:t>of</w:t>
      </w:r>
      <w:r>
        <w:rPr>
          <w:spacing w:val="-5"/>
        </w:rPr>
        <w:t xml:space="preserve"> </w:t>
      </w:r>
      <w:r>
        <w:t>indications</w:t>
      </w:r>
      <w:r>
        <w:rPr>
          <w:spacing w:val="-4"/>
        </w:rPr>
        <w:t xml:space="preserve"> </w:t>
      </w:r>
      <w:r>
        <w:t>of</w:t>
      </w:r>
      <w:r>
        <w:rPr>
          <w:spacing w:val="-5"/>
        </w:rPr>
        <w:t xml:space="preserve"> </w:t>
      </w:r>
      <w:r>
        <w:t>the</w:t>
      </w:r>
      <w:r>
        <w:rPr>
          <w:spacing w:val="-4"/>
        </w:rPr>
        <w:t xml:space="preserve"> </w:t>
      </w:r>
      <w:r>
        <w:t>Committee’s</w:t>
      </w:r>
      <w:r>
        <w:rPr>
          <w:spacing w:val="-4"/>
        </w:rPr>
        <w:t xml:space="preserve"> </w:t>
      </w:r>
      <w:r>
        <w:t>preferred assumptions at the Draft Guidance stage and the lack of clear explanation of how the Committee had taken into account the status</w:t>
      </w:r>
      <w:r>
        <w:rPr>
          <w:spacing w:val="-2"/>
        </w:rPr>
        <w:t xml:space="preserve"> </w:t>
      </w:r>
      <w:r>
        <w:t xml:space="preserve">of LGS as a rare disease, substantially prejudiced UCB’s ability to offer a discount that would meet the Committee’s expectations of cost- </w:t>
      </w:r>
      <w:r>
        <w:rPr>
          <w:spacing w:val="-2"/>
        </w:rPr>
        <w:t>effectiveness</w:t>
      </w:r>
    </w:p>
    <w:p w:rsidR="00554D93" w:rsidRDefault="00554D93" w14:paraId="1F72F646" w14:textId="77777777">
      <w:pPr>
        <w:spacing w:line="360" w:lineRule="auto"/>
        <w:sectPr w:rsidR="00554D93">
          <w:pgSz w:w="11910" w:h="16840" w:orient="portrait"/>
          <w:pgMar w:top="860" w:right="1480" w:bottom="1200" w:left="1040" w:header="182" w:footer="1007" w:gutter="0"/>
          <w:cols w:space="720"/>
        </w:sectPr>
      </w:pPr>
    </w:p>
    <w:p w:rsidR="00554D93" w:rsidRDefault="00554D93" w14:paraId="08CE6F91" w14:textId="77777777">
      <w:pPr>
        <w:pStyle w:val="BodyText"/>
        <w:rPr>
          <w:b/>
        </w:rPr>
      </w:pPr>
    </w:p>
    <w:p w:rsidR="00554D93" w:rsidRDefault="00554D93" w14:paraId="61CDCEAD" w14:textId="77777777">
      <w:pPr>
        <w:pStyle w:val="BodyText"/>
        <w:spacing w:before="59"/>
        <w:rPr>
          <w:b/>
        </w:rPr>
      </w:pPr>
    </w:p>
    <w:p w:rsidR="00554D93" w:rsidRDefault="003323F1" w14:paraId="4585B8AC" w14:textId="77777777">
      <w:pPr>
        <w:pStyle w:val="BodyText"/>
        <w:spacing w:line="360" w:lineRule="auto"/>
        <w:ind w:left="760" w:right="333"/>
      </w:pPr>
      <w:r>
        <w:t>You suggest, in your letter of 10 May 2024 that this point of appeal should not proceed</w:t>
      </w:r>
      <w:r>
        <w:rPr>
          <w:spacing w:val="-4"/>
        </w:rPr>
        <w:t xml:space="preserve"> </w:t>
      </w:r>
      <w:r>
        <w:t>to</w:t>
      </w:r>
      <w:r>
        <w:rPr>
          <w:spacing w:val="-2"/>
        </w:rPr>
        <w:t xml:space="preserve"> </w:t>
      </w:r>
      <w:r>
        <w:t>an</w:t>
      </w:r>
      <w:r>
        <w:rPr>
          <w:spacing w:val="-4"/>
        </w:rPr>
        <w:t xml:space="preserve"> </w:t>
      </w:r>
      <w:r>
        <w:t>oral</w:t>
      </w:r>
      <w:r>
        <w:rPr>
          <w:spacing w:val="-5"/>
        </w:rPr>
        <w:t xml:space="preserve"> </w:t>
      </w:r>
      <w:r>
        <w:t>hearing. Your</w:t>
      </w:r>
      <w:r>
        <w:rPr>
          <w:spacing w:val="-3"/>
        </w:rPr>
        <w:t xml:space="preserve"> </w:t>
      </w:r>
      <w:r>
        <w:t>reason</w:t>
      </w:r>
      <w:r>
        <w:rPr>
          <w:spacing w:val="-2"/>
        </w:rPr>
        <w:t xml:space="preserve"> </w:t>
      </w:r>
      <w:r>
        <w:t>is</w:t>
      </w:r>
      <w:r>
        <w:rPr>
          <w:spacing w:val="-4"/>
        </w:rPr>
        <w:t xml:space="preserve"> </w:t>
      </w:r>
      <w:r>
        <w:t>that it</w:t>
      </w:r>
      <w:r>
        <w:rPr>
          <w:spacing w:val="-3"/>
        </w:rPr>
        <w:t xml:space="preserve"> </w:t>
      </w:r>
      <w:r>
        <w:t>is</w:t>
      </w:r>
      <w:r>
        <w:rPr>
          <w:spacing w:val="-1"/>
        </w:rPr>
        <w:t xml:space="preserve"> </w:t>
      </w:r>
      <w:r>
        <w:t>open</w:t>
      </w:r>
      <w:r>
        <w:rPr>
          <w:spacing w:val="-4"/>
        </w:rPr>
        <w:t xml:space="preserve"> </w:t>
      </w:r>
      <w:r>
        <w:t>to</w:t>
      </w:r>
      <w:r>
        <w:rPr>
          <w:spacing w:val="-4"/>
        </w:rPr>
        <w:t xml:space="preserve"> </w:t>
      </w:r>
      <w:r>
        <w:t>the</w:t>
      </w:r>
      <w:r>
        <w:rPr>
          <w:spacing w:val="-2"/>
        </w:rPr>
        <w:t xml:space="preserve"> </w:t>
      </w:r>
      <w:r>
        <w:t>Committee</w:t>
      </w:r>
      <w:r>
        <w:rPr>
          <w:spacing w:val="-4"/>
        </w:rPr>
        <w:t xml:space="preserve"> </w:t>
      </w:r>
      <w:r>
        <w:t>to</w:t>
      </w:r>
      <w:r>
        <w:rPr>
          <w:spacing w:val="-4"/>
        </w:rPr>
        <w:t xml:space="preserve"> </w:t>
      </w:r>
      <w:r>
        <w:t>develop its preferred assumptions throughout the appraisal, until finalisation in the FDG and therefore, you say, the fact that the Committee did not make its preferred assumptions clear at the draft guidance stage was not unfair.</w:t>
      </w:r>
    </w:p>
    <w:p w:rsidR="00554D93" w:rsidRDefault="00554D93" w14:paraId="6BB9E253" w14:textId="77777777">
      <w:pPr>
        <w:pStyle w:val="BodyText"/>
        <w:spacing w:before="128"/>
      </w:pPr>
    </w:p>
    <w:p w:rsidR="00554D93" w:rsidRDefault="003323F1" w14:paraId="424A5880" w14:textId="77777777">
      <w:pPr>
        <w:pStyle w:val="BodyText"/>
        <w:spacing w:line="360" w:lineRule="auto"/>
        <w:ind w:left="760" w:right="333"/>
      </w:pPr>
      <w:r>
        <w:t xml:space="preserve">However if consultation is to be effective, it is essential that the Committee’s proposals are clear and that the basis for these is explained, failing which it is impossible for stakeholders to understand whether the preliminary guidance is fair and reasonable. Transparency is a fundamental part of a fair procedure and, while UCB agrees that the Committee’s views (including its preferred assumptions) may develop during the appraisal, this does not relieve the Committee of the obligation to provide reasons </w:t>
      </w:r>
      <w:r>
        <w:t>for its conclusions at both the draft guidance stage and in the FDG. This</w:t>
      </w:r>
      <w:r>
        <w:rPr>
          <w:spacing w:val="-1"/>
        </w:rPr>
        <w:t xml:space="preserve"> </w:t>
      </w:r>
      <w:r>
        <w:t>is</w:t>
      </w:r>
      <w:r>
        <w:rPr>
          <w:spacing w:val="-4"/>
        </w:rPr>
        <w:t xml:space="preserve"> </w:t>
      </w:r>
      <w:r>
        <w:t>a</w:t>
      </w:r>
      <w:r>
        <w:rPr>
          <w:spacing w:val="-4"/>
        </w:rPr>
        <w:t xml:space="preserve"> </w:t>
      </w:r>
      <w:r>
        <w:t>requirement</w:t>
      </w:r>
      <w:r>
        <w:rPr>
          <w:spacing w:val="-3"/>
        </w:rPr>
        <w:t xml:space="preserve"> </w:t>
      </w:r>
      <w:r>
        <w:t>as</w:t>
      </w:r>
      <w:r>
        <w:rPr>
          <w:spacing w:val="-4"/>
        </w:rPr>
        <w:t xml:space="preserve"> </w:t>
      </w:r>
      <w:r>
        <w:t>a</w:t>
      </w:r>
      <w:r>
        <w:rPr>
          <w:spacing w:val="-2"/>
        </w:rPr>
        <w:t xml:space="preserve"> </w:t>
      </w:r>
      <w:r>
        <w:t>matter</w:t>
      </w:r>
      <w:r>
        <w:rPr>
          <w:spacing w:val="-1"/>
        </w:rPr>
        <w:t xml:space="preserve"> </w:t>
      </w:r>
      <w:r>
        <w:t>of</w:t>
      </w:r>
      <w:r>
        <w:rPr>
          <w:spacing w:val="-3"/>
        </w:rPr>
        <w:t xml:space="preserve"> </w:t>
      </w:r>
      <w:r>
        <w:t>good</w:t>
      </w:r>
      <w:r>
        <w:rPr>
          <w:spacing w:val="-4"/>
        </w:rPr>
        <w:t xml:space="preserve"> </w:t>
      </w:r>
      <w:r>
        <w:t>administration</w:t>
      </w:r>
      <w:r>
        <w:rPr>
          <w:spacing w:val="-2"/>
        </w:rPr>
        <w:t xml:space="preserve"> </w:t>
      </w:r>
      <w:r>
        <w:t>and</w:t>
      </w:r>
      <w:r>
        <w:rPr>
          <w:spacing w:val="-4"/>
        </w:rPr>
        <w:t xml:space="preserve"> </w:t>
      </w:r>
      <w:r>
        <w:t>to</w:t>
      </w:r>
      <w:r>
        <w:rPr>
          <w:spacing w:val="-2"/>
        </w:rPr>
        <w:t xml:space="preserve"> </w:t>
      </w:r>
      <w:r>
        <w:t>ensure</w:t>
      </w:r>
      <w:r>
        <w:rPr>
          <w:spacing w:val="-4"/>
        </w:rPr>
        <w:t xml:space="preserve"> </w:t>
      </w:r>
      <w:r>
        <w:t>that</w:t>
      </w:r>
      <w:r>
        <w:rPr>
          <w:spacing w:val="-3"/>
        </w:rPr>
        <w:t xml:space="preserve"> </w:t>
      </w:r>
      <w:r>
        <w:t xml:space="preserve">decisions are soundly based and also so that stakeholders are able to participate in </w:t>
      </w:r>
      <w:r>
        <w:rPr>
          <w:spacing w:val="-2"/>
        </w:rPr>
        <w:t>consultation.</w:t>
      </w:r>
    </w:p>
    <w:p w:rsidR="00554D93" w:rsidRDefault="00554D93" w14:paraId="23DE523C" w14:textId="77777777">
      <w:pPr>
        <w:pStyle w:val="BodyText"/>
        <w:spacing w:before="126"/>
      </w:pPr>
    </w:p>
    <w:p w:rsidR="00554D93" w:rsidRDefault="003323F1" w14:paraId="38665A3D" w14:textId="77777777">
      <w:pPr>
        <w:pStyle w:val="BodyText"/>
        <w:spacing w:before="1" w:line="360" w:lineRule="auto"/>
        <w:ind w:left="760" w:right="411"/>
      </w:pPr>
      <w:r>
        <w:t>The consequence of the lack of transparency in this appraisal at the consultation stage,</w:t>
      </w:r>
      <w:r>
        <w:rPr>
          <w:spacing w:val="-3"/>
        </w:rPr>
        <w:t xml:space="preserve"> </w:t>
      </w:r>
      <w:r>
        <w:t>in</w:t>
      </w:r>
      <w:r>
        <w:rPr>
          <w:spacing w:val="-4"/>
        </w:rPr>
        <w:t xml:space="preserve"> </w:t>
      </w:r>
      <w:r>
        <w:t>terms</w:t>
      </w:r>
      <w:r>
        <w:rPr>
          <w:spacing w:val="-1"/>
        </w:rPr>
        <w:t xml:space="preserve"> </w:t>
      </w:r>
      <w:r>
        <w:t>of each</w:t>
      </w:r>
      <w:r>
        <w:rPr>
          <w:spacing w:val="-2"/>
        </w:rPr>
        <w:t xml:space="preserve"> </w:t>
      </w:r>
      <w:r>
        <w:t>of</w:t>
      </w:r>
      <w:r>
        <w:rPr>
          <w:spacing w:val="-3"/>
        </w:rPr>
        <w:t xml:space="preserve"> </w:t>
      </w:r>
      <w:r>
        <w:t>the</w:t>
      </w:r>
      <w:r>
        <w:rPr>
          <w:spacing w:val="-4"/>
        </w:rPr>
        <w:t xml:space="preserve"> </w:t>
      </w:r>
      <w:r>
        <w:t>matters,</w:t>
      </w:r>
      <w:r>
        <w:rPr>
          <w:spacing w:val="-3"/>
        </w:rPr>
        <w:t xml:space="preserve"> </w:t>
      </w:r>
      <w:r>
        <w:t>central</w:t>
      </w:r>
      <w:r>
        <w:rPr>
          <w:spacing w:val="-2"/>
        </w:rPr>
        <w:t xml:space="preserve"> </w:t>
      </w:r>
      <w:r>
        <w:t>to</w:t>
      </w:r>
      <w:r>
        <w:rPr>
          <w:spacing w:val="-4"/>
        </w:rPr>
        <w:t xml:space="preserve"> </w:t>
      </w:r>
      <w:r>
        <w:t>any</w:t>
      </w:r>
      <w:r>
        <w:rPr>
          <w:spacing w:val="-4"/>
        </w:rPr>
        <w:t xml:space="preserve"> </w:t>
      </w:r>
      <w:r>
        <w:t>consideration</w:t>
      </w:r>
      <w:r>
        <w:rPr>
          <w:spacing w:val="-2"/>
        </w:rPr>
        <w:t xml:space="preserve"> </w:t>
      </w:r>
      <w:r>
        <w:t>of</w:t>
      </w:r>
      <w:r>
        <w:rPr>
          <w:spacing w:val="-3"/>
        </w:rPr>
        <w:t xml:space="preserve"> </w:t>
      </w:r>
      <w:r>
        <w:t>fenfluramine, set out at paragraph 25.3 of our appeal document, was to preclude effective consultation and, as explained, to prevent UCB considering any financial offer to improve cost effectiveness.</w:t>
      </w:r>
      <w:r>
        <w:rPr>
          <w:spacing w:val="40"/>
        </w:rPr>
        <w:t xml:space="preserve"> </w:t>
      </w:r>
      <w:r>
        <w:t>This is procedurally unfair and inconsistent with high standards of rigorous decision making.</w:t>
      </w:r>
    </w:p>
    <w:p w:rsidR="00554D93" w:rsidRDefault="00554D93" w14:paraId="52E56223" w14:textId="77777777">
      <w:pPr>
        <w:pStyle w:val="BodyText"/>
        <w:spacing w:before="124"/>
      </w:pPr>
    </w:p>
    <w:p w:rsidR="00554D93" w:rsidRDefault="003323F1" w14:paraId="69A26DCD" w14:textId="77777777">
      <w:pPr>
        <w:pStyle w:val="Heading1"/>
        <w:numPr>
          <w:ilvl w:val="0"/>
          <w:numId w:val="1"/>
        </w:numPr>
        <w:tabs>
          <w:tab w:val="left" w:pos="1478"/>
          <w:tab w:val="left" w:pos="1480"/>
        </w:tabs>
        <w:spacing w:before="1" w:line="360" w:lineRule="auto"/>
        <w:ind w:right="408"/>
      </w:pPr>
      <w:r>
        <w:t>Ground 1(a).6: The requirement for UCB to produce new analyses and for substantive disclosure of important material from the EAG immediately</w:t>
      </w:r>
      <w:r>
        <w:rPr>
          <w:spacing w:val="-8"/>
        </w:rPr>
        <w:t xml:space="preserve"> </w:t>
      </w:r>
      <w:r>
        <w:t>before</w:t>
      </w:r>
      <w:r>
        <w:rPr>
          <w:spacing w:val="-1"/>
        </w:rPr>
        <w:t xml:space="preserve"> </w:t>
      </w:r>
      <w:r>
        <w:t>ACM2</w:t>
      </w:r>
      <w:r>
        <w:rPr>
          <w:spacing w:val="-1"/>
        </w:rPr>
        <w:t xml:space="preserve"> </w:t>
      </w:r>
      <w:r>
        <w:t>did</w:t>
      </w:r>
      <w:r>
        <w:rPr>
          <w:spacing w:val="-4"/>
        </w:rPr>
        <w:t xml:space="preserve"> </w:t>
      </w:r>
      <w:r>
        <w:t>not</w:t>
      </w:r>
      <w:r>
        <w:rPr>
          <w:spacing w:val="-3"/>
        </w:rPr>
        <w:t xml:space="preserve"> </w:t>
      </w:r>
      <w:r>
        <w:t>allow</w:t>
      </w:r>
      <w:r>
        <w:rPr>
          <w:spacing w:val="-2"/>
        </w:rPr>
        <w:t xml:space="preserve"> </w:t>
      </w:r>
      <w:r>
        <w:t>adequate</w:t>
      </w:r>
      <w:r>
        <w:rPr>
          <w:spacing w:val="-6"/>
        </w:rPr>
        <w:t xml:space="preserve"> </w:t>
      </w:r>
      <w:r>
        <w:t>time</w:t>
      </w:r>
      <w:r>
        <w:rPr>
          <w:spacing w:val="-6"/>
        </w:rPr>
        <w:t xml:space="preserve"> </w:t>
      </w:r>
      <w:r>
        <w:t>for</w:t>
      </w:r>
      <w:r>
        <w:rPr>
          <w:spacing w:val="-3"/>
        </w:rPr>
        <w:t xml:space="preserve"> </w:t>
      </w:r>
      <w:r>
        <w:t>consideration and was inconsistent with a fair procedure</w:t>
      </w:r>
    </w:p>
    <w:p w:rsidR="00554D93" w:rsidRDefault="00554D93" w14:paraId="07547A01" w14:textId="77777777">
      <w:pPr>
        <w:pStyle w:val="BodyText"/>
        <w:spacing w:before="127"/>
        <w:rPr>
          <w:b/>
        </w:rPr>
      </w:pPr>
    </w:p>
    <w:p w:rsidR="00554D93" w:rsidRDefault="003323F1" w14:paraId="5D3DCCA4" w14:textId="77777777">
      <w:pPr>
        <w:pStyle w:val="BodyText"/>
        <w:ind w:left="1120"/>
      </w:pPr>
      <w:r>
        <w:t>We</w:t>
      </w:r>
      <w:r>
        <w:rPr>
          <w:spacing w:val="-10"/>
        </w:rPr>
        <w:t xml:space="preserve"> </w:t>
      </w:r>
      <w:r>
        <w:t>note</w:t>
      </w:r>
      <w:r>
        <w:rPr>
          <w:spacing w:val="-2"/>
        </w:rPr>
        <w:t xml:space="preserve"> </w:t>
      </w:r>
      <w:r>
        <w:t>your</w:t>
      </w:r>
      <w:r>
        <w:rPr>
          <w:spacing w:val="-1"/>
        </w:rPr>
        <w:t xml:space="preserve"> </w:t>
      </w:r>
      <w:r>
        <w:t>view</w:t>
      </w:r>
      <w:r>
        <w:rPr>
          <w:spacing w:val="-7"/>
        </w:rPr>
        <w:t xml:space="preserve"> </w:t>
      </w:r>
      <w:r>
        <w:t>that</w:t>
      </w:r>
      <w:r>
        <w:rPr>
          <w:spacing w:val="-4"/>
        </w:rPr>
        <w:t xml:space="preserve"> </w:t>
      </w:r>
      <w:r>
        <w:t>this</w:t>
      </w:r>
      <w:r>
        <w:rPr>
          <w:spacing w:val="-2"/>
        </w:rPr>
        <w:t xml:space="preserve"> </w:t>
      </w:r>
      <w:r>
        <w:t>point</w:t>
      </w:r>
      <w:r>
        <w:rPr>
          <w:spacing w:val="-3"/>
        </w:rPr>
        <w:t xml:space="preserve"> </w:t>
      </w:r>
      <w:r>
        <w:t>of</w:t>
      </w:r>
      <w:r>
        <w:rPr>
          <w:spacing w:val="-1"/>
        </w:rPr>
        <w:t xml:space="preserve"> </w:t>
      </w:r>
      <w:r>
        <w:t>appeal</w:t>
      </w:r>
      <w:r>
        <w:rPr>
          <w:spacing w:val="-6"/>
        </w:rPr>
        <w:t xml:space="preserve"> </w:t>
      </w:r>
      <w:r>
        <w:t>should</w:t>
      </w:r>
      <w:r>
        <w:rPr>
          <w:spacing w:val="-3"/>
        </w:rPr>
        <w:t xml:space="preserve"> </w:t>
      </w:r>
      <w:r>
        <w:t>proceed</w:t>
      </w:r>
      <w:r>
        <w:rPr>
          <w:spacing w:val="-6"/>
        </w:rPr>
        <w:t xml:space="preserve"> </w:t>
      </w:r>
      <w:r>
        <w:t>to</w:t>
      </w:r>
      <w:r>
        <w:rPr>
          <w:spacing w:val="-5"/>
        </w:rPr>
        <w:t xml:space="preserve"> </w:t>
      </w:r>
      <w:r>
        <w:t>an</w:t>
      </w:r>
      <w:r>
        <w:rPr>
          <w:spacing w:val="-3"/>
        </w:rPr>
        <w:t xml:space="preserve"> </w:t>
      </w:r>
      <w:r>
        <w:t>oral</w:t>
      </w:r>
      <w:r>
        <w:rPr>
          <w:spacing w:val="-4"/>
        </w:rPr>
        <w:t xml:space="preserve"> </w:t>
      </w:r>
      <w:r>
        <w:rPr>
          <w:spacing w:val="-2"/>
        </w:rPr>
        <w:t>hearing.</w:t>
      </w:r>
    </w:p>
    <w:p w:rsidR="00554D93" w:rsidRDefault="00554D93" w14:paraId="5043CB0F" w14:textId="77777777">
      <w:pPr>
        <w:pStyle w:val="BodyText"/>
        <w:spacing w:before="251"/>
      </w:pPr>
    </w:p>
    <w:p w:rsidR="00554D93" w:rsidRDefault="003323F1" w14:paraId="78CBD216" w14:textId="77777777">
      <w:pPr>
        <w:pStyle w:val="Heading1"/>
        <w:numPr>
          <w:ilvl w:val="0"/>
          <w:numId w:val="1"/>
        </w:numPr>
        <w:tabs>
          <w:tab w:val="left" w:pos="1478"/>
          <w:tab w:val="left" w:pos="1480"/>
        </w:tabs>
        <w:spacing w:line="360" w:lineRule="auto"/>
        <w:ind w:right="735"/>
      </w:pPr>
      <w:r>
        <w:t>Ground 2.1: The Committee’s preference for a naïve comparison between</w:t>
      </w:r>
      <w:r>
        <w:rPr>
          <w:spacing w:val="-4"/>
        </w:rPr>
        <w:t xml:space="preserve"> </w:t>
      </w:r>
      <w:r>
        <w:t>the</w:t>
      </w:r>
      <w:r>
        <w:rPr>
          <w:spacing w:val="-5"/>
        </w:rPr>
        <w:t xml:space="preserve"> </w:t>
      </w:r>
      <w:r>
        <w:t>trials</w:t>
      </w:r>
      <w:r>
        <w:rPr>
          <w:spacing w:val="-4"/>
        </w:rPr>
        <w:t xml:space="preserve"> </w:t>
      </w:r>
      <w:r>
        <w:t>instead</w:t>
      </w:r>
      <w:r>
        <w:rPr>
          <w:spacing w:val="-1"/>
        </w:rPr>
        <w:t xml:space="preserve"> </w:t>
      </w:r>
      <w:r>
        <w:t>of</w:t>
      </w:r>
      <w:r>
        <w:rPr>
          <w:spacing w:val="-3"/>
        </w:rPr>
        <w:t xml:space="preserve"> </w:t>
      </w:r>
      <w:r>
        <w:t>an</w:t>
      </w:r>
      <w:r>
        <w:rPr>
          <w:spacing w:val="-4"/>
        </w:rPr>
        <w:t xml:space="preserve"> </w:t>
      </w:r>
      <w:r>
        <w:t>indirect</w:t>
      </w:r>
      <w:r>
        <w:rPr>
          <w:spacing w:val="-3"/>
        </w:rPr>
        <w:t xml:space="preserve"> </w:t>
      </w:r>
      <w:r>
        <w:t>treatment</w:t>
      </w:r>
      <w:r>
        <w:rPr>
          <w:spacing w:val="-2"/>
        </w:rPr>
        <w:t xml:space="preserve"> </w:t>
      </w:r>
      <w:r>
        <w:t>comparison</w:t>
      </w:r>
      <w:r>
        <w:rPr>
          <w:spacing w:val="-2"/>
        </w:rPr>
        <w:t xml:space="preserve"> </w:t>
      </w:r>
      <w:r>
        <w:t>of</w:t>
      </w:r>
      <w:r>
        <w:rPr>
          <w:spacing w:val="-3"/>
        </w:rPr>
        <w:t xml:space="preserve"> </w:t>
      </w:r>
      <w:r>
        <w:t>ITT data was unreasonable</w:t>
      </w:r>
    </w:p>
    <w:p w:rsidR="00554D93" w:rsidRDefault="00554D93" w14:paraId="07459315" w14:textId="77777777">
      <w:pPr>
        <w:pStyle w:val="BodyText"/>
        <w:spacing w:before="130"/>
        <w:rPr>
          <w:b/>
        </w:rPr>
      </w:pPr>
    </w:p>
    <w:p w:rsidR="00554D93" w:rsidRDefault="003323F1" w14:paraId="5000DBA0" w14:textId="77777777">
      <w:pPr>
        <w:pStyle w:val="BodyText"/>
        <w:ind w:left="760"/>
      </w:pPr>
      <w:r>
        <w:t>We</w:t>
      </w:r>
      <w:r>
        <w:rPr>
          <w:spacing w:val="-10"/>
        </w:rPr>
        <w:t xml:space="preserve"> </w:t>
      </w:r>
      <w:r>
        <w:t>note</w:t>
      </w:r>
      <w:r>
        <w:rPr>
          <w:spacing w:val="-2"/>
        </w:rPr>
        <w:t xml:space="preserve"> </w:t>
      </w:r>
      <w:r>
        <w:t>your</w:t>
      </w:r>
      <w:r>
        <w:rPr>
          <w:spacing w:val="-1"/>
        </w:rPr>
        <w:t xml:space="preserve"> </w:t>
      </w:r>
      <w:r>
        <w:t>view</w:t>
      </w:r>
      <w:r>
        <w:rPr>
          <w:spacing w:val="-7"/>
        </w:rPr>
        <w:t xml:space="preserve"> </w:t>
      </w:r>
      <w:r>
        <w:t>that</w:t>
      </w:r>
      <w:r>
        <w:rPr>
          <w:spacing w:val="-4"/>
        </w:rPr>
        <w:t xml:space="preserve"> </w:t>
      </w:r>
      <w:r>
        <w:t>this</w:t>
      </w:r>
      <w:r>
        <w:rPr>
          <w:spacing w:val="-2"/>
        </w:rPr>
        <w:t xml:space="preserve"> </w:t>
      </w:r>
      <w:r>
        <w:t>point</w:t>
      </w:r>
      <w:r>
        <w:rPr>
          <w:spacing w:val="-3"/>
        </w:rPr>
        <w:t xml:space="preserve"> </w:t>
      </w:r>
      <w:r>
        <w:t>of</w:t>
      </w:r>
      <w:r>
        <w:rPr>
          <w:spacing w:val="-1"/>
        </w:rPr>
        <w:t xml:space="preserve"> </w:t>
      </w:r>
      <w:r>
        <w:t>appeal</w:t>
      </w:r>
      <w:r>
        <w:rPr>
          <w:spacing w:val="-6"/>
        </w:rPr>
        <w:t xml:space="preserve"> </w:t>
      </w:r>
      <w:r>
        <w:t>should</w:t>
      </w:r>
      <w:r>
        <w:rPr>
          <w:spacing w:val="-3"/>
        </w:rPr>
        <w:t xml:space="preserve"> </w:t>
      </w:r>
      <w:r>
        <w:t>proceed</w:t>
      </w:r>
      <w:r>
        <w:rPr>
          <w:spacing w:val="-6"/>
        </w:rPr>
        <w:t xml:space="preserve"> </w:t>
      </w:r>
      <w:r>
        <w:t>to</w:t>
      </w:r>
      <w:r>
        <w:rPr>
          <w:spacing w:val="-5"/>
        </w:rPr>
        <w:t xml:space="preserve"> </w:t>
      </w:r>
      <w:r>
        <w:t>an</w:t>
      </w:r>
      <w:r>
        <w:rPr>
          <w:spacing w:val="-3"/>
        </w:rPr>
        <w:t xml:space="preserve"> </w:t>
      </w:r>
      <w:r>
        <w:t>oral</w:t>
      </w:r>
      <w:r>
        <w:rPr>
          <w:spacing w:val="-4"/>
        </w:rPr>
        <w:t xml:space="preserve"> </w:t>
      </w:r>
      <w:r>
        <w:rPr>
          <w:spacing w:val="-2"/>
        </w:rPr>
        <w:t>hearing.</w:t>
      </w:r>
    </w:p>
    <w:p w:rsidR="00554D93" w:rsidRDefault="00554D93" w14:paraId="6537F28F" w14:textId="77777777">
      <w:pPr>
        <w:sectPr w:rsidR="00554D93">
          <w:pgSz w:w="11910" w:h="16840" w:orient="portrait"/>
          <w:pgMar w:top="860" w:right="1480" w:bottom="1200" w:left="1040" w:header="182" w:footer="1007" w:gutter="0"/>
          <w:cols w:space="720"/>
        </w:sectPr>
      </w:pPr>
    </w:p>
    <w:p w:rsidR="00554D93" w:rsidRDefault="00554D93" w14:paraId="6DFB9E20" w14:textId="77777777">
      <w:pPr>
        <w:pStyle w:val="BodyText"/>
      </w:pPr>
    </w:p>
    <w:p w:rsidR="00554D93" w:rsidRDefault="00554D93" w14:paraId="70DF9E56" w14:textId="77777777">
      <w:pPr>
        <w:pStyle w:val="BodyText"/>
        <w:spacing w:before="57"/>
      </w:pPr>
    </w:p>
    <w:p w:rsidR="00554D93" w:rsidRDefault="003323F1" w14:paraId="48F3F52E" w14:textId="77777777">
      <w:pPr>
        <w:pStyle w:val="Heading1"/>
        <w:numPr>
          <w:ilvl w:val="0"/>
          <w:numId w:val="1"/>
        </w:numPr>
        <w:tabs>
          <w:tab w:val="left" w:pos="1478"/>
          <w:tab w:val="left" w:pos="1480"/>
        </w:tabs>
        <w:spacing w:line="360" w:lineRule="auto"/>
        <w:ind w:right="377"/>
      </w:pPr>
      <w:r>
        <w:t>Ground 2.2: The Committee’s conclusions in relation to the waning of the treatment effects associated with fenfluramine and cannabidiol are inconsistent</w:t>
      </w:r>
      <w:r>
        <w:rPr>
          <w:spacing w:val="-6"/>
        </w:rPr>
        <w:t xml:space="preserve"> </w:t>
      </w:r>
      <w:r>
        <w:t>with</w:t>
      </w:r>
      <w:r>
        <w:rPr>
          <w:spacing w:val="-5"/>
        </w:rPr>
        <w:t xml:space="preserve"> </w:t>
      </w:r>
      <w:r>
        <w:t>the</w:t>
      </w:r>
      <w:r>
        <w:rPr>
          <w:spacing w:val="-6"/>
        </w:rPr>
        <w:t xml:space="preserve"> </w:t>
      </w:r>
      <w:r>
        <w:t>available</w:t>
      </w:r>
      <w:r>
        <w:rPr>
          <w:spacing w:val="-3"/>
        </w:rPr>
        <w:t xml:space="preserve"> </w:t>
      </w:r>
      <w:r>
        <w:t>evidence</w:t>
      </w:r>
      <w:r>
        <w:rPr>
          <w:spacing w:val="-3"/>
        </w:rPr>
        <w:t xml:space="preserve"> </w:t>
      </w:r>
      <w:r>
        <w:t>and</w:t>
      </w:r>
      <w:r>
        <w:rPr>
          <w:spacing w:val="-8"/>
        </w:rPr>
        <w:t xml:space="preserve"> </w:t>
      </w:r>
      <w:r>
        <w:t>with</w:t>
      </w:r>
      <w:r>
        <w:rPr>
          <w:spacing w:val="-5"/>
        </w:rPr>
        <w:t xml:space="preserve"> </w:t>
      </w:r>
      <w:r>
        <w:t>the</w:t>
      </w:r>
      <w:r>
        <w:rPr>
          <w:spacing w:val="-3"/>
        </w:rPr>
        <w:t xml:space="preserve"> </w:t>
      </w:r>
      <w:r>
        <w:t>approach</w:t>
      </w:r>
      <w:r>
        <w:rPr>
          <w:spacing w:val="-5"/>
        </w:rPr>
        <w:t xml:space="preserve"> </w:t>
      </w:r>
      <w:r>
        <w:t>followed in previous appraisals</w:t>
      </w:r>
    </w:p>
    <w:p w:rsidR="00554D93" w:rsidRDefault="003323F1" w14:paraId="27FBA4A8" w14:textId="77777777">
      <w:pPr>
        <w:pStyle w:val="BodyText"/>
        <w:spacing w:before="2"/>
        <w:ind w:left="760"/>
      </w:pPr>
      <w:r>
        <w:t>We</w:t>
      </w:r>
      <w:r>
        <w:rPr>
          <w:spacing w:val="-10"/>
        </w:rPr>
        <w:t xml:space="preserve"> </w:t>
      </w:r>
      <w:r>
        <w:t>note</w:t>
      </w:r>
      <w:r>
        <w:rPr>
          <w:spacing w:val="-2"/>
        </w:rPr>
        <w:t xml:space="preserve"> </w:t>
      </w:r>
      <w:r>
        <w:t>your</w:t>
      </w:r>
      <w:r>
        <w:rPr>
          <w:spacing w:val="-1"/>
        </w:rPr>
        <w:t xml:space="preserve"> </w:t>
      </w:r>
      <w:r>
        <w:t>view</w:t>
      </w:r>
      <w:r>
        <w:rPr>
          <w:spacing w:val="-7"/>
        </w:rPr>
        <w:t xml:space="preserve"> </w:t>
      </w:r>
      <w:r>
        <w:t>that</w:t>
      </w:r>
      <w:r>
        <w:rPr>
          <w:spacing w:val="-4"/>
        </w:rPr>
        <w:t xml:space="preserve"> </w:t>
      </w:r>
      <w:r>
        <w:t>this</w:t>
      </w:r>
      <w:r>
        <w:rPr>
          <w:spacing w:val="-2"/>
        </w:rPr>
        <w:t xml:space="preserve"> </w:t>
      </w:r>
      <w:r>
        <w:t>point</w:t>
      </w:r>
      <w:r>
        <w:rPr>
          <w:spacing w:val="-3"/>
        </w:rPr>
        <w:t xml:space="preserve"> </w:t>
      </w:r>
      <w:r>
        <w:t>of</w:t>
      </w:r>
      <w:r>
        <w:rPr>
          <w:spacing w:val="-1"/>
        </w:rPr>
        <w:t xml:space="preserve"> </w:t>
      </w:r>
      <w:r>
        <w:t>appeal</w:t>
      </w:r>
      <w:r>
        <w:rPr>
          <w:spacing w:val="-4"/>
        </w:rPr>
        <w:t xml:space="preserve"> </w:t>
      </w:r>
      <w:r>
        <w:t>should</w:t>
      </w:r>
      <w:r>
        <w:rPr>
          <w:spacing w:val="-4"/>
        </w:rPr>
        <w:t xml:space="preserve"> </w:t>
      </w:r>
      <w:r>
        <w:t>proceed</w:t>
      </w:r>
      <w:r>
        <w:rPr>
          <w:spacing w:val="-5"/>
        </w:rPr>
        <w:t xml:space="preserve"> </w:t>
      </w:r>
      <w:r>
        <w:t>to</w:t>
      </w:r>
      <w:r>
        <w:rPr>
          <w:spacing w:val="-5"/>
        </w:rPr>
        <w:t xml:space="preserve"> </w:t>
      </w:r>
      <w:r>
        <w:t>an</w:t>
      </w:r>
      <w:r>
        <w:rPr>
          <w:spacing w:val="-3"/>
        </w:rPr>
        <w:t xml:space="preserve"> </w:t>
      </w:r>
      <w:r>
        <w:t>oral</w:t>
      </w:r>
      <w:r>
        <w:rPr>
          <w:spacing w:val="-4"/>
        </w:rPr>
        <w:t xml:space="preserve"> </w:t>
      </w:r>
      <w:r>
        <w:rPr>
          <w:spacing w:val="-2"/>
        </w:rPr>
        <w:t>hearing.</w:t>
      </w:r>
    </w:p>
    <w:p w:rsidR="00554D93" w:rsidRDefault="00554D93" w14:paraId="44E871BC" w14:textId="77777777">
      <w:pPr>
        <w:pStyle w:val="BodyText"/>
        <w:spacing w:before="252"/>
      </w:pPr>
    </w:p>
    <w:p w:rsidR="00554D93" w:rsidRDefault="003323F1" w14:paraId="51EC050A" w14:textId="77777777">
      <w:pPr>
        <w:pStyle w:val="Heading1"/>
        <w:numPr>
          <w:ilvl w:val="0"/>
          <w:numId w:val="1"/>
        </w:numPr>
        <w:tabs>
          <w:tab w:val="left" w:pos="1478"/>
          <w:tab w:val="left" w:pos="1480"/>
        </w:tabs>
        <w:spacing w:line="360" w:lineRule="auto"/>
        <w:ind w:right="484"/>
      </w:pPr>
      <w:r>
        <w:t>Ground 2.3: NICE’s conclusion that it should assume no treatment wastage</w:t>
      </w:r>
      <w:r>
        <w:rPr>
          <w:spacing w:val="-5"/>
        </w:rPr>
        <w:t xml:space="preserve"> </w:t>
      </w:r>
      <w:r>
        <w:t>between</w:t>
      </w:r>
      <w:r>
        <w:rPr>
          <w:spacing w:val="-5"/>
        </w:rPr>
        <w:t xml:space="preserve"> </w:t>
      </w:r>
      <w:r>
        <w:t>fenfluramine</w:t>
      </w:r>
      <w:r>
        <w:rPr>
          <w:spacing w:val="-6"/>
        </w:rPr>
        <w:t xml:space="preserve"> </w:t>
      </w:r>
      <w:r>
        <w:t>and</w:t>
      </w:r>
      <w:r>
        <w:rPr>
          <w:spacing w:val="-3"/>
        </w:rPr>
        <w:t xml:space="preserve"> </w:t>
      </w:r>
      <w:r>
        <w:t>cannabidiol</w:t>
      </w:r>
      <w:r>
        <w:rPr>
          <w:spacing w:val="-4"/>
        </w:rPr>
        <w:t xml:space="preserve"> </w:t>
      </w:r>
      <w:r>
        <w:t>is</w:t>
      </w:r>
      <w:r>
        <w:rPr>
          <w:spacing w:val="-5"/>
        </w:rPr>
        <w:t xml:space="preserve"> </w:t>
      </w:r>
      <w:r>
        <w:t>inconsistent</w:t>
      </w:r>
      <w:r>
        <w:rPr>
          <w:spacing w:val="-6"/>
        </w:rPr>
        <w:t xml:space="preserve"> </w:t>
      </w:r>
      <w:r>
        <w:t>with</w:t>
      </w:r>
      <w:r>
        <w:rPr>
          <w:spacing w:val="-5"/>
        </w:rPr>
        <w:t xml:space="preserve"> </w:t>
      </w:r>
      <w:r>
        <w:t>the available evidence and therefore unreasonable</w:t>
      </w:r>
    </w:p>
    <w:p w:rsidR="00554D93" w:rsidRDefault="00554D93" w14:paraId="144A5D23" w14:textId="77777777">
      <w:pPr>
        <w:pStyle w:val="BodyText"/>
        <w:spacing w:before="128"/>
        <w:rPr>
          <w:b/>
        </w:rPr>
      </w:pPr>
    </w:p>
    <w:p w:rsidR="00554D93" w:rsidRDefault="003323F1" w14:paraId="4671C7F7" w14:textId="77777777">
      <w:pPr>
        <w:pStyle w:val="BodyText"/>
        <w:spacing w:line="360" w:lineRule="auto"/>
        <w:ind w:left="760" w:right="411"/>
      </w:pPr>
      <w:r>
        <w:t>Your letter expresses the preliminary view that this point of appeal should not proceed to an oral hearing on the basis that the Committee’s consideration of the issue is explained at paragraph 3.19 of the FDG and you suggest, in light of the evidence</w:t>
      </w:r>
      <w:r>
        <w:rPr>
          <w:spacing w:val="-3"/>
        </w:rPr>
        <w:t xml:space="preserve"> </w:t>
      </w:r>
      <w:r>
        <w:t>discussed</w:t>
      </w:r>
      <w:r>
        <w:rPr>
          <w:spacing w:val="-3"/>
        </w:rPr>
        <w:t xml:space="preserve"> </w:t>
      </w:r>
      <w:r>
        <w:t>in</w:t>
      </w:r>
      <w:r>
        <w:rPr>
          <w:spacing w:val="-3"/>
        </w:rPr>
        <w:t xml:space="preserve"> </w:t>
      </w:r>
      <w:r>
        <w:t>that</w:t>
      </w:r>
      <w:r>
        <w:rPr>
          <w:spacing w:val="-2"/>
        </w:rPr>
        <w:t xml:space="preserve"> </w:t>
      </w:r>
      <w:r>
        <w:t>paragraph,</w:t>
      </w:r>
      <w:r>
        <w:rPr>
          <w:spacing w:val="-4"/>
        </w:rPr>
        <w:t xml:space="preserve"> </w:t>
      </w:r>
      <w:r>
        <w:t>the</w:t>
      </w:r>
      <w:r>
        <w:rPr>
          <w:spacing w:val="-3"/>
        </w:rPr>
        <w:t xml:space="preserve"> </w:t>
      </w:r>
      <w:r>
        <w:t>Committee’s</w:t>
      </w:r>
      <w:r>
        <w:rPr>
          <w:spacing w:val="-5"/>
        </w:rPr>
        <w:t xml:space="preserve"> </w:t>
      </w:r>
      <w:r>
        <w:t>conclusion</w:t>
      </w:r>
      <w:r>
        <w:rPr>
          <w:spacing w:val="-3"/>
        </w:rPr>
        <w:t xml:space="preserve"> </w:t>
      </w:r>
      <w:r>
        <w:t>cannot</w:t>
      </w:r>
      <w:r>
        <w:rPr>
          <w:spacing w:val="-4"/>
        </w:rPr>
        <w:t xml:space="preserve"> </w:t>
      </w:r>
      <w:r>
        <w:t>be</w:t>
      </w:r>
      <w:r>
        <w:rPr>
          <w:spacing w:val="-3"/>
        </w:rPr>
        <w:t xml:space="preserve"> </w:t>
      </w:r>
      <w:r>
        <w:t>said</w:t>
      </w:r>
      <w:r>
        <w:rPr>
          <w:spacing w:val="-3"/>
        </w:rPr>
        <w:t xml:space="preserve"> </w:t>
      </w:r>
      <w:r>
        <w:t>to be unreasonable.</w:t>
      </w:r>
    </w:p>
    <w:p w:rsidR="00554D93" w:rsidRDefault="00554D93" w14:paraId="738610EB" w14:textId="77777777">
      <w:pPr>
        <w:pStyle w:val="BodyText"/>
        <w:spacing w:before="128"/>
      </w:pPr>
    </w:p>
    <w:p w:rsidR="00554D93" w:rsidRDefault="003323F1" w14:paraId="21569D35" w14:textId="77777777">
      <w:pPr>
        <w:pStyle w:val="BodyText"/>
        <w:spacing w:line="360" w:lineRule="auto"/>
        <w:ind w:left="760" w:right="333"/>
      </w:pPr>
      <w:r>
        <w:t>Paragraph 3.19 of the FDG refers to: the evidence of clinical experts at the first Appraisal Committee meeting (ACM1) “that there may be treatment wastage caused by bottle breakages or leftover liquid medicine in the bottle”; and the evidence of a patient carer expert that wastage of liquid treatments for LGS is often caused by the person having the treatment knocking it out of a carer’s hand which, the Committee concluded, was</w:t>
      </w:r>
      <w:r>
        <w:rPr>
          <w:spacing w:val="-1"/>
        </w:rPr>
        <w:t xml:space="preserve"> </w:t>
      </w:r>
      <w:r>
        <w:t>not</w:t>
      </w:r>
      <w:r>
        <w:rPr>
          <w:spacing w:val="-2"/>
        </w:rPr>
        <w:t xml:space="preserve"> </w:t>
      </w:r>
      <w:r>
        <w:t>specific</w:t>
      </w:r>
      <w:r>
        <w:rPr>
          <w:spacing w:val="-3"/>
        </w:rPr>
        <w:t xml:space="preserve"> </w:t>
      </w:r>
      <w:r>
        <w:t>to</w:t>
      </w:r>
      <w:r>
        <w:rPr>
          <w:spacing w:val="-3"/>
        </w:rPr>
        <w:t xml:space="preserve"> </w:t>
      </w:r>
      <w:r>
        <w:t>the</w:t>
      </w:r>
      <w:r>
        <w:rPr>
          <w:spacing w:val="-3"/>
        </w:rPr>
        <w:t xml:space="preserve"> </w:t>
      </w:r>
      <w:r>
        <w:t>treatment</w:t>
      </w:r>
      <w:r>
        <w:rPr>
          <w:spacing w:val="-2"/>
        </w:rPr>
        <w:t xml:space="preserve"> </w:t>
      </w:r>
      <w:r>
        <w:t>used.</w:t>
      </w:r>
      <w:r>
        <w:rPr>
          <w:spacing w:val="40"/>
        </w:rPr>
        <w:t xml:space="preserve"> </w:t>
      </w:r>
      <w:r>
        <w:t>The</w:t>
      </w:r>
      <w:r>
        <w:rPr>
          <w:spacing w:val="-1"/>
        </w:rPr>
        <w:t xml:space="preserve"> </w:t>
      </w:r>
      <w:r>
        <w:t>Committee</w:t>
      </w:r>
      <w:r>
        <w:rPr>
          <w:spacing w:val="-3"/>
        </w:rPr>
        <w:t xml:space="preserve"> </w:t>
      </w:r>
      <w:r>
        <w:t>then</w:t>
      </w:r>
      <w:r>
        <w:rPr>
          <w:spacing w:val="-3"/>
        </w:rPr>
        <w:t xml:space="preserve"> </w:t>
      </w:r>
      <w:r>
        <w:t>stated</w:t>
      </w:r>
      <w:r>
        <w:rPr>
          <w:spacing w:val="-3"/>
        </w:rPr>
        <w:t xml:space="preserve"> </w:t>
      </w:r>
      <w:r>
        <w:t>that</w:t>
      </w:r>
      <w:r>
        <w:rPr>
          <w:spacing w:val="-2"/>
        </w:rPr>
        <w:t xml:space="preserve"> </w:t>
      </w:r>
      <w:r>
        <w:t>it had not seen “sufficient” evidence to support differences in treatment wastage between</w:t>
      </w:r>
      <w:r>
        <w:rPr>
          <w:spacing w:val="-4"/>
        </w:rPr>
        <w:t xml:space="preserve"> </w:t>
      </w:r>
      <w:r>
        <w:t>fenfluramine</w:t>
      </w:r>
      <w:r>
        <w:rPr>
          <w:spacing w:val="-4"/>
        </w:rPr>
        <w:t xml:space="preserve"> </w:t>
      </w:r>
      <w:r>
        <w:t>and</w:t>
      </w:r>
      <w:r>
        <w:rPr>
          <w:spacing w:val="-4"/>
        </w:rPr>
        <w:t xml:space="preserve"> </w:t>
      </w:r>
      <w:r>
        <w:t>cannabidiol.</w:t>
      </w:r>
      <w:r>
        <w:rPr>
          <w:spacing w:val="40"/>
        </w:rPr>
        <w:t xml:space="preserve"> </w:t>
      </w:r>
      <w:r>
        <w:t>The</w:t>
      </w:r>
      <w:r>
        <w:rPr>
          <w:spacing w:val="-6"/>
        </w:rPr>
        <w:t xml:space="preserve"> </w:t>
      </w:r>
      <w:r>
        <w:t>Committee’s</w:t>
      </w:r>
      <w:r>
        <w:rPr>
          <w:spacing w:val="-6"/>
        </w:rPr>
        <w:t xml:space="preserve"> </w:t>
      </w:r>
      <w:r>
        <w:t>conclusion</w:t>
      </w:r>
      <w:r>
        <w:rPr>
          <w:spacing w:val="-4"/>
        </w:rPr>
        <w:t xml:space="preserve"> </w:t>
      </w:r>
      <w:r>
        <w:t>is</w:t>
      </w:r>
      <w:r>
        <w:rPr>
          <w:spacing w:val="-3"/>
        </w:rPr>
        <w:t xml:space="preserve"> </w:t>
      </w:r>
      <w:r>
        <w:t>unreasonable including for the following reasons:</w:t>
      </w:r>
    </w:p>
    <w:p w:rsidR="00554D93" w:rsidRDefault="003323F1" w14:paraId="593E927D" w14:textId="77777777">
      <w:pPr>
        <w:pStyle w:val="ListParagraph"/>
        <w:numPr>
          <w:ilvl w:val="1"/>
          <w:numId w:val="1"/>
        </w:numPr>
        <w:tabs>
          <w:tab w:val="left" w:pos="1480"/>
        </w:tabs>
        <w:spacing w:line="357" w:lineRule="auto"/>
        <w:ind w:right="344"/>
      </w:pPr>
      <w:r>
        <w:t>All three clinical experts stated at ACM1 that there could be wastage of cannabidiol due to the fact that this is an oily substance and is provided in a glass</w:t>
      </w:r>
      <w:r>
        <w:rPr>
          <w:spacing w:val="-4"/>
        </w:rPr>
        <w:t xml:space="preserve"> </w:t>
      </w:r>
      <w:r>
        <w:t>bottle;</w:t>
      </w:r>
      <w:r>
        <w:rPr>
          <w:spacing w:val="-3"/>
        </w:rPr>
        <w:t xml:space="preserve"> </w:t>
      </w:r>
      <w:r>
        <w:t>these</w:t>
      </w:r>
      <w:r>
        <w:rPr>
          <w:spacing w:val="-6"/>
        </w:rPr>
        <w:t xml:space="preserve"> </w:t>
      </w:r>
      <w:r>
        <w:t>factors</w:t>
      </w:r>
      <w:r>
        <w:rPr>
          <w:spacing w:val="-1"/>
        </w:rPr>
        <w:t xml:space="preserve"> </w:t>
      </w:r>
      <w:r>
        <w:t>may</w:t>
      </w:r>
      <w:r>
        <w:rPr>
          <w:spacing w:val="-6"/>
        </w:rPr>
        <w:t xml:space="preserve"> </w:t>
      </w:r>
      <w:r>
        <w:t>result in</w:t>
      </w:r>
      <w:r>
        <w:rPr>
          <w:spacing w:val="-2"/>
        </w:rPr>
        <w:t xml:space="preserve"> </w:t>
      </w:r>
      <w:r>
        <w:t>cannabidiol</w:t>
      </w:r>
      <w:r>
        <w:rPr>
          <w:spacing w:val="-3"/>
        </w:rPr>
        <w:t xml:space="preserve"> </w:t>
      </w:r>
      <w:r>
        <w:t>being leftover</w:t>
      </w:r>
      <w:r>
        <w:rPr>
          <w:spacing w:val="-1"/>
        </w:rPr>
        <w:t xml:space="preserve"> </w:t>
      </w:r>
      <w:r>
        <w:t>in</w:t>
      </w:r>
      <w:r>
        <w:rPr>
          <w:spacing w:val="-4"/>
        </w:rPr>
        <w:t xml:space="preserve"> </w:t>
      </w:r>
      <w:r>
        <w:t>the</w:t>
      </w:r>
      <w:r>
        <w:rPr>
          <w:spacing w:val="-4"/>
        </w:rPr>
        <w:t xml:space="preserve"> </w:t>
      </w:r>
      <w:r>
        <w:t>bottle and bottle breakage.</w:t>
      </w:r>
      <w:r>
        <w:rPr>
          <w:spacing w:val="40"/>
        </w:rPr>
        <w:t xml:space="preserve"> </w:t>
      </w:r>
      <w:r>
        <w:t>This possibility was reflected in the Draft Guidance at paragraph 3.16.</w:t>
      </w:r>
      <w:r>
        <w:rPr>
          <w:spacing w:val="40"/>
        </w:rPr>
        <w:t xml:space="preserve"> </w:t>
      </w:r>
      <w:r>
        <w:t>However in preparing the FDG, the Committee has omitted to state that the evidence of the clinical experts related to wastage of cannabidiol not to potential wastage of fenfluramine.</w:t>
      </w:r>
    </w:p>
    <w:p w:rsidR="00554D93" w:rsidRDefault="003323F1" w14:paraId="1E7DED01" w14:textId="77777777">
      <w:pPr>
        <w:pStyle w:val="ListParagraph"/>
        <w:numPr>
          <w:ilvl w:val="1"/>
          <w:numId w:val="1"/>
        </w:numPr>
        <w:tabs>
          <w:tab w:val="left" w:pos="1480"/>
        </w:tabs>
        <w:spacing w:before="8" w:line="357" w:lineRule="auto"/>
        <w:ind w:right="417"/>
      </w:pPr>
      <w:r>
        <w:t>During ACM2, the clinical experts stated (i) that they expect at least one 100ml bottle of cannabidiol to be dropped per year and (ii) there is generally cannabidiol</w:t>
      </w:r>
      <w:r>
        <w:rPr>
          <w:spacing w:val="-3"/>
        </w:rPr>
        <w:t xml:space="preserve"> </w:t>
      </w:r>
      <w:r>
        <w:t>liquid</w:t>
      </w:r>
      <w:r>
        <w:rPr>
          <w:spacing w:val="-3"/>
        </w:rPr>
        <w:t xml:space="preserve"> </w:t>
      </w:r>
      <w:r>
        <w:t>left</w:t>
      </w:r>
      <w:r>
        <w:rPr>
          <w:spacing w:val="-1"/>
        </w:rPr>
        <w:t xml:space="preserve"> </w:t>
      </w:r>
      <w:r>
        <w:t>in</w:t>
      </w:r>
      <w:r>
        <w:rPr>
          <w:spacing w:val="-7"/>
        </w:rPr>
        <w:t xml:space="preserve"> </w:t>
      </w:r>
      <w:r>
        <w:t>bottles;</w:t>
      </w:r>
      <w:r>
        <w:rPr>
          <w:spacing w:val="-2"/>
        </w:rPr>
        <w:t xml:space="preserve"> </w:t>
      </w:r>
      <w:r>
        <w:t>this</w:t>
      </w:r>
      <w:r>
        <w:rPr>
          <w:spacing w:val="-2"/>
        </w:rPr>
        <w:t xml:space="preserve"> </w:t>
      </w:r>
      <w:r>
        <w:t>level</w:t>
      </w:r>
      <w:r>
        <w:rPr>
          <w:spacing w:val="-4"/>
        </w:rPr>
        <w:t xml:space="preserve"> </w:t>
      </w:r>
      <w:r>
        <w:t>of</w:t>
      </w:r>
      <w:r>
        <w:rPr>
          <w:spacing w:val="-1"/>
        </w:rPr>
        <w:t xml:space="preserve"> </w:t>
      </w:r>
      <w:r>
        <w:t>wastage</w:t>
      </w:r>
      <w:r>
        <w:rPr>
          <w:spacing w:val="-4"/>
        </w:rPr>
        <w:t xml:space="preserve"> </w:t>
      </w:r>
      <w:r>
        <w:t>is</w:t>
      </w:r>
      <w:r>
        <w:rPr>
          <w:spacing w:val="-2"/>
        </w:rPr>
        <w:t xml:space="preserve"> </w:t>
      </w:r>
      <w:r>
        <w:t>consistent</w:t>
      </w:r>
      <w:r>
        <w:rPr>
          <w:spacing w:val="-4"/>
        </w:rPr>
        <w:t xml:space="preserve"> </w:t>
      </w:r>
      <w:r>
        <w:t>with</w:t>
      </w:r>
      <w:r>
        <w:rPr>
          <w:spacing w:val="-2"/>
        </w:rPr>
        <w:t xml:space="preserve"> </w:t>
      </w:r>
      <w:r>
        <w:t>one</w:t>
      </w:r>
      <w:r>
        <w:rPr>
          <w:spacing w:val="-3"/>
        </w:rPr>
        <w:t xml:space="preserve"> </w:t>
      </w:r>
      <w:r>
        <w:t>of the scenarios submitted to NICE by UCB in response to the Draft Guidance.</w:t>
      </w:r>
    </w:p>
    <w:p w:rsidR="00554D93" w:rsidRDefault="00554D93" w14:paraId="637805D2" w14:textId="77777777">
      <w:pPr>
        <w:spacing w:line="357" w:lineRule="auto"/>
        <w:sectPr w:rsidR="00554D93">
          <w:pgSz w:w="11910" w:h="16840" w:orient="portrait"/>
          <w:pgMar w:top="860" w:right="1480" w:bottom="1200" w:left="1040" w:header="182" w:footer="1007" w:gutter="0"/>
          <w:cols w:space="720"/>
        </w:sectPr>
      </w:pPr>
    </w:p>
    <w:p w:rsidR="00554D93" w:rsidRDefault="00554D93" w14:paraId="463F29E8" w14:textId="77777777">
      <w:pPr>
        <w:pStyle w:val="BodyText"/>
      </w:pPr>
    </w:p>
    <w:p w:rsidR="00554D93" w:rsidRDefault="00554D93" w14:paraId="3B7B4B86" w14:textId="77777777">
      <w:pPr>
        <w:pStyle w:val="BodyText"/>
        <w:spacing w:before="59"/>
      </w:pPr>
    </w:p>
    <w:p w:rsidR="00554D93" w:rsidRDefault="003323F1" w14:paraId="0DCDAB33" w14:textId="77777777">
      <w:pPr>
        <w:pStyle w:val="BodyText"/>
        <w:spacing w:line="360" w:lineRule="auto"/>
        <w:ind w:left="1480"/>
      </w:pPr>
      <w:r>
        <w:t>The</w:t>
      </w:r>
      <w:r>
        <w:rPr>
          <w:spacing w:val="-6"/>
        </w:rPr>
        <w:t xml:space="preserve"> </w:t>
      </w:r>
      <w:r>
        <w:t>evidence</w:t>
      </w:r>
      <w:r>
        <w:rPr>
          <w:spacing w:val="-4"/>
        </w:rPr>
        <w:t xml:space="preserve"> </w:t>
      </w:r>
      <w:r>
        <w:t>of</w:t>
      </w:r>
      <w:r>
        <w:rPr>
          <w:spacing w:val="-2"/>
        </w:rPr>
        <w:t xml:space="preserve"> </w:t>
      </w:r>
      <w:r>
        <w:t>the</w:t>
      </w:r>
      <w:r>
        <w:rPr>
          <w:spacing w:val="-4"/>
        </w:rPr>
        <w:t xml:space="preserve"> </w:t>
      </w:r>
      <w:r>
        <w:t>clinical</w:t>
      </w:r>
      <w:r>
        <w:rPr>
          <w:spacing w:val="-5"/>
        </w:rPr>
        <w:t xml:space="preserve"> </w:t>
      </w:r>
      <w:r>
        <w:t>experts</w:t>
      </w:r>
      <w:r>
        <w:rPr>
          <w:spacing w:val="-3"/>
        </w:rPr>
        <w:t xml:space="preserve"> </w:t>
      </w:r>
      <w:r>
        <w:t>at</w:t>
      </w:r>
      <w:r>
        <w:rPr>
          <w:spacing w:val="-2"/>
        </w:rPr>
        <w:t xml:space="preserve"> </w:t>
      </w:r>
      <w:r>
        <w:t>ACM2</w:t>
      </w:r>
      <w:r>
        <w:rPr>
          <w:spacing w:val="-4"/>
        </w:rPr>
        <w:t xml:space="preserve"> </w:t>
      </w:r>
      <w:r>
        <w:t>has</w:t>
      </w:r>
      <w:r>
        <w:rPr>
          <w:spacing w:val="-4"/>
        </w:rPr>
        <w:t xml:space="preserve"> </w:t>
      </w:r>
      <w:r>
        <w:t>however</w:t>
      </w:r>
      <w:r>
        <w:rPr>
          <w:spacing w:val="-3"/>
        </w:rPr>
        <w:t xml:space="preserve"> </w:t>
      </w:r>
      <w:r>
        <w:t>been</w:t>
      </w:r>
      <w:r>
        <w:rPr>
          <w:spacing w:val="-4"/>
        </w:rPr>
        <w:t xml:space="preserve"> </w:t>
      </w:r>
      <w:r>
        <w:t>disregarded during preparation of the FDG.</w:t>
      </w:r>
    </w:p>
    <w:p w:rsidR="00554D93" w:rsidRDefault="003323F1" w14:paraId="78E432C7" w14:textId="77777777">
      <w:pPr>
        <w:pStyle w:val="ListParagraph"/>
        <w:numPr>
          <w:ilvl w:val="1"/>
          <w:numId w:val="1"/>
        </w:numPr>
        <w:tabs>
          <w:tab w:val="left" w:pos="1480"/>
        </w:tabs>
        <w:spacing w:line="360" w:lineRule="auto"/>
        <w:ind w:right="352"/>
      </w:pPr>
      <w:r>
        <w:t>The FDG characterises the evidence of the patient carer expert as “not specific to the treatment used”.</w:t>
      </w:r>
      <w:r>
        <w:rPr>
          <w:spacing w:val="40"/>
        </w:rPr>
        <w:t xml:space="preserve"> </w:t>
      </w:r>
      <w:r>
        <w:t>This is incorrect, as cannabidiol is presented an oily liquid resulting on increased bottle droppage.</w:t>
      </w:r>
      <w:r>
        <w:rPr>
          <w:spacing w:val="40"/>
        </w:rPr>
        <w:t xml:space="preserve"> </w:t>
      </w:r>
      <w:r>
        <w:t>It is obvious that, if a glass bottle is dropped this may result in breakage, consistent with the evidence</w:t>
      </w:r>
      <w:r>
        <w:rPr>
          <w:spacing w:val="-2"/>
        </w:rPr>
        <w:t xml:space="preserve"> </w:t>
      </w:r>
      <w:r>
        <w:t>of</w:t>
      </w:r>
      <w:r>
        <w:rPr>
          <w:spacing w:val="-1"/>
        </w:rPr>
        <w:t xml:space="preserve"> </w:t>
      </w:r>
      <w:r>
        <w:t>the</w:t>
      </w:r>
      <w:r>
        <w:rPr>
          <w:spacing w:val="-4"/>
        </w:rPr>
        <w:t xml:space="preserve"> </w:t>
      </w:r>
      <w:r>
        <w:t>clinical</w:t>
      </w:r>
      <w:r>
        <w:rPr>
          <w:spacing w:val="-3"/>
        </w:rPr>
        <w:t xml:space="preserve"> </w:t>
      </w:r>
      <w:r>
        <w:t>experts and</w:t>
      </w:r>
      <w:r>
        <w:rPr>
          <w:spacing w:val="-4"/>
        </w:rPr>
        <w:t xml:space="preserve"> </w:t>
      </w:r>
      <w:r>
        <w:t>resulting in</w:t>
      </w:r>
      <w:r>
        <w:rPr>
          <w:spacing w:val="-4"/>
        </w:rPr>
        <w:t xml:space="preserve"> </w:t>
      </w:r>
      <w:r>
        <w:t>the</w:t>
      </w:r>
      <w:r>
        <w:rPr>
          <w:spacing w:val="-2"/>
        </w:rPr>
        <w:t xml:space="preserve"> </w:t>
      </w:r>
      <w:r>
        <w:t>loss</w:t>
      </w:r>
      <w:r>
        <w:rPr>
          <w:spacing w:val="-1"/>
        </w:rPr>
        <w:t xml:space="preserve"> </w:t>
      </w:r>
      <w:r>
        <w:t>of</w:t>
      </w:r>
      <w:r>
        <w:rPr>
          <w:spacing w:val="-3"/>
        </w:rPr>
        <w:t xml:space="preserve"> </w:t>
      </w:r>
      <w:r>
        <w:t>the</w:t>
      </w:r>
      <w:r>
        <w:rPr>
          <w:spacing w:val="-2"/>
        </w:rPr>
        <w:t xml:space="preserve"> </w:t>
      </w:r>
      <w:r>
        <w:t>entire</w:t>
      </w:r>
      <w:r>
        <w:rPr>
          <w:spacing w:val="-4"/>
        </w:rPr>
        <w:t xml:space="preserve"> </w:t>
      </w:r>
      <w:r>
        <w:t>contents, whereas if fenfluramine (Fintepla is presented in a High Density Polyethylene (HDPE) with a child resistant cap, tamper evident cap and press in bottle adaptor) is</w:t>
      </w:r>
      <w:r>
        <w:rPr>
          <w:spacing w:val="-1"/>
        </w:rPr>
        <w:t xml:space="preserve"> </w:t>
      </w:r>
      <w:r>
        <w:t>dropped</w:t>
      </w:r>
      <w:r>
        <w:rPr>
          <w:spacing w:val="-4"/>
        </w:rPr>
        <w:t xml:space="preserve"> </w:t>
      </w:r>
      <w:r>
        <w:t>there</w:t>
      </w:r>
      <w:r>
        <w:rPr>
          <w:spacing w:val="-2"/>
        </w:rPr>
        <w:t xml:space="preserve"> </w:t>
      </w:r>
      <w:r>
        <w:t>will</w:t>
      </w:r>
      <w:r>
        <w:rPr>
          <w:spacing w:val="-2"/>
        </w:rPr>
        <w:t xml:space="preserve"> </w:t>
      </w:r>
      <w:r>
        <w:t>be</w:t>
      </w:r>
      <w:r>
        <w:rPr>
          <w:spacing w:val="-2"/>
        </w:rPr>
        <w:t xml:space="preserve"> </w:t>
      </w:r>
      <w:r>
        <w:t>no</w:t>
      </w:r>
      <w:r>
        <w:rPr>
          <w:spacing w:val="-2"/>
        </w:rPr>
        <w:t xml:space="preserve"> </w:t>
      </w:r>
      <w:r>
        <w:t>breakage,</w:t>
      </w:r>
      <w:r>
        <w:rPr>
          <w:spacing w:val="-3"/>
        </w:rPr>
        <w:t xml:space="preserve"> </w:t>
      </w:r>
      <w:r>
        <w:t>but only</w:t>
      </w:r>
      <w:r>
        <w:rPr>
          <w:spacing w:val="-4"/>
        </w:rPr>
        <w:t xml:space="preserve"> </w:t>
      </w:r>
      <w:r>
        <w:t>the</w:t>
      </w:r>
      <w:r>
        <w:rPr>
          <w:spacing w:val="-4"/>
        </w:rPr>
        <w:t xml:space="preserve"> </w:t>
      </w:r>
      <w:r>
        <w:t>possibility</w:t>
      </w:r>
      <w:r>
        <w:rPr>
          <w:spacing w:val="-4"/>
        </w:rPr>
        <w:t xml:space="preserve"> </w:t>
      </w:r>
      <w:r>
        <w:t>of</w:t>
      </w:r>
      <w:r>
        <w:rPr>
          <w:spacing w:val="-1"/>
        </w:rPr>
        <w:t xml:space="preserve"> </w:t>
      </w:r>
      <w:r>
        <w:t>some minor spillage. In any event, UCB’s understanding from the Committee meeting is that the patient carer expert had not used fenfluramine and therefore</w:t>
      </w:r>
      <w:r>
        <w:rPr>
          <w:spacing w:val="-3"/>
        </w:rPr>
        <w:t xml:space="preserve"> </w:t>
      </w:r>
      <w:r>
        <w:t>it is</w:t>
      </w:r>
      <w:r>
        <w:rPr>
          <w:spacing w:val="-3"/>
        </w:rPr>
        <w:t xml:space="preserve"> </w:t>
      </w:r>
      <w:r>
        <w:t>unclear</w:t>
      </w:r>
      <w:r>
        <w:rPr>
          <w:spacing w:val="-2"/>
        </w:rPr>
        <w:t xml:space="preserve"> </w:t>
      </w:r>
      <w:r>
        <w:t>how</w:t>
      </w:r>
      <w:r>
        <w:rPr>
          <w:spacing w:val="-4"/>
        </w:rPr>
        <w:t xml:space="preserve"> </w:t>
      </w:r>
      <w:r>
        <w:t>they</w:t>
      </w:r>
      <w:r>
        <w:rPr>
          <w:spacing w:val="-3"/>
        </w:rPr>
        <w:t xml:space="preserve"> </w:t>
      </w:r>
      <w:r>
        <w:t>can</w:t>
      </w:r>
      <w:r>
        <w:rPr>
          <w:spacing w:val="-1"/>
        </w:rPr>
        <w:t xml:space="preserve"> </w:t>
      </w:r>
      <w:r>
        <w:t>provide</w:t>
      </w:r>
      <w:r>
        <w:rPr>
          <w:spacing w:val="-1"/>
        </w:rPr>
        <w:t xml:space="preserve"> </w:t>
      </w:r>
      <w:r>
        <w:t>evidence</w:t>
      </w:r>
      <w:r>
        <w:rPr>
          <w:spacing w:val="-1"/>
        </w:rPr>
        <w:t xml:space="preserve"> </w:t>
      </w:r>
      <w:r>
        <w:t>on</w:t>
      </w:r>
      <w:r>
        <w:rPr>
          <w:spacing w:val="-1"/>
        </w:rPr>
        <w:t xml:space="preserve"> </w:t>
      </w:r>
      <w:r>
        <w:t>something</w:t>
      </w:r>
      <w:r>
        <w:rPr>
          <w:spacing w:val="-1"/>
        </w:rPr>
        <w:t xml:space="preserve"> </w:t>
      </w:r>
      <w:r>
        <w:t>they</w:t>
      </w:r>
      <w:r>
        <w:rPr>
          <w:spacing w:val="-3"/>
        </w:rPr>
        <w:t xml:space="preserve"> </w:t>
      </w:r>
      <w:r>
        <w:t>have not experienced, and their comments may have been taken out of context.</w:t>
      </w:r>
    </w:p>
    <w:p w:rsidR="00554D93" w:rsidRDefault="003323F1" w14:paraId="078A8068" w14:textId="77777777">
      <w:pPr>
        <w:pStyle w:val="ListParagraph"/>
        <w:numPr>
          <w:ilvl w:val="1"/>
          <w:numId w:val="1"/>
        </w:numPr>
        <w:tabs>
          <w:tab w:val="left" w:pos="1480"/>
        </w:tabs>
        <w:spacing w:line="360" w:lineRule="auto"/>
        <w:ind w:right="326"/>
      </w:pPr>
      <w:r>
        <w:t>The slides shown to the Committee by the lead team at ACM2 referred to comments from the manufacturer of cannabidiol, which asserted that the containers for fenfluramine and cannabidiol were “similar” and stated that “bottle breakage</w:t>
      </w:r>
      <w:r>
        <w:rPr>
          <w:spacing w:val="-2"/>
        </w:rPr>
        <w:t xml:space="preserve"> </w:t>
      </w:r>
      <w:r>
        <w:t>an</w:t>
      </w:r>
      <w:r>
        <w:rPr>
          <w:spacing w:val="-2"/>
        </w:rPr>
        <w:t xml:space="preserve"> </w:t>
      </w:r>
      <w:r>
        <w:t>isolated incident</w:t>
      </w:r>
      <w:r>
        <w:rPr>
          <w:spacing w:val="-1"/>
        </w:rPr>
        <w:t xml:space="preserve"> </w:t>
      </w:r>
      <w:r>
        <w:t>→ unlikely</w:t>
      </w:r>
      <w:r>
        <w:rPr>
          <w:spacing w:val="-2"/>
        </w:rPr>
        <w:t xml:space="preserve"> </w:t>
      </w:r>
      <w:r>
        <w:t>any</w:t>
      </w:r>
      <w:r>
        <w:rPr>
          <w:spacing w:val="-2"/>
        </w:rPr>
        <w:t xml:space="preserve"> </w:t>
      </w:r>
      <w:r>
        <w:t>difference</w:t>
      </w:r>
      <w:r>
        <w:rPr>
          <w:spacing w:val="-2"/>
        </w:rPr>
        <w:t xml:space="preserve"> </w:t>
      </w:r>
      <w:r>
        <w:t>in wastage”.</w:t>
      </w:r>
      <w:r>
        <w:rPr>
          <w:spacing w:val="40"/>
        </w:rPr>
        <w:t xml:space="preserve"> </w:t>
      </w:r>
      <w:r>
        <w:t>It is clearly incorrect to state that the containers for the two products are “similar” (one is glass and one is plastic) and the evidence of the</w:t>
      </w:r>
      <w:r>
        <w:rPr>
          <w:spacing w:val="40"/>
        </w:rPr>
        <w:t xml:space="preserve"> </w:t>
      </w:r>
      <w:r>
        <w:t>manufacturer</w:t>
      </w:r>
      <w:r>
        <w:rPr>
          <w:spacing w:val="-1"/>
        </w:rPr>
        <w:t xml:space="preserve"> </w:t>
      </w:r>
      <w:r>
        <w:t>of</w:t>
      </w:r>
      <w:r>
        <w:rPr>
          <w:spacing w:val="-3"/>
        </w:rPr>
        <w:t xml:space="preserve"> </w:t>
      </w:r>
      <w:r>
        <w:t>cannabidiol</w:t>
      </w:r>
      <w:r>
        <w:rPr>
          <w:spacing w:val="-1"/>
        </w:rPr>
        <w:t xml:space="preserve"> </w:t>
      </w:r>
      <w:r>
        <w:t>is</w:t>
      </w:r>
      <w:r>
        <w:rPr>
          <w:spacing w:val="-1"/>
        </w:rPr>
        <w:t xml:space="preserve"> </w:t>
      </w:r>
      <w:r>
        <w:t>unsupported</w:t>
      </w:r>
      <w:r>
        <w:rPr>
          <w:spacing w:val="-4"/>
        </w:rPr>
        <w:t xml:space="preserve"> </w:t>
      </w:r>
      <w:r>
        <w:t>by</w:t>
      </w:r>
      <w:r>
        <w:rPr>
          <w:spacing w:val="-4"/>
        </w:rPr>
        <w:t xml:space="preserve"> </w:t>
      </w:r>
      <w:r>
        <w:t>evidence and</w:t>
      </w:r>
      <w:r>
        <w:rPr>
          <w:spacing w:val="-2"/>
        </w:rPr>
        <w:t xml:space="preserve"> </w:t>
      </w:r>
      <w:r>
        <w:t>conflicts</w:t>
      </w:r>
      <w:r>
        <w:rPr>
          <w:spacing w:val="-1"/>
        </w:rPr>
        <w:t xml:space="preserve"> </w:t>
      </w:r>
      <w:r>
        <w:t>with</w:t>
      </w:r>
      <w:r>
        <w:rPr>
          <w:spacing w:val="-4"/>
        </w:rPr>
        <w:t xml:space="preserve"> </w:t>
      </w:r>
      <w:r>
        <w:t>the experience of the clinical experts.</w:t>
      </w:r>
      <w:r>
        <w:rPr>
          <w:spacing w:val="40"/>
        </w:rPr>
        <w:t xml:space="preserve"> </w:t>
      </w:r>
      <w:r>
        <w:t>The evidence from the manufacturer of cannabidiol</w:t>
      </w:r>
      <w:r>
        <w:rPr>
          <w:spacing w:val="-5"/>
        </w:rPr>
        <w:t xml:space="preserve"> </w:t>
      </w:r>
      <w:r>
        <w:t>is</w:t>
      </w:r>
      <w:r>
        <w:rPr>
          <w:spacing w:val="-3"/>
        </w:rPr>
        <w:t xml:space="preserve"> </w:t>
      </w:r>
      <w:r>
        <w:t>not</w:t>
      </w:r>
      <w:r>
        <w:rPr>
          <w:spacing w:val="-5"/>
        </w:rPr>
        <w:t xml:space="preserve"> </w:t>
      </w:r>
      <w:r>
        <w:t>referenced</w:t>
      </w:r>
      <w:r>
        <w:rPr>
          <w:spacing w:val="-4"/>
        </w:rPr>
        <w:t xml:space="preserve"> </w:t>
      </w:r>
      <w:r>
        <w:t>explicitly</w:t>
      </w:r>
      <w:r>
        <w:rPr>
          <w:spacing w:val="-6"/>
        </w:rPr>
        <w:t xml:space="preserve"> </w:t>
      </w:r>
      <w:r>
        <w:t>in</w:t>
      </w:r>
      <w:r>
        <w:rPr>
          <w:spacing w:val="-4"/>
        </w:rPr>
        <w:t xml:space="preserve"> </w:t>
      </w:r>
      <w:r>
        <w:t>paragraph</w:t>
      </w:r>
      <w:r>
        <w:rPr>
          <w:spacing w:val="-4"/>
        </w:rPr>
        <w:t xml:space="preserve"> </w:t>
      </w:r>
      <w:r>
        <w:t>3.19</w:t>
      </w:r>
      <w:r>
        <w:rPr>
          <w:spacing w:val="-6"/>
        </w:rPr>
        <w:t xml:space="preserve"> </w:t>
      </w:r>
      <w:r>
        <w:t>of</w:t>
      </w:r>
      <w:r>
        <w:rPr>
          <w:spacing w:val="-2"/>
        </w:rPr>
        <w:t xml:space="preserve"> </w:t>
      </w:r>
      <w:r>
        <w:t>the</w:t>
      </w:r>
      <w:r>
        <w:rPr>
          <w:spacing w:val="-6"/>
        </w:rPr>
        <w:t xml:space="preserve"> </w:t>
      </w:r>
      <w:r>
        <w:t>FDG,</w:t>
      </w:r>
      <w:r>
        <w:rPr>
          <w:spacing w:val="-2"/>
        </w:rPr>
        <w:t xml:space="preserve"> </w:t>
      </w:r>
      <w:r>
        <w:t>however such</w:t>
      </w:r>
      <w:r>
        <w:rPr>
          <w:spacing w:val="-1"/>
        </w:rPr>
        <w:t xml:space="preserve"> </w:t>
      </w:r>
      <w:r>
        <w:t>evidence</w:t>
      </w:r>
      <w:r>
        <w:rPr>
          <w:spacing w:val="-1"/>
        </w:rPr>
        <w:t xml:space="preserve"> </w:t>
      </w:r>
      <w:r>
        <w:t>was</w:t>
      </w:r>
      <w:r>
        <w:rPr>
          <w:spacing w:val="-1"/>
        </w:rPr>
        <w:t xml:space="preserve"> </w:t>
      </w:r>
      <w:r>
        <w:t>presented</w:t>
      </w:r>
      <w:r>
        <w:rPr>
          <w:spacing w:val="-1"/>
        </w:rPr>
        <w:t xml:space="preserve"> </w:t>
      </w:r>
      <w:r>
        <w:t>as</w:t>
      </w:r>
      <w:r>
        <w:rPr>
          <w:spacing w:val="-5"/>
        </w:rPr>
        <w:t xml:space="preserve"> </w:t>
      </w:r>
      <w:r>
        <w:t>fact</w:t>
      </w:r>
      <w:r>
        <w:rPr>
          <w:spacing w:val="-2"/>
        </w:rPr>
        <w:t xml:space="preserve"> </w:t>
      </w:r>
      <w:r>
        <w:t>in</w:t>
      </w:r>
      <w:r>
        <w:rPr>
          <w:spacing w:val="-1"/>
        </w:rPr>
        <w:t xml:space="preserve"> </w:t>
      </w:r>
      <w:r>
        <w:t>the</w:t>
      </w:r>
      <w:r>
        <w:rPr>
          <w:spacing w:val="-1"/>
        </w:rPr>
        <w:t xml:space="preserve"> </w:t>
      </w:r>
      <w:r>
        <w:t>slides presented by</w:t>
      </w:r>
      <w:r>
        <w:rPr>
          <w:spacing w:val="-5"/>
        </w:rPr>
        <w:t xml:space="preserve"> </w:t>
      </w:r>
      <w:r>
        <w:t>the</w:t>
      </w:r>
      <w:r>
        <w:rPr>
          <w:spacing w:val="-1"/>
        </w:rPr>
        <w:t xml:space="preserve"> </w:t>
      </w:r>
      <w:r>
        <w:t>lead</w:t>
      </w:r>
      <w:r>
        <w:rPr>
          <w:spacing w:val="-3"/>
        </w:rPr>
        <w:t xml:space="preserve"> </w:t>
      </w:r>
      <w:r>
        <w:t>team at ACM2 and UCB was given no opportunity to refute it.</w:t>
      </w:r>
      <w:r>
        <w:rPr>
          <w:spacing w:val="40"/>
        </w:rPr>
        <w:t xml:space="preserve"> </w:t>
      </w:r>
      <w:r>
        <w:t>In these circumstances the incorrect statements by the manufacturer of cannabidiol must be assumed to have influenced the Committee’s view that it had not seen “sufficient” evidence to support differences in treatment wastage.</w:t>
      </w:r>
    </w:p>
    <w:p w:rsidR="00554D93" w:rsidRDefault="00554D93" w14:paraId="3A0FF5F2" w14:textId="77777777">
      <w:pPr>
        <w:pStyle w:val="BodyText"/>
        <w:spacing w:before="109"/>
      </w:pPr>
    </w:p>
    <w:p w:rsidR="00554D93" w:rsidRDefault="003323F1" w14:paraId="3C7C09A1" w14:textId="77777777">
      <w:pPr>
        <w:pStyle w:val="BodyText"/>
        <w:spacing w:line="360" w:lineRule="auto"/>
        <w:ind w:left="760" w:right="411"/>
      </w:pPr>
      <w:r>
        <w:t>In summary, with the exception of the comments from the manufacturer of cannabidiol (which are incorrect, as demonstrated by the summaries of product characteristics</w:t>
      </w:r>
      <w:r>
        <w:rPr>
          <w:spacing w:val="-5"/>
        </w:rPr>
        <w:t xml:space="preserve"> </w:t>
      </w:r>
      <w:r>
        <w:t>for</w:t>
      </w:r>
      <w:r>
        <w:rPr>
          <w:spacing w:val="-2"/>
        </w:rPr>
        <w:t xml:space="preserve"> </w:t>
      </w:r>
      <w:r>
        <w:t>the</w:t>
      </w:r>
      <w:r>
        <w:rPr>
          <w:spacing w:val="-3"/>
        </w:rPr>
        <w:t xml:space="preserve"> </w:t>
      </w:r>
      <w:r>
        <w:t>respective</w:t>
      </w:r>
      <w:r>
        <w:rPr>
          <w:spacing w:val="-1"/>
        </w:rPr>
        <w:t xml:space="preserve"> </w:t>
      </w:r>
      <w:r>
        <w:t>products) the</w:t>
      </w:r>
      <w:r>
        <w:rPr>
          <w:spacing w:val="-3"/>
        </w:rPr>
        <w:t xml:space="preserve"> </w:t>
      </w:r>
      <w:r>
        <w:t>evidence</w:t>
      </w:r>
      <w:r>
        <w:rPr>
          <w:spacing w:val="-1"/>
        </w:rPr>
        <w:t xml:space="preserve"> </w:t>
      </w:r>
      <w:r>
        <w:t>available</w:t>
      </w:r>
      <w:r>
        <w:rPr>
          <w:spacing w:val="-1"/>
        </w:rPr>
        <w:t xml:space="preserve"> </w:t>
      </w:r>
      <w:r>
        <w:t>to</w:t>
      </w:r>
      <w:r>
        <w:rPr>
          <w:spacing w:val="-1"/>
        </w:rPr>
        <w:t xml:space="preserve"> </w:t>
      </w:r>
      <w:r>
        <w:t>the</w:t>
      </w:r>
      <w:r>
        <w:rPr>
          <w:spacing w:val="-1"/>
        </w:rPr>
        <w:t xml:space="preserve"> </w:t>
      </w:r>
      <w:r>
        <w:t>Committee indicates</w:t>
      </w:r>
      <w:r>
        <w:rPr>
          <w:spacing w:val="-2"/>
        </w:rPr>
        <w:t xml:space="preserve"> </w:t>
      </w:r>
      <w:r>
        <w:t>consistently</w:t>
      </w:r>
      <w:r>
        <w:rPr>
          <w:spacing w:val="-5"/>
        </w:rPr>
        <w:t xml:space="preserve"> </w:t>
      </w:r>
      <w:r>
        <w:t>that wastage</w:t>
      </w:r>
      <w:r>
        <w:rPr>
          <w:spacing w:val="-3"/>
        </w:rPr>
        <w:t xml:space="preserve"> </w:t>
      </w:r>
      <w:r>
        <w:t>is</w:t>
      </w:r>
      <w:r>
        <w:rPr>
          <w:spacing w:val="-5"/>
        </w:rPr>
        <w:t xml:space="preserve"> </w:t>
      </w:r>
      <w:r>
        <w:t>more</w:t>
      </w:r>
      <w:r>
        <w:rPr>
          <w:spacing w:val="-3"/>
        </w:rPr>
        <w:t xml:space="preserve"> </w:t>
      </w:r>
      <w:r>
        <w:t>likely</w:t>
      </w:r>
      <w:r>
        <w:rPr>
          <w:spacing w:val="-5"/>
        </w:rPr>
        <w:t xml:space="preserve"> </w:t>
      </w:r>
      <w:r>
        <w:t>to</w:t>
      </w:r>
      <w:r>
        <w:rPr>
          <w:spacing w:val="-3"/>
        </w:rPr>
        <w:t xml:space="preserve"> </w:t>
      </w:r>
      <w:r>
        <w:t>occur</w:t>
      </w:r>
      <w:r>
        <w:rPr>
          <w:spacing w:val="-4"/>
        </w:rPr>
        <w:t xml:space="preserve"> </w:t>
      </w:r>
      <w:r>
        <w:t>with</w:t>
      </w:r>
      <w:r>
        <w:rPr>
          <w:spacing w:val="-3"/>
        </w:rPr>
        <w:t xml:space="preserve"> </w:t>
      </w:r>
      <w:r>
        <w:t>cannabidiol</w:t>
      </w:r>
      <w:r>
        <w:rPr>
          <w:spacing w:val="-4"/>
        </w:rPr>
        <w:t xml:space="preserve"> </w:t>
      </w:r>
      <w:r>
        <w:t>than</w:t>
      </w:r>
      <w:r>
        <w:rPr>
          <w:spacing w:val="-3"/>
        </w:rPr>
        <w:t xml:space="preserve"> </w:t>
      </w:r>
      <w:r>
        <w:t>with fenfluramine.</w:t>
      </w:r>
      <w:r>
        <w:rPr>
          <w:spacing w:val="40"/>
        </w:rPr>
        <w:t xml:space="preserve"> </w:t>
      </w:r>
      <w:r>
        <w:t>In these circumstances, the analysis of the data at paragraph 3.19 of the FDG is inaccurate and the conclusion of the Committee that it had not seen sufficient evidence to support differences in treatment wastage is unreasonable.</w:t>
      </w:r>
    </w:p>
    <w:p w:rsidR="00554D93" w:rsidRDefault="00554D93" w14:paraId="5630AD66" w14:textId="77777777">
      <w:pPr>
        <w:spacing w:line="360" w:lineRule="auto"/>
        <w:sectPr w:rsidR="00554D93">
          <w:pgSz w:w="11910" w:h="16840" w:orient="portrait"/>
          <w:pgMar w:top="860" w:right="1480" w:bottom="1200" w:left="1040" w:header="182" w:footer="1007" w:gutter="0"/>
          <w:cols w:space="720"/>
        </w:sectPr>
      </w:pPr>
    </w:p>
    <w:p w:rsidR="00554D93" w:rsidRDefault="00554D93" w14:paraId="61829076" w14:textId="77777777">
      <w:pPr>
        <w:pStyle w:val="BodyText"/>
      </w:pPr>
    </w:p>
    <w:p w:rsidR="00554D93" w:rsidRDefault="00554D93" w14:paraId="2BA226A1" w14:textId="77777777">
      <w:pPr>
        <w:pStyle w:val="BodyText"/>
        <w:spacing w:before="59"/>
      </w:pPr>
    </w:p>
    <w:p w:rsidR="00554D93" w:rsidRDefault="003323F1" w14:paraId="0BFB9F4E" w14:textId="77777777">
      <w:pPr>
        <w:pStyle w:val="BodyText"/>
        <w:spacing w:line="360" w:lineRule="auto"/>
        <w:ind w:left="760" w:right="443"/>
      </w:pPr>
      <w:r>
        <w:t>Thank you for considering the further elaboration and clarification of our appeal provided</w:t>
      </w:r>
      <w:r>
        <w:rPr>
          <w:spacing w:val="-2"/>
        </w:rPr>
        <w:t xml:space="preserve"> </w:t>
      </w:r>
      <w:r>
        <w:t>in</w:t>
      </w:r>
      <w:r>
        <w:rPr>
          <w:spacing w:val="-2"/>
        </w:rPr>
        <w:t xml:space="preserve"> </w:t>
      </w:r>
      <w:r>
        <w:t>this</w:t>
      </w:r>
      <w:r>
        <w:rPr>
          <w:spacing w:val="-2"/>
        </w:rPr>
        <w:t xml:space="preserve"> </w:t>
      </w:r>
      <w:r>
        <w:t>response</w:t>
      </w:r>
      <w:r>
        <w:rPr>
          <w:spacing w:val="-4"/>
        </w:rPr>
        <w:t xml:space="preserve"> </w:t>
      </w:r>
      <w:r>
        <w:t>to</w:t>
      </w:r>
      <w:r>
        <w:rPr>
          <w:spacing w:val="-4"/>
        </w:rPr>
        <w:t xml:space="preserve"> </w:t>
      </w:r>
      <w:r>
        <w:t>your</w:t>
      </w:r>
      <w:r>
        <w:rPr>
          <w:spacing w:val="-2"/>
        </w:rPr>
        <w:t xml:space="preserve"> </w:t>
      </w:r>
      <w:r>
        <w:t>letter</w:t>
      </w:r>
      <w:r>
        <w:rPr>
          <w:spacing w:val="-3"/>
        </w:rPr>
        <w:t xml:space="preserve"> </w:t>
      </w:r>
      <w:r>
        <w:t>of</w:t>
      </w:r>
      <w:r>
        <w:rPr>
          <w:spacing w:val="-1"/>
        </w:rPr>
        <w:t xml:space="preserve"> </w:t>
      </w:r>
      <w:r>
        <w:t>10</w:t>
      </w:r>
      <w:r>
        <w:rPr>
          <w:spacing w:val="-2"/>
        </w:rPr>
        <w:t xml:space="preserve"> </w:t>
      </w:r>
      <w:r>
        <w:t>May</w:t>
      </w:r>
      <w:r>
        <w:rPr>
          <w:spacing w:val="-4"/>
        </w:rPr>
        <w:t xml:space="preserve"> </w:t>
      </w:r>
      <w:r>
        <w:t>2024.</w:t>
      </w:r>
      <w:r>
        <w:rPr>
          <w:spacing w:val="40"/>
        </w:rPr>
        <w:t xml:space="preserve"> </w:t>
      </w:r>
      <w:r>
        <w:t>On</w:t>
      </w:r>
      <w:r>
        <w:rPr>
          <w:spacing w:val="-4"/>
        </w:rPr>
        <w:t xml:space="preserve"> </w:t>
      </w:r>
      <w:r>
        <w:t>the</w:t>
      </w:r>
      <w:r>
        <w:rPr>
          <w:spacing w:val="-4"/>
        </w:rPr>
        <w:t xml:space="preserve"> </w:t>
      </w:r>
      <w:r>
        <w:t>basis</w:t>
      </w:r>
      <w:r>
        <w:rPr>
          <w:spacing w:val="-4"/>
        </w:rPr>
        <w:t xml:space="preserve"> </w:t>
      </w:r>
      <w:r>
        <w:t>of this,</w:t>
      </w:r>
      <w:r>
        <w:rPr>
          <w:spacing w:val="-1"/>
        </w:rPr>
        <w:t xml:space="preserve"> </w:t>
      </w:r>
      <w:r>
        <w:t>we hope you agree that all the points of appeal set out in our appeal document submitted on 2 May 2024 should proceed to an oral hearing.</w:t>
      </w:r>
    </w:p>
    <w:p w:rsidR="00554D93" w:rsidRDefault="00554D93" w14:paraId="17AD93B2" w14:textId="77777777">
      <w:pPr>
        <w:pStyle w:val="BodyText"/>
        <w:spacing w:before="128"/>
      </w:pPr>
    </w:p>
    <w:p w:rsidR="00554D93" w:rsidRDefault="003323F1" w14:paraId="608D49E8" w14:textId="77777777">
      <w:pPr>
        <w:pStyle w:val="BodyText"/>
        <w:ind w:left="760"/>
      </w:pPr>
      <w:r>
        <w:t>Yours</w:t>
      </w:r>
      <w:r>
        <w:rPr>
          <w:spacing w:val="-2"/>
        </w:rPr>
        <w:t xml:space="preserve"> sincerely</w:t>
      </w:r>
    </w:p>
    <w:p w:rsidR="00554D93" w:rsidRDefault="00554D93" w14:paraId="0DE4B5B7" w14:textId="77777777">
      <w:pPr>
        <w:pStyle w:val="BodyText"/>
        <w:rPr>
          <w:sz w:val="20"/>
        </w:rPr>
      </w:pPr>
    </w:p>
    <w:p w:rsidR="00554D93" w:rsidP="400439E6" w:rsidRDefault="003323F1" w14:paraId="3CBAF625" w14:textId="40AD9B99">
      <w:pPr>
        <w:pStyle w:val="BodyText"/>
        <w:spacing w:before="84"/>
        <w:rPr>
          <w:noProof w:val="0"/>
          <w:lang w:val="en-US"/>
        </w:rPr>
      </w:pPr>
      <w:r w:rsidRPr="400439E6" w:rsidR="6F4723C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black"/>
          <w:u w:val="none"/>
          <w:lang w:val="en-US"/>
        </w:rPr>
        <w:t>XXXXXXXXXX</w:t>
      </w:r>
    </w:p>
    <w:p w:rsidR="00554D93" w:rsidRDefault="00554D93" w14:paraId="66204FF1" w14:textId="77777777">
      <w:pPr>
        <w:pStyle w:val="BodyText"/>
        <w:spacing w:before="174"/>
      </w:pPr>
    </w:p>
    <w:p w:rsidR="00554D93" w:rsidP="400439E6" w:rsidRDefault="003323F1" w14:paraId="700AD70F" w14:textId="1F2ABA33">
      <w:pPr>
        <w:pStyle w:val="BodyText"/>
        <w:ind w:left="760"/>
        <w:rPr>
          <w:noProof w:val="0"/>
          <w:lang w:val="en-US"/>
        </w:rPr>
      </w:pPr>
      <w:r w:rsidRPr="400439E6" w:rsidR="6F4723C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black"/>
          <w:u w:val="none"/>
          <w:lang w:val="en-US"/>
        </w:rPr>
        <w:t>XXXXXXXXXX</w:t>
      </w:r>
    </w:p>
    <w:p w:rsidR="00554D93" w:rsidRDefault="003323F1" w14:paraId="0F3791E9" w14:textId="77777777">
      <w:pPr>
        <w:pStyle w:val="BodyText"/>
        <w:spacing w:before="127"/>
        <w:ind w:left="760" w:right="4861"/>
      </w:pPr>
      <w:r>
        <w:t>Interim</w:t>
      </w:r>
      <w:r>
        <w:rPr>
          <w:spacing w:val="-6"/>
        </w:rPr>
        <w:t xml:space="preserve"> </w:t>
      </w:r>
      <w:r>
        <w:t>Head</w:t>
      </w:r>
      <w:r>
        <w:rPr>
          <w:spacing w:val="-9"/>
        </w:rPr>
        <w:t xml:space="preserve"> </w:t>
      </w:r>
      <w:r>
        <w:t>of</w:t>
      </w:r>
      <w:r>
        <w:rPr>
          <w:spacing w:val="-5"/>
        </w:rPr>
        <w:t xml:space="preserve"> </w:t>
      </w:r>
      <w:r>
        <w:t>Access</w:t>
      </w:r>
      <w:r>
        <w:rPr>
          <w:spacing w:val="-11"/>
        </w:rPr>
        <w:t xml:space="preserve"> </w:t>
      </w:r>
      <w:r>
        <w:t>&amp;</w:t>
      </w:r>
      <w:r>
        <w:rPr>
          <w:spacing w:val="-7"/>
        </w:rPr>
        <w:t xml:space="preserve"> </w:t>
      </w:r>
      <w:r>
        <w:t>Pricing British Isles &amp; Ireland</w:t>
      </w:r>
    </w:p>
    <w:p w:rsidR="00554D93" w:rsidRDefault="003323F1" w14:paraId="5D4842BF" w14:textId="77777777">
      <w:pPr>
        <w:pStyle w:val="BodyText"/>
        <w:spacing w:line="252" w:lineRule="exact"/>
        <w:ind w:left="760"/>
      </w:pPr>
      <w:r>
        <w:t>Email:</w:t>
      </w:r>
      <w:r>
        <w:rPr>
          <w:spacing w:val="-4"/>
        </w:rPr>
        <w:t xml:space="preserve"> </w:t>
      </w:r>
      <w:hyperlink r:id="rId14">
        <w:r>
          <w:rPr>
            <w:color w:val="0462C1"/>
            <w:spacing w:val="-2"/>
            <w:u w:val="single" w:color="0462C1"/>
          </w:rPr>
          <w:t>tariq.rehman@ucb.com</w:t>
        </w:r>
      </w:hyperlink>
    </w:p>
    <w:p w:rsidR="00554D93" w:rsidRDefault="003323F1" w14:paraId="10572E08" w14:textId="77777777">
      <w:pPr>
        <w:pStyle w:val="BodyText"/>
        <w:spacing w:line="252" w:lineRule="exact"/>
        <w:ind w:left="760"/>
      </w:pPr>
      <w:r>
        <w:t>Mobile:</w:t>
      </w:r>
      <w:r>
        <w:rPr>
          <w:spacing w:val="-3"/>
        </w:rPr>
        <w:t xml:space="preserve"> </w:t>
      </w:r>
      <w:r>
        <w:t>+44</w:t>
      </w:r>
      <w:r>
        <w:rPr>
          <w:spacing w:val="-5"/>
        </w:rPr>
        <w:t xml:space="preserve"> </w:t>
      </w:r>
      <w:r>
        <w:t>(0)7789484677</w:t>
      </w:r>
      <w:r>
        <w:rPr>
          <w:spacing w:val="-5"/>
        </w:rPr>
        <w:t xml:space="preserve"> </w:t>
      </w:r>
      <w:r>
        <w:t>Tel:</w:t>
      </w:r>
      <w:r>
        <w:rPr>
          <w:spacing w:val="-4"/>
        </w:rPr>
        <w:t xml:space="preserve"> </w:t>
      </w:r>
      <w:r>
        <w:t>(0)1753</w:t>
      </w:r>
      <w:r>
        <w:rPr>
          <w:spacing w:val="-6"/>
        </w:rPr>
        <w:t xml:space="preserve"> </w:t>
      </w:r>
      <w:r>
        <w:rPr>
          <w:spacing w:val="-2"/>
        </w:rPr>
        <w:t>447953</w:t>
      </w:r>
    </w:p>
    <w:sectPr w:rsidR="00554D93">
      <w:pgSz w:w="11910" w:h="16840" w:orient="portrait"/>
      <w:pgMar w:top="860" w:right="1480" w:bottom="1200" w:left="1040" w:header="182"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23F1" w:rsidRDefault="003323F1" w14:paraId="74755A4B" w14:textId="77777777">
      <w:r>
        <w:separator/>
      </w:r>
    </w:p>
  </w:endnote>
  <w:endnote w:type="continuationSeparator" w:id="0">
    <w:p w:rsidR="003323F1" w:rsidRDefault="003323F1" w14:paraId="79E6CE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554D93" w:rsidRDefault="003323F1" w14:paraId="1D92D6D3" w14:textId="77777777">
    <w:pPr>
      <w:pStyle w:val="BodyText"/>
      <w:spacing w:line="14" w:lineRule="auto"/>
      <w:rPr>
        <w:sz w:val="20"/>
      </w:rPr>
    </w:pPr>
    <w:r>
      <w:rPr>
        <w:noProof/>
      </w:rPr>
      <mc:AlternateContent>
        <mc:Choice Requires="wps">
          <w:drawing>
            <wp:anchor distT="0" distB="0" distL="0" distR="0" simplePos="0" relativeHeight="487499264" behindDoc="1" locked="0" layoutInCell="1" allowOverlap="1" wp14:anchorId="785EA575" wp14:editId="07777777">
              <wp:simplePos x="0" y="0"/>
              <wp:positionH relativeFrom="page">
                <wp:posOffset>3699636</wp:posOffset>
              </wp:positionH>
              <wp:positionV relativeFrom="page">
                <wp:posOffset>9913527</wp:posOffset>
              </wp:positionV>
              <wp:extent cx="17399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rsidR="00554D93" w:rsidRDefault="003323F1" w14:paraId="4590CB77" w14:textId="77777777">
                          <w:pPr>
                            <w:spacing w:before="12"/>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w14:anchorId="785EA575">
              <v:stroke joinstyle="miter"/>
              <v:path gradientshapeok="t" o:connecttype="rect"/>
            </v:shapetype>
            <v:shape id="Textbox 2" style="position:absolute;margin-left:291.3pt;margin-top:780.6pt;width:13.7pt;height:15.45pt;z-index:-15817216;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">
              <v:textbox inset="0,0,0,0">
                <w:txbxContent>
                  <w:p w:rsidR="00554D93" w:rsidRDefault="003323F1" w14:paraId="4590CB77" w14:textId="77777777">
                    <w:pPr>
                      <w:spacing w:before="12"/>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23F1" w:rsidRDefault="003323F1" w14:paraId="1DA9759A" w14:textId="77777777">
      <w:r>
        <w:separator/>
      </w:r>
    </w:p>
  </w:footnote>
  <w:footnote w:type="continuationSeparator" w:id="0">
    <w:p w:rsidR="003323F1" w:rsidRDefault="003323F1" w14:paraId="61FF670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554D93" w:rsidRDefault="003323F1" w14:paraId="2B4CD3FB" w14:textId="77777777">
    <w:pPr>
      <w:pStyle w:val="BodyText"/>
      <w:spacing w:line="14" w:lineRule="auto"/>
      <w:rPr>
        <w:sz w:val="20"/>
      </w:rPr>
    </w:pPr>
    <w:r>
      <w:rPr>
        <w:noProof/>
      </w:rPr>
      <mc:AlternateContent>
        <mc:Choice Requires="wps">
          <w:drawing>
            <wp:anchor distT="0" distB="0" distL="0" distR="0" simplePos="0" relativeHeight="487498752" behindDoc="1" locked="0" layoutInCell="1" allowOverlap="1" wp14:anchorId="6F0067C5" wp14:editId="07777777">
              <wp:simplePos x="0" y="0"/>
              <wp:positionH relativeFrom="page">
                <wp:posOffset>203200</wp:posOffset>
              </wp:positionH>
              <wp:positionV relativeFrom="page">
                <wp:posOffset>116405</wp:posOffset>
              </wp:positionV>
              <wp:extent cx="315595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5950" cy="139065"/>
                      </a:xfrm>
                      <a:prstGeom prst="rect">
                        <a:avLst/>
                      </a:prstGeom>
                    </wps:spPr>
                    <wps:txbx>
                      <w:txbxContent>
                        <w:p w:rsidR="00554D93" w:rsidRDefault="003323F1" w14:paraId="0FF4FCBC" w14:textId="77777777">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8552546E-3F16-4B13-ABC7-15303EF16D4E</w:t>
                          </w:r>
                        </w:p>
                      </w:txbxContent>
                    </wps:txbx>
                    <wps:bodyPr wrap="square" lIns="0" tIns="0" rIns="0" bIns="0" rtlCol="0">
                      <a:noAutofit/>
                    </wps:bodyPr>
                  </wps:wsp>
                </a:graphicData>
              </a:graphic>
            </wp:anchor>
          </w:drawing>
        </mc:Choice>
        <mc:Fallback>
          <w:pict>
            <v:shapetype id="_x0000_t202" coordsize="21600,21600" o:spt="202" path="m,l,21600r21600,l21600,xe" w14:anchorId="6F0067C5">
              <v:stroke joinstyle="miter"/>
              <v:path gradientshapeok="t" o:connecttype="rect"/>
            </v:shapetype>
            <v:shape id="Textbox 1" style="position:absolute;margin-left:16pt;margin-top:9.15pt;width:248.5pt;height:10.95pt;z-index:-15817728;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">
              <v:textbox inset="0,0,0,0">
                <w:txbxContent>
                  <w:p w:rsidR="00554D93" w:rsidRDefault="003323F1" w14:paraId="0FF4FCBC" w14:textId="77777777">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8552546E-3F16-4B13-ABC7-15303EF16D4E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5F6C4"/>
    <w:multiLevelType w:val="hybridMultilevel"/>
    <w:tmpl w:val="FFFFFFFF"/>
    <w:lvl w:ilvl="0" w:tplc="09EA971E">
      <w:start w:val="1"/>
      <w:numFmt w:val="decimal"/>
      <w:lvlText w:val="%1."/>
      <w:lvlJc w:val="left"/>
      <w:pPr>
        <w:ind w:left="1480" w:hanging="360"/>
        <w:jc w:val="left"/>
      </w:pPr>
      <w:rPr>
        <w:rFonts w:hint="default"/>
        <w:spacing w:val="-1"/>
        <w:w w:val="100"/>
        <w:lang w:val="en-US" w:eastAsia="en-US" w:bidi="ar-SA"/>
      </w:rPr>
    </w:lvl>
    <w:lvl w:ilvl="1" w:tplc="E3BAF08C">
      <w:numFmt w:val="bullet"/>
      <w:lvlText w:val=""/>
      <w:lvlJc w:val="left"/>
      <w:pPr>
        <w:ind w:left="1480" w:hanging="360"/>
      </w:pPr>
      <w:rPr>
        <w:rFonts w:hint="default" w:ascii="Symbol" w:hAnsi="Symbol" w:eastAsia="Symbol" w:cs="Symbol"/>
        <w:b w:val="0"/>
        <w:bCs w:val="0"/>
        <w:i w:val="0"/>
        <w:iCs w:val="0"/>
        <w:spacing w:val="0"/>
        <w:w w:val="100"/>
        <w:sz w:val="22"/>
        <w:szCs w:val="22"/>
        <w:lang w:val="en-US" w:eastAsia="en-US" w:bidi="ar-SA"/>
      </w:rPr>
    </w:lvl>
    <w:lvl w:ilvl="2" w:tplc="AD9E0A56">
      <w:numFmt w:val="bullet"/>
      <w:lvlText w:val="•"/>
      <w:lvlJc w:val="left"/>
      <w:pPr>
        <w:ind w:left="2411" w:hanging="360"/>
      </w:pPr>
      <w:rPr>
        <w:rFonts w:hint="default"/>
        <w:lang w:val="en-US" w:eastAsia="en-US" w:bidi="ar-SA"/>
      </w:rPr>
    </w:lvl>
    <w:lvl w:ilvl="3" w:tplc="C68C9386">
      <w:numFmt w:val="bullet"/>
      <w:lvlText w:val="•"/>
      <w:lvlJc w:val="left"/>
      <w:pPr>
        <w:ind w:left="3283" w:hanging="360"/>
      </w:pPr>
      <w:rPr>
        <w:rFonts w:hint="default"/>
        <w:lang w:val="en-US" w:eastAsia="en-US" w:bidi="ar-SA"/>
      </w:rPr>
    </w:lvl>
    <w:lvl w:ilvl="4" w:tplc="EE42FBA4">
      <w:numFmt w:val="bullet"/>
      <w:lvlText w:val="•"/>
      <w:lvlJc w:val="left"/>
      <w:pPr>
        <w:ind w:left="4155" w:hanging="360"/>
      </w:pPr>
      <w:rPr>
        <w:rFonts w:hint="default"/>
        <w:lang w:val="en-US" w:eastAsia="en-US" w:bidi="ar-SA"/>
      </w:rPr>
    </w:lvl>
    <w:lvl w:ilvl="5" w:tplc="898C240C">
      <w:numFmt w:val="bullet"/>
      <w:lvlText w:val="•"/>
      <w:lvlJc w:val="left"/>
      <w:pPr>
        <w:ind w:left="5027" w:hanging="360"/>
      </w:pPr>
      <w:rPr>
        <w:rFonts w:hint="default"/>
        <w:lang w:val="en-US" w:eastAsia="en-US" w:bidi="ar-SA"/>
      </w:rPr>
    </w:lvl>
    <w:lvl w:ilvl="6" w:tplc="4BCC2ED8">
      <w:numFmt w:val="bullet"/>
      <w:lvlText w:val="•"/>
      <w:lvlJc w:val="left"/>
      <w:pPr>
        <w:ind w:left="5899" w:hanging="360"/>
      </w:pPr>
      <w:rPr>
        <w:rFonts w:hint="default"/>
        <w:lang w:val="en-US" w:eastAsia="en-US" w:bidi="ar-SA"/>
      </w:rPr>
    </w:lvl>
    <w:lvl w:ilvl="7" w:tplc="82487E2C">
      <w:numFmt w:val="bullet"/>
      <w:lvlText w:val="•"/>
      <w:lvlJc w:val="left"/>
      <w:pPr>
        <w:ind w:left="6770" w:hanging="360"/>
      </w:pPr>
      <w:rPr>
        <w:rFonts w:hint="default"/>
        <w:lang w:val="en-US" w:eastAsia="en-US" w:bidi="ar-SA"/>
      </w:rPr>
    </w:lvl>
    <w:lvl w:ilvl="8" w:tplc="EB56042E">
      <w:numFmt w:val="bullet"/>
      <w:lvlText w:val="•"/>
      <w:lvlJc w:val="left"/>
      <w:pPr>
        <w:ind w:left="7642" w:hanging="360"/>
      </w:pPr>
      <w:rPr>
        <w:rFonts w:hint="default"/>
        <w:lang w:val="en-US" w:eastAsia="en-US" w:bidi="ar-SA"/>
      </w:rPr>
    </w:lvl>
  </w:abstractNum>
  <w:num w:numId="1" w16cid:durableId="1260211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5CF71C"/>
    <w:rsid w:val="003323F1"/>
    <w:rsid w:val="00554D93"/>
    <w:rsid w:val="00791FA2"/>
    <w:rsid w:val="115CF71C"/>
    <w:rsid w:val="400439E6"/>
    <w:rsid w:val="6F4723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1ED3C9E"/>
  <w15:docId w15:val="{0ADD3669-E3B9-4A12-8A68-09A02C4F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480" w:right="116" w:hanging="36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
      <w:ind w:left="60"/>
    </w:pPr>
    <w:rPr>
      <w:sz w:val="24"/>
      <w:szCs w:val="24"/>
    </w:rPr>
  </w:style>
  <w:style w:type="paragraph" w:styleId="ListParagraph">
    <w:name w:val="List Paragraph"/>
    <w:basedOn w:val="Normal"/>
    <w:uiPriority w:val="1"/>
    <w:qFormat/>
    <w:pPr>
      <w:ind w:left="1480" w:right="337" w:hanging="360"/>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tariq.rehman@ucb.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E3685-B001-45CB-8D1A-A1EB93835C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001DC9-49A2-43CD-826D-3B8E53869466}">
  <ds:schemaRefs>
    <ds:schemaRef ds:uri="http://schemas.microsoft.com/sharepoint/v3/contenttype/forms"/>
  </ds:schemaRefs>
</ds:datastoreItem>
</file>

<file path=customXml/itemProps3.xml><?xml version="1.0" encoding="utf-8"?>
<ds:datastoreItem xmlns:ds="http://schemas.openxmlformats.org/officeDocument/2006/customXml" ds:itemID="{58B0DF11-9EA1-4903-829B-07188DA86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Lyn Davies</lastModifiedBy>
  <revision>2</revision>
  <dcterms:created xsi:type="dcterms:W3CDTF">2024-08-27T10:22:00.0000000Z</dcterms:created>
  <dcterms:modified xsi:type="dcterms:W3CDTF">2024-08-27T10:22:14.1758526Z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2024-05-24T00:00:00Z</vt:filetime>
  </property>
  <property fmtid="{D5CDD505-2E9C-101B-9397-08002B2CF9AE}" pid="4" name="DocuSignConversionCorrelationToken">
    <vt:lpwstr>ca386608-f0dc-4266-8827-5e8275fb1f7d</vt:lpwstr>
  </property>
  <property fmtid="{D5CDD505-2E9C-101B-9397-08002B2CF9AE}" pid="5" name="DocuSignConversionTraceToken">
    <vt:lpwstr>66040795-ca42-475d-bb7a-401d1caa1f94</vt:lpwstr>
  </property>
  <property fmtid="{D5CDD505-2E9C-101B-9397-08002B2CF9AE}" pid="6" name="LastSaved">
    <vt:filetime>2024-08-21T00:00:00Z</vt:filetime>
  </property>
  <property fmtid="{D5CDD505-2E9C-101B-9397-08002B2CF9AE}" pid="7" name="Producer">
    <vt:lpwstr>PDFKit.NET 11.9.751.0 DMV10</vt:lpwstr>
  </property>
  <property fmtid="{D5CDD505-2E9C-101B-9397-08002B2CF9AE}" pid="8" name="ContentTypeId">
    <vt:lpwstr>0x0101003300E5E64B980D458C754FFE05DEE26D</vt:lpwstr>
  </property>
  <property fmtid="{D5CDD505-2E9C-101B-9397-08002B2CF9AE}" pid="9" name="MSIP_Label_c69d85d5-6d9e-4305-a294-1f636ec0f2d6_Enabled">
    <vt:lpwstr>true</vt:lpwstr>
  </property>
  <property fmtid="{D5CDD505-2E9C-101B-9397-08002B2CF9AE}" pid="10" name="MSIP_Label_c69d85d5-6d9e-4305-a294-1f636ec0f2d6_SetDate">
    <vt:lpwstr>2024-08-27T10:22:00Z</vt:lpwstr>
  </property>
  <property fmtid="{D5CDD505-2E9C-101B-9397-08002B2CF9AE}" pid="11" name="MSIP_Label_c69d85d5-6d9e-4305-a294-1f636ec0f2d6_Method">
    <vt:lpwstr>Standard</vt:lpwstr>
  </property>
  <property fmtid="{D5CDD505-2E9C-101B-9397-08002B2CF9AE}" pid="12" name="MSIP_Label_c69d85d5-6d9e-4305-a294-1f636ec0f2d6_Name">
    <vt:lpwstr>OFFICIAL</vt:lpwstr>
  </property>
  <property fmtid="{D5CDD505-2E9C-101B-9397-08002B2CF9AE}" pid="13" name="MSIP_Label_c69d85d5-6d9e-4305-a294-1f636ec0f2d6_SiteId">
    <vt:lpwstr>6030f479-b342-472d-a5dd-740ff7538de9</vt:lpwstr>
  </property>
  <property fmtid="{D5CDD505-2E9C-101B-9397-08002B2CF9AE}" pid="14" name="MSIP_Label_c69d85d5-6d9e-4305-a294-1f636ec0f2d6_ActionId">
    <vt:lpwstr>fd765427-862e-4dbc-8440-f428fd338606</vt:lpwstr>
  </property>
  <property fmtid="{D5CDD505-2E9C-101B-9397-08002B2CF9AE}" pid="15" name="MSIP_Label_c69d85d5-6d9e-4305-a294-1f636ec0f2d6_ContentBits">
    <vt:lpwstr>0</vt:lpwstr>
  </property>
</Properties>
</file>