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022B" w:rsidR="0004302C" w:rsidP="3061D842" w:rsidRDefault="0004302C" w14:paraId="5F36C1A4" w14:textId="59179121">
      <w:pPr>
        <w:pStyle w:val="Normal"/>
        <w:rPr>
          <w:rFonts w:ascii="Arial" w:hAnsi="Arial" w:eastAsia="Arial" w:cs="Arial"/>
          <w:noProof w:val="0"/>
          <w:sz w:val="20"/>
          <w:szCs w:val="20"/>
          <w:lang w:val="en-GB"/>
        </w:rPr>
      </w:pPr>
      <w:r w:rsidRPr="3061D842" w:rsidR="0004302C">
        <w:rPr>
          <w:rFonts w:cs="Arial"/>
        </w:rPr>
        <w:t xml:space="preserve">Sent by e-mail only: </w:t>
      </w:r>
      <w:r w:rsidRPr="3061D842" w:rsidR="0BAED6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001123A2" w:rsidP="3061D842" w:rsidRDefault="001123A2" w14:paraId="7BE263CD" w14:textId="7F89F77A">
      <w:pPr>
        <w:pStyle w:val="Normal"/>
        <w:spacing w:after="0" w:line="240" w:lineRule="auto"/>
        <w:jc w:val="both"/>
        <w:rPr>
          <w:rFonts w:ascii="Arial" w:hAnsi="Arial" w:eastAsia="Arial" w:cs="Arial"/>
          <w:noProof w:val="0"/>
          <w:sz w:val="20"/>
          <w:szCs w:val="20"/>
          <w:lang w:val="en-GB"/>
        </w:rPr>
      </w:pPr>
      <w:r w:rsidRPr="3061D842" w:rsidR="001123A2">
        <w:rPr>
          <w:rFonts w:cs="Arial"/>
        </w:rPr>
        <w:t xml:space="preserve">FAO </w:t>
      </w:r>
      <w:r w:rsidRPr="3061D842" w:rsidR="7112FCC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004A3806" w:rsidP="004A3806" w:rsidRDefault="002D501A" w14:paraId="3D558B16" w14:textId="341EE2D1">
      <w:pPr>
        <w:spacing w:after="0" w:line="240" w:lineRule="auto"/>
        <w:jc w:val="both"/>
        <w:rPr>
          <w:rFonts w:cs="Arial"/>
        </w:rPr>
      </w:pPr>
      <w:r>
        <w:rPr>
          <w:rFonts w:cs="Arial"/>
        </w:rPr>
        <w:t xml:space="preserve">Interim Head of Access and Pricing </w:t>
      </w:r>
      <w:proofErr w:type="spellStart"/>
      <w:r>
        <w:rPr>
          <w:rFonts w:cs="Arial"/>
        </w:rPr>
        <w:t>B</w:t>
      </w:r>
      <w:r w:rsidR="004A3806">
        <w:rPr>
          <w:rFonts w:cs="Arial"/>
        </w:rPr>
        <w:t>ll</w:t>
      </w:r>
      <w:proofErr w:type="spellEnd"/>
    </w:p>
    <w:p w:rsidR="004A3806" w:rsidP="004A3806" w:rsidRDefault="004A3806" w14:paraId="5C9AC570" w14:textId="07F74009">
      <w:pPr>
        <w:spacing w:after="0" w:line="240" w:lineRule="auto"/>
        <w:jc w:val="both"/>
        <w:rPr>
          <w:rFonts w:cs="Arial"/>
        </w:rPr>
      </w:pPr>
      <w:r>
        <w:rPr>
          <w:rFonts w:cs="Arial"/>
        </w:rPr>
        <w:t>UCB Pharma Limited</w:t>
      </w:r>
    </w:p>
    <w:p w:rsidR="004A3806" w:rsidP="004A3806" w:rsidRDefault="004A3806" w14:paraId="11D17D06" w14:textId="778F122A">
      <w:pPr>
        <w:spacing w:after="0" w:line="240" w:lineRule="auto"/>
        <w:jc w:val="both"/>
        <w:rPr>
          <w:rFonts w:cs="Arial"/>
        </w:rPr>
      </w:pPr>
      <w:r>
        <w:rPr>
          <w:rFonts w:cs="Arial"/>
        </w:rPr>
        <w:t>208 Bath Road</w:t>
      </w:r>
    </w:p>
    <w:p w:rsidR="004A3806" w:rsidP="004A3806" w:rsidRDefault="004A3806" w14:paraId="3B46A899" w14:textId="77BF6064">
      <w:pPr>
        <w:spacing w:after="0" w:line="240" w:lineRule="auto"/>
        <w:jc w:val="both"/>
        <w:rPr>
          <w:rFonts w:cs="Arial"/>
        </w:rPr>
      </w:pPr>
      <w:r>
        <w:rPr>
          <w:rFonts w:cs="Arial"/>
        </w:rPr>
        <w:t>Slough</w:t>
      </w:r>
    </w:p>
    <w:p w:rsidR="004A3806" w:rsidP="004A3806" w:rsidRDefault="004A3806" w14:paraId="07AE6EF6" w14:textId="6F65D067">
      <w:pPr>
        <w:spacing w:after="0" w:line="240" w:lineRule="auto"/>
        <w:jc w:val="both"/>
        <w:rPr>
          <w:rFonts w:cs="Arial"/>
        </w:rPr>
      </w:pPr>
      <w:r>
        <w:rPr>
          <w:rFonts w:cs="Arial"/>
        </w:rPr>
        <w:t>Berkshire</w:t>
      </w:r>
    </w:p>
    <w:p w:rsidR="004A3806" w:rsidP="004A3806" w:rsidRDefault="004A3806" w14:paraId="7D22F7B6" w14:textId="472F5521">
      <w:pPr>
        <w:spacing w:after="0" w:line="240" w:lineRule="auto"/>
        <w:jc w:val="both"/>
        <w:rPr>
          <w:rFonts w:cs="Arial"/>
        </w:rPr>
      </w:pPr>
      <w:r>
        <w:rPr>
          <w:rFonts w:cs="Arial"/>
        </w:rPr>
        <w:t>SL1 3WE</w:t>
      </w:r>
    </w:p>
    <w:p w:rsidRPr="0043022B" w:rsidR="002D501A" w:rsidP="004A3806" w:rsidRDefault="002D501A" w14:paraId="4BCB3D2F" w14:textId="41E9C4AB">
      <w:pPr>
        <w:spacing w:after="0" w:line="240" w:lineRule="auto"/>
        <w:jc w:val="both"/>
        <w:rPr>
          <w:rFonts w:cs="Arial"/>
        </w:rPr>
      </w:pPr>
    </w:p>
    <w:p w:rsidRPr="0043022B" w:rsidR="0004302C" w:rsidP="0004302C" w:rsidRDefault="0004302C" w14:paraId="706E42E0" w14:textId="77777777">
      <w:pPr>
        <w:rPr>
          <w:rFonts w:cs="Arial"/>
        </w:rPr>
      </w:pPr>
    </w:p>
    <w:p w:rsidR="1967868C" w:rsidP="22091FE8" w:rsidRDefault="1967868C" w14:paraId="41212417" w14:textId="200D52B5">
      <w:pPr>
        <w:pStyle w:val="Normal"/>
        <w:suppressLineNumbers w:val="0"/>
        <w:bidi w:val="0"/>
        <w:spacing w:before="0" w:beforeAutospacing="off" w:after="200" w:afterAutospacing="off" w:line="288" w:lineRule="auto"/>
        <w:ind w:left="0" w:right="0"/>
        <w:jc w:val="left"/>
      </w:pPr>
      <w:r w:rsidRPr="22091FE8" w:rsidR="1967868C">
        <w:rPr>
          <w:rFonts w:cs="Arial"/>
        </w:rPr>
        <w:t>10 May 2024</w:t>
      </w:r>
    </w:p>
    <w:p w:rsidRPr="0043022B" w:rsidR="0004302C" w:rsidP="0004302C" w:rsidRDefault="0004302C" w14:paraId="50583914" w14:textId="77777777">
      <w:pPr>
        <w:rPr>
          <w:rStyle w:val="Hyperlink"/>
          <w:rFonts w:cs="Arial"/>
        </w:rPr>
      </w:pPr>
    </w:p>
    <w:p w:rsidRPr="0043022B" w:rsidR="0004302C" w:rsidP="3061D842" w:rsidRDefault="0004302C" w14:paraId="6392A75B" w14:textId="3297AC5F">
      <w:pPr>
        <w:pStyle w:val="Normal"/>
        <w:ind w:left="426" w:right="468" w:hanging="426"/>
        <w:jc w:val="both"/>
        <w:rPr>
          <w:rFonts w:ascii="Arial" w:hAnsi="Arial" w:eastAsia="Arial" w:cs="Arial"/>
          <w:noProof w:val="0"/>
          <w:spacing w:val="-3"/>
          <w:sz w:val="20"/>
          <w:szCs w:val="20"/>
          <w:lang w:val="en-GB"/>
        </w:rPr>
      </w:pPr>
      <w:bookmarkStart w:name="deartext" w:id="0"/>
      <w:r w:rsidRPr="3061D842" w:rsidR="0004302C">
        <w:rPr>
          <w:rFonts w:cs="Arial"/>
        </w:rPr>
        <w:t>Dear</w:t>
      </w:r>
      <w:bookmarkEnd w:id="0"/>
      <w:r w:rsidRPr="3061D842" w:rsidR="0004302C">
        <w:rPr>
          <w:rFonts w:cs="Arial"/>
        </w:rPr>
        <w:t xml:space="preserve"> </w:t>
      </w:r>
      <w:bookmarkStart w:name="Sal" w:id="1"/>
      <w:bookmarkEnd w:id="1"/>
      <w:r w:rsidRPr="3061D842" w:rsidR="4AC7D4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Pr="0043022B" w:rsidR="0004302C" w:rsidP="008669F8" w:rsidRDefault="0004302C" w14:paraId="0C2B27E7" w14:textId="19012CAF">
      <w:pPr>
        <w:ind w:left="426" w:right="468" w:hanging="426"/>
        <w:jc w:val="both"/>
        <w:rPr>
          <w:rFonts w:cs="Arial"/>
          <w:b/>
        </w:rPr>
      </w:pPr>
      <w:r w:rsidRPr="0043022B">
        <w:rPr>
          <w:rFonts w:cs="Arial"/>
          <w:noProof/>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w14:anchorId="7B635A76">
                <o:lock v:ext="edit" shapetype="f"/>
              </v:line>
            </w:pict>
          </mc:Fallback>
        </mc:AlternateContent>
      </w:r>
      <w:r w:rsidRPr="0043022B">
        <w:rPr>
          <w:rFonts w:cs="Arial"/>
          <w:b/>
          <w:spacing w:val="-3"/>
        </w:rPr>
        <w:t xml:space="preserve">Re: </w:t>
      </w:r>
      <w:r w:rsidRPr="0043022B">
        <w:rPr>
          <w:rFonts w:cs="Arial"/>
          <w:b/>
        </w:rPr>
        <w:t xml:space="preserve">Final </w:t>
      </w:r>
      <w:r w:rsidR="00910D48">
        <w:rPr>
          <w:rFonts w:cs="Arial"/>
          <w:b/>
        </w:rPr>
        <w:t>Draft Guidance</w:t>
      </w:r>
      <w:r w:rsidRPr="0043022B">
        <w:rPr>
          <w:rFonts w:cs="Arial"/>
          <w:b/>
        </w:rPr>
        <w:t xml:space="preserve"> </w:t>
      </w:r>
      <w:r w:rsidRPr="008669F8" w:rsidR="008669F8">
        <w:rPr>
          <w:rFonts w:cs="Arial"/>
          <w:b/>
        </w:rPr>
        <w:t>– Fenfluramine for treating seizures associated</w:t>
      </w:r>
      <w:r w:rsidR="008669F8">
        <w:rPr>
          <w:rFonts w:cs="Arial"/>
          <w:b/>
        </w:rPr>
        <w:t xml:space="preserve"> </w:t>
      </w:r>
      <w:r w:rsidRPr="008669F8" w:rsidR="008669F8">
        <w:rPr>
          <w:rFonts w:cs="Arial"/>
          <w:b/>
        </w:rPr>
        <w:t>with Lennox-</w:t>
      </w:r>
      <w:proofErr w:type="spellStart"/>
      <w:r w:rsidRPr="008669F8" w:rsidR="008669F8">
        <w:rPr>
          <w:rFonts w:cs="Arial"/>
          <w:b/>
        </w:rPr>
        <w:t>Gasta</w:t>
      </w:r>
      <w:r w:rsidR="0048280E">
        <w:rPr>
          <w:rFonts w:cs="Arial"/>
          <w:b/>
        </w:rPr>
        <w:t>u</w:t>
      </w:r>
      <w:r w:rsidRPr="008669F8" w:rsidR="008669F8">
        <w:rPr>
          <w:rFonts w:cs="Arial"/>
          <w:b/>
        </w:rPr>
        <w:t>t</w:t>
      </w:r>
      <w:proofErr w:type="spellEnd"/>
      <w:r w:rsidRPr="008669F8" w:rsidR="008669F8">
        <w:rPr>
          <w:rFonts w:cs="Arial"/>
          <w:b/>
        </w:rPr>
        <w:t xml:space="preserve"> Syndrome in people 2 years and over (ID1651)</w:t>
      </w:r>
    </w:p>
    <w:p w:rsidRPr="00DD7697" w:rsidR="00003026" w:rsidP="00413F89" w:rsidRDefault="000223BD" w14:paraId="7414DC3E" w14:textId="44C48549">
      <w:pPr>
        <w:jc w:val="both"/>
        <w:rPr>
          <w:rFonts w:cs="Arial"/>
          <w:color w:val="auto"/>
        </w:rPr>
      </w:pPr>
      <w:r w:rsidRPr="00DD7697">
        <w:rPr>
          <w:rFonts w:cs="Arial"/>
          <w:color w:val="auto"/>
        </w:rPr>
        <w:t xml:space="preserve">Thank you for your letter of </w:t>
      </w:r>
      <w:r w:rsidR="008669F8">
        <w:rPr>
          <w:rFonts w:cs="Arial"/>
          <w:color w:val="auto"/>
        </w:rPr>
        <w:t>2</w:t>
      </w:r>
      <w:r w:rsidR="007A7F07">
        <w:rPr>
          <w:rFonts w:cs="Arial"/>
          <w:color w:val="auto"/>
        </w:rPr>
        <w:t xml:space="preserve"> May 202</w:t>
      </w:r>
      <w:r w:rsidR="008669F8">
        <w:rPr>
          <w:rFonts w:cs="Arial"/>
          <w:color w:val="auto"/>
        </w:rPr>
        <w:t>4</w:t>
      </w:r>
      <w:r w:rsidRPr="00DD7697">
        <w:rPr>
          <w:rFonts w:cs="Arial"/>
          <w:color w:val="auto"/>
        </w:rPr>
        <w:t xml:space="preserve">, lodging </w:t>
      </w:r>
      <w:r w:rsidRPr="00DD7697" w:rsidR="00F4296D">
        <w:rPr>
          <w:rFonts w:cs="Arial"/>
          <w:color w:val="auto"/>
        </w:rPr>
        <w:t>an</w:t>
      </w:r>
      <w:r w:rsidRPr="00DD7697">
        <w:rPr>
          <w:rFonts w:cs="Arial"/>
          <w:color w:val="auto"/>
        </w:rPr>
        <w:t xml:space="preserve"> appeal against the above Final </w:t>
      </w:r>
      <w:r w:rsidR="00E41FEC">
        <w:rPr>
          <w:rFonts w:cs="Arial"/>
          <w:color w:val="auto"/>
        </w:rPr>
        <w:t>Draft Guidance</w:t>
      </w:r>
      <w:r w:rsidR="00910D48">
        <w:rPr>
          <w:rFonts w:cs="Arial"/>
          <w:color w:val="auto"/>
        </w:rPr>
        <w:t xml:space="preserve"> (FDG).</w:t>
      </w:r>
    </w:p>
    <w:p w:rsidRPr="00DD7697" w:rsidR="00C70019" w:rsidP="00413F89" w:rsidRDefault="00C70019" w14:paraId="5F523C58" w14:textId="77777777">
      <w:pPr>
        <w:jc w:val="both"/>
        <w:rPr>
          <w:rFonts w:cs="Arial"/>
          <w:color w:val="auto"/>
        </w:rPr>
      </w:pPr>
      <w:r w:rsidRPr="00DD7697">
        <w:rPr>
          <w:rFonts w:cs="Arial"/>
          <w:color w:val="auto"/>
          <w:u w:val="single"/>
        </w:rPr>
        <w:t>Introduction</w:t>
      </w:r>
      <w:r w:rsidRPr="00DD7697">
        <w:rPr>
          <w:rFonts w:cs="Arial"/>
          <w:color w:val="auto"/>
        </w:rPr>
        <w:t xml:space="preserve"> </w:t>
      </w:r>
    </w:p>
    <w:p w:rsidRPr="00DD7697" w:rsidR="00C70019" w:rsidP="00413F89" w:rsidRDefault="00C70019" w14:paraId="70E1E5B1" w14:textId="2DBAE3FD">
      <w:pPr>
        <w:jc w:val="both"/>
        <w:rPr>
          <w:rFonts w:cs="Arial"/>
          <w:color w:val="auto"/>
        </w:rPr>
      </w:pPr>
      <w:r w:rsidRPr="00DD7697">
        <w:rPr>
          <w:rFonts w:cs="Arial"/>
          <w:color w:val="auto"/>
        </w:rPr>
        <w:t xml:space="preserve">The Institute's appeal procedures provide for an initial scrutiny of points that an appellant wishes to raise, to </w:t>
      </w:r>
      <w:r w:rsidRPr="00DD7697" w:rsidR="006B6C22">
        <w:rPr>
          <w:rFonts w:cs="Arial"/>
          <w:color w:val="auto"/>
        </w:rPr>
        <w:t>provide an initial view on whether</w:t>
      </w:r>
      <w:r w:rsidRPr="00DD7697">
        <w:rPr>
          <w:rFonts w:cs="Arial"/>
          <w:color w:val="auto"/>
        </w:rPr>
        <w:t xml:space="preserve"> they are within the permitted grounds of appeal ("valid")</w:t>
      </w:r>
      <w:r w:rsidRPr="00DD7697" w:rsidR="006B6C22">
        <w:rPr>
          <w:rFonts w:cs="Arial"/>
          <w:color w:val="auto"/>
        </w:rPr>
        <w:t xml:space="preserve"> and are at least arguable</w:t>
      </w:r>
      <w:r w:rsidRPr="00DD7697">
        <w:rPr>
          <w:rFonts w:cs="Arial"/>
          <w:color w:val="auto"/>
        </w:rPr>
        <w:t xml:space="preserve">. The permitted grounds of appeal are: </w:t>
      </w:r>
    </w:p>
    <w:p w:rsidRPr="00DD7697"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 xml:space="preserve">1(a) NICE has failed to act fairly, or </w:t>
      </w:r>
    </w:p>
    <w:p w:rsidRPr="00DD7697"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1(b) NICE has exceeded powers;</w:t>
      </w:r>
    </w:p>
    <w:p w:rsidRPr="00DD7697"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(2) the recommendation is unreasonable in the light of the evidence submitted to NICE</w:t>
      </w:r>
      <w:r w:rsidRPr="00DD7697" w:rsidR="006347AD">
        <w:rPr>
          <w:rFonts w:cs="Arial"/>
          <w:color w:val="auto"/>
        </w:rPr>
        <w:t>.</w:t>
      </w:r>
    </w:p>
    <w:p w:rsidRPr="00DD7697" w:rsidR="00C70019" w:rsidP="00413F89" w:rsidRDefault="00C70019" w14:paraId="08D953B5" w14:textId="25297E74">
      <w:pPr>
        <w:jc w:val="both"/>
        <w:rPr>
          <w:rFonts w:cs="Arial"/>
          <w:color w:val="auto"/>
        </w:rPr>
      </w:pPr>
      <w:r w:rsidRPr="00DD7697">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DD7697" w:rsidR="00F41597">
        <w:rPr>
          <w:rFonts w:cs="Arial"/>
          <w:color w:val="auto"/>
        </w:rPr>
        <w:t>, are arguable, and</w:t>
      </w:r>
      <w:r w:rsidRPr="00DD7697">
        <w:rPr>
          <w:rFonts w:cs="Arial"/>
          <w:color w:val="auto"/>
        </w:rPr>
        <w:t xml:space="preserve"> fall within any one of the grounds will your appeal be referred to the Appeal Panel. </w:t>
      </w:r>
    </w:p>
    <w:p w:rsidRPr="00DD7697" w:rsidR="00C70019" w:rsidP="00413F89" w:rsidRDefault="00C70019" w14:paraId="146CF237" w14:textId="77777777">
      <w:pPr>
        <w:jc w:val="both"/>
        <w:rPr>
          <w:rFonts w:cs="Arial"/>
          <w:color w:val="auto"/>
        </w:rPr>
      </w:pPr>
      <w:r w:rsidRPr="00DD7697">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rsidRPr="00DD7697" w:rsidR="00C70019" w:rsidP="00413F89" w:rsidRDefault="00C70019" w14:paraId="3294E8F2" w14:textId="77777777">
      <w:pPr>
        <w:jc w:val="both"/>
        <w:rPr>
          <w:rFonts w:cs="Arial"/>
          <w:color w:val="auto"/>
          <w:u w:val="single"/>
        </w:rPr>
      </w:pPr>
      <w:r w:rsidRPr="00DD7697">
        <w:rPr>
          <w:rFonts w:cs="Arial"/>
          <w:color w:val="auto"/>
          <w:u w:val="single"/>
        </w:rPr>
        <w:t>Initial View</w:t>
      </w:r>
    </w:p>
    <w:p w:rsidR="00262058" w:rsidP="00413F89" w:rsidRDefault="00BB43EC" w14:paraId="15B951E6" w14:textId="4A8D7BE4">
      <w:pPr>
        <w:jc w:val="both"/>
        <w:rPr>
          <w:rFonts w:cs="Arial"/>
          <w:color w:val="auto"/>
        </w:rPr>
      </w:pPr>
      <w:r w:rsidRPr="00DD7697">
        <w:rPr>
          <w:rFonts w:cs="Arial"/>
          <w:color w:val="auto"/>
        </w:rPr>
        <w:t>I</w:t>
      </w:r>
      <w:r w:rsidRPr="00DD7697" w:rsidR="00C70019">
        <w:rPr>
          <w:rFonts w:cs="Arial"/>
          <w:color w:val="auto"/>
        </w:rPr>
        <w:t xml:space="preserve"> assess each of your </w:t>
      </w:r>
      <w:r w:rsidRPr="00DD7697" w:rsidR="00B36320">
        <w:rPr>
          <w:rFonts w:cs="Arial"/>
          <w:color w:val="auto"/>
        </w:rPr>
        <w:t xml:space="preserve">points </w:t>
      </w:r>
      <w:r w:rsidRPr="00DD7697" w:rsidR="00C70019">
        <w:rPr>
          <w:rFonts w:cs="Arial"/>
          <w:color w:val="auto"/>
        </w:rPr>
        <w:t xml:space="preserve">in turn.  </w:t>
      </w:r>
    </w:p>
    <w:p w:rsidRPr="00961369" w:rsidR="00E87F1E" w:rsidP="00E87F1E" w:rsidRDefault="00E87F1E" w14:paraId="7ADCDE98" w14:textId="77777777">
      <w:pPr>
        <w:spacing w:before="120" w:after="0" w:line="240" w:lineRule="auto"/>
        <w:rPr>
          <w:rFonts w:cs="Arial"/>
          <w:b/>
          <w:i/>
          <w:lang w:eastAsia="en-GB"/>
        </w:rPr>
      </w:pPr>
      <w:r w:rsidRPr="00961369">
        <w:rPr>
          <w:rFonts w:cs="Arial"/>
          <w:b/>
          <w:i/>
          <w:lang w:eastAsia="en-GB"/>
        </w:rPr>
        <w:t>Ground 1(a): In making the assessment that preceded the recommendation, NICE has failed to act fairly</w:t>
      </w:r>
    </w:p>
    <w:p w:rsidR="00B11119" w:rsidP="007A7F07" w:rsidRDefault="00B62869" w14:paraId="4DA05162" w14:textId="21825B57">
      <w:pPr>
        <w:spacing w:before="240" w:after="240" w:line="276" w:lineRule="auto"/>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.1</w:t>
      </w:r>
      <w:r w:rsidR="007A7F07">
        <w:rPr>
          <w:rFonts w:cs="Arial"/>
          <w:b/>
          <w:color w:val="auto"/>
          <w:u w:val="single"/>
        </w:rPr>
        <w:t xml:space="preserve">: </w:t>
      </w:r>
      <w:r w:rsidRPr="00E452CE" w:rsidR="00E452CE">
        <w:rPr>
          <w:rFonts w:cs="Arial"/>
          <w:b/>
          <w:color w:val="auto"/>
          <w:u w:val="single"/>
        </w:rPr>
        <w:t>NICE’s refusal of UCB’s request for technical engagement before the first meeting of the Appraisal Committee was procedurally unfair and has prejudiced the conduct of the appraisal.</w:t>
      </w:r>
    </w:p>
    <w:p w:rsidR="00AC2F97" w:rsidP="00E87F1E" w:rsidRDefault="00E87F1E" w14:paraId="035AAEC6" w14:textId="4E31FAA3">
      <w:pPr>
        <w:pStyle w:val="BodyText"/>
        <w:jc w:val="both"/>
        <w:rPr>
          <w:rFonts w:cs="Arial"/>
          <w:color w:val="auto"/>
        </w:rPr>
      </w:pPr>
      <w:r w:rsidRPr="007B5FA1">
        <w:rPr>
          <w:rFonts w:cs="Arial"/>
          <w:color w:val="auto"/>
        </w:rPr>
        <w:t>I am</w:t>
      </w:r>
      <w:r w:rsidR="00AC2F97">
        <w:rPr>
          <w:rFonts w:cs="Arial"/>
          <w:color w:val="auto"/>
        </w:rPr>
        <w:t xml:space="preserve"> currently</w:t>
      </w:r>
      <w:r w:rsidRPr="007B5FA1">
        <w:rPr>
          <w:rFonts w:cs="Arial"/>
          <w:color w:val="auto"/>
        </w:rPr>
        <w:t xml:space="preserve"> minded</w:t>
      </w:r>
      <w:r w:rsidRPr="00DD7697">
        <w:rPr>
          <w:rFonts w:cs="Arial"/>
          <w:color w:val="auto"/>
        </w:rPr>
        <w:t xml:space="preserve"> to refer this appeal point to the Appeal Panel</w:t>
      </w:r>
      <w:r w:rsidR="00AC2F97">
        <w:rPr>
          <w:rFonts w:cs="Arial"/>
          <w:color w:val="auto"/>
        </w:rPr>
        <w:t xml:space="preserve"> on the basis that it was arguably procedurally unfair for the Committee to decline UCB's request for technical engagement and that doing so arguably prejudiced the conduct of the appraisal</w:t>
      </w:r>
      <w:r w:rsidRPr="00DD7697">
        <w:rPr>
          <w:rFonts w:cs="Arial"/>
          <w:color w:val="auto"/>
        </w:rPr>
        <w:t>.</w:t>
      </w:r>
    </w:p>
    <w:p w:rsidR="00AC2F97" w:rsidP="00E87F1E" w:rsidRDefault="00EB4440" w14:paraId="734F7680" w14:textId="7973BA15">
      <w:pPr>
        <w:pStyle w:val="BodyText"/>
        <w:jc w:val="both"/>
        <w:rPr>
          <w:rFonts w:cs="Arial"/>
          <w:color w:val="auto"/>
        </w:rPr>
      </w:pPr>
      <w:r>
        <w:rPr>
          <w:rFonts w:cs="Arial"/>
          <w:color w:val="auto"/>
        </w:rPr>
        <w:t>I note that NICE's Manual for health technology evaluations is clear (at 5.7.8) that technical engagement is not a mandatory stage of the evaluation process.  That being the case, I should be grateful, b</w:t>
      </w:r>
      <w:r w:rsidR="00AC2F97">
        <w:rPr>
          <w:rFonts w:cs="Arial"/>
          <w:color w:val="auto"/>
        </w:rPr>
        <w:t>efore reaching my final view on referral for further detail from UCB about what, if any, consequences you say flow from the absence of technical engagement, and in particular, how UCB considers that the conduct of the appraisal and/or the recommendation reached was negatively impacted.</w:t>
      </w:r>
      <w:r>
        <w:rPr>
          <w:rFonts w:cs="Arial"/>
          <w:color w:val="auto"/>
        </w:rPr>
        <w:t xml:space="preserve">  </w:t>
      </w:r>
    </w:p>
    <w:p w:rsidR="0033299A" w:rsidP="004048BA" w:rsidRDefault="0033299A" w14:paraId="1EB8755D" w14:textId="4D2AA1CE">
      <w:pPr>
        <w:pStyle w:val="BodyText"/>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w:t>
      </w:r>
      <w:r>
        <w:rPr>
          <w:rFonts w:cs="Arial"/>
          <w:b/>
          <w:color w:val="auto"/>
          <w:u w:val="single"/>
        </w:rPr>
        <w:t xml:space="preserve">2: </w:t>
      </w:r>
      <w:r w:rsidRPr="0033299A">
        <w:rPr>
          <w:rFonts w:cs="Arial"/>
          <w:b/>
          <w:color w:val="auto"/>
          <w:u w:val="single"/>
        </w:rPr>
        <w:t>In the circumstances of this appraisal, including the lack of technical engagement, the multiple unresolved issues and the change in approach between ACM1 and ACM2, a third meeting of the Appraisal Committee should have been scheduled prior to issue of Final Draft Guidance.</w:t>
      </w:r>
    </w:p>
    <w:p w:rsidR="0033299A" w:rsidP="0033299A" w:rsidRDefault="0033299A" w14:paraId="257B2889" w14:textId="2FFAFD9E">
      <w:pPr>
        <w:pStyle w:val="BodyText"/>
        <w:jc w:val="both"/>
        <w:rPr>
          <w:rFonts w:cs="Arial"/>
          <w:color w:val="auto"/>
        </w:rPr>
      </w:pPr>
      <w:r w:rsidRPr="00DD7697">
        <w:rPr>
          <w:rFonts w:cs="Arial"/>
          <w:color w:val="auto"/>
        </w:rPr>
        <w:t xml:space="preserve">I </w:t>
      </w:r>
      <w:r w:rsidRPr="008C7B51">
        <w:rPr>
          <w:rFonts w:cs="Arial"/>
          <w:color w:val="auto"/>
        </w:rPr>
        <w:t>am</w:t>
      </w:r>
      <w:r w:rsidR="004048BA">
        <w:rPr>
          <w:rFonts w:cs="Arial"/>
          <w:color w:val="auto"/>
        </w:rPr>
        <w:t xml:space="preserve"> not</w:t>
      </w:r>
      <w:r w:rsidRPr="008C7B51">
        <w:rPr>
          <w:rFonts w:cs="Arial"/>
          <w:color w:val="auto"/>
        </w:rPr>
        <w:t xml:space="preserve"> minded</w:t>
      </w:r>
      <w:r w:rsidRPr="00DD7697">
        <w:rPr>
          <w:rFonts w:cs="Arial"/>
          <w:color w:val="auto"/>
        </w:rPr>
        <w:t xml:space="preserve"> to refer this appeal point to the Appeal Panel</w:t>
      </w:r>
      <w:r w:rsidR="008C7B51">
        <w:rPr>
          <w:rFonts w:cs="Arial"/>
          <w:color w:val="auto"/>
        </w:rPr>
        <w:t>.</w:t>
      </w:r>
    </w:p>
    <w:p w:rsidR="002B0782" w:rsidP="004048BA" w:rsidRDefault="00EB4440" w14:paraId="3ADF17C0" w14:textId="3F05DC8B">
      <w:pPr>
        <w:pStyle w:val="BodyText"/>
        <w:jc w:val="both"/>
        <w:rPr>
          <w:rFonts w:cs="Arial"/>
        </w:rPr>
      </w:pPr>
      <w:r>
        <w:rPr>
          <w:rFonts w:cs="Arial"/>
        </w:rPr>
        <w:t xml:space="preserve">I understand that UCB's argument is that it was procedurally unfair for the Committee not to meet for a third time before issuing the FDG.  In reaching my initial view that this point does not raise arguable unfairness, I </w:t>
      </w:r>
      <w:r w:rsidR="002B0782">
        <w:rPr>
          <w:rFonts w:cs="Arial"/>
        </w:rPr>
        <w:t xml:space="preserve">note that your appeal point relies on areas of uncertainty that you say remained unresolved after the second committee meeting.  I do not consider outstanding uncertainty to be a basis on its own for an arguable conclusion that it was procedurally unfair not to hold a third committee meeting.  The Manual is clear that in reaching any decision, a committee will need to base its recommendations on the evidence presented, and in doing so, consider and highlight areas of contention and uncertainty that have arisen during the committee's discussions of the evidence.  Uncertainty is inherent in any NICE evaluation.  </w:t>
      </w:r>
    </w:p>
    <w:p w:rsidR="004048BA" w:rsidP="004048BA" w:rsidRDefault="002B0782" w14:paraId="61B62B6D" w14:textId="37F19982">
      <w:pPr>
        <w:pStyle w:val="BodyText"/>
        <w:jc w:val="both"/>
        <w:rPr>
          <w:rFonts w:cs="Arial"/>
        </w:rPr>
      </w:pPr>
      <w:r>
        <w:rPr>
          <w:rFonts w:cs="Arial"/>
        </w:rPr>
        <w:t xml:space="preserve">I have also </w:t>
      </w:r>
      <w:r w:rsidR="00EB4440">
        <w:rPr>
          <w:rFonts w:cs="Arial"/>
        </w:rPr>
        <w:t>reviewed paragraph 5.8.59 of the Manual</w:t>
      </w:r>
      <w:r>
        <w:rPr>
          <w:rFonts w:cs="Arial"/>
        </w:rPr>
        <w:t xml:space="preserve">, which states as follows: </w:t>
      </w:r>
    </w:p>
    <w:p w:rsidRPr="002B0782" w:rsidR="002B0782" w:rsidP="002B0782" w:rsidRDefault="002B0782" w14:paraId="6E898BF0" w14:textId="514A908D">
      <w:pPr>
        <w:pStyle w:val="BodyText"/>
        <w:ind w:left="720"/>
        <w:jc w:val="both"/>
        <w:rPr>
          <w:rFonts w:cs="Arial"/>
          <w:i/>
          <w:iCs/>
        </w:rPr>
      </w:pPr>
      <w:r w:rsidRPr="002B0782">
        <w:rPr>
          <w:rFonts w:cs="Arial"/>
          <w:i/>
          <w:iCs/>
        </w:rPr>
        <w:t xml:space="preserve">When stakeholders submit comments that lead to a substantive revision of </w:t>
      </w:r>
      <w:r w:rsidR="00917DF8">
        <w:rPr>
          <w:rFonts w:cs="Arial"/>
          <w:i/>
          <w:iCs/>
        </w:rPr>
        <w:t>t</w:t>
      </w:r>
      <w:r w:rsidRPr="002B0782">
        <w:rPr>
          <w:rFonts w:cs="Arial"/>
          <w:i/>
          <w:iCs/>
        </w:rPr>
        <w:t>he committee's previous decision, involving a significant change in the recommendations, discussions or the evidence base, NICE and the chair of the committee will decide whether it is necessary to repeat the draft guidance consultation.  The decision to hold another consultation wi</w:t>
      </w:r>
      <w:r w:rsidR="004F34F3">
        <w:rPr>
          <w:rFonts w:cs="Arial"/>
          <w:i/>
          <w:iCs/>
        </w:rPr>
        <w:t>l</w:t>
      </w:r>
      <w:r w:rsidRPr="002B0782">
        <w:rPr>
          <w:rFonts w:cs="Arial"/>
          <w:i/>
          <w:iCs/>
        </w:rPr>
        <w:t>l extend the timelines for the evaluation.</w:t>
      </w:r>
    </w:p>
    <w:p w:rsidRPr="005C6CAB" w:rsidR="002B0782" w:rsidP="001453E9" w:rsidRDefault="004F34F3" w14:paraId="349699E6" w14:textId="44A5ADF8">
      <w:pPr>
        <w:pStyle w:val="BodyText"/>
        <w:jc w:val="both"/>
        <w:rPr>
          <w:rFonts w:cs="Arial"/>
        </w:rPr>
      </w:pPr>
      <w:r w:rsidRPr="005C6CAB">
        <w:rPr>
          <w:rFonts w:cs="Arial"/>
        </w:rPr>
        <w:t>I note that the Manual does not here envisage a further consultation (and thus, a third committee meeting) being required solely on the basis of outstanding uncertainty.</w:t>
      </w:r>
    </w:p>
    <w:p w:rsidR="0033299A" w:rsidP="0033299A" w:rsidRDefault="0033299A" w14:paraId="2800A134" w14:textId="0E5440EE">
      <w:pPr>
        <w:spacing w:before="240" w:after="240" w:line="276" w:lineRule="auto"/>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w:t>
      </w:r>
      <w:r w:rsidR="006240DF">
        <w:rPr>
          <w:rFonts w:cs="Arial"/>
          <w:b/>
          <w:color w:val="auto"/>
          <w:u w:val="single"/>
        </w:rPr>
        <w:t>3</w:t>
      </w:r>
      <w:r>
        <w:rPr>
          <w:rFonts w:cs="Arial"/>
          <w:b/>
          <w:color w:val="auto"/>
          <w:u w:val="single"/>
        </w:rPr>
        <w:t xml:space="preserve">: </w:t>
      </w:r>
      <w:r w:rsidRPr="006240DF" w:rsidR="006240DF">
        <w:rPr>
          <w:rFonts w:cs="Arial"/>
          <w:b/>
          <w:color w:val="auto"/>
          <w:u w:val="single"/>
        </w:rPr>
        <w:t>Standard of Care (SoC) alone does not reflect NHS clinical practice and is not an appropriate comparator for fenfluramine.</w:t>
      </w:r>
    </w:p>
    <w:p w:rsidR="00024CEA" w:rsidP="0033299A" w:rsidRDefault="0033299A" w14:paraId="581BF39E" w14:textId="06034BD0">
      <w:pPr>
        <w:pStyle w:val="BodyText"/>
        <w:jc w:val="both"/>
        <w:rPr>
          <w:rFonts w:cs="Arial"/>
          <w:color w:val="auto"/>
        </w:rPr>
      </w:pPr>
      <w:r w:rsidRPr="00024CEA">
        <w:rPr>
          <w:rFonts w:cs="Arial"/>
          <w:color w:val="auto"/>
        </w:rPr>
        <w:t>I</w:t>
      </w:r>
      <w:r w:rsidR="00A172DF">
        <w:rPr>
          <w:rFonts w:cs="Arial"/>
          <w:color w:val="auto"/>
        </w:rPr>
        <w:t xml:space="preserve"> do not regard this as a valid appeal point under ground 1 but am minded to refer this appeal point to the Appeal Panel under ground 2.</w:t>
      </w:r>
      <w:r w:rsidRPr="00024CEA">
        <w:rPr>
          <w:rFonts w:cs="Arial"/>
          <w:color w:val="auto"/>
        </w:rPr>
        <w:t xml:space="preserve"> </w:t>
      </w:r>
    </w:p>
    <w:p w:rsidR="0033299A" w:rsidP="0033299A" w:rsidRDefault="0033299A" w14:paraId="3B351E22" w14:textId="10E48AB3">
      <w:pPr>
        <w:pStyle w:val="BodyText"/>
        <w:jc w:val="both"/>
        <w:rPr>
          <w:rFonts w:cs="Arial"/>
        </w:rPr>
      </w:pPr>
      <w:r>
        <w:rPr>
          <w:rFonts w:cs="Arial"/>
        </w:rPr>
        <w:t>That is because</w:t>
      </w:r>
      <w:r w:rsidR="005C6CAB">
        <w:rPr>
          <w:rFonts w:cs="Arial"/>
        </w:rPr>
        <w:t xml:space="preserve"> I can see that it is arguable that the Committee's conclusion that SoC was an appropriate comparator was unreasonable.  I cannot see an arguable basis for determining that conclusion to have been procedurally unfair.  The Committee plainly fulfilled its role of gathering information and data, forming a view on preferred assumptions including as to the appropriate comparator.  I do not understand your argument to be that the Committee failed to seek relevant information before reaching its view</w:t>
      </w:r>
      <w:r w:rsidR="006F1D27">
        <w:rPr>
          <w:rFonts w:cs="Arial"/>
        </w:rPr>
        <w:t>; it appears to me that your argument is that having done so, the view that the Committee reached was unreasonable on the basis of the evidence it had.</w:t>
      </w:r>
    </w:p>
    <w:p w:rsidRPr="002259A7" w:rsidR="00B21729" w:rsidP="006F1D27" w:rsidRDefault="006F1D27" w14:paraId="1EA5FF9F" w14:textId="114BD8AC">
      <w:pPr>
        <w:pStyle w:val="BodyText"/>
        <w:jc w:val="both"/>
        <w:rPr>
          <w:rFonts w:cs="Arial"/>
          <w:color w:val="FF0000"/>
        </w:rPr>
      </w:pPr>
      <w:r>
        <w:rPr>
          <w:rFonts w:cs="Arial"/>
        </w:rPr>
        <w:t>Separately, the points made in paragraphs 16.4 and 18.1 of your letter both appear to highlight potential factual errors in the FDG.  If that is your intention, these should be raised separately with NICE (see paragraph 5.8.66 of the Manual).</w:t>
      </w:r>
    </w:p>
    <w:p w:rsidR="0033299A" w:rsidP="0033299A" w:rsidRDefault="0033299A" w14:paraId="75856181" w14:textId="701CE084">
      <w:pPr>
        <w:spacing w:before="240" w:after="240" w:line="276" w:lineRule="auto"/>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w:t>
      </w:r>
      <w:r w:rsidR="006240DF">
        <w:rPr>
          <w:rFonts w:cs="Arial"/>
          <w:b/>
          <w:color w:val="auto"/>
          <w:u w:val="single"/>
        </w:rPr>
        <w:t>4</w:t>
      </w:r>
      <w:r>
        <w:rPr>
          <w:rFonts w:cs="Arial"/>
          <w:b/>
          <w:color w:val="auto"/>
          <w:u w:val="single"/>
        </w:rPr>
        <w:t xml:space="preserve">: </w:t>
      </w:r>
      <w:r w:rsidRPr="006240DF" w:rsidR="006240DF">
        <w:rPr>
          <w:rFonts w:cs="Arial"/>
          <w:b/>
          <w:color w:val="auto"/>
          <w:u w:val="single"/>
        </w:rPr>
        <w:t>NICE’s approach to the use of ITT LOCF data versus clinical trial state occupancy data in order to compare fenfluramine + SoC with CBD + CLB + SoC, is procedurally unfair and inconsistent with the approach followed in the appraisal of CBD for the same indication (TA615).</w:t>
      </w:r>
    </w:p>
    <w:p w:rsidR="00910B75" w:rsidP="00910B75" w:rsidRDefault="0033299A" w14:paraId="187AE799" w14:textId="77777777">
      <w:pPr>
        <w:pStyle w:val="BodyText"/>
        <w:jc w:val="both"/>
        <w:rPr>
          <w:rFonts w:cs="Arial"/>
          <w:color w:val="auto"/>
        </w:rPr>
      </w:pPr>
      <w:r w:rsidRPr="009A59DD">
        <w:rPr>
          <w:rFonts w:cs="Arial"/>
          <w:color w:val="auto"/>
        </w:rPr>
        <w:t>I am</w:t>
      </w:r>
      <w:r w:rsidRPr="00DD7697">
        <w:rPr>
          <w:rFonts w:cs="Arial"/>
          <w:color w:val="auto"/>
        </w:rPr>
        <w:t xml:space="preserve"> minded to refer this appeal point to the Appeal Panel.  </w:t>
      </w:r>
      <w:r>
        <w:rPr>
          <w:rFonts w:cs="Arial"/>
          <w:color w:val="auto"/>
        </w:rPr>
        <w:t xml:space="preserve"> </w:t>
      </w:r>
    </w:p>
    <w:p w:rsidR="00630DFE" w:rsidP="00910B75" w:rsidRDefault="00630DFE" w14:paraId="5D8D4A21" w14:textId="3FAFD53F">
      <w:pPr>
        <w:pStyle w:val="BodyText"/>
        <w:jc w:val="both"/>
        <w:rPr>
          <w:rFonts w:cs="Arial"/>
          <w:color w:val="auto"/>
        </w:rPr>
      </w:pPr>
      <w:r>
        <w:rPr>
          <w:rFonts w:cs="Arial"/>
          <w:color w:val="auto"/>
        </w:rPr>
        <w:t>In considering this appeal point, I anticipate that the Appeal Panel may wish to consider two related arguments made in your appeal letter:</w:t>
      </w:r>
    </w:p>
    <w:p w:rsidR="00630DFE" w:rsidP="00630DFE" w:rsidRDefault="00607C02" w14:paraId="36B8A466" w14:textId="3BD377D5">
      <w:pPr>
        <w:pStyle w:val="BodyText"/>
        <w:numPr>
          <w:ilvl w:val="0"/>
          <w:numId w:val="34"/>
        </w:numPr>
        <w:jc w:val="both"/>
        <w:rPr>
          <w:rFonts w:cs="Arial"/>
          <w:color w:val="auto"/>
        </w:rPr>
      </w:pPr>
      <w:r>
        <w:rPr>
          <w:rFonts w:cs="Arial"/>
          <w:color w:val="auto"/>
        </w:rPr>
        <w:t>that</w:t>
      </w:r>
      <w:r w:rsidR="00630DFE">
        <w:rPr>
          <w:rFonts w:cs="Arial"/>
          <w:color w:val="auto"/>
        </w:rPr>
        <w:t xml:space="preserve"> it was procedurally unfair for the Committee to adopt a different methodology in the current evaluation from that adopted in TA615, without </w:t>
      </w:r>
      <w:r w:rsidR="00917DF8">
        <w:rPr>
          <w:rFonts w:cs="Arial"/>
          <w:color w:val="auto"/>
        </w:rPr>
        <w:t xml:space="preserve">sufficient </w:t>
      </w:r>
      <w:r w:rsidR="00630DFE">
        <w:rPr>
          <w:rFonts w:cs="Arial"/>
          <w:color w:val="auto"/>
        </w:rPr>
        <w:t>explanation, in circumstances where the "patient population is the same and the appraisal faces the same challenges in terms of a rare disease with a heterogeneous patient population" (paragraph 23 of UCB's appeal letter); and</w:t>
      </w:r>
    </w:p>
    <w:p w:rsidR="00630DFE" w:rsidP="00630DFE" w:rsidRDefault="00607C02" w14:paraId="7C423F1C" w14:textId="5EEA85F4">
      <w:pPr>
        <w:pStyle w:val="BodyText"/>
        <w:numPr>
          <w:ilvl w:val="0"/>
          <w:numId w:val="34"/>
        </w:numPr>
        <w:jc w:val="both"/>
        <w:rPr>
          <w:rFonts w:cs="Arial"/>
          <w:color w:val="auto"/>
        </w:rPr>
      </w:pPr>
      <w:r>
        <w:rPr>
          <w:rFonts w:cs="Arial"/>
          <w:color w:val="auto"/>
        </w:rPr>
        <w:t>that it was procedurally unfair for the Committee to rely upon and criticise UCB's focus on the ITT population, in circumstances where the Draft Guidance had stated explicitly that an ITT methodology was preferred (paragraph 22 of UCB's appeal letter)</w:t>
      </w:r>
      <w:r w:rsidR="00630DFE">
        <w:rPr>
          <w:rFonts w:cs="Arial"/>
          <w:color w:val="auto"/>
        </w:rPr>
        <w:t xml:space="preserve">. </w:t>
      </w:r>
    </w:p>
    <w:p w:rsidR="0033299A" w:rsidP="00910B75" w:rsidRDefault="0033299A" w14:paraId="5FA739AF" w14:textId="3DDE6950">
      <w:pPr>
        <w:pStyle w:val="BodyText"/>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w:t>
      </w:r>
      <w:r w:rsidR="003A116E">
        <w:rPr>
          <w:rFonts w:cs="Arial"/>
          <w:b/>
          <w:color w:val="auto"/>
          <w:u w:val="single"/>
        </w:rPr>
        <w:t>5</w:t>
      </w:r>
      <w:r>
        <w:rPr>
          <w:rFonts w:cs="Arial"/>
          <w:b/>
          <w:color w:val="auto"/>
          <w:u w:val="single"/>
        </w:rPr>
        <w:t xml:space="preserve">: </w:t>
      </w:r>
      <w:r w:rsidRPr="006240DF" w:rsidR="006240DF">
        <w:rPr>
          <w:rFonts w:cs="Arial"/>
          <w:b/>
          <w:color w:val="auto"/>
          <w:u w:val="single"/>
        </w:rPr>
        <w:t>The absence of any indication of the Committee’s preferred</w:t>
      </w:r>
      <w:r w:rsidR="003A116E">
        <w:rPr>
          <w:rFonts w:cs="Arial"/>
          <w:b/>
          <w:color w:val="auto"/>
          <w:u w:val="single"/>
        </w:rPr>
        <w:t xml:space="preserve"> </w:t>
      </w:r>
      <w:r w:rsidRPr="006240DF" w:rsidR="006240DF">
        <w:rPr>
          <w:rFonts w:cs="Arial"/>
          <w:b/>
          <w:color w:val="auto"/>
          <w:u w:val="single"/>
        </w:rPr>
        <w:t>assumptions at the Draft Guidance stage and the lack of clear explanation of how</w:t>
      </w:r>
      <w:r w:rsidR="003A116E">
        <w:rPr>
          <w:rFonts w:cs="Arial"/>
          <w:b/>
          <w:color w:val="auto"/>
          <w:u w:val="single"/>
        </w:rPr>
        <w:t xml:space="preserve"> </w:t>
      </w:r>
      <w:r w:rsidRPr="006240DF" w:rsidR="006240DF">
        <w:rPr>
          <w:rFonts w:cs="Arial"/>
          <w:b/>
          <w:color w:val="auto"/>
          <w:u w:val="single"/>
        </w:rPr>
        <w:t>the Committee had taken into account the status of LGS as a rare disease, substantially prejudiced UCB’s ability to offer a discount that would meet the Committee’s expectations of cost-effectiveness.</w:t>
      </w:r>
    </w:p>
    <w:p w:rsidR="0033299A" w:rsidP="0033299A" w:rsidRDefault="0033299A" w14:paraId="2D5CD5D4" w14:textId="7735A402">
      <w:pPr>
        <w:pStyle w:val="BodyText"/>
        <w:jc w:val="both"/>
        <w:rPr>
          <w:rFonts w:cs="Arial"/>
          <w:color w:val="auto"/>
        </w:rPr>
      </w:pPr>
      <w:r w:rsidRPr="009A59DD">
        <w:rPr>
          <w:rFonts w:cs="Arial"/>
          <w:color w:val="auto"/>
        </w:rPr>
        <w:t>I am no</w:t>
      </w:r>
      <w:r w:rsidRPr="009A59DD" w:rsidR="00395F36">
        <w:rPr>
          <w:rFonts w:cs="Arial"/>
          <w:color w:val="auto"/>
        </w:rPr>
        <w:t>t</w:t>
      </w:r>
      <w:r w:rsidRPr="009A59DD">
        <w:rPr>
          <w:rFonts w:cs="Arial"/>
          <w:color w:val="auto"/>
        </w:rPr>
        <w:t xml:space="preserve"> minded</w:t>
      </w:r>
      <w:r w:rsidRPr="00DD7697">
        <w:rPr>
          <w:rFonts w:cs="Arial"/>
          <w:color w:val="auto"/>
        </w:rPr>
        <w:t xml:space="preserve"> to refer this appeal point to the Appeal Panel</w:t>
      </w:r>
      <w:r w:rsidR="00395F36">
        <w:rPr>
          <w:rFonts w:cs="Arial"/>
          <w:color w:val="auto"/>
        </w:rPr>
        <w:t>.</w:t>
      </w:r>
    </w:p>
    <w:p w:rsidR="001A6803" w:rsidP="0033299A" w:rsidRDefault="001A6803" w14:paraId="30D6566F" w14:textId="0BFB146A">
      <w:pPr>
        <w:pStyle w:val="BodyText"/>
        <w:jc w:val="both"/>
        <w:rPr>
          <w:rFonts w:cs="Arial"/>
          <w:color w:val="auto"/>
        </w:rPr>
      </w:pPr>
      <w:r>
        <w:rPr>
          <w:rFonts w:cs="Arial"/>
          <w:color w:val="auto"/>
        </w:rPr>
        <w:t>I understand UCB's argument to be, in summary, that the Committee should have set out its preferred assumptions sooner, either as part of technical engagement (which did not take place) or in draft guidance, and that the Committee's failure to do so inhibited UCB's ability to propose a patient access scheme because UCB did not know what level of discount (or other commercial arrangement) would be required to bring the ICER within acceptable range.</w:t>
      </w:r>
    </w:p>
    <w:p w:rsidR="00607C02" w:rsidP="00D05C86" w:rsidRDefault="00E41203" w14:paraId="3F3CE573" w14:textId="3D1B4A7C">
      <w:pPr>
        <w:pStyle w:val="BodyText"/>
        <w:jc w:val="both"/>
        <w:rPr>
          <w:rFonts w:cs="Arial"/>
          <w:color w:val="FF0000"/>
        </w:rPr>
      </w:pPr>
      <w:r>
        <w:rPr>
          <w:rFonts w:cs="Arial"/>
          <w:color w:val="auto"/>
        </w:rPr>
        <w:t>I am not persuaded that the absence of preferred assumptions at an earlier stage can be said to be procedurally unfair.  The Manual is clear that a committee's preferred assumptions may develop over the life of the evaluation, until finalisation in the FDG (see for example, 5.8.64).</w:t>
      </w:r>
    </w:p>
    <w:p w:rsidR="0033299A" w:rsidP="0033299A" w:rsidRDefault="0033299A" w14:paraId="40FC1F64" w14:textId="4DC0F000">
      <w:pPr>
        <w:spacing w:before="240" w:after="240" w:line="276" w:lineRule="auto"/>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w:t>
      </w:r>
      <w:r w:rsidR="003A116E">
        <w:rPr>
          <w:rFonts w:cs="Arial"/>
          <w:b/>
          <w:color w:val="auto"/>
          <w:u w:val="single"/>
        </w:rPr>
        <w:t>6</w:t>
      </w:r>
      <w:r>
        <w:rPr>
          <w:rFonts w:cs="Arial"/>
          <w:b/>
          <w:color w:val="auto"/>
          <w:u w:val="single"/>
        </w:rPr>
        <w:t xml:space="preserve">: </w:t>
      </w:r>
      <w:r w:rsidRPr="003A116E" w:rsidR="003A116E">
        <w:rPr>
          <w:rFonts w:cs="Arial"/>
          <w:b/>
          <w:color w:val="auto"/>
          <w:u w:val="single"/>
        </w:rPr>
        <w:t>The requirement for UCB to produce new analyses and for substantive disclosure of important material from the EAG immediately before ACM2 did not allow adequate time for consideration and was inconsistent with a fair procedure.</w:t>
      </w:r>
    </w:p>
    <w:p w:rsidR="0033299A" w:rsidP="0033299A" w:rsidRDefault="0033299A" w14:paraId="234D163F" w14:textId="1D5BD67D">
      <w:pPr>
        <w:pStyle w:val="BodyText"/>
        <w:jc w:val="both"/>
        <w:rPr>
          <w:rFonts w:cs="Arial"/>
          <w:color w:val="auto"/>
        </w:rPr>
      </w:pPr>
      <w:r w:rsidRPr="00A33E98">
        <w:rPr>
          <w:rFonts w:cs="Arial"/>
          <w:color w:val="auto"/>
        </w:rPr>
        <w:t>I am minded</w:t>
      </w:r>
      <w:r w:rsidRPr="00DD7697">
        <w:rPr>
          <w:rFonts w:cs="Arial"/>
          <w:color w:val="auto"/>
        </w:rPr>
        <w:t xml:space="preserve"> to refer this appeal point to the Appeal Panel. </w:t>
      </w:r>
    </w:p>
    <w:p w:rsidR="00F9038A" w:rsidP="0033299A" w:rsidRDefault="00E41203" w14:paraId="299B2044" w14:textId="1C9DAB70">
      <w:pPr>
        <w:pStyle w:val="BodyText"/>
        <w:jc w:val="both"/>
        <w:rPr>
          <w:rFonts w:cs="Arial"/>
          <w:color w:val="auto"/>
        </w:rPr>
      </w:pPr>
      <w:r>
        <w:rPr>
          <w:rFonts w:cs="Arial"/>
          <w:color w:val="auto"/>
        </w:rPr>
        <w:t xml:space="preserve">In considering this appeal point, the Appeal Panel may wish to consider </w:t>
      </w:r>
      <w:r w:rsidR="00F9038A">
        <w:rPr>
          <w:rFonts w:cs="Arial"/>
          <w:color w:val="auto"/>
        </w:rPr>
        <w:t>separately</w:t>
      </w:r>
      <w:r>
        <w:rPr>
          <w:rFonts w:cs="Arial"/>
          <w:color w:val="auto"/>
        </w:rPr>
        <w:t xml:space="preserve"> whether</w:t>
      </w:r>
      <w:r w:rsidRPr="00F9038A" w:rsidR="00F9038A">
        <w:rPr>
          <w:rFonts w:cs="Arial"/>
          <w:color w:val="auto"/>
        </w:rPr>
        <w:t xml:space="preserve"> </w:t>
      </w:r>
      <w:r w:rsidR="00F9038A">
        <w:rPr>
          <w:rFonts w:cs="Arial"/>
          <w:color w:val="auto"/>
        </w:rPr>
        <w:t>it was procedurally unfair to:</w:t>
      </w:r>
      <w:r>
        <w:rPr>
          <w:rFonts w:cs="Arial"/>
          <w:color w:val="auto"/>
        </w:rPr>
        <w:t xml:space="preserve"> </w:t>
      </w:r>
    </w:p>
    <w:p w:rsidRPr="00F9038A" w:rsidR="00F9038A" w:rsidP="00F9038A" w:rsidRDefault="00E41203" w14:paraId="37588CBD" w14:textId="77777777">
      <w:pPr>
        <w:pStyle w:val="BodyText"/>
        <w:numPr>
          <w:ilvl w:val="0"/>
          <w:numId w:val="35"/>
        </w:numPr>
        <w:jc w:val="both"/>
        <w:rPr>
          <w:rFonts w:cs="Arial"/>
        </w:rPr>
      </w:pPr>
      <w:r>
        <w:rPr>
          <w:rFonts w:cs="Arial"/>
          <w:color w:val="auto"/>
        </w:rPr>
        <w:t>request additional analyses from UCB within a short timeframe</w:t>
      </w:r>
      <w:r w:rsidR="00F9038A">
        <w:rPr>
          <w:rFonts w:cs="Arial"/>
          <w:color w:val="auto"/>
        </w:rPr>
        <w:t>, and/or</w:t>
      </w:r>
    </w:p>
    <w:p w:rsidR="00E41203" w:rsidP="00F9038A" w:rsidRDefault="00F9038A" w14:paraId="73FD3D27" w14:textId="7D5F1A6F">
      <w:pPr>
        <w:pStyle w:val="BodyText"/>
        <w:numPr>
          <w:ilvl w:val="0"/>
          <w:numId w:val="35"/>
        </w:numPr>
        <w:jc w:val="both"/>
        <w:rPr>
          <w:rFonts w:cs="Arial"/>
        </w:rPr>
      </w:pPr>
      <w:r>
        <w:rPr>
          <w:rFonts w:cs="Arial"/>
          <w:color w:val="auto"/>
        </w:rPr>
        <w:t>provide UCB with a short timeframe within which to consider newly disclosed material before the second committee meeting.</w:t>
      </w:r>
    </w:p>
    <w:p w:rsidRPr="007A7F07" w:rsidR="00B62869" w:rsidP="00B62869" w:rsidRDefault="007A7F07" w14:paraId="25FB955A" w14:textId="1EB5FA37">
      <w:pPr>
        <w:spacing w:before="240" w:after="240" w:line="276" w:lineRule="auto"/>
        <w:jc w:val="both"/>
        <w:rPr>
          <w:rFonts w:cs="Arial"/>
          <w:b/>
          <w:i/>
          <w:color w:val="auto"/>
        </w:rPr>
      </w:pPr>
      <w:r>
        <w:rPr>
          <w:rFonts w:cs="Arial"/>
          <w:b/>
          <w:i/>
          <w:color w:val="auto"/>
        </w:rPr>
        <w:t>G</w:t>
      </w:r>
      <w:r w:rsidRPr="00E87F1E" w:rsidR="00491045">
        <w:rPr>
          <w:rFonts w:cs="Arial"/>
          <w:b/>
          <w:i/>
          <w:color w:val="auto"/>
        </w:rPr>
        <w:t xml:space="preserve">round 2: </w:t>
      </w:r>
      <w:r w:rsidRPr="00E87F1E" w:rsidR="00B62869">
        <w:rPr>
          <w:rFonts w:cs="Arial"/>
          <w:b/>
          <w:i/>
          <w:color w:val="auto"/>
        </w:rPr>
        <w:t>the recommendation is unreasonable in the light of the evidence submitted to NIC</w:t>
      </w:r>
      <w:r w:rsidR="0015200C">
        <w:rPr>
          <w:rFonts w:cs="Arial"/>
          <w:b/>
          <w:i/>
          <w:color w:val="auto"/>
        </w:rPr>
        <w:t>E</w:t>
      </w:r>
    </w:p>
    <w:p w:rsidRPr="00EE7C41" w:rsidR="00491045" w:rsidP="000F07F9" w:rsidRDefault="00B62869" w14:paraId="41564A14" w14:textId="101FE0F3">
      <w:pPr>
        <w:pStyle w:val="Paragraph"/>
        <w:numPr>
          <w:ilvl w:val="0"/>
          <w:numId w:val="0"/>
        </w:numPr>
        <w:jc w:val="both"/>
        <w:rPr>
          <w:rFonts w:cs="Arial"/>
          <w:b/>
          <w:u w:val="single"/>
        </w:rPr>
      </w:pPr>
      <w:r w:rsidRPr="00EE7C41">
        <w:rPr>
          <w:rFonts w:cs="Arial"/>
          <w:b/>
          <w:sz w:val="20"/>
          <w:szCs w:val="20"/>
          <w:u w:val="single"/>
        </w:rPr>
        <w:t xml:space="preserve">Appeal point 2.1: </w:t>
      </w:r>
      <w:r w:rsidRPr="00721451" w:rsidR="00721451">
        <w:rPr>
          <w:rFonts w:cs="Arial"/>
          <w:b/>
          <w:sz w:val="20"/>
          <w:szCs w:val="20"/>
          <w:u w:val="single"/>
        </w:rPr>
        <w:t>The Committee’s preference for a naïve comparison between the trials instead of an indirect treatment comparison of ITT data was unreasonable.</w:t>
      </w:r>
    </w:p>
    <w:p w:rsidR="00491045" w:rsidP="00491045" w:rsidRDefault="00491045" w14:paraId="2664B26B" w14:textId="7A8E09F0">
      <w:pPr>
        <w:pStyle w:val="BodyText"/>
        <w:jc w:val="both"/>
        <w:rPr>
          <w:rFonts w:cs="Arial"/>
        </w:rPr>
      </w:pPr>
      <w:r w:rsidRPr="00A33E98">
        <w:rPr>
          <w:rFonts w:cs="Arial"/>
          <w:color w:val="auto"/>
        </w:rPr>
        <w:t>I am minded</w:t>
      </w:r>
      <w:r w:rsidRPr="00DD7697">
        <w:rPr>
          <w:rFonts w:cs="Arial"/>
          <w:color w:val="auto"/>
        </w:rPr>
        <w:t xml:space="preserve"> to refer this appeal point to the Appeal Panel. </w:t>
      </w:r>
    </w:p>
    <w:p w:rsidRPr="00EE7C41" w:rsidR="00721451" w:rsidP="00721451" w:rsidRDefault="00721451" w14:paraId="1BECEE13" w14:textId="61E04B42">
      <w:pPr>
        <w:pStyle w:val="Paragraph"/>
        <w:numPr>
          <w:ilvl w:val="0"/>
          <w:numId w:val="0"/>
        </w:numPr>
        <w:jc w:val="both"/>
        <w:rPr>
          <w:rFonts w:cs="Arial"/>
          <w:b/>
          <w:u w:val="single"/>
        </w:rPr>
      </w:pPr>
      <w:r w:rsidRPr="00EE7C41">
        <w:rPr>
          <w:rFonts w:cs="Arial"/>
          <w:b/>
          <w:sz w:val="20"/>
          <w:szCs w:val="20"/>
          <w:u w:val="single"/>
        </w:rPr>
        <w:t>Appeal point 2.</w:t>
      </w:r>
      <w:r w:rsidR="00692BE3">
        <w:rPr>
          <w:rFonts w:cs="Arial"/>
          <w:b/>
          <w:sz w:val="20"/>
          <w:szCs w:val="20"/>
          <w:u w:val="single"/>
        </w:rPr>
        <w:t>2</w:t>
      </w:r>
      <w:r w:rsidRPr="00EE7C41">
        <w:rPr>
          <w:rFonts w:cs="Arial"/>
          <w:b/>
          <w:sz w:val="20"/>
          <w:szCs w:val="20"/>
          <w:u w:val="single"/>
        </w:rPr>
        <w:t xml:space="preserve">: </w:t>
      </w:r>
      <w:r w:rsidRPr="00721451">
        <w:rPr>
          <w:rFonts w:cs="Arial"/>
          <w:b/>
          <w:sz w:val="20"/>
          <w:szCs w:val="20"/>
          <w:u w:val="single"/>
        </w:rPr>
        <w:t>The Committee’s conclusions in relation to the waning of the treatment effects associated with fenfluramine and cannabidiol are inconsistent with the available evidence and with the approach followed in previous appraisals.</w:t>
      </w:r>
    </w:p>
    <w:p w:rsidR="00A33E98" w:rsidP="00A33E98" w:rsidRDefault="00A33E98" w14:paraId="1AEA854A" w14:textId="77777777">
      <w:pPr>
        <w:pStyle w:val="BodyText"/>
        <w:jc w:val="both"/>
        <w:rPr>
          <w:rFonts w:cs="Arial"/>
        </w:rPr>
      </w:pPr>
      <w:r w:rsidRPr="00A33E98">
        <w:rPr>
          <w:rFonts w:cs="Arial"/>
          <w:color w:val="auto"/>
        </w:rPr>
        <w:t>I am minded</w:t>
      </w:r>
      <w:r w:rsidRPr="00DD7697">
        <w:rPr>
          <w:rFonts w:cs="Arial"/>
          <w:color w:val="auto"/>
        </w:rPr>
        <w:t xml:space="preserve"> to refer this appeal point to the Appeal Panel. </w:t>
      </w:r>
    </w:p>
    <w:p w:rsidRPr="00EE7C41" w:rsidR="00721451" w:rsidP="00721451" w:rsidRDefault="00721451" w14:paraId="4C5EEE0D" w14:textId="3A3595BC">
      <w:pPr>
        <w:pStyle w:val="Paragraph"/>
        <w:numPr>
          <w:ilvl w:val="0"/>
          <w:numId w:val="0"/>
        </w:numPr>
        <w:jc w:val="both"/>
        <w:rPr>
          <w:rFonts w:cs="Arial"/>
          <w:b/>
          <w:u w:val="single"/>
        </w:rPr>
      </w:pPr>
      <w:r w:rsidRPr="00EE7C41">
        <w:rPr>
          <w:rFonts w:cs="Arial"/>
          <w:b/>
          <w:sz w:val="20"/>
          <w:szCs w:val="20"/>
          <w:u w:val="single"/>
        </w:rPr>
        <w:t>Appeal point 2.</w:t>
      </w:r>
      <w:r w:rsidR="00692BE3">
        <w:rPr>
          <w:rFonts w:cs="Arial"/>
          <w:b/>
          <w:sz w:val="20"/>
          <w:szCs w:val="20"/>
          <w:u w:val="single"/>
        </w:rPr>
        <w:t>3</w:t>
      </w:r>
      <w:r w:rsidRPr="00EE7C41">
        <w:rPr>
          <w:rFonts w:cs="Arial"/>
          <w:b/>
          <w:sz w:val="20"/>
          <w:szCs w:val="20"/>
          <w:u w:val="single"/>
        </w:rPr>
        <w:t xml:space="preserve">: </w:t>
      </w:r>
      <w:r w:rsidRPr="00692BE3" w:rsidR="00692BE3">
        <w:rPr>
          <w:rFonts w:cs="Arial"/>
          <w:b/>
          <w:sz w:val="20"/>
          <w:szCs w:val="20"/>
          <w:u w:val="single"/>
        </w:rPr>
        <w:t>NICE’s conclusion that it should assume no treatment wastage between fenfluramine and cannabidiol is inconsistent with the available evidence and therefore unreasonable</w:t>
      </w:r>
    </w:p>
    <w:p w:rsidR="00F9038A" w:rsidP="00721451" w:rsidRDefault="00721451" w14:paraId="25210B4B" w14:textId="77777777">
      <w:pPr>
        <w:pStyle w:val="BodyText"/>
        <w:jc w:val="both"/>
        <w:rPr>
          <w:rFonts w:cs="Arial"/>
          <w:color w:val="auto"/>
        </w:rPr>
      </w:pPr>
      <w:r w:rsidRPr="009A59DD">
        <w:rPr>
          <w:rFonts w:cs="Arial"/>
          <w:color w:val="auto"/>
        </w:rPr>
        <w:t>I am not minded</w:t>
      </w:r>
      <w:r w:rsidRPr="00DD7697">
        <w:rPr>
          <w:rFonts w:cs="Arial"/>
          <w:color w:val="auto"/>
        </w:rPr>
        <w:t xml:space="preserve"> to refer this appeal point to the Appeal Panel.  </w:t>
      </w:r>
      <w:r>
        <w:rPr>
          <w:rFonts w:cs="Arial"/>
          <w:color w:val="auto"/>
        </w:rPr>
        <w:t xml:space="preserve"> </w:t>
      </w:r>
    </w:p>
    <w:p w:rsidR="00F9038A" w:rsidP="00721451" w:rsidRDefault="00F9038A" w14:paraId="42F86D74" w14:textId="67B6B4AF">
      <w:pPr>
        <w:pStyle w:val="BodyText"/>
        <w:jc w:val="both"/>
        <w:rPr>
          <w:rFonts w:cs="Arial"/>
          <w:color w:val="auto"/>
        </w:rPr>
      </w:pPr>
      <w:r>
        <w:rPr>
          <w:rFonts w:cs="Arial"/>
          <w:color w:val="auto"/>
        </w:rPr>
        <w:t xml:space="preserve">I understand UCB's argument to be that the Committee's conclusion that it should assume equivalent (zero) levels of wastage for fenfluramine and cannabidiol, was unreasonable because cannabidiol is oily and so residue remains in the bottle, and </w:t>
      </w:r>
      <w:r w:rsidR="00D34A68">
        <w:rPr>
          <w:rFonts w:cs="Arial"/>
          <w:color w:val="auto"/>
        </w:rPr>
        <w:t>because cann</w:t>
      </w:r>
      <w:r w:rsidR="009B558A">
        <w:rPr>
          <w:rFonts w:cs="Arial"/>
          <w:color w:val="auto"/>
        </w:rPr>
        <w:t>a</w:t>
      </w:r>
      <w:r w:rsidR="00D34A68">
        <w:rPr>
          <w:rFonts w:cs="Arial"/>
          <w:color w:val="auto"/>
        </w:rPr>
        <w:t>bidiol is provided in glass bottles which are more likely to break if dropped than the plastic containers used for fenfluramine.</w:t>
      </w:r>
    </w:p>
    <w:p w:rsidR="00D34A68" w:rsidP="00721451" w:rsidRDefault="00D34A68" w14:paraId="3FD4AFAD" w14:textId="210793D1">
      <w:pPr>
        <w:pStyle w:val="BodyText"/>
        <w:jc w:val="both"/>
        <w:rPr>
          <w:rFonts w:cs="Arial"/>
          <w:color w:val="auto"/>
        </w:rPr>
      </w:pPr>
      <w:r>
        <w:rPr>
          <w:rFonts w:cs="Arial"/>
          <w:color w:val="auto"/>
        </w:rPr>
        <w:t>This point is well discussed in paragraph 3.19 of the FDG, which explains the Committee's consideration of evidence received from UCB, the EAG, patient experts, and clinical experts.  In the light of the evidence discussed in that paragraph, I cannot see that the Committee's conclusion could arguably be said to be unreasonable, i.e. that it cannot reasonably be justified from the evidence presented to the committee, is obviously and unarguably wrong, illogical, or 'does not add up'.</w:t>
      </w:r>
    </w:p>
    <w:p w:rsidRPr="00DD7697" w:rsidR="007E4EDC" w:rsidP="00623213" w:rsidRDefault="007E4EDC" w14:paraId="4AE6A487" w14:textId="6BDD7B15">
      <w:pPr>
        <w:pStyle w:val="Paragraph"/>
        <w:numPr>
          <w:ilvl w:val="0"/>
          <w:numId w:val="0"/>
        </w:numPr>
        <w:jc w:val="both"/>
        <w:rPr>
          <w:rFonts w:cs="Arial"/>
          <w:sz w:val="20"/>
          <w:szCs w:val="20"/>
          <w:u w:val="single"/>
          <w:lang w:eastAsia="en-US"/>
        </w:rPr>
      </w:pPr>
      <w:r w:rsidRPr="00DD7697">
        <w:rPr>
          <w:rFonts w:cs="Arial"/>
          <w:sz w:val="20"/>
          <w:szCs w:val="20"/>
          <w:u w:val="single"/>
          <w:lang w:eastAsia="en-US"/>
        </w:rPr>
        <w:t xml:space="preserve">Conclusion </w:t>
      </w:r>
    </w:p>
    <w:p w:rsidRPr="00DD7697" w:rsidR="00C2049A" w:rsidP="00413F89" w:rsidRDefault="00AA2694" w14:paraId="0D42AE48" w14:textId="77777777">
      <w:pPr>
        <w:pStyle w:val="Paragraph"/>
        <w:numPr>
          <w:ilvl w:val="0"/>
          <w:numId w:val="0"/>
        </w:numPr>
        <w:spacing w:before="120"/>
        <w:jc w:val="both"/>
        <w:rPr>
          <w:rFonts w:cs="Arial"/>
          <w:sz w:val="20"/>
          <w:szCs w:val="20"/>
          <w:lang w:eastAsia="en-US"/>
        </w:rPr>
      </w:pPr>
      <w:r w:rsidRPr="00DD7697">
        <w:rPr>
          <w:rFonts w:cs="Arial"/>
          <w:sz w:val="20"/>
          <w:szCs w:val="20"/>
          <w:lang w:eastAsia="en-US"/>
        </w:rPr>
        <w:t>The above sets</w:t>
      </w:r>
      <w:r w:rsidRPr="00DD7697" w:rsidR="00C2049A">
        <w:rPr>
          <w:rFonts w:cs="Arial"/>
          <w:sz w:val="20"/>
          <w:szCs w:val="20"/>
          <w:lang w:eastAsia="en-US"/>
        </w:rPr>
        <w:t xml:space="preserve"> out above my initial views on all of your appeal points.</w:t>
      </w:r>
    </w:p>
    <w:p w:rsidRPr="00DD7697" w:rsidR="003B056B" w:rsidP="00413F89" w:rsidRDefault="003B056B" w14:paraId="5224AE76" w14:textId="42CD43CF">
      <w:pPr>
        <w:pStyle w:val="Paragraph"/>
        <w:numPr>
          <w:ilvl w:val="0"/>
          <w:numId w:val="0"/>
        </w:numPr>
        <w:spacing w:before="120"/>
        <w:jc w:val="both"/>
        <w:rPr>
          <w:rFonts w:cs="Arial"/>
          <w:sz w:val="20"/>
          <w:szCs w:val="20"/>
          <w:lang w:eastAsia="en-US"/>
        </w:rPr>
      </w:pPr>
      <w:r w:rsidRPr="00DD7697">
        <w:rPr>
          <w:rFonts w:cs="Arial"/>
          <w:sz w:val="20"/>
          <w:szCs w:val="20"/>
          <w:lang w:eastAsia="en-US"/>
        </w:rPr>
        <w:t xml:space="preserve">In respect of your points which I am not minded to refer on you are entitled to submit further clarification and/or evidence to me within the next 10 working days, and I will then give a final decision on the points </w:t>
      </w:r>
      <w:r w:rsidRPr="00CC2CDC">
        <w:rPr>
          <w:rFonts w:cs="Arial"/>
          <w:sz w:val="20"/>
          <w:szCs w:val="20"/>
          <w:lang w:eastAsia="en-US"/>
        </w:rPr>
        <w:t>t</w:t>
      </w:r>
      <w:r w:rsidRPr="00CC2CDC" w:rsidR="00726F5A">
        <w:rPr>
          <w:rFonts w:cs="Arial"/>
          <w:sz w:val="20"/>
          <w:szCs w:val="20"/>
          <w:lang w:eastAsia="en-US"/>
        </w:rPr>
        <w:t xml:space="preserve">o put before an appeal panel.  </w:t>
      </w:r>
      <w:r w:rsidRPr="00CC2CDC">
        <w:rPr>
          <w:rFonts w:cs="Arial"/>
          <w:sz w:val="20"/>
          <w:szCs w:val="20"/>
          <w:lang w:eastAsia="en-US"/>
        </w:rPr>
        <w:t>For the points I am already content to refer on, an oral appeal will be held which is likely to be held remotely</w:t>
      </w:r>
      <w:r w:rsidRPr="00CC2CDC" w:rsidR="00096EBF">
        <w:rPr>
          <w:rFonts w:cs="Arial"/>
          <w:sz w:val="20"/>
          <w:szCs w:val="20"/>
          <w:lang w:eastAsia="en-US"/>
        </w:rPr>
        <w:t>.</w:t>
      </w:r>
    </w:p>
    <w:p w:rsidRPr="00DD7697" w:rsidR="003B056B" w:rsidP="00413F89" w:rsidRDefault="003B056B" w14:paraId="6445C872" w14:textId="3A8BB86D">
      <w:pPr>
        <w:pStyle w:val="Paragraph"/>
        <w:numPr>
          <w:numId w:val="0"/>
        </w:numPr>
        <w:spacing w:before="120"/>
        <w:jc w:val="both"/>
        <w:rPr>
          <w:rFonts w:cs="Arial"/>
          <w:sz w:val="20"/>
          <w:szCs w:val="20"/>
        </w:rPr>
      </w:pPr>
      <w:r w:rsidRPr="22091FE8" w:rsidR="003B056B">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w:t>
      </w:r>
      <w:r w:rsidRPr="22091FE8" w:rsidR="003B056B">
        <w:rPr>
          <w:rFonts w:cs="Arial"/>
          <w:sz w:val="20"/>
          <w:szCs w:val="20"/>
          <w:lang w:eastAsia="en-US"/>
        </w:rPr>
        <w:t>contain</w:t>
      </w:r>
      <w:r w:rsidRPr="22091FE8" w:rsidR="003B056B">
        <w:rPr>
          <w:rFonts w:cs="Arial"/>
          <w:sz w:val="20"/>
          <w:szCs w:val="20"/>
          <w:lang w:eastAsia="en-US"/>
        </w:rPr>
        <w:t xml:space="preserve"> confidential </w:t>
      </w:r>
      <w:r w:rsidRPr="22091FE8" w:rsidR="003B056B">
        <w:rPr>
          <w:rFonts w:cs="Arial"/>
          <w:sz w:val="20"/>
          <w:szCs w:val="20"/>
          <w:lang w:eastAsia="en-US"/>
        </w:rPr>
        <w:t>information</w:t>
      </w:r>
      <w:r w:rsidRPr="22091FE8" w:rsidR="003B056B">
        <w:rPr>
          <w:rFonts w:cs="Arial"/>
          <w:sz w:val="20"/>
          <w:szCs w:val="20"/>
        </w:rPr>
        <w:t xml:space="preserve"> please ensure you have provided a version with this information redacted by </w:t>
      </w:r>
      <w:r w:rsidRPr="22091FE8" w:rsidR="4E840836">
        <w:rPr>
          <w:rFonts w:cs="Arial"/>
          <w:sz w:val="20"/>
          <w:szCs w:val="20"/>
        </w:rPr>
        <w:t>3 June 2024</w:t>
      </w:r>
      <w:r w:rsidRPr="22091FE8" w:rsidR="003B056B">
        <w:rPr>
          <w:rFonts w:cs="Arial"/>
          <w:sz w:val="20"/>
          <w:szCs w:val="20"/>
        </w:rPr>
        <w:t>.</w:t>
      </w:r>
    </w:p>
    <w:p w:rsidRPr="00DD7697" w:rsidR="00010318" w:rsidP="00413F89" w:rsidRDefault="00010318" w14:paraId="0ED764D7" w14:textId="3EBCF2A6">
      <w:pPr>
        <w:pStyle w:val="Paragraph"/>
        <w:numPr>
          <w:numId w:val="0"/>
        </w:numPr>
        <w:spacing w:before="120"/>
        <w:jc w:val="both"/>
        <w:rPr>
          <w:rFonts w:cs="Arial"/>
          <w:sz w:val="20"/>
          <w:szCs w:val="20"/>
        </w:rPr>
      </w:pPr>
      <w:r w:rsidRPr="22091FE8" w:rsidR="00010318">
        <w:rPr>
          <w:rFonts w:cs="Arial"/>
          <w:sz w:val="20"/>
          <w:szCs w:val="20"/>
        </w:rPr>
        <w:t xml:space="preserve">Ordinarily appeals are conducted </w:t>
      </w:r>
      <w:r w:rsidRPr="22091FE8" w:rsidR="00010318">
        <w:rPr>
          <w:rFonts w:cs="Arial"/>
          <w:sz w:val="20"/>
          <w:szCs w:val="20"/>
        </w:rPr>
        <w:t>on the basis of</w:t>
      </w:r>
      <w:r w:rsidRPr="22091FE8" w:rsidR="00010318">
        <w:rPr>
          <w:rFonts w:cs="Arial"/>
          <w:sz w:val="20"/>
          <w:szCs w:val="20"/>
        </w:rPr>
        <w:t xml:space="preserve"> the appellants’ written appeal letters, and the material generated during the appraisal process</w:t>
      </w:r>
      <w:r w:rsidRPr="22091FE8" w:rsidR="00010318">
        <w:rPr>
          <w:rFonts w:cs="Arial"/>
          <w:sz w:val="20"/>
          <w:szCs w:val="20"/>
        </w:rPr>
        <w:t xml:space="preserve">.  </w:t>
      </w:r>
      <w:r w:rsidRPr="22091FE8" w:rsidR="00010318">
        <w:rPr>
          <w:rFonts w:cs="Arial"/>
          <w:sz w:val="20"/>
          <w:szCs w:val="20"/>
        </w:rPr>
        <w:t xml:space="preserve">Use of </w:t>
      </w:r>
      <w:r w:rsidRPr="22091FE8" w:rsidR="00010318">
        <w:rPr>
          <w:rFonts w:cs="Arial"/>
          <w:sz w:val="20"/>
          <w:szCs w:val="20"/>
        </w:rPr>
        <w:t>additional</w:t>
      </w:r>
      <w:r w:rsidRPr="22091FE8" w:rsidR="00010318">
        <w:rPr>
          <w:rFonts w:cs="Arial"/>
          <w:sz w:val="20"/>
          <w:szCs w:val="20"/>
        </w:rPr>
        <w:t xml:space="preserve"> written material is discouraged, and the panel cannot receive any new evidence</w:t>
      </w:r>
      <w:r w:rsidRPr="22091FE8" w:rsidR="00010318">
        <w:rPr>
          <w:rFonts w:cs="Arial"/>
          <w:sz w:val="20"/>
          <w:szCs w:val="20"/>
        </w:rPr>
        <w:t xml:space="preserve">.  </w:t>
      </w:r>
      <w:r w:rsidRPr="22091FE8" w:rsidR="00010318">
        <w:rPr>
          <w:rFonts w:cs="Arial"/>
          <w:sz w:val="20"/>
          <w:szCs w:val="20"/>
        </w:rPr>
        <w:t xml:space="preserve">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Pr="22091FE8" w:rsidR="6F1A58B6">
        <w:rPr>
          <w:rFonts w:cs="Arial"/>
          <w:sz w:val="20"/>
          <w:szCs w:val="20"/>
        </w:rPr>
        <w:t>28 May 2024</w:t>
      </w:r>
      <w:r w:rsidRPr="22091FE8" w:rsidR="00010318">
        <w:rPr>
          <w:rFonts w:cs="Arial"/>
          <w:sz w:val="20"/>
          <w:szCs w:val="20"/>
        </w:rPr>
        <w:t>.  Please note that the appeal panel cannot accept papers that are tabled late or ad hoc, as this affects the preparation of the panel and other parties for the appeal.</w:t>
      </w:r>
    </w:p>
    <w:p w:rsidR="00C70019" w:rsidP="00413F89" w:rsidRDefault="00C70019" w14:paraId="6427A69D" w14:textId="21C02660">
      <w:pPr>
        <w:jc w:val="both"/>
        <w:rPr>
          <w:rFonts w:cs="Arial"/>
          <w:color w:val="auto"/>
        </w:rPr>
      </w:pPr>
      <w:r w:rsidRPr="3061D842" w:rsidR="00C70019">
        <w:rPr>
          <w:rFonts w:cs="Arial"/>
          <w:color w:val="auto"/>
        </w:rPr>
        <w:t>Yours sincerely</w:t>
      </w:r>
    </w:p>
    <w:p w:rsidR="196CECED" w:rsidP="3061D842" w:rsidRDefault="196CECED" w14:paraId="62EB8B3A" w14:textId="17B22F99">
      <w:pPr>
        <w:pStyle w:val="Normal"/>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3061D842" w:rsidR="5EC209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196CECED" w:rsidP="3061D842" w:rsidRDefault="196CECED" w14:paraId="1801E664" w14:textId="39DCCDE0">
      <w:pPr>
        <w:pStyle w:val="Normal"/>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br/>
      </w:r>
      <w:r w:rsidRPr="3061D842" w:rsidR="196CECED">
        <w:rPr>
          <w:rFonts w:ascii="Arial" w:hAnsi="Arial" w:eastAsia="Arial" w:cs="Arial"/>
          <w:b w:val="0"/>
          <w:bCs w:val="0"/>
          <w:i w:val="0"/>
          <w:iCs w:val="0"/>
          <w:caps w:val="0"/>
          <w:smallCaps w:val="0"/>
          <w:noProof w:val="0"/>
          <w:color w:val="000000" w:themeColor="text1" w:themeTint="FF" w:themeShade="FF"/>
          <w:sz w:val="20"/>
          <w:szCs w:val="20"/>
          <w:lang w:val="en-GB"/>
        </w:rPr>
        <w:t>Dr Mark Chakravarty</w:t>
      </w:r>
    </w:p>
    <w:p w:rsidR="196CECED" w:rsidP="22091FE8" w:rsidRDefault="196CECED" w14:paraId="303ECA65" w14:textId="2A804365">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2091FE8" w:rsidR="196CECED">
        <w:rPr>
          <w:rFonts w:ascii="Arial" w:hAnsi="Arial" w:eastAsia="Arial" w:cs="Arial"/>
          <w:b w:val="0"/>
          <w:bCs w:val="0"/>
          <w:i w:val="0"/>
          <w:iCs w:val="0"/>
          <w:caps w:val="0"/>
          <w:smallCaps w:val="0"/>
          <w:noProof w:val="0"/>
          <w:color w:val="000000" w:themeColor="text1" w:themeTint="FF" w:themeShade="FF"/>
          <w:sz w:val="20"/>
          <w:szCs w:val="20"/>
          <w:lang w:val="en-GB"/>
        </w:rPr>
        <w:t>Lead Non-Executive Director for Appeals &amp; Vice Chairman</w:t>
      </w:r>
    </w:p>
    <w:p w:rsidR="196CECED" w:rsidP="22091FE8" w:rsidRDefault="196CECED" w14:paraId="5B941DED" w14:textId="4B202129">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2091FE8" w:rsidR="196CECED">
        <w:rPr>
          <w:rFonts w:ascii="Arial" w:hAnsi="Arial" w:eastAsia="Arial" w:cs="Arial"/>
          <w:b w:val="0"/>
          <w:bCs w:val="0"/>
          <w:i w:val="0"/>
          <w:iCs w:val="0"/>
          <w:caps w:val="0"/>
          <w:smallCaps w:val="0"/>
          <w:noProof w:val="0"/>
          <w:color w:val="000000" w:themeColor="text1" w:themeTint="FF" w:themeShade="FF"/>
          <w:sz w:val="20"/>
          <w:szCs w:val="20"/>
          <w:lang w:val="en-GB"/>
        </w:rPr>
        <w:t>National Institute for Health and Care Excellence</w:t>
      </w:r>
    </w:p>
    <w:p w:rsidR="22091FE8" w:rsidP="22091FE8" w:rsidRDefault="22091FE8" w14:paraId="2AF70D2A" w14:textId="60B64B59">
      <w:pPr>
        <w:pStyle w:val="Normal"/>
        <w:jc w:val="both"/>
      </w:pPr>
    </w:p>
    <w:p w:rsidR="004A76D5" w:rsidP="00413F89" w:rsidRDefault="004A76D5" w14:paraId="72284BFF" w14:textId="22D2CF28">
      <w:pPr>
        <w:jc w:val="both"/>
        <w:rPr>
          <w:rFonts w:cs="Arial"/>
          <w:color w:val="auto"/>
        </w:rPr>
      </w:pPr>
    </w:p>
    <w:p w:rsidRPr="00DD7697" w:rsidR="002B21D4" w:rsidP="00413F89" w:rsidRDefault="002B21D4" w14:paraId="0C61E456" w14:textId="77777777">
      <w:pPr>
        <w:jc w:val="both"/>
        <w:rPr>
          <w:rFonts w:cs="Arial"/>
          <w:color w:val="auto"/>
        </w:rPr>
      </w:pPr>
    </w:p>
    <w:sectPr w:rsidRPr="00DD7697" w:rsidR="002B21D4" w:rsidSect="005D77C0">
      <w:headerReference w:type="even" r:id="rId10"/>
      <w:headerReference w:type="default" r:id="rId11"/>
      <w:footerReference w:type="even" r:id="rId12"/>
      <w:footerReference w:type="default" r:id="rId13"/>
      <w:headerReference w:type="first" r:id="rId14"/>
      <w:footerReference w:type="first" r:id="rId15"/>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7C0" w:rsidRDefault="005D77C0" w14:paraId="26373D8B" w14:textId="77777777">
      <w:r>
        <w:separator/>
      </w:r>
    </w:p>
  </w:endnote>
  <w:endnote w:type="continuationSeparator" w:id="0">
    <w:p w:rsidR="005D77C0" w:rsidRDefault="005D77C0" w14:paraId="3FA671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EC185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7C0" w:rsidRDefault="005D77C0" w14:paraId="48E412F3" w14:textId="77777777">
      <w:r>
        <w:separator/>
      </w:r>
    </w:p>
  </w:footnote>
  <w:footnote w:type="continuationSeparator" w:id="0">
    <w:p w:rsidR="005D77C0" w:rsidRDefault="005D77C0" w14:paraId="570C1F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6EA22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05918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82EC1"/>
    <w:multiLevelType w:val="hybridMultilevel"/>
    <w:tmpl w:val="9092D176"/>
    <w:lvl w:ilvl="0" w:tplc="3746C08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3"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7"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1"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79E33C55"/>
    <w:multiLevelType w:val="hybridMultilevel"/>
    <w:tmpl w:val="2228D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9"/>
  </w:num>
  <w:num w:numId="4" w16cid:durableId="791437817">
    <w:abstractNumId w:val="19"/>
  </w:num>
  <w:num w:numId="5" w16cid:durableId="589656231">
    <w:abstractNumId w:val="20"/>
  </w:num>
  <w:num w:numId="6" w16cid:durableId="1033071542">
    <w:abstractNumId w:val="0"/>
  </w:num>
  <w:num w:numId="7" w16cid:durableId="692002320">
    <w:abstractNumId w:val="19"/>
  </w:num>
  <w:num w:numId="8" w16cid:durableId="893390988">
    <w:abstractNumId w:val="19"/>
  </w:num>
  <w:num w:numId="9" w16cid:durableId="1036344506">
    <w:abstractNumId w:val="19"/>
  </w:num>
  <w:num w:numId="10" w16cid:durableId="1081758715">
    <w:abstractNumId w:val="14"/>
  </w:num>
  <w:num w:numId="11" w16cid:durableId="1324700156">
    <w:abstractNumId w:val="3"/>
  </w:num>
  <w:num w:numId="12" w16cid:durableId="297996532">
    <w:abstractNumId w:val="13"/>
  </w:num>
  <w:num w:numId="13" w16cid:durableId="1315715874">
    <w:abstractNumId w:val="15"/>
  </w:num>
  <w:num w:numId="14" w16cid:durableId="1234002226">
    <w:abstractNumId w:val="18"/>
  </w:num>
  <w:num w:numId="15" w16cid:durableId="682052213">
    <w:abstractNumId w:val="10"/>
  </w:num>
  <w:num w:numId="16" w16cid:durableId="1741825062">
    <w:abstractNumId w:val="17"/>
  </w:num>
  <w:num w:numId="17" w16cid:durableId="1644236023">
    <w:abstractNumId w:val="23"/>
  </w:num>
  <w:num w:numId="18" w16cid:durableId="530655038">
    <w:abstractNumId w:val="4"/>
  </w:num>
  <w:num w:numId="19" w16cid:durableId="2126733805">
    <w:abstractNumId w:val="21"/>
  </w:num>
  <w:num w:numId="20" w16cid:durableId="621762274">
    <w:abstractNumId w:val="12"/>
  </w:num>
  <w:num w:numId="21" w16cid:durableId="170607788">
    <w:abstractNumId w:val="6"/>
  </w:num>
  <w:num w:numId="22" w16cid:durableId="460727966">
    <w:abstractNumId w:val="25"/>
  </w:num>
  <w:num w:numId="23" w16cid:durableId="2105420001">
    <w:abstractNumId w:val="1"/>
  </w:num>
  <w:num w:numId="24" w16cid:durableId="2048407580">
    <w:abstractNumId w:val="16"/>
  </w:num>
  <w:num w:numId="25" w16cid:durableId="1798986414">
    <w:abstractNumId w:val="8"/>
  </w:num>
  <w:num w:numId="26" w16cid:durableId="1415205502">
    <w:abstractNumId w:val="22"/>
  </w:num>
  <w:num w:numId="27" w16cid:durableId="368603691">
    <w:abstractNumId w:val="7"/>
  </w:num>
  <w:num w:numId="28" w16cid:durableId="217009139">
    <w:abstractNumId w:val="19"/>
  </w:num>
  <w:num w:numId="29" w16cid:durableId="1991011021">
    <w:abstractNumId w:val="19"/>
  </w:num>
  <w:num w:numId="30" w16cid:durableId="840006877">
    <w:abstractNumId w:val="9"/>
  </w:num>
  <w:num w:numId="31" w16cid:durableId="324751170">
    <w:abstractNumId w:val="19"/>
  </w:num>
  <w:num w:numId="32" w16cid:durableId="1909340188">
    <w:abstractNumId w:val="19"/>
  </w:num>
  <w:num w:numId="33" w16cid:durableId="334496126">
    <w:abstractNumId w:val="26"/>
  </w:num>
  <w:num w:numId="34" w16cid:durableId="97677446">
    <w:abstractNumId w:val="24"/>
  </w:num>
  <w:num w:numId="35" w16cid:durableId="9261157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10318"/>
    <w:rsid w:val="000111DB"/>
    <w:rsid w:val="0001311E"/>
    <w:rsid w:val="0002043D"/>
    <w:rsid w:val="000218C9"/>
    <w:rsid w:val="000223BD"/>
    <w:rsid w:val="00024CEA"/>
    <w:rsid w:val="00024DA5"/>
    <w:rsid w:val="00025D77"/>
    <w:rsid w:val="000329FE"/>
    <w:rsid w:val="0004302C"/>
    <w:rsid w:val="00044D23"/>
    <w:rsid w:val="00047383"/>
    <w:rsid w:val="00052894"/>
    <w:rsid w:val="000532DA"/>
    <w:rsid w:val="00056CD2"/>
    <w:rsid w:val="0006785D"/>
    <w:rsid w:val="0007095A"/>
    <w:rsid w:val="000709E5"/>
    <w:rsid w:val="00075EC5"/>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C21"/>
    <w:rsid w:val="000B5760"/>
    <w:rsid w:val="000B73F9"/>
    <w:rsid w:val="000C5399"/>
    <w:rsid w:val="000D1E58"/>
    <w:rsid w:val="000D271C"/>
    <w:rsid w:val="000E020F"/>
    <w:rsid w:val="000E16D3"/>
    <w:rsid w:val="000E1D5A"/>
    <w:rsid w:val="000E40C4"/>
    <w:rsid w:val="000F014D"/>
    <w:rsid w:val="000F3523"/>
    <w:rsid w:val="000F3997"/>
    <w:rsid w:val="000F6BB5"/>
    <w:rsid w:val="00102F59"/>
    <w:rsid w:val="00106505"/>
    <w:rsid w:val="00107520"/>
    <w:rsid w:val="00111749"/>
    <w:rsid w:val="001123A2"/>
    <w:rsid w:val="00116523"/>
    <w:rsid w:val="00120071"/>
    <w:rsid w:val="00120FFA"/>
    <w:rsid w:val="001232BE"/>
    <w:rsid w:val="00123922"/>
    <w:rsid w:val="00123B83"/>
    <w:rsid w:val="00131602"/>
    <w:rsid w:val="001319CF"/>
    <w:rsid w:val="00132DDC"/>
    <w:rsid w:val="00136C94"/>
    <w:rsid w:val="00145246"/>
    <w:rsid w:val="001453E9"/>
    <w:rsid w:val="001465BD"/>
    <w:rsid w:val="0014692A"/>
    <w:rsid w:val="001470EF"/>
    <w:rsid w:val="00150421"/>
    <w:rsid w:val="00151269"/>
    <w:rsid w:val="0015200C"/>
    <w:rsid w:val="00155E80"/>
    <w:rsid w:val="00156C49"/>
    <w:rsid w:val="00160A2A"/>
    <w:rsid w:val="00163C9B"/>
    <w:rsid w:val="00170F86"/>
    <w:rsid w:val="001760DF"/>
    <w:rsid w:val="0017732F"/>
    <w:rsid w:val="00182BDA"/>
    <w:rsid w:val="00184EE2"/>
    <w:rsid w:val="00190698"/>
    <w:rsid w:val="00190763"/>
    <w:rsid w:val="001908C4"/>
    <w:rsid w:val="001945C8"/>
    <w:rsid w:val="00194EE4"/>
    <w:rsid w:val="001969C2"/>
    <w:rsid w:val="001A0143"/>
    <w:rsid w:val="001A18CA"/>
    <w:rsid w:val="001A6803"/>
    <w:rsid w:val="001B0102"/>
    <w:rsid w:val="001B23C6"/>
    <w:rsid w:val="001B71EA"/>
    <w:rsid w:val="001C655B"/>
    <w:rsid w:val="001D26C0"/>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259A7"/>
    <w:rsid w:val="00232FF4"/>
    <w:rsid w:val="0023747F"/>
    <w:rsid w:val="00237C6C"/>
    <w:rsid w:val="0024377B"/>
    <w:rsid w:val="0025046D"/>
    <w:rsid w:val="00254235"/>
    <w:rsid w:val="00254708"/>
    <w:rsid w:val="00255C8A"/>
    <w:rsid w:val="00256BF4"/>
    <w:rsid w:val="00262058"/>
    <w:rsid w:val="00271E0A"/>
    <w:rsid w:val="00274609"/>
    <w:rsid w:val="00275528"/>
    <w:rsid w:val="00283C5A"/>
    <w:rsid w:val="00283D6E"/>
    <w:rsid w:val="00284917"/>
    <w:rsid w:val="00284CBA"/>
    <w:rsid w:val="0028620E"/>
    <w:rsid w:val="00294EB1"/>
    <w:rsid w:val="002A254E"/>
    <w:rsid w:val="002A4E90"/>
    <w:rsid w:val="002B0782"/>
    <w:rsid w:val="002B21D4"/>
    <w:rsid w:val="002C14B2"/>
    <w:rsid w:val="002C3E42"/>
    <w:rsid w:val="002C4202"/>
    <w:rsid w:val="002C5356"/>
    <w:rsid w:val="002D2F52"/>
    <w:rsid w:val="002D412A"/>
    <w:rsid w:val="002D4715"/>
    <w:rsid w:val="002D501A"/>
    <w:rsid w:val="002E4D13"/>
    <w:rsid w:val="002E6A1E"/>
    <w:rsid w:val="002E7FE1"/>
    <w:rsid w:val="002F25FC"/>
    <w:rsid w:val="002F374D"/>
    <w:rsid w:val="002F6526"/>
    <w:rsid w:val="003027BC"/>
    <w:rsid w:val="00310279"/>
    <w:rsid w:val="00314589"/>
    <w:rsid w:val="00316D28"/>
    <w:rsid w:val="00317646"/>
    <w:rsid w:val="00321A60"/>
    <w:rsid w:val="00323185"/>
    <w:rsid w:val="00323C3E"/>
    <w:rsid w:val="00326AFE"/>
    <w:rsid w:val="00326E72"/>
    <w:rsid w:val="003308CE"/>
    <w:rsid w:val="00331FEF"/>
    <w:rsid w:val="00332149"/>
    <w:rsid w:val="0033299A"/>
    <w:rsid w:val="00332C05"/>
    <w:rsid w:val="0033740C"/>
    <w:rsid w:val="00343CE3"/>
    <w:rsid w:val="00345918"/>
    <w:rsid w:val="003478F6"/>
    <w:rsid w:val="00351496"/>
    <w:rsid w:val="003627D7"/>
    <w:rsid w:val="0036323C"/>
    <w:rsid w:val="00371C6B"/>
    <w:rsid w:val="00381E46"/>
    <w:rsid w:val="00382D01"/>
    <w:rsid w:val="00383DDC"/>
    <w:rsid w:val="0038454F"/>
    <w:rsid w:val="00393619"/>
    <w:rsid w:val="00395196"/>
    <w:rsid w:val="0039570A"/>
    <w:rsid w:val="00395F36"/>
    <w:rsid w:val="00396B85"/>
    <w:rsid w:val="003A116E"/>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48BA"/>
    <w:rsid w:val="00406D54"/>
    <w:rsid w:val="00413F89"/>
    <w:rsid w:val="00414D6F"/>
    <w:rsid w:val="00417F57"/>
    <w:rsid w:val="00424E76"/>
    <w:rsid w:val="004309B6"/>
    <w:rsid w:val="00431B23"/>
    <w:rsid w:val="00434670"/>
    <w:rsid w:val="00436264"/>
    <w:rsid w:val="00444494"/>
    <w:rsid w:val="004445BE"/>
    <w:rsid w:val="00453E92"/>
    <w:rsid w:val="0045574A"/>
    <w:rsid w:val="00456D3B"/>
    <w:rsid w:val="00465F46"/>
    <w:rsid w:val="00475F47"/>
    <w:rsid w:val="004768DE"/>
    <w:rsid w:val="00476A37"/>
    <w:rsid w:val="00481D88"/>
    <w:rsid w:val="0048280E"/>
    <w:rsid w:val="00491045"/>
    <w:rsid w:val="00491E3A"/>
    <w:rsid w:val="0049446F"/>
    <w:rsid w:val="0049578D"/>
    <w:rsid w:val="004A3806"/>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5E43"/>
    <w:rsid w:val="004F1061"/>
    <w:rsid w:val="004F34F3"/>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7A7F"/>
    <w:rsid w:val="005A0B8C"/>
    <w:rsid w:val="005B066D"/>
    <w:rsid w:val="005B0EA5"/>
    <w:rsid w:val="005B2FEC"/>
    <w:rsid w:val="005B7585"/>
    <w:rsid w:val="005B775D"/>
    <w:rsid w:val="005C4A8E"/>
    <w:rsid w:val="005C6CAB"/>
    <w:rsid w:val="005D2833"/>
    <w:rsid w:val="005D77C0"/>
    <w:rsid w:val="005E0186"/>
    <w:rsid w:val="005E20D0"/>
    <w:rsid w:val="005E339C"/>
    <w:rsid w:val="005E70E7"/>
    <w:rsid w:val="005E7923"/>
    <w:rsid w:val="005E7DAF"/>
    <w:rsid w:val="005F6045"/>
    <w:rsid w:val="005F75A8"/>
    <w:rsid w:val="005F7C6F"/>
    <w:rsid w:val="0060170A"/>
    <w:rsid w:val="0060349F"/>
    <w:rsid w:val="006053B6"/>
    <w:rsid w:val="00605766"/>
    <w:rsid w:val="00607C02"/>
    <w:rsid w:val="00620070"/>
    <w:rsid w:val="00621C42"/>
    <w:rsid w:val="00623213"/>
    <w:rsid w:val="006240DF"/>
    <w:rsid w:val="006273E6"/>
    <w:rsid w:val="00627B61"/>
    <w:rsid w:val="00627E80"/>
    <w:rsid w:val="0063072C"/>
    <w:rsid w:val="00630DFE"/>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2BE3"/>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1D27"/>
    <w:rsid w:val="006F417A"/>
    <w:rsid w:val="006F4507"/>
    <w:rsid w:val="006F57FC"/>
    <w:rsid w:val="006F64A0"/>
    <w:rsid w:val="007016D8"/>
    <w:rsid w:val="00704DBF"/>
    <w:rsid w:val="007050BA"/>
    <w:rsid w:val="00716C21"/>
    <w:rsid w:val="00717A94"/>
    <w:rsid w:val="00721451"/>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3715"/>
    <w:rsid w:val="007778CF"/>
    <w:rsid w:val="00777DAC"/>
    <w:rsid w:val="00780FBA"/>
    <w:rsid w:val="0078157F"/>
    <w:rsid w:val="007822FB"/>
    <w:rsid w:val="007833CB"/>
    <w:rsid w:val="00784CF9"/>
    <w:rsid w:val="007A0E5C"/>
    <w:rsid w:val="007A1D39"/>
    <w:rsid w:val="007A7F07"/>
    <w:rsid w:val="007B275D"/>
    <w:rsid w:val="007B303B"/>
    <w:rsid w:val="007B3B1C"/>
    <w:rsid w:val="007B5AA3"/>
    <w:rsid w:val="007B5FA1"/>
    <w:rsid w:val="007C0D4C"/>
    <w:rsid w:val="007C57A8"/>
    <w:rsid w:val="007D2528"/>
    <w:rsid w:val="007D53E2"/>
    <w:rsid w:val="007D7791"/>
    <w:rsid w:val="007D7C74"/>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8A7"/>
    <w:rsid w:val="00824892"/>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76D4"/>
    <w:rsid w:val="00861527"/>
    <w:rsid w:val="00862B47"/>
    <w:rsid w:val="00862C1A"/>
    <w:rsid w:val="008630DF"/>
    <w:rsid w:val="008651F9"/>
    <w:rsid w:val="008669F8"/>
    <w:rsid w:val="00870284"/>
    <w:rsid w:val="0087462B"/>
    <w:rsid w:val="008763B3"/>
    <w:rsid w:val="008765DE"/>
    <w:rsid w:val="008847CD"/>
    <w:rsid w:val="00891B24"/>
    <w:rsid w:val="008A302A"/>
    <w:rsid w:val="008A3EEE"/>
    <w:rsid w:val="008A51D9"/>
    <w:rsid w:val="008A708E"/>
    <w:rsid w:val="008A77E3"/>
    <w:rsid w:val="008B17F4"/>
    <w:rsid w:val="008B29A5"/>
    <w:rsid w:val="008B3C53"/>
    <w:rsid w:val="008B3D16"/>
    <w:rsid w:val="008C114C"/>
    <w:rsid w:val="008C27DA"/>
    <w:rsid w:val="008C522A"/>
    <w:rsid w:val="008C7B51"/>
    <w:rsid w:val="008D3115"/>
    <w:rsid w:val="008D6691"/>
    <w:rsid w:val="008D799D"/>
    <w:rsid w:val="008E07DC"/>
    <w:rsid w:val="008E0DF1"/>
    <w:rsid w:val="008E3142"/>
    <w:rsid w:val="008E5DA7"/>
    <w:rsid w:val="008E6AF9"/>
    <w:rsid w:val="008E722E"/>
    <w:rsid w:val="008F2130"/>
    <w:rsid w:val="008F4CCF"/>
    <w:rsid w:val="00900450"/>
    <w:rsid w:val="00903256"/>
    <w:rsid w:val="0090619B"/>
    <w:rsid w:val="00906CBF"/>
    <w:rsid w:val="00910B75"/>
    <w:rsid w:val="00910D48"/>
    <w:rsid w:val="009110D1"/>
    <w:rsid w:val="00913200"/>
    <w:rsid w:val="00915F8D"/>
    <w:rsid w:val="00917ADE"/>
    <w:rsid w:val="00917DBD"/>
    <w:rsid w:val="00917DF8"/>
    <w:rsid w:val="009230E2"/>
    <w:rsid w:val="00930029"/>
    <w:rsid w:val="00930425"/>
    <w:rsid w:val="0093112A"/>
    <w:rsid w:val="009324E9"/>
    <w:rsid w:val="00933199"/>
    <w:rsid w:val="00936354"/>
    <w:rsid w:val="009376A0"/>
    <w:rsid w:val="00940811"/>
    <w:rsid w:val="00942F13"/>
    <w:rsid w:val="0094600E"/>
    <w:rsid w:val="00951D67"/>
    <w:rsid w:val="00965082"/>
    <w:rsid w:val="00973C62"/>
    <w:rsid w:val="009742BF"/>
    <w:rsid w:val="00976F99"/>
    <w:rsid w:val="0098532A"/>
    <w:rsid w:val="00986A5A"/>
    <w:rsid w:val="00990C9A"/>
    <w:rsid w:val="00993784"/>
    <w:rsid w:val="00993EDE"/>
    <w:rsid w:val="009949CD"/>
    <w:rsid w:val="009955EE"/>
    <w:rsid w:val="00995ABD"/>
    <w:rsid w:val="00996EAC"/>
    <w:rsid w:val="009971A0"/>
    <w:rsid w:val="009A1A7D"/>
    <w:rsid w:val="009A23B7"/>
    <w:rsid w:val="009A59DD"/>
    <w:rsid w:val="009A7C87"/>
    <w:rsid w:val="009B2917"/>
    <w:rsid w:val="009B299F"/>
    <w:rsid w:val="009B558A"/>
    <w:rsid w:val="009C2A6F"/>
    <w:rsid w:val="009C40F0"/>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172DF"/>
    <w:rsid w:val="00A201EF"/>
    <w:rsid w:val="00A215F6"/>
    <w:rsid w:val="00A23060"/>
    <w:rsid w:val="00A236B3"/>
    <w:rsid w:val="00A25FCD"/>
    <w:rsid w:val="00A33E98"/>
    <w:rsid w:val="00A34D95"/>
    <w:rsid w:val="00A35519"/>
    <w:rsid w:val="00A361B2"/>
    <w:rsid w:val="00A40E7A"/>
    <w:rsid w:val="00A42AAB"/>
    <w:rsid w:val="00A43E73"/>
    <w:rsid w:val="00A44626"/>
    <w:rsid w:val="00A460E2"/>
    <w:rsid w:val="00A46840"/>
    <w:rsid w:val="00A47EFE"/>
    <w:rsid w:val="00A50D8E"/>
    <w:rsid w:val="00A52E7E"/>
    <w:rsid w:val="00A5794D"/>
    <w:rsid w:val="00A618B0"/>
    <w:rsid w:val="00A71685"/>
    <w:rsid w:val="00A74DFC"/>
    <w:rsid w:val="00A750E9"/>
    <w:rsid w:val="00A760B9"/>
    <w:rsid w:val="00A80603"/>
    <w:rsid w:val="00A830AF"/>
    <w:rsid w:val="00A87143"/>
    <w:rsid w:val="00A879C0"/>
    <w:rsid w:val="00A87CC1"/>
    <w:rsid w:val="00A95771"/>
    <w:rsid w:val="00A96044"/>
    <w:rsid w:val="00A9793D"/>
    <w:rsid w:val="00AA07E3"/>
    <w:rsid w:val="00AA0D42"/>
    <w:rsid w:val="00AA0FC2"/>
    <w:rsid w:val="00AA12CA"/>
    <w:rsid w:val="00AA2694"/>
    <w:rsid w:val="00AB16DA"/>
    <w:rsid w:val="00AB36CF"/>
    <w:rsid w:val="00AC2F97"/>
    <w:rsid w:val="00AC320B"/>
    <w:rsid w:val="00AC3CAE"/>
    <w:rsid w:val="00AC61E2"/>
    <w:rsid w:val="00AC67D3"/>
    <w:rsid w:val="00AC6A97"/>
    <w:rsid w:val="00AD1760"/>
    <w:rsid w:val="00AD210E"/>
    <w:rsid w:val="00AD7649"/>
    <w:rsid w:val="00AD7ADD"/>
    <w:rsid w:val="00AE090B"/>
    <w:rsid w:val="00AE0C2D"/>
    <w:rsid w:val="00AE3388"/>
    <w:rsid w:val="00AE51B1"/>
    <w:rsid w:val="00AF1A26"/>
    <w:rsid w:val="00AF26DD"/>
    <w:rsid w:val="00AF2C0F"/>
    <w:rsid w:val="00AF35E5"/>
    <w:rsid w:val="00AF4D25"/>
    <w:rsid w:val="00B01601"/>
    <w:rsid w:val="00B0180D"/>
    <w:rsid w:val="00B11119"/>
    <w:rsid w:val="00B15DE3"/>
    <w:rsid w:val="00B21729"/>
    <w:rsid w:val="00B2538A"/>
    <w:rsid w:val="00B32249"/>
    <w:rsid w:val="00B36320"/>
    <w:rsid w:val="00B37654"/>
    <w:rsid w:val="00B40DA1"/>
    <w:rsid w:val="00B46004"/>
    <w:rsid w:val="00B4629A"/>
    <w:rsid w:val="00B60AF4"/>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E2210"/>
    <w:rsid w:val="00BE323B"/>
    <w:rsid w:val="00BE3A86"/>
    <w:rsid w:val="00BE3D27"/>
    <w:rsid w:val="00BE3F08"/>
    <w:rsid w:val="00BF15F6"/>
    <w:rsid w:val="00BF4FF8"/>
    <w:rsid w:val="00BF5EBB"/>
    <w:rsid w:val="00BF6B5B"/>
    <w:rsid w:val="00BF6BA1"/>
    <w:rsid w:val="00C0024A"/>
    <w:rsid w:val="00C00668"/>
    <w:rsid w:val="00C020FA"/>
    <w:rsid w:val="00C03935"/>
    <w:rsid w:val="00C11255"/>
    <w:rsid w:val="00C2049A"/>
    <w:rsid w:val="00C204DE"/>
    <w:rsid w:val="00C214C1"/>
    <w:rsid w:val="00C26381"/>
    <w:rsid w:val="00C32256"/>
    <w:rsid w:val="00C34C6E"/>
    <w:rsid w:val="00C37918"/>
    <w:rsid w:val="00C46B59"/>
    <w:rsid w:val="00C47D95"/>
    <w:rsid w:val="00C5006F"/>
    <w:rsid w:val="00C511EF"/>
    <w:rsid w:val="00C53573"/>
    <w:rsid w:val="00C54ED3"/>
    <w:rsid w:val="00C60B7F"/>
    <w:rsid w:val="00C610C3"/>
    <w:rsid w:val="00C638BF"/>
    <w:rsid w:val="00C70019"/>
    <w:rsid w:val="00C74328"/>
    <w:rsid w:val="00C743C2"/>
    <w:rsid w:val="00C74693"/>
    <w:rsid w:val="00C74C78"/>
    <w:rsid w:val="00C821E5"/>
    <w:rsid w:val="00C9104F"/>
    <w:rsid w:val="00C92F2A"/>
    <w:rsid w:val="00C9408E"/>
    <w:rsid w:val="00C97697"/>
    <w:rsid w:val="00CA270F"/>
    <w:rsid w:val="00CA554E"/>
    <w:rsid w:val="00CB4BB7"/>
    <w:rsid w:val="00CB4C80"/>
    <w:rsid w:val="00CB7FD7"/>
    <w:rsid w:val="00CC2B62"/>
    <w:rsid w:val="00CC2CDC"/>
    <w:rsid w:val="00CC4BC2"/>
    <w:rsid w:val="00CC5A2C"/>
    <w:rsid w:val="00CD0242"/>
    <w:rsid w:val="00CD1D19"/>
    <w:rsid w:val="00CD2F35"/>
    <w:rsid w:val="00CD6C88"/>
    <w:rsid w:val="00CE450F"/>
    <w:rsid w:val="00CF1FD6"/>
    <w:rsid w:val="00CF2EA0"/>
    <w:rsid w:val="00CF2FAD"/>
    <w:rsid w:val="00CF4345"/>
    <w:rsid w:val="00CF6F1B"/>
    <w:rsid w:val="00D05C86"/>
    <w:rsid w:val="00D131CC"/>
    <w:rsid w:val="00D13C31"/>
    <w:rsid w:val="00D1448F"/>
    <w:rsid w:val="00D159BE"/>
    <w:rsid w:val="00D22D12"/>
    <w:rsid w:val="00D235CC"/>
    <w:rsid w:val="00D2633B"/>
    <w:rsid w:val="00D325D1"/>
    <w:rsid w:val="00D32D4E"/>
    <w:rsid w:val="00D336E0"/>
    <w:rsid w:val="00D34A68"/>
    <w:rsid w:val="00D50626"/>
    <w:rsid w:val="00D60DCA"/>
    <w:rsid w:val="00D622DA"/>
    <w:rsid w:val="00D70D75"/>
    <w:rsid w:val="00D7181B"/>
    <w:rsid w:val="00D72C12"/>
    <w:rsid w:val="00D751F7"/>
    <w:rsid w:val="00D759C6"/>
    <w:rsid w:val="00D800C5"/>
    <w:rsid w:val="00D81B09"/>
    <w:rsid w:val="00D83321"/>
    <w:rsid w:val="00D83A27"/>
    <w:rsid w:val="00D84024"/>
    <w:rsid w:val="00D95A0F"/>
    <w:rsid w:val="00DA35E1"/>
    <w:rsid w:val="00DA623F"/>
    <w:rsid w:val="00DC0168"/>
    <w:rsid w:val="00DC03BB"/>
    <w:rsid w:val="00DC3C9A"/>
    <w:rsid w:val="00DC669A"/>
    <w:rsid w:val="00DD5E1F"/>
    <w:rsid w:val="00DD73C1"/>
    <w:rsid w:val="00DD7697"/>
    <w:rsid w:val="00DE1FEB"/>
    <w:rsid w:val="00DE4223"/>
    <w:rsid w:val="00DE52A4"/>
    <w:rsid w:val="00DF654A"/>
    <w:rsid w:val="00DF782D"/>
    <w:rsid w:val="00DF79CC"/>
    <w:rsid w:val="00E03CA6"/>
    <w:rsid w:val="00E10345"/>
    <w:rsid w:val="00E10819"/>
    <w:rsid w:val="00E10C0E"/>
    <w:rsid w:val="00E11762"/>
    <w:rsid w:val="00E140BF"/>
    <w:rsid w:val="00E15CAE"/>
    <w:rsid w:val="00E16BC6"/>
    <w:rsid w:val="00E1774B"/>
    <w:rsid w:val="00E20DF8"/>
    <w:rsid w:val="00E27656"/>
    <w:rsid w:val="00E308B8"/>
    <w:rsid w:val="00E41203"/>
    <w:rsid w:val="00E4124D"/>
    <w:rsid w:val="00E41FEC"/>
    <w:rsid w:val="00E44353"/>
    <w:rsid w:val="00E452CE"/>
    <w:rsid w:val="00E45413"/>
    <w:rsid w:val="00E4660D"/>
    <w:rsid w:val="00E52A48"/>
    <w:rsid w:val="00E613A5"/>
    <w:rsid w:val="00E63295"/>
    <w:rsid w:val="00E64324"/>
    <w:rsid w:val="00E66927"/>
    <w:rsid w:val="00E671C3"/>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440"/>
    <w:rsid w:val="00EB4615"/>
    <w:rsid w:val="00EB7F04"/>
    <w:rsid w:val="00EC1824"/>
    <w:rsid w:val="00EC2D3C"/>
    <w:rsid w:val="00EC73B3"/>
    <w:rsid w:val="00ED0C09"/>
    <w:rsid w:val="00ED66BC"/>
    <w:rsid w:val="00EE03EE"/>
    <w:rsid w:val="00EE42AF"/>
    <w:rsid w:val="00EE5403"/>
    <w:rsid w:val="00EE5D52"/>
    <w:rsid w:val="00EE7C41"/>
    <w:rsid w:val="00EF043B"/>
    <w:rsid w:val="00EF237E"/>
    <w:rsid w:val="00EF23DF"/>
    <w:rsid w:val="00EF2575"/>
    <w:rsid w:val="00F0780D"/>
    <w:rsid w:val="00F16D65"/>
    <w:rsid w:val="00F17B83"/>
    <w:rsid w:val="00F20790"/>
    <w:rsid w:val="00F2351B"/>
    <w:rsid w:val="00F32B29"/>
    <w:rsid w:val="00F41597"/>
    <w:rsid w:val="00F4296D"/>
    <w:rsid w:val="00F46396"/>
    <w:rsid w:val="00F53B8A"/>
    <w:rsid w:val="00F53FDC"/>
    <w:rsid w:val="00F55118"/>
    <w:rsid w:val="00F551AD"/>
    <w:rsid w:val="00F56E8C"/>
    <w:rsid w:val="00F61308"/>
    <w:rsid w:val="00F61547"/>
    <w:rsid w:val="00F619F6"/>
    <w:rsid w:val="00F625A9"/>
    <w:rsid w:val="00F63DAC"/>
    <w:rsid w:val="00F63F0E"/>
    <w:rsid w:val="00F673F0"/>
    <w:rsid w:val="00F7163B"/>
    <w:rsid w:val="00F721F0"/>
    <w:rsid w:val="00F7476C"/>
    <w:rsid w:val="00F7495F"/>
    <w:rsid w:val="00F76D5B"/>
    <w:rsid w:val="00F83300"/>
    <w:rsid w:val="00F868B9"/>
    <w:rsid w:val="00F8796D"/>
    <w:rsid w:val="00F9038A"/>
    <w:rsid w:val="00F912B1"/>
    <w:rsid w:val="00F91942"/>
    <w:rsid w:val="00F93B0E"/>
    <w:rsid w:val="00F93BEE"/>
    <w:rsid w:val="00F948D4"/>
    <w:rsid w:val="00F94A49"/>
    <w:rsid w:val="00F97147"/>
    <w:rsid w:val="00F972BD"/>
    <w:rsid w:val="00FA0AF2"/>
    <w:rsid w:val="00FA6626"/>
    <w:rsid w:val="00FB033D"/>
    <w:rsid w:val="00FB0DAB"/>
    <w:rsid w:val="00FB2E35"/>
    <w:rsid w:val="00FB3AE9"/>
    <w:rsid w:val="00FB79C9"/>
    <w:rsid w:val="00FC0076"/>
    <w:rsid w:val="00FC1156"/>
    <w:rsid w:val="00FC342C"/>
    <w:rsid w:val="00FD13E3"/>
    <w:rsid w:val="00FD5516"/>
    <w:rsid w:val="00FD6D44"/>
    <w:rsid w:val="00FD72D9"/>
    <w:rsid w:val="00FD7366"/>
    <w:rsid w:val="00FE7C65"/>
    <w:rsid w:val="00FF2267"/>
    <w:rsid w:val="00FF4009"/>
    <w:rsid w:val="00FF49EB"/>
    <w:rsid w:val="0BAED649"/>
    <w:rsid w:val="0D0D70BB"/>
    <w:rsid w:val="1967868C"/>
    <w:rsid w:val="196CECED"/>
    <w:rsid w:val="22091FE8"/>
    <w:rsid w:val="25CE9538"/>
    <w:rsid w:val="3061D842"/>
    <w:rsid w:val="3FCFE081"/>
    <w:rsid w:val="4AC7D448"/>
    <w:rsid w:val="4E840836"/>
    <w:rsid w:val="5EC20953"/>
    <w:rsid w:val="6F1A58B6"/>
    <w:rsid w:val="7112F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92CCC-3B22-45E7-9012-FBC7E780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5AAE7-EB75-4480-A25D-5D745A859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D10C7E-A3BB-462C-9AAF-1B47D17FFE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Lyn Davies</lastModifiedBy>
  <revision>3</revision>
  <dcterms:created xsi:type="dcterms:W3CDTF">2024-05-10T08:47:00.0000000Z</dcterms:created>
  <dcterms:modified xsi:type="dcterms:W3CDTF">2024-08-27T10:21:46.7046694Z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2024-05-10T08:47:19Z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fe8a3621-0f5d-408f-bc64-f6e52fcb536b</vt:lpwstr>
  </property>
  <property fmtid="{D5CDD505-2E9C-101B-9397-08002B2CF9AE}" pid="9" name="MSIP_Label_c69d85d5-6d9e-4305-a294-1f636ec0f2d6_ContentBits">
    <vt:lpwstr>0</vt:lpwstr>
  </property>
</Properties>
</file>