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BD31" w14:textId="77777777"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9B7F4F1" w14:textId="46DEC6ED" w:rsidR="00443081" w:rsidRDefault="00CB7EF2" w:rsidP="00D71447">
      <w:pPr>
        <w:pStyle w:val="Title"/>
        <w:tabs>
          <w:tab w:val="center" w:pos="4513"/>
          <w:tab w:val="left" w:pos="7350"/>
        </w:tabs>
      </w:pPr>
      <w:r w:rsidRPr="004B7D50">
        <w:t xml:space="preserve">Maralixibat </w:t>
      </w:r>
      <w:r w:rsidR="00586B10" w:rsidRPr="00586B10">
        <w:t xml:space="preserve">for </w:t>
      </w:r>
      <w:r w:rsidR="002A32FE">
        <w:t xml:space="preserve">treating </w:t>
      </w:r>
      <w:r w:rsidRPr="004B7D50">
        <w:t xml:space="preserve">cholestatic </w:t>
      </w:r>
      <w:r>
        <w:t>pruritus</w:t>
      </w:r>
      <w:r w:rsidRPr="004B7D50">
        <w:t xml:space="preserve"> in Alagille Syndrome [ID3941]</w:t>
      </w:r>
    </w:p>
    <w:p w14:paraId="113C89DC" w14:textId="77777777" w:rsidR="0053717B" w:rsidRDefault="0053717B" w:rsidP="00F90BB8">
      <w:pPr>
        <w:rPr>
          <w:rFonts w:ascii="Arial" w:hAnsi="Arial" w:cs="Arial"/>
          <w:b/>
          <w:bCs/>
        </w:rPr>
      </w:pPr>
    </w:p>
    <w:p w14:paraId="4A1F4D9C" w14:textId="5B3C35B3" w:rsidR="007C3374" w:rsidRPr="007C3374" w:rsidRDefault="00995EEA" w:rsidP="007C3374">
      <w:pPr>
        <w:rPr>
          <w:rFonts w:ascii="Arial" w:eastAsia="Calibri" w:hAnsi="Arial" w:cs="Arial"/>
        </w:rPr>
      </w:pPr>
      <w:r w:rsidRPr="00E74106">
        <w:rPr>
          <w:rFonts w:ascii="Arial" w:hAnsi="Arial" w:cs="Arial"/>
          <w:b/>
          <w:bCs/>
        </w:rPr>
        <w:t>Introduction:</w:t>
      </w:r>
      <w:r w:rsidRPr="00E74106">
        <w:rPr>
          <w:rFonts w:ascii="Arial" w:hAnsi="Arial" w:cs="Arial"/>
        </w:rPr>
        <w:t xml:space="preserve"> </w:t>
      </w:r>
      <w:r w:rsidR="00D96736" w:rsidRPr="00E74106">
        <w:rPr>
          <w:rFonts w:ascii="Arial" w:hAnsi="Arial" w:cs="Arial"/>
        </w:rPr>
        <w:t>The NICE HST</w:t>
      </w:r>
      <w:r w:rsidR="00C209B6" w:rsidRPr="00E74106">
        <w:rPr>
          <w:rFonts w:ascii="Arial" w:hAnsi="Arial" w:cs="Arial"/>
        </w:rPr>
        <w:t xml:space="preserve"> criteria</w:t>
      </w:r>
      <w:r w:rsidR="00D96736"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00D96736"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00D96736" w:rsidRPr="00E74106">
        <w:rPr>
          <w:rFonts w:ascii="Arial" w:hAnsi="Arial" w:cs="Arial"/>
        </w:rPr>
        <w:t xml:space="preserve"> has been identified as suitable.</w:t>
      </w:r>
      <w:r w:rsidR="007C3374" w:rsidRPr="007C3374">
        <w:rPr>
          <w:rFonts w:eastAsia="Calibri"/>
        </w:rPr>
        <w:t xml:space="preserve"> </w:t>
      </w:r>
      <w:hyperlink r:id="rId7" w:history="1">
        <w:r w:rsidR="007C3374" w:rsidRPr="007C3374">
          <w:rPr>
            <w:rFonts w:ascii="Arial" w:eastAsia="Calibri" w:hAnsi="Arial" w:cs="Arial"/>
            <w:color w:val="0563C1"/>
            <w:u w:val="single"/>
          </w:rPr>
          <w:t>section 7 of NICE health technology evaluation topic selection: the manual</w:t>
        </w:r>
      </w:hyperlink>
    </w:p>
    <w:p w14:paraId="346297FA" w14:textId="51717752" w:rsidR="00857CBD" w:rsidRDefault="007C3374" w:rsidP="00F90BB8">
      <w:pPr>
        <w:rPr>
          <w:rFonts w:ascii="Arial" w:hAnsi="Arial" w:cs="Arial"/>
          <w:b/>
          <w:bCs/>
        </w:rPr>
      </w:pPr>
      <w:r w:rsidRPr="007C3374">
        <w:rPr>
          <w:rFonts w:ascii="Arial" w:eastAsia="Calibri" w:hAnsi="Arial" w:cs="Arial"/>
          <w:b/>
          <w:bCs/>
        </w:rPr>
        <w:t xml:space="preserve"> </w:t>
      </w:r>
      <w:r w:rsidR="00E74106">
        <w:rPr>
          <w:rFonts w:ascii="Arial" w:hAnsi="Arial" w:cs="Arial"/>
          <w:b/>
          <w:bCs/>
        </w:rPr>
        <w:t xml:space="preserve"> </w:t>
      </w:r>
    </w:p>
    <w:p w14:paraId="0DB63D97" w14:textId="77777777" w:rsidR="00C9475C" w:rsidRDefault="00C9475C" w:rsidP="00F90BB8">
      <w:pPr>
        <w:rPr>
          <w:rFonts w:ascii="Arial" w:hAnsi="Arial" w:cs="Arial"/>
          <w:b/>
          <w:bCs/>
        </w:rPr>
      </w:pPr>
    </w:p>
    <w:p w14:paraId="23657DA2" w14:textId="77777777" w:rsidR="00E74106" w:rsidRPr="00715265" w:rsidRDefault="00715265" w:rsidP="00CA055B">
      <w:pPr>
        <w:pStyle w:val="Heading3"/>
      </w:pPr>
      <w:r>
        <w:t xml:space="preserve">Key – does the technology meet the criteria? 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27535713" w14:textId="77777777" w:rsidTr="00D71447">
        <w:trPr>
          <w:trHeight w:val="280"/>
        </w:trPr>
        <w:tc>
          <w:tcPr>
            <w:tcW w:w="975" w:type="dxa"/>
            <w:shd w:val="clear" w:color="auto" w:fill="92D050"/>
          </w:tcPr>
          <w:p w14:paraId="0791770A"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72905D2C" w14:textId="77777777"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this criterion</w:t>
            </w:r>
            <w:r>
              <w:rPr>
                <w:rFonts w:ascii="Arial" w:eastAsia="Times New Roman" w:hAnsi="Arial"/>
                <w:lang w:eastAsia="en-GB"/>
              </w:rPr>
              <w:t xml:space="preserve"> is met</w:t>
            </w:r>
          </w:p>
        </w:tc>
      </w:tr>
      <w:tr w:rsidR="00E74106" w:rsidRPr="006D6093" w14:paraId="17ED3116" w14:textId="77777777" w:rsidTr="00D71447">
        <w:trPr>
          <w:trHeight w:val="343"/>
        </w:trPr>
        <w:tc>
          <w:tcPr>
            <w:tcW w:w="975" w:type="dxa"/>
            <w:shd w:val="clear" w:color="auto" w:fill="FF0000"/>
          </w:tcPr>
          <w:p w14:paraId="06AF6413"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119EE613" w14:textId="77777777" w:rsidR="00E74106" w:rsidRPr="00E74106" w:rsidRDefault="00D71447" w:rsidP="00742AF3">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0180C5BB" w14:textId="77777777" w:rsidR="00E74106" w:rsidRDefault="00E74106" w:rsidP="00E74106">
      <w:pPr>
        <w:rPr>
          <w:rFonts w:ascii="Arial" w:hAnsi="Arial" w:cs="Arial"/>
          <w:b/>
          <w:bCs/>
        </w:rPr>
      </w:pPr>
    </w:p>
    <w:p w14:paraId="442E34E8" w14:textId="77777777" w:rsidR="00E74106" w:rsidRPr="00C9475C" w:rsidRDefault="00E74106" w:rsidP="00F90BB8">
      <w:pPr>
        <w:rPr>
          <w:rFonts w:ascii="Arial" w:hAnsi="Arial" w:cs="Arial"/>
          <w:b/>
          <w:bCs/>
        </w:rPr>
      </w:pPr>
    </w:p>
    <w:p w14:paraId="3BB074EF" w14:textId="5C9C4C09" w:rsidR="00C9475C" w:rsidRDefault="00CB7EF2" w:rsidP="00CA055B">
      <w:pPr>
        <w:pStyle w:val="Heading3"/>
      </w:pPr>
      <w:r>
        <w:t xml:space="preserve">Confirmed </w:t>
      </w:r>
      <w:r w:rsidR="00C9475C" w:rsidRPr="00C9475C">
        <w:t>MA wording</w:t>
      </w:r>
      <w:r w:rsidR="00C9475C" w:rsidRPr="002A32FE">
        <w:t xml:space="preserve">: </w:t>
      </w:r>
      <w:r w:rsidR="00586B10" w:rsidRPr="002A32FE">
        <w:t xml:space="preserve">Treatment of </w:t>
      </w:r>
      <w:r>
        <w:t>cholestatic</w:t>
      </w:r>
      <w:r w:rsidR="00586B10" w:rsidRPr="002A32FE">
        <w:t xml:space="preserve"> pruritus in </w:t>
      </w:r>
      <w:r>
        <w:t xml:space="preserve">patients with </w:t>
      </w:r>
      <w:r w:rsidR="00586B10" w:rsidRPr="002A32FE">
        <w:t xml:space="preserve">Alagille syndrome </w:t>
      </w:r>
      <w:r>
        <w:rPr>
          <w:rFonts w:cs="Arial"/>
        </w:rPr>
        <w:t xml:space="preserve">2 months of </w:t>
      </w:r>
      <w:r w:rsidRPr="009B1CDF">
        <w:rPr>
          <w:rFonts w:cs="Arial"/>
        </w:rPr>
        <w:t>age and older</w:t>
      </w:r>
    </w:p>
    <w:p w14:paraId="7B82D328" w14:textId="77777777"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14B78985" w14:textId="77777777" w:rsidTr="00E74106">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EB99AB" w14:textId="77777777" w:rsidR="000D3405" w:rsidRPr="00C9475C" w:rsidRDefault="000D3405" w:rsidP="00E74106">
            <w:pPr>
              <w:ind w:firstLine="128"/>
              <w:rPr>
                <w:rFonts w:ascii="Arial" w:hAnsi="Arial" w:cs="Arial"/>
                <w:b/>
                <w:bCs/>
              </w:rPr>
            </w:pPr>
            <w:r>
              <w:rPr>
                <w:rFonts w:ascii="Arial" w:hAnsi="Arial" w:cs="Arial"/>
                <w:b/>
                <w:bCs/>
              </w:rPr>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D7323F1" w14:textId="77777777" w:rsidR="000D3405" w:rsidRDefault="000D3405" w:rsidP="00E74106">
            <w:pPr>
              <w:ind w:firstLine="175"/>
              <w:rPr>
                <w:rFonts w:ascii="Arial" w:hAnsi="Arial" w:cs="Arial"/>
                <w:b/>
                <w:bCs/>
              </w:rPr>
            </w:pPr>
            <w:r w:rsidRPr="00C9475C">
              <w:rPr>
                <w:rFonts w:ascii="Arial" w:hAnsi="Arial" w:cs="Arial"/>
                <w:b/>
                <w:bCs/>
              </w:rPr>
              <w:t>Criterion</w:t>
            </w:r>
          </w:p>
          <w:p w14:paraId="0536A0D5" w14:textId="77777777" w:rsidR="000D3405" w:rsidRPr="00C9475C" w:rsidRDefault="000D3405" w:rsidP="00742AF3">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C4BB69"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65566F2D" w14:textId="77777777"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F40EDA" w14:textId="77777777" w:rsidR="00E74106" w:rsidRDefault="00D71447" w:rsidP="00D71447">
            <w:pPr>
              <w:ind w:left="288" w:right="188"/>
              <w:rPr>
                <w:rFonts w:ascii="Arial" w:hAnsi="Arial" w:cs="Arial"/>
                <w:b/>
                <w:bCs/>
              </w:rPr>
            </w:pPr>
            <w:r>
              <w:rPr>
                <w:rFonts w:ascii="Arial" w:hAnsi="Arial" w:cs="Arial"/>
                <w:b/>
                <w:bCs/>
              </w:rPr>
              <w:t>Does the technology meet the criteria?</w:t>
            </w:r>
          </w:p>
          <w:p w14:paraId="10EAA48E" w14:textId="77777777" w:rsidR="000D3405" w:rsidRPr="00D71447" w:rsidRDefault="000D3405" w:rsidP="00D71447">
            <w:pPr>
              <w:ind w:right="188"/>
              <w:rPr>
                <w:rFonts w:ascii="Arial" w:hAnsi="Arial" w:cs="Arial"/>
              </w:rPr>
            </w:pPr>
          </w:p>
        </w:tc>
      </w:tr>
      <w:tr w:rsidR="00C7642E" w:rsidRPr="00C9475C" w14:paraId="5F2768B7" w14:textId="77777777" w:rsidTr="00513BE4">
        <w:tc>
          <w:tcPr>
            <w:tcW w:w="403" w:type="pct"/>
            <w:tcBorders>
              <w:top w:val="nil"/>
              <w:left w:val="single" w:sz="8" w:space="0" w:color="auto"/>
              <w:bottom w:val="single" w:sz="8" w:space="0" w:color="auto"/>
              <w:right w:val="single" w:sz="8" w:space="0" w:color="auto"/>
            </w:tcBorders>
          </w:tcPr>
          <w:p w14:paraId="6023740E" w14:textId="77777777" w:rsidR="00C7642E" w:rsidRPr="00D71447" w:rsidRDefault="00C7642E" w:rsidP="00C7642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81487" w14:textId="77777777" w:rsidR="00C7642E" w:rsidRPr="00D71447" w:rsidRDefault="00C7642E" w:rsidP="00C7642E">
            <w:pPr>
              <w:rPr>
                <w:rFonts w:ascii="Arial" w:hAnsi="Arial" w:cs="Arial"/>
              </w:rPr>
            </w:pPr>
            <w:r w:rsidRPr="00D71447">
              <w:rPr>
                <w:rFonts w:ascii="Arial" w:hAnsi="Arial" w:cs="Arial"/>
              </w:rPr>
              <w:t xml:space="preserve">The condition is very rare defined by 1:50,000 in England </w:t>
            </w:r>
          </w:p>
          <w:p w14:paraId="5BA857E8" w14:textId="77777777" w:rsidR="00C7642E" w:rsidRPr="00D71447" w:rsidRDefault="00C7642E" w:rsidP="00C7642E">
            <w:pPr>
              <w:rPr>
                <w:rFonts w:ascii="Arial" w:hAnsi="Arial" w:cs="Arial"/>
              </w:rPr>
            </w:pPr>
          </w:p>
          <w:p w14:paraId="64414974" w14:textId="77777777" w:rsidR="00C7642E" w:rsidRPr="00D71447" w:rsidRDefault="00C7642E" w:rsidP="00C7642E">
            <w:pPr>
              <w:rPr>
                <w:rFonts w:ascii="Arial" w:hAnsi="Arial" w:cs="Arial"/>
              </w:rPr>
            </w:pPr>
          </w:p>
        </w:tc>
        <w:tc>
          <w:tcPr>
            <w:tcW w:w="2689" w:type="pct"/>
            <w:tcBorders>
              <w:top w:val="nil"/>
              <w:left w:val="single" w:sz="8" w:space="0" w:color="auto"/>
              <w:bottom w:val="single" w:sz="8" w:space="0" w:color="auto"/>
              <w:right w:val="single" w:sz="8" w:space="0" w:color="auto"/>
            </w:tcBorders>
          </w:tcPr>
          <w:p w14:paraId="0537F605" w14:textId="77777777" w:rsidR="00C7642E" w:rsidRPr="00D808A5" w:rsidRDefault="00C7642E" w:rsidP="00C7642E">
            <w:pPr>
              <w:pStyle w:val="BodyText"/>
              <w:rPr>
                <w:rFonts w:cs="Arial"/>
                <w:b/>
                <w:bCs/>
                <w:sz w:val="22"/>
                <w:szCs w:val="22"/>
                <w:lang w:val="en-US"/>
              </w:rPr>
            </w:pPr>
            <w:r>
              <w:rPr>
                <w:rFonts w:cs="Arial"/>
                <w:b/>
                <w:bCs/>
                <w:sz w:val="22"/>
                <w:szCs w:val="22"/>
                <w:lang w:val="en-US"/>
              </w:rPr>
              <w:t>Incidence of live birth/birth prevalence estimate</w:t>
            </w:r>
            <w:r w:rsidRPr="00D808A5">
              <w:rPr>
                <w:rFonts w:cs="Arial"/>
                <w:b/>
                <w:bCs/>
                <w:sz w:val="22"/>
                <w:szCs w:val="22"/>
                <w:lang w:val="en-US"/>
              </w:rPr>
              <w:t xml:space="preserve">: </w:t>
            </w:r>
          </w:p>
          <w:p w14:paraId="4EE5C4C7" w14:textId="3C4F28B9" w:rsidR="00C7642E" w:rsidRPr="008C25FC" w:rsidRDefault="00C7642E" w:rsidP="00C7642E">
            <w:pPr>
              <w:pStyle w:val="BodyText"/>
              <w:rPr>
                <w:rFonts w:cs="Arial"/>
                <w:sz w:val="22"/>
                <w:szCs w:val="22"/>
                <w:lang w:val="en-US"/>
              </w:rPr>
            </w:pPr>
            <w:r>
              <w:rPr>
                <w:rFonts w:cs="Arial"/>
                <w:sz w:val="22"/>
                <w:szCs w:val="22"/>
                <w:lang w:val="en-US"/>
              </w:rPr>
              <w:t xml:space="preserve">The underlying condition of this topic is Alagille syndrome. It is mostly caused by mutations in </w:t>
            </w:r>
            <w:r w:rsidRPr="008C25FC">
              <w:rPr>
                <w:rFonts w:cs="Arial"/>
                <w:i/>
                <w:iCs/>
                <w:sz w:val="22"/>
                <w:szCs w:val="22"/>
                <w:lang w:val="en-US"/>
              </w:rPr>
              <w:t>JAG1</w:t>
            </w:r>
            <w:r>
              <w:rPr>
                <w:rFonts w:cs="Arial"/>
                <w:sz w:val="22"/>
                <w:szCs w:val="22"/>
                <w:lang w:val="en-US"/>
              </w:rPr>
              <w:t xml:space="preserve"> gene, and in a minority by mutations in </w:t>
            </w:r>
            <w:r w:rsidRPr="008C25FC">
              <w:rPr>
                <w:rFonts w:cs="Arial"/>
                <w:i/>
                <w:iCs/>
                <w:sz w:val="22"/>
                <w:szCs w:val="22"/>
                <w:lang w:val="en-US"/>
              </w:rPr>
              <w:t>NOTCH2</w:t>
            </w:r>
            <w:r>
              <w:rPr>
                <w:rFonts w:cs="Arial"/>
                <w:sz w:val="22"/>
                <w:szCs w:val="22"/>
                <w:lang w:val="en-US"/>
              </w:rPr>
              <w:t xml:space="preserve"> gene</w:t>
            </w:r>
            <w:r>
              <w:rPr>
                <w:rFonts w:cs="Arial"/>
                <w:sz w:val="22"/>
                <w:szCs w:val="22"/>
                <w:vertAlign w:val="superscript"/>
                <w:lang w:val="en-US"/>
              </w:rPr>
              <w:t>1</w:t>
            </w:r>
            <w:r>
              <w:rPr>
                <w:rFonts w:cs="Arial"/>
                <w:sz w:val="22"/>
                <w:szCs w:val="22"/>
                <w:lang w:val="en-US"/>
              </w:rPr>
              <w:t xml:space="preserve">. </w:t>
            </w:r>
            <w:r w:rsidRPr="008C25FC">
              <w:rPr>
                <w:rFonts w:cs="Arial"/>
                <w:sz w:val="22"/>
                <w:szCs w:val="22"/>
                <w:lang w:val="en-US"/>
              </w:rPr>
              <w:t>It is a rare disease, and its diagnostic criteria have evolved over the years with the understanding of the condition increasing</w:t>
            </w:r>
            <w:r>
              <w:rPr>
                <w:rFonts w:cs="Arial"/>
                <w:sz w:val="22"/>
                <w:szCs w:val="22"/>
                <w:lang w:val="en-US"/>
              </w:rPr>
              <w:t xml:space="preserve"> and advances of genetic testing</w:t>
            </w:r>
            <w:r w:rsidRPr="008C25FC">
              <w:rPr>
                <w:rFonts w:cs="Arial"/>
                <w:sz w:val="22"/>
                <w:szCs w:val="22"/>
                <w:lang w:val="en-US"/>
              </w:rPr>
              <w:t xml:space="preserve">. </w:t>
            </w:r>
          </w:p>
          <w:p w14:paraId="5FBAF184" w14:textId="77777777" w:rsidR="00C7642E" w:rsidRPr="00515705" w:rsidRDefault="00C7642E" w:rsidP="00C7642E">
            <w:pPr>
              <w:pStyle w:val="BodyText"/>
              <w:rPr>
                <w:rFonts w:cs="Arial"/>
                <w:sz w:val="22"/>
                <w:szCs w:val="22"/>
                <w:u w:val="single"/>
                <w:lang w:val="en-US"/>
              </w:rPr>
            </w:pPr>
            <w:r w:rsidRPr="00515705">
              <w:rPr>
                <w:rFonts w:cs="Arial"/>
                <w:sz w:val="22"/>
                <w:szCs w:val="22"/>
                <w:u w:val="single"/>
                <w:lang w:val="en-US"/>
              </w:rPr>
              <w:t>Early incidence estimate:</w:t>
            </w:r>
          </w:p>
          <w:p w14:paraId="21D02C06" w14:textId="77777777" w:rsidR="00C7642E" w:rsidRDefault="00C7642E" w:rsidP="00C7642E">
            <w:pPr>
              <w:pStyle w:val="BodyText"/>
              <w:numPr>
                <w:ilvl w:val="0"/>
                <w:numId w:val="38"/>
              </w:numPr>
              <w:rPr>
                <w:rFonts w:cs="Arial"/>
                <w:sz w:val="22"/>
                <w:szCs w:val="22"/>
                <w:lang w:val="en-US"/>
              </w:rPr>
            </w:pPr>
            <w:r w:rsidRPr="002B4C3D">
              <w:rPr>
                <w:rFonts w:cs="Arial"/>
                <w:sz w:val="22"/>
                <w:szCs w:val="22"/>
                <w:lang w:val="en-US"/>
              </w:rPr>
              <w:lastRenderedPageBreak/>
              <w:t xml:space="preserve">When the condition was first </w:t>
            </w:r>
            <w:proofErr w:type="spellStart"/>
            <w:r w:rsidRPr="002B4C3D">
              <w:rPr>
                <w:rFonts w:cs="Arial"/>
                <w:sz w:val="22"/>
                <w:szCs w:val="22"/>
                <w:lang w:val="en-US"/>
              </w:rPr>
              <w:t>recognised</w:t>
            </w:r>
            <w:proofErr w:type="spellEnd"/>
            <w:r w:rsidRPr="002B4C3D">
              <w:rPr>
                <w:rFonts w:cs="Arial"/>
                <w:sz w:val="22"/>
                <w:szCs w:val="22"/>
                <w:lang w:val="en-US"/>
              </w:rPr>
              <w:t xml:space="preserve"> </w:t>
            </w:r>
            <w:r w:rsidRPr="00515705">
              <w:rPr>
                <w:rFonts w:cs="Arial"/>
                <w:sz w:val="22"/>
                <w:szCs w:val="22"/>
                <w:lang w:val="en-US"/>
              </w:rPr>
              <w:t>in the 1970s</w:t>
            </w:r>
            <w:r w:rsidRPr="002B4C3D">
              <w:rPr>
                <w:rFonts w:cs="Arial"/>
                <w:sz w:val="22"/>
                <w:szCs w:val="22"/>
                <w:lang w:val="en-US"/>
              </w:rPr>
              <w:t>, it was defined as bile duct paucity associated with at least 3 of 5 major criteria (cholestasis, heart disease, vertebral anomalies, eye problems) and treated as a liver condition</w:t>
            </w:r>
            <w:r>
              <w:rPr>
                <w:rFonts w:cs="Arial"/>
                <w:sz w:val="22"/>
                <w:szCs w:val="22"/>
                <w:vertAlign w:val="superscript"/>
                <w:lang w:val="en-US"/>
              </w:rPr>
              <w:t>1</w:t>
            </w:r>
            <w:r w:rsidRPr="002B4C3D">
              <w:rPr>
                <w:rFonts w:cs="Arial"/>
                <w:sz w:val="22"/>
                <w:szCs w:val="22"/>
                <w:lang w:val="en-US"/>
              </w:rPr>
              <w:t>.</w:t>
            </w:r>
            <w:r>
              <w:rPr>
                <w:rFonts w:cs="Arial"/>
                <w:sz w:val="22"/>
                <w:szCs w:val="22"/>
                <w:lang w:val="en-US"/>
              </w:rPr>
              <w:t xml:space="preserve"> An early population screening study of the incidence at birth (birth prevalence) estimated that Alagille syndrome occurred in 1 in 70,000 live </w:t>
            </w:r>
            <w:r w:rsidRPr="00A71BFC">
              <w:rPr>
                <w:rFonts w:cs="Arial"/>
                <w:sz w:val="22"/>
                <w:szCs w:val="22"/>
                <w:lang w:val="en-US"/>
              </w:rPr>
              <w:t>births</w:t>
            </w:r>
            <w:r w:rsidRPr="008C25FC">
              <w:rPr>
                <w:rFonts w:cs="Arial"/>
                <w:sz w:val="22"/>
                <w:szCs w:val="22"/>
                <w:vertAlign w:val="superscript"/>
                <w:lang w:val="en-US"/>
              </w:rPr>
              <w:t>2</w:t>
            </w:r>
            <w:r w:rsidRPr="00A71BFC">
              <w:rPr>
                <w:rFonts w:cs="Arial"/>
                <w:sz w:val="22"/>
                <w:szCs w:val="22"/>
                <w:lang w:val="en-US"/>
              </w:rPr>
              <w:t>.</w:t>
            </w:r>
            <w:r>
              <w:rPr>
                <w:rFonts w:cs="Arial"/>
                <w:sz w:val="22"/>
                <w:szCs w:val="22"/>
                <w:lang w:val="en-US"/>
              </w:rPr>
              <w:t xml:space="preserve"> </w:t>
            </w:r>
          </w:p>
          <w:p w14:paraId="4A359834" w14:textId="77777777" w:rsidR="00C7642E" w:rsidRDefault="00C7642E" w:rsidP="00C7642E">
            <w:pPr>
              <w:pStyle w:val="BodyText"/>
              <w:numPr>
                <w:ilvl w:val="0"/>
                <w:numId w:val="38"/>
              </w:numPr>
              <w:rPr>
                <w:rFonts w:cs="Arial"/>
                <w:sz w:val="22"/>
                <w:szCs w:val="22"/>
                <w:lang w:val="en-US"/>
              </w:rPr>
            </w:pPr>
            <w:r>
              <w:rPr>
                <w:rFonts w:cs="Arial"/>
                <w:sz w:val="22"/>
                <w:szCs w:val="22"/>
                <w:lang w:val="en-US"/>
              </w:rPr>
              <w:t xml:space="preserve">For this early estimate, </w:t>
            </w:r>
            <w:r w:rsidRPr="00C36824">
              <w:rPr>
                <w:rFonts w:cs="Arial"/>
                <w:sz w:val="22"/>
                <w:szCs w:val="22"/>
                <w:lang w:val="en-US"/>
              </w:rPr>
              <w:t>diagnos</w:t>
            </w:r>
            <w:r>
              <w:rPr>
                <w:rFonts w:cs="Arial"/>
                <w:sz w:val="22"/>
                <w:szCs w:val="22"/>
                <w:lang w:val="en-US"/>
              </w:rPr>
              <w:t>is was</w:t>
            </w:r>
            <w:r w:rsidRPr="00C36824">
              <w:rPr>
                <w:rFonts w:cs="Arial"/>
                <w:sz w:val="22"/>
                <w:szCs w:val="22"/>
                <w:lang w:val="en-US"/>
              </w:rPr>
              <w:t xml:space="preserve"> mainly based on </w:t>
            </w:r>
            <w:r>
              <w:rPr>
                <w:rFonts w:cs="Arial"/>
                <w:sz w:val="22"/>
                <w:szCs w:val="22"/>
                <w:lang w:val="en-US"/>
              </w:rPr>
              <w:t xml:space="preserve">a </w:t>
            </w:r>
            <w:r w:rsidRPr="00C36824">
              <w:rPr>
                <w:rFonts w:cs="Arial"/>
                <w:sz w:val="22"/>
                <w:szCs w:val="22"/>
                <w:lang w:val="en-US"/>
              </w:rPr>
              <w:t xml:space="preserve">clinical finding </w:t>
            </w:r>
            <w:r>
              <w:rPr>
                <w:rFonts w:cs="Arial"/>
                <w:sz w:val="22"/>
                <w:szCs w:val="22"/>
                <w:lang w:val="en-US"/>
              </w:rPr>
              <w:t>in the</w:t>
            </w:r>
            <w:r w:rsidRPr="00C36824">
              <w:rPr>
                <w:rFonts w:cs="Arial"/>
                <w:sz w:val="22"/>
                <w:szCs w:val="22"/>
                <w:lang w:val="en-US"/>
              </w:rPr>
              <w:t xml:space="preserve"> neonatal period of intrahepatic biliary atresia</w:t>
            </w:r>
            <w:r>
              <w:rPr>
                <w:rFonts w:cs="Arial"/>
                <w:sz w:val="22"/>
                <w:szCs w:val="22"/>
                <w:lang w:val="en-US"/>
              </w:rPr>
              <w:t xml:space="preserve"> (later renamed as Alagille syndrome).</w:t>
            </w:r>
          </w:p>
          <w:p w14:paraId="051CDB4F" w14:textId="77777777" w:rsidR="00C7642E" w:rsidRPr="00515705" w:rsidRDefault="00C7642E" w:rsidP="00C7642E">
            <w:pPr>
              <w:pStyle w:val="BodyText"/>
              <w:rPr>
                <w:rFonts w:cs="Arial"/>
                <w:sz w:val="22"/>
                <w:szCs w:val="22"/>
                <w:u w:val="single"/>
                <w:lang w:val="en-US"/>
              </w:rPr>
            </w:pPr>
            <w:r w:rsidRPr="00515705">
              <w:rPr>
                <w:rFonts w:cs="Arial"/>
                <w:sz w:val="22"/>
                <w:szCs w:val="22"/>
                <w:u w:val="single"/>
                <w:lang w:val="en-US"/>
              </w:rPr>
              <w:t>Revised diagnostic criteria:</w:t>
            </w:r>
          </w:p>
          <w:p w14:paraId="3F162610" w14:textId="77777777" w:rsidR="00C7642E" w:rsidRDefault="00C7642E" w:rsidP="00C7642E">
            <w:pPr>
              <w:pStyle w:val="BodyText"/>
              <w:numPr>
                <w:ilvl w:val="0"/>
                <w:numId w:val="38"/>
              </w:numPr>
              <w:rPr>
                <w:rFonts w:cs="Arial"/>
                <w:sz w:val="22"/>
                <w:szCs w:val="22"/>
                <w:lang w:val="en-US"/>
              </w:rPr>
            </w:pPr>
            <w:r w:rsidRPr="002B4C3D">
              <w:rPr>
                <w:rFonts w:cs="Arial"/>
                <w:sz w:val="22"/>
                <w:szCs w:val="22"/>
                <w:lang w:val="en-US"/>
              </w:rPr>
              <w:t xml:space="preserve">In 1997, the association of </w:t>
            </w:r>
            <w:r>
              <w:rPr>
                <w:rFonts w:cs="Arial"/>
                <w:sz w:val="22"/>
                <w:szCs w:val="22"/>
                <w:lang w:val="en-US"/>
              </w:rPr>
              <w:t xml:space="preserve">Alagille syndrome </w:t>
            </w:r>
            <w:r w:rsidRPr="002B4C3D">
              <w:rPr>
                <w:rFonts w:cs="Arial"/>
                <w:sz w:val="22"/>
                <w:szCs w:val="22"/>
                <w:lang w:val="en-US"/>
              </w:rPr>
              <w:t xml:space="preserve">with mutations in JAG1 gene was published, </w:t>
            </w:r>
            <w:r>
              <w:rPr>
                <w:rFonts w:cs="Arial"/>
                <w:sz w:val="22"/>
                <w:szCs w:val="22"/>
                <w:lang w:val="en-US"/>
              </w:rPr>
              <w:t xml:space="preserve">and </w:t>
            </w:r>
            <w:r w:rsidRPr="002B4C3D">
              <w:rPr>
                <w:rFonts w:cs="Arial"/>
                <w:sz w:val="22"/>
                <w:szCs w:val="22"/>
                <w:lang w:val="en-US"/>
              </w:rPr>
              <w:t xml:space="preserve">later </w:t>
            </w:r>
            <w:r>
              <w:rPr>
                <w:rFonts w:cs="Arial"/>
                <w:sz w:val="22"/>
                <w:szCs w:val="22"/>
                <w:lang w:val="en-US"/>
              </w:rPr>
              <w:t xml:space="preserve">the </w:t>
            </w:r>
            <w:r w:rsidRPr="002B4C3D">
              <w:rPr>
                <w:rFonts w:cs="Arial"/>
                <w:sz w:val="22"/>
                <w:szCs w:val="22"/>
                <w:lang w:val="en-US"/>
              </w:rPr>
              <w:t xml:space="preserve">NOTCH2 gene was also found to be associated with </w:t>
            </w:r>
            <w:r>
              <w:rPr>
                <w:rFonts w:cs="Arial"/>
                <w:sz w:val="22"/>
                <w:szCs w:val="22"/>
                <w:lang w:val="en-US"/>
              </w:rPr>
              <w:t>Alagille syndrome</w:t>
            </w:r>
            <w:r w:rsidRPr="002B4C3D">
              <w:rPr>
                <w:rFonts w:cs="Arial"/>
                <w:sz w:val="22"/>
                <w:szCs w:val="22"/>
                <w:lang w:val="en-US"/>
              </w:rPr>
              <w:t xml:space="preserve">. The availability of genetic testing </w:t>
            </w:r>
            <w:r>
              <w:rPr>
                <w:rFonts w:cs="Arial"/>
                <w:sz w:val="22"/>
                <w:szCs w:val="22"/>
                <w:lang w:val="en-US"/>
              </w:rPr>
              <w:t xml:space="preserve">for these mutations </w:t>
            </w:r>
            <w:r w:rsidRPr="002B4C3D">
              <w:rPr>
                <w:rFonts w:cs="Arial"/>
                <w:sz w:val="22"/>
                <w:szCs w:val="22"/>
                <w:lang w:val="en-US"/>
              </w:rPr>
              <w:t xml:space="preserve">led to </w:t>
            </w:r>
            <w:r>
              <w:rPr>
                <w:rFonts w:cs="Arial"/>
                <w:sz w:val="22"/>
                <w:szCs w:val="22"/>
                <w:lang w:val="en-US"/>
              </w:rPr>
              <w:t>its incorporation</w:t>
            </w:r>
            <w:r w:rsidRPr="002B4C3D">
              <w:rPr>
                <w:rFonts w:cs="Arial"/>
                <w:sz w:val="22"/>
                <w:szCs w:val="22"/>
                <w:lang w:val="en-US"/>
              </w:rPr>
              <w:t xml:space="preserve"> into the revised diagnostic criteria of </w:t>
            </w:r>
            <w:r>
              <w:rPr>
                <w:rFonts w:cs="Arial"/>
                <w:sz w:val="22"/>
                <w:szCs w:val="22"/>
                <w:lang w:val="en-US"/>
              </w:rPr>
              <w:t xml:space="preserve">Alagille syndrome </w:t>
            </w:r>
            <w:r w:rsidRPr="002B4C3D">
              <w:rPr>
                <w:rFonts w:cs="Arial"/>
                <w:sz w:val="22"/>
                <w:szCs w:val="22"/>
                <w:lang w:val="en-US"/>
              </w:rPr>
              <w:t xml:space="preserve">in </w:t>
            </w:r>
            <w:r>
              <w:rPr>
                <w:rFonts w:cs="Arial"/>
                <w:sz w:val="22"/>
                <w:szCs w:val="22"/>
                <w:lang w:val="en-US"/>
              </w:rPr>
              <w:t>2007</w:t>
            </w:r>
            <w:r w:rsidRPr="00B22C8D">
              <w:rPr>
                <w:rFonts w:cs="Arial"/>
                <w:sz w:val="22"/>
                <w:szCs w:val="22"/>
                <w:vertAlign w:val="superscript"/>
                <w:lang w:val="en-US"/>
              </w:rPr>
              <w:t>3</w:t>
            </w:r>
            <w:r w:rsidRPr="002B4C3D">
              <w:rPr>
                <w:rFonts w:cs="Arial"/>
                <w:sz w:val="22"/>
                <w:szCs w:val="22"/>
                <w:lang w:val="en-US"/>
              </w:rPr>
              <w:t xml:space="preserve">. </w:t>
            </w:r>
          </w:p>
          <w:p w14:paraId="4FBF0EC6" w14:textId="77777777" w:rsidR="00C7642E" w:rsidRPr="00092E23" w:rsidRDefault="00C7642E" w:rsidP="00C7642E">
            <w:pPr>
              <w:pStyle w:val="BodyText"/>
              <w:numPr>
                <w:ilvl w:val="0"/>
                <w:numId w:val="38"/>
              </w:numPr>
              <w:rPr>
                <w:rFonts w:cs="Arial"/>
                <w:sz w:val="22"/>
                <w:szCs w:val="22"/>
                <w:lang w:val="en-US"/>
              </w:rPr>
            </w:pPr>
            <w:r w:rsidRPr="002B4C3D">
              <w:rPr>
                <w:rFonts w:cs="Arial"/>
                <w:sz w:val="22"/>
                <w:szCs w:val="22"/>
                <w:lang w:val="en-US"/>
              </w:rPr>
              <w:t xml:space="preserve">These revised criteria differed from the classical criteria because other diagnostic clinical parameters, such as renal disease and a family history of </w:t>
            </w:r>
            <w:r>
              <w:rPr>
                <w:rFonts w:cs="Arial"/>
                <w:sz w:val="22"/>
                <w:szCs w:val="22"/>
                <w:lang w:val="en-US"/>
              </w:rPr>
              <w:t>Alagille syndrome</w:t>
            </w:r>
            <w:r w:rsidRPr="002B4C3D">
              <w:rPr>
                <w:rFonts w:cs="Arial"/>
                <w:sz w:val="22"/>
                <w:szCs w:val="22"/>
                <w:lang w:val="en-US"/>
              </w:rPr>
              <w:t xml:space="preserve"> were added. </w:t>
            </w:r>
            <w:r w:rsidRPr="00092E23">
              <w:rPr>
                <w:rFonts w:cs="Arial"/>
                <w:sz w:val="22"/>
                <w:szCs w:val="22"/>
                <w:lang w:val="en-US"/>
              </w:rPr>
              <w:t xml:space="preserve">The revised diagnostic criteria allow diagnosis of Alagille syndrome to be made based on a compatible genetic abnormality with </w:t>
            </w:r>
            <w:r w:rsidRPr="00B22C8D">
              <w:rPr>
                <w:rFonts w:cs="Arial"/>
                <w:sz w:val="22"/>
                <w:szCs w:val="22"/>
                <w:lang w:val="en-US"/>
              </w:rPr>
              <w:t>either 1 syndromic</w:t>
            </w:r>
            <w:r w:rsidRPr="00092E23">
              <w:rPr>
                <w:rFonts w:cs="Arial"/>
                <w:sz w:val="22"/>
                <w:szCs w:val="22"/>
                <w:lang w:val="en-US"/>
              </w:rPr>
              <w:t xml:space="preserve"> feature or a family history of Alagille syndrome</w:t>
            </w:r>
            <w:r>
              <w:rPr>
                <w:rFonts w:cs="Arial"/>
                <w:sz w:val="22"/>
                <w:szCs w:val="22"/>
                <w:vertAlign w:val="superscript"/>
                <w:lang w:val="en-US"/>
              </w:rPr>
              <w:t>4</w:t>
            </w:r>
            <w:r w:rsidRPr="00092E23">
              <w:rPr>
                <w:rFonts w:cs="Arial"/>
                <w:sz w:val="22"/>
                <w:szCs w:val="22"/>
                <w:lang w:val="en-US"/>
              </w:rPr>
              <w:t xml:space="preserve">. </w:t>
            </w:r>
          </w:p>
          <w:p w14:paraId="6FA6AF66" w14:textId="77777777" w:rsidR="00C7642E" w:rsidRPr="00425A9C" w:rsidRDefault="00C7642E" w:rsidP="00C7642E">
            <w:pPr>
              <w:pStyle w:val="BodyText"/>
              <w:rPr>
                <w:rFonts w:cs="Arial"/>
                <w:sz w:val="22"/>
                <w:szCs w:val="22"/>
                <w:u w:val="single"/>
                <w:lang w:val="en-US"/>
              </w:rPr>
            </w:pPr>
            <w:r w:rsidRPr="00425A9C">
              <w:rPr>
                <w:rFonts w:cs="Arial"/>
                <w:sz w:val="22"/>
                <w:szCs w:val="22"/>
                <w:u w:val="single"/>
                <w:lang w:val="en-US"/>
              </w:rPr>
              <w:t xml:space="preserve">Diagnosis in practice: </w:t>
            </w:r>
          </w:p>
          <w:p w14:paraId="68A3C45A" w14:textId="77777777" w:rsidR="00C7642E" w:rsidRDefault="00C7642E" w:rsidP="00C7642E">
            <w:pPr>
              <w:pStyle w:val="BodyText"/>
              <w:numPr>
                <w:ilvl w:val="0"/>
                <w:numId w:val="38"/>
              </w:numPr>
              <w:rPr>
                <w:rFonts w:cs="Arial"/>
                <w:sz w:val="22"/>
                <w:szCs w:val="22"/>
                <w:lang w:val="en-US"/>
              </w:rPr>
            </w:pPr>
            <w:r>
              <w:rPr>
                <w:rFonts w:cs="Arial"/>
                <w:sz w:val="22"/>
                <w:szCs w:val="22"/>
                <w:lang w:val="en-US"/>
              </w:rPr>
              <w:t xml:space="preserve">A clinical expert noted </w:t>
            </w:r>
            <w:r w:rsidRPr="00313BA9">
              <w:rPr>
                <w:rFonts w:cs="Arial"/>
                <w:sz w:val="22"/>
                <w:szCs w:val="22"/>
                <w:lang w:val="en-US"/>
              </w:rPr>
              <w:t xml:space="preserve">that </w:t>
            </w:r>
            <w:r w:rsidRPr="00C723BB">
              <w:rPr>
                <w:rFonts w:cs="Arial"/>
                <w:i/>
                <w:iCs/>
                <w:sz w:val="22"/>
                <w:szCs w:val="22"/>
                <w:lang w:val="en-US"/>
              </w:rPr>
              <w:t>“genetic diagnosis is increasing the total number by including asymptomatic and paucity-syndromic patients.”</w:t>
            </w:r>
            <w:r w:rsidRPr="00313BA9">
              <w:rPr>
                <w:rFonts w:cs="Arial"/>
                <w:sz w:val="22"/>
                <w:szCs w:val="22"/>
                <w:lang w:val="en-US"/>
              </w:rPr>
              <w:t xml:space="preserve"> </w:t>
            </w:r>
            <w:r>
              <w:rPr>
                <w:rFonts w:cs="Arial"/>
                <w:sz w:val="22"/>
                <w:szCs w:val="22"/>
                <w:lang w:val="en-US"/>
              </w:rPr>
              <w:lastRenderedPageBreak/>
              <w:t>The expert</w:t>
            </w:r>
            <w:r w:rsidRPr="00313BA9">
              <w:rPr>
                <w:rFonts w:cs="Arial"/>
                <w:sz w:val="22"/>
                <w:szCs w:val="22"/>
                <w:lang w:val="en-US"/>
              </w:rPr>
              <w:t xml:space="preserve"> also explained that for the past 5 to 7 years, their practice was to </w:t>
            </w:r>
            <w:r w:rsidRPr="00C723BB">
              <w:rPr>
                <w:rFonts w:cs="Arial"/>
                <w:i/>
                <w:iCs/>
                <w:sz w:val="22"/>
                <w:szCs w:val="22"/>
                <w:lang w:val="en-US"/>
              </w:rPr>
              <w:t>“perform genetic testing in patients who either have unexplained neonatal cholestasis or having any features to suggest Alagille syndrome. This means in practice all who either do not have absolute clear biliary atresia or who do have other clear reasons for cholestasis get genetic testing.”</w:t>
            </w:r>
            <w:r>
              <w:rPr>
                <w:rFonts w:cs="Arial"/>
                <w:sz w:val="22"/>
                <w:szCs w:val="22"/>
                <w:lang w:val="en-US"/>
              </w:rPr>
              <w:t xml:space="preserve"> </w:t>
            </w:r>
          </w:p>
          <w:p w14:paraId="6DB0AAE7" w14:textId="77777777" w:rsidR="00C7642E" w:rsidRDefault="00C7642E" w:rsidP="00C7642E">
            <w:pPr>
              <w:pStyle w:val="BodyText"/>
              <w:numPr>
                <w:ilvl w:val="0"/>
                <w:numId w:val="38"/>
              </w:numPr>
              <w:rPr>
                <w:rFonts w:cs="Arial"/>
                <w:sz w:val="22"/>
                <w:szCs w:val="22"/>
                <w:lang w:val="en-US"/>
              </w:rPr>
            </w:pPr>
            <w:r w:rsidRPr="00532F99">
              <w:rPr>
                <w:rFonts w:cs="Arial"/>
                <w:sz w:val="22"/>
                <w:szCs w:val="22"/>
                <w:lang w:val="en-US"/>
              </w:rPr>
              <w:t xml:space="preserve">Whilst genetic analysis is often undertaken looking for </w:t>
            </w:r>
            <w:r w:rsidRPr="00515705">
              <w:rPr>
                <w:rFonts w:cs="Arial"/>
                <w:i/>
                <w:iCs/>
                <w:sz w:val="22"/>
                <w:szCs w:val="22"/>
                <w:lang w:val="en-US"/>
              </w:rPr>
              <w:t>JAG1</w:t>
            </w:r>
            <w:r w:rsidRPr="00532F99">
              <w:rPr>
                <w:rFonts w:cs="Arial"/>
                <w:sz w:val="22"/>
                <w:szCs w:val="22"/>
                <w:lang w:val="en-US"/>
              </w:rPr>
              <w:t xml:space="preserve"> and </w:t>
            </w:r>
            <w:r w:rsidRPr="00515705">
              <w:rPr>
                <w:rFonts w:cs="Arial"/>
                <w:i/>
                <w:iCs/>
                <w:sz w:val="22"/>
                <w:szCs w:val="22"/>
                <w:lang w:val="en-US"/>
              </w:rPr>
              <w:t xml:space="preserve">NOTCH2 </w:t>
            </w:r>
            <w:r w:rsidRPr="00532F99">
              <w:rPr>
                <w:rFonts w:cs="Arial"/>
                <w:sz w:val="22"/>
                <w:szCs w:val="22"/>
                <w:lang w:val="en-US"/>
              </w:rPr>
              <w:t>mutations</w:t>
            </w:r>
            <w:r>
              <w:rPr>
                <w:rFonts w:cs="Arial"/>
                <w:sz w:val="22"/>
                <w:szCs w:val="22"/>
                <w:lang w:val="en-US"/>
              </w:rPr>
              <w:t>,</w:t>
            </w:r>
            <w:r w:rsidRPr="00532F99">
              <w:rPr>
                <w:rFonts w:cs="Arial"/>
                <w:sz w:val="22"/>
                <w:szCs w:val="22"/>
                <w:lang w:val="en-US"/>
              </w:rPr>
              <w:t xml:space="preserve"> a small minority of patients meeting the clinical diagnostic criteria </w:t>
            </w:r>
            <w:r>
              <w:rPr>
                <w:rFonts w:cs="Arial"/>
                <w:sz w:val="22"/>
                <w:szCs w:val="22"/>
                <w:lang w:val="en-US"/>
              </w:rPr>
              <w:t xml:space="preserve">for </w:t>
            </w:r>
            <w:r w:rsidRPr="00092E23">
              <w:rPr>
                <w:rFonts w:cs="Arial"/>
                <w:sz w:val="22"/>
                <w:szCs w:val="22"/>
                <w:lang w:val="en-US"/>
              </w:rPr>
              <w:t>Alagille syndrome</w:t>
            </w:r>
            <w:r w:rsidRPr="00532F99">
              <w:rPr>
                <w:rFonts w:cs="Arial"/>
                <w:sz w:val="22"/>
                <w:szCs w:val="22"/>
                <w:lang w:val="en-US"/>
              </w:rPr>
              <w:t xml:space="preserve"> will have neither</w:t>
            </w:r>
            <w:r>
              <w:rPr>
                <w:rFonts w:cs="Arial"/>
                <w:sz w:val="22"/>
                <w:szCs w:val="22"/>
                <w:vertAlign w:val="superscript"/>
                <w:lang w:val="en-US"/>
              </w:rPr>
              <w:t>5</w:t>
            </w:r>
            <w:r>
              <w:rPr>
                <w:rFonts w:cs="Arial"/>
                <w:sz w:val="22"/>
                <w:szCs w:val="22"/>
                <w:lang w:val="en-US"/>
              </w:rPr>
              <w:t>. Also,</w:t>
            </w:r>
            <w:r w:rsidRPr="00532F99">
              <w:rPr>
                <w:rFonts w:cs="Arial"/>
                <w:sz w:val="22"/>
                <w:szCs w:val="22"/>
                <w:lang w:val="en-US"/>
              </w:rPr>
              <w:t xml:space="preserve"> a significant number of people with </w:t>
            </w:r>
            <w:r w:rsidRPr="00425A9C">
              <w:rPr>
                <w:rFonts w:cs="Arial"/>
                <w:i/>
                <w:iCs/>
                <w:sz w:val="22"/>
                <w:szCs w:val="22"/>
                <w:lang w:val="en-US"/>
              </w:rPr>
              <w:t>JAG1</w:t>
            </w:r>
            <w:r w:rsidRPr="00532F99">
              <w:rPr>
                <w:rFonts w:cs="Arial"/>
                <w:sz w:val="22"/>
                <w:szCs w:val="22"/>
                <w:lang w:val="en-US"/>
              </w:rPr>
              <w:t xml:space="preserve"> mutations will not have sufficient clinical </w:t>
            </w:r>
            <w:r>
              <w:rPr>
                <w:rFonts w:cs="Arial"/>
                <w:sz w:val="22"/>
                <w:szCs w:val="22"/>
                <w:lang w:val="en-US"/>
              </w:rPr>
              <w:t>findings</w:t>
            </w:r>
            <w:r w:rsidRPr="00532F99">
              <w:rPr>
                <w:rFonts w:cs="Arial"/>
                <w:sz w:val="22"/>
                <w:szCs w:val="22"/>
                <w:lang w:val="en-US"/>
              </w:rPr>
              <w:t xml:space="preserve"> to meet the </w:t>
            </w:r>
            <w:r>
              <w:rPr>
                <w:rFonts w:cs="Arial"/>
                <w:sz w:val="22"/>
                <w:szCs w:val="22"/>
                <w:lang w:val="en-US"/>
              </w:rPr>
              <w:t>classical criteria (</w:t>
            </w:r>
            <w:r w:rsidRPr="00B22C8D">
              <w:rPr>
                <w:rFonts w:cs="Arial"/>
                <w:sz w:val="22"/>
                <w:szCs w:val="22"/>
                <w:lang w:val="en-US"/>
              </w:rPr>
              <w:t xml:space="preserve">liver disease with </w:t>
            </w:r>
            <w:r>
              <w:rPr>
                <w:rFonts w:cs="Arial"/>
                <w:sz w:val="22"/>
                <w:szCs w:val="22"/>
                <w:lang w:val="en-US"/>
              </w:rPr>
              <w:t>3 of 5 major</w:t>
            </w:r>
            <w:r w:rsidRPr="00B22C8D">
              <w:rPr>
                <w:rFonts w:cs="Arial"/>
                <w:sz w:val="22"/>
                <w:szCs w:val="22"/>
                <w:lang w:val="en-US"/>
              </w:rPr>
              <w:t xml:space="preserve"> criteria</w:t>
            </w:r>
            <w:r>
              <w:rPr>
                <w:rFonts w:cs="Arial"/>
                <w:sz w:val="22"/>
                <w:szCs w:val="22"/>
                <w:lang w:val="en-US"/>
              </w:rPr>
              <w:t>)</w:t>
            </w:r>
            <w:r w:rsidRPr="00B22C8D">
              <w:rPr>
                <w:rFonts w:cs="Arial"/>
                <w:sz w:val="22"/>
                <w:szCs w:val="22"/>
                <w:lang w:val="en-US"/>
              </w:rPr>
              <w:t xml:space="preserve"> </w:t>
            </w:r>
            <w:r>
              <w:rPr>
                <w:rFonts w:cs="Arial"/>
                <w:sz w:val="22"/>
                <w:szCs w:val="22"/>
                <w:lang w:val="en-US"/>
              </w:rPr>
              <w:t xml:space="preserve">but will have some features of </w:t>
            </w:r>
            <w:r w:rsidRPr="00092E23">
              <w:rPr>
                <w:rFonts w:cs="Arial"/>
                <w:sz w:val="22"/>
                <w:szCs w:val="22"/>
                <w:lang w:val="en-US"/>
              </w:rPr>
              <w:t>Alagille syndrome</w:t>
            </w:r>
            <w:r>
              <w:rPr>
                <w:rFonts w:cs="Arial"/>
                <w:sz w:val="22"/>
                <w:szCs w:val="22"/>
                <w:vertAlign w:val="superscript"/>
                <w:lang w:val="en-US"/>
              </w:rPr>
              <w:t>6</w:t>
            </w:r>
            <w:r w:rsidRPr="00532F99">
              <w:rPr>
                <w:rFonts w:cs="Arial"/>
                <w:sz w:val="22"/>
                <w:szCs w:val="22"/>
                <w:lang w:val="en-US"/>
              </w:rPr>
              <w:t xml:space="preserve">. The diagnosis must therefore be primarily based on </w:t>
            </w:r>
            <w:r>
              <w:rPr>
                <w:rFonts w:cs="Arial"/>
                <w:sz w:val="22"/>
                <w:szCs w:val="22"/>
                <w:lang w:val="en-US"/>
              </w:rPr>
              <w:t xml:space="preserve">a broad understanding of the </w:t>
            </w:r>
            <w:r w:rsidRPr="00532F99">
              <w:rPr>
                <w:rFonts w:cs="Arial"/>
                <w:sz w:val="22"/>
                <w:szCs w:val="22"/>
                <w:lang w:val="en-US"/>
              </w:rPr>
              <w:t xml:space="preserve">clinical </w:t>
            </w:r>
            <w:r>
              <w:rPr>
                <w:rFonts w:cs="Arial"/>
                <w:sz w:val="22"/>
                <w:szCs w:val="22"/>
                <w:lang w:val="en-US"/>
              </w:rPr>
              <w:t>features of the syndrome</w:t>
            </w:r>
            <w:r w:rsidRPr="00532F99">
              <w:rPr>
                <w:rFonts w:cs="Arial"/>
                <w:sz w:val="22"/>
                <w:szCs w:val="22"/>
                <w:lang w:val="en-US"/>
              </w:rPr>
              <w:t>.</w:t>
            </w:r>
          </w:p>
          <w:p w14:paraId="2D994393" w14:textId="77777777" w:rsidR="00C7642E" w:rsidRPr="00515705" w:rsidRDefault="00C7642E" w:rsidP="00C7642E">
            <w:pPr>
              <w:pStyle w:val="BodyText"/>
              <w:rPr>
                <w:rFonts w:cs="Arial"/>
                <w:sz w:val="22"/>
                <w:szCs w:val="22"/>
                <w:u w:val="single"/>
                <w:lang w:val="en-US"/>
              </w:rPr>
            </w:pPr>
            <w:r w:rsidRPr="00515705">
              <w:rPr>
                <w:rFonts w:cs="Arial"/>
                <w:sz w:val="22"/>
                <w:szCs w:val="22"/>
                <w:u w:val="single"/>
                <w:lang w:val="en-US"/>
              </w:rPr>
              <w:t xml:space="preserve">Updated incidence estimate: </w:t>
            </w:r>
          </w:p>
          <w:p w14:paraId="6BC2285B" w14:textId="10F9D76E" w:rsidR="00C7642E" w:rsidRDefault="00C7642E" w:rsidP="00C7642E">
            <w:pPr>
              <w:pStyle w:val="BodyText"/>
              <w:numPr>
                <w:ilvl w:val="0"/>
                <w:numId w:val="38"/>
              </w:numPr>
              <w:rPr>
                <w:rFonts w:cs="Arial"/>
                <w:sz w:val="22"/>
                <w:szCs w:val="22"/>
                <w:lang w:val="en-US"/>
              </w:rPr>
            </w:pPr>
            <w:r w:rsidRPr="002B4C3D">
              <w:rPr>
                <w:rFonts w:cs="Arial"/>
                <w:sz w:val="22"/>
                <w:szCs w:val="22"/>
                <w:lang w:val="en-US"/>
              </w:rPr>
              <w:t xml:space="preserve">Today </w:t>
            </w:r>
            <w:r>
              <w:rPr>
                <w:rFonts w:cs="Arial"/>
                <w:sz w:val="22"/>
                <w:szCs w:val="22"/>
                <w:lang w:val="en-US"/>
              </w:rPr>
              <w:t xml:space="preserve">Alagille syndrome </w:t>
            </w:r>
            <w:r w:rsidRPr="002B4C3D">
              <w:rPr>
                <w:rFonts w:cs="Arial"/>
                <w:sz w:val="22"/>
                <w:szCs w:val="22"/>
                <w:lang w:val="en-US"/>
              </w:rPr>
              <w:t>is treated as a multi-system disorder.</w:t>
            </w:r>
            <w:r>
              <w:rPr>
                <w:rFonts w:cs="Arial"/>
                <w:sz w:val="22"/>
                <w:szCs w:val="22"/>
                <w:lang w:val="en-US"/>
              </w:rPr>
              <w:t xml:space="preserve"> </w:t>
            </w:r>
            <w:r w:rsidRPr="00532F99">
              <w:rPr>
                <w:rFonts w:cs="Arial"/>
                <w:sz w:val="22"/>
                <w:szCs w:val="22"/>
                <w:lang w:val="en-US"/>
              </w:rPr>
              <w:t xml:space="preserve">With </w:t>
            </w:r>
            <w:r>
              <w:rPr>
                <w:rFonts w:cs="Arial"/>
                <w:sz w:val="22"/>
                <w:szCs w:val="22"/>
                <w:lang w:val="en-US"/>
              </w:rPr>
              <w:t>an</w:t>
            </w:r>
            <w:r w:rsidRPr="00532F99">
              <w:rPr>
                <w:rFonts w:cs="Arial"/>
                <w:sz w:val="22"/>
                <w:szCs w:val="22"/>
                <w:lang w:val="en-US"/>
              </w:rPr>
              <w:t xml:space="preserve"> understanding that not all patients with the disorder will have hepatic abnormalities in the neonatal period</w:t>
            </w:r>
            <w:r>
              <w:rPr>
                <w:rFonts w:cs="Arial"/>
                <w:sz w:val="22"/>
                <w:szCs w:val="22"/>
                <w:lang w:val="en-US"/>
              </w:rPr>
              <w:t xml:space="preserve">, </w:t>
            </w:r>
            <w:r w:rsidRPr="00532F99">
              <w:rPr>
                <w:rFonts w:cs="Arial"/>
                <w:sz w:val="22"/>
                <w:szCs w:val="22"/>
                <w:lang w:val="en-US"/>
              </w:rPr>
              <w:t>and with the revision of the diagnostic criteria requiring fewer positive findings from an expanded range of characteristics</w:t>
            </w:r>
            <w:r>
              <w:rPr>
                <w:rFonts w:cs="Arial"/>
                <w:sz w:val="22"/>
                <w:szCs w:val="22"/>
                <w:lang w:val="en-US"/>
              </w:rPr>
              <w:t xml:space="preserve">, </w:t>
            </w:r>
            <w:r w:rsidRPr="00532F99">
              <w:rPr>
                <w:rFonts w:cs="Arial"/>
                <w:sz w:val="22"/>
                <w:szCs w:val="22"/>
                <w:lang w:val="en-US"/>
              </w:rPr>
              <w:t>especially in those patients with a positive family history</w:t>
            </w:r>
            <w:r>
              <w:rPr>
                <w:rFonts w:cs="Arial"/>
                <w:sz w:val="22"/>
                <w:szCs w:val="22"/>
                <w:vertAlign w:val="superscript"/>
                <w:lang w:val="en-US"/>
              </w:rPr>
              <w:t>4,7</w:t>
            </w:r>
            <w:r w:rsidR="000A747A">
              <w:rPr>
                <w:rFonts w:cs="Arial"/>
                <w:sz w:val="22"/>
                <w:szCs w:val="22"/>
                <w:lang w:val="en-US"/>
              </w:rPr>
              <w:t>,</w:t>
            </w:r>
            <w:r w:rsidRPr="00532F99">
              <w:rPr>
                <w:rFonts w:cs="Arial"/>
                <w:sz w:val="22"/>
                <w:szCs w:val="22"/>
                <w:lang w:val="en-US"/>
              </w:rPr>
              <w:t xml:space="preserve"> it is </w:t>
            </w:r>
            <w:r>
              <w:rPr>
                <w:rFonts w:cs="Arial"/>
                <w:sz w:val="22"/>
                <w:szCs w:val="22"/>
                <w:lang w:val="en-US"/>
              </w:rPr>
              <w:t>well acknowledged</w:t>
            </w:r>
            <w:r w:rsidRPr="00532F99">
              <w:rPr>
                <w:rFonts w:cs="Arial"/>
                <w:sz w:val="22"/>
                <w:szCs w:val="22"/>
                <w:lang w:val="en-US"/>
              </w:rPr>
              <w:t xml:space="preserve"> that th</w:t>
            </w:r>
            <w:r>
              <w:rPr>
                <w:rFonts w:cs="Arial"/>
                <w:sz w:val="22"/>
                <w:szCs w:val="22"/>
                <w:lang w:val="en-US"/>
              </w:rPr>
              <w:t>e</w:t>
            </w:r>
            <w:r w:rsidRPr="00532F99">
              <w:rPr>
                <w:rFonts w:cs="Arial"/>
                <w:sz w:val="22"/>
                <w:szCs w:val="22"/>
                <w:lang w:val="en-US"/>
              </w:rPr>
              <w:t xml:space="preserve"> early </w:t>
            </w:r>
            <w:r w:rsidRPr="00C36824">
              <w:rPr>
                <w:rFonts w:cs="Arial"/>
                <w:sz w:val="22"/>
                <w:szCs w:val="22"/>
                <w:lang w:val="en-US"/>
              </w:rPr>
              <w:t>1</w:t>
            </w:r>
            <w:r>
              <w:rPr>
                <w:rFonts w:cs="Arial"/>
                <w:sz w:val="22"/>
                <w:szCs w:val="22"/>
                <w:lang w:val="en-US"/>
              </w:rPr>
              <w:t>:</w:t>
            </w:r>
            <w:r w:rsidRPr="00C36824">
              <w:rPr>
                <w:rFonts w:cs="Arial"/>
                <w:sz w:val="22"/>
                <w:szCs w:val="22"/>
                <w:lang w:val="en-US"/>
              </w:rPr>
              <w:t xml:space="preserve">70,000 </w:t>
            </w:r>
            <w:r>
              <w:rPr>
                <w:rFonts w:cs="Arial"/>
                <w:sz w:val="22"/>
                <w:szCs w:val="22"/>
                <w:lang w:val="en-US"/>
              </w:rPr>
              <w:t>live birth estimate</w:t>
            </w:r>
            <w:r w:rsidRPr="00532F99">
              <w:rPr>
                <w:rFonts w:cs="Arial"/>
                <w:sz w:val="22"/>
                <w:szCs w:val="22"/>
                <w:lang w:val="en-US"/>
              </w:rPr>
              <w:t xml:space="preserve"> is a</w:t>
            </w:r>
            <w:r>
              <w:rPr>
                <w:rFonts w:cs="Arial"/>
                <w:sz w:val="22"/>
                <w:szCs w:val="22"/>
                <w:lang w:val="en-US"/>
              </w:rPr>
              <w:t xml:space="preserve"> significant</w:t>
            </w:r>
            <w:r w:rsidRPr="00532F99">
              <w:rPr>
                <w:rFonts w:cs="Arial"/>
                <w:sz w:val="22"/>
                <w:szCs w:val="22"/>
                <w:lang w:val="en-US"/>
              </w:rPr>
              <w:t xml:space="preserve"> underestimate</w:t>
            </w:r>
            <w:r>
              <w:rPr>
                <w:rFonts w:cs="Arial"/>
                <w:sz w:val="22"/>
                <w:szCs w:val="22"/>
                <w:vertAlign w:val="superscript"/>
                <w:lang w:val="en-US"/>
              </w:rPr>
              <w:t>1</w:t>
            </w:r>
            <w:r w:rsidRPr="00532F99">
              <w:rPr>
                <w:rFonts w:cs="Arial"/>
                <w:sz w:val="22"/>
                <w:szCs w:val="22"/>
                <w:lang w:val="en-US"/>
              </w:rPr>
              <w:t>.</w:t>
            </w:r>
          </w:p>
          <w:p w14:paraId="12930F9E" w14:textId="77777777" w:rsidR="00C7642E" w:rsidRDefault="00C7642E" w:rsidP="00C7642E">
            <w:pPr>
              <w:pStyle w:val="BodyText"/>
              <w:spacing w:after="0"/>
              <w:ind w:left="720"/>
              <w:rPr>
                <w:rFonts w:cs="Arial"/>
                <w:sz w:val="22"/>
                <w:szCs w:val="22"/>
                <w:lang w:val="en-US"/>
              </w:rPr>
            </w:pPr>
            <w:r w:rsidRPr="0020343D">
              <w:rPr>
                <w:rFonts w:cs="Arial"/>
                <w:sz w:val="22"/>
                <w:szCs w:val="22"/>
                <w:lang w:val="en-US"/>
              </w:rPr>
              <w:t>When researchers re-examined the early estimate in view of the revised diagnostic criteria, the live birth incidence of Alagille syndrome was estimated between 1:30,000 and 1:50,000</w:t>
            </w:r>
            <w:r w:rsidRPr="0020343D">
              <w:rPr>
                <w:rFonts w:cs="Arial"/>
                <w:sz w:val="22"/>
                <w:szCs w:val="22"/>
                <w:vertAlign w:val="superscript"/>
                <w:lang w:val="en-US"/>
              </w:rPr>
              <w:t>5</w:t>
            </w:r>
            <w:r w:rsidRPr="0020343D">
              <w:rPr>
                <w:rFonts w:cs="Arial"/>
                <w:sz w:val="22"/>
                <w:szCs w:val="22"/>
                <w:lang w:val="en-US"/>
              </w:rPr>
              <w:t xml:space="preserve">, and most </w:t>
            </w:r>
            <w:r w:rsidRPr="0020343D">
              <w:rPr>
                <w:rFonts w:cs="Arial"/>
                <w:sz w:val="22"/>
                <w:szCs w:val="22"/>
                <w:lang w:val="en-US"/>
              </w:rPr>
              <w:lastRenderedPageBreak/>
              <w:t>recently it was reported the true incidence (or birth prevalence) is likely to be 1:30,000</w:t>
            </w:r>
            <w:r>
              <w:rPr>
                <w:rFonts w:cs="Arial"/>
                <w:sz w:val="22"/>
                <w:szCs w:val="22"/>
                <w:lang w:val="en-US"/>
              </w:rPr>
              <w:t xml:space="preserve"> live births</w:t>
            </w:r>
            <w:r w:rsidRPr="0020343D">
              <w:rPr>
                <w:rFonts w:cs="Arial"/>
                <w:sz w:val="22"/>
                <w:szCs w:val="22"/>
                <w:vertAlign w:val="superscript"/>
                <w:lang w:val="en-US"/>
              </w:rPr>
              <w:t>7-9</w:t>
            </w:r>
            <w:r w:rsidRPr="0020343D">
              <w:rPr>
                <w:rFonts w:cs="Arial"/>
                <w:sz w:val="22"/>
                <w:szCs w:val="22"/>
                <w:lang w:val="en-US"/>
              </w:rPr>
              <w:t xml:space="preserve">. </w:t>
            </w:r>
          </w:p>
          <w:p w14:paraId="2ECACAE2" w14:textId="77777777" w:rsidR="00C7642E" w:rsidRPr="00FA253D" w:rsidRDefault="00C7642E" w:rsidP="00C7642E">
            <w:pPr>
              <w:pStyle w:val="BodyText"/>
              <w:spacing w:before="240"/>
              <w:rPr>
                <w:rFonts w:cs="Arial"/>
                <w:b/>
                <w:bCs/>
                <w:sz w:val="22"/>
                <w:szCs w:val="22"/>
                <w:lang w:val="en-US"/>
              </w:rPr>
            </w:pPr>
            <w:r w:rsidRPr="00FA253D">
              <w:rPr>
                <w:rFonts w:cs="Arial"/>
                <w:b/>
                <w:bCs/>
                <w:sz w:val="22"/>
                <w:szCs w:val="22"/>
                <w:lang w:val="en-US"/>
              </w:rPr>
              <w:t>Prevalence</w:t>
            </w:r>
            <w:r>
              <w:rPr>
                <w:rFonts w:cs="Arial"/>
                <w:b/>
                <w:bCs/>
                <w:sz w:val="22"/>
                <w:szCs w:val="22"/>
                <w:lang w:val="en-US"/>
              </w:rPr>
              <w:t xml:space="preserve"> estimate</w:t>
            </w:r>
            <w:r w:rsidRPr="00FA253D">
              <w:rPr>
                <w:rFonts w:cs="Arial"/>
                <w:b/>
                <w:bCs/>
                <w:sz w:val="22"/>
                <w:szCs w:val="22"/>
                <w:lang w:val="en-US"/>
              </w:rPr>
              <w:t xml:space="preserve">: </w:t>
            </w:r>
          </w:p>
          <w:p w14:paraId="34D61991" w14:textId="5AEDDD4C" w:rsidR="00C7642E" w:rsidRDefault="00C7642E" w:rsidP="00FA6804">
            <w:pPr>
              <w:pStyle w:val="BodyText"/>
              <w:numPr>
                <w:ilvl w:val="0"/>
                <w:numId w:val="38"/>
              </w:numPr>
              <w:spacing w:after="0"/>
              <w:rPr>
                <w:rFonts w:cs="Arial"/>
                <w:sz w:val="22"/>
                <w:szCs w:val="22"/>
                <w:lang w:val="en-US"/>
              </w:rPr>
            </w:pPr>
            <w:r>
              <w:rPr>
                <w:rFonts w:cs="Arial"/>
                <w:sz w:val="22"/>
                <w:szCs w:val="22"/>
                <w:lang w:val="en-US"/>
              </w:rPr>
              <w:t xml:space="preserve">Estimates of </w:t>
            </w:r>
            <w:r w:rsidRPr="00D76591">
              <w:rPr>
                <w:rFonts w:cs="Arial"/>
                <w:color w:val="000000" w:themeColor="text1"/>
                <w:sz w:val="22"/>
                <w:szCs w:val="22"/>
                <w:lang w:val="en-US"/>
              </w:rPr>
              <w:t>prevalence var</w:t>
            </w:r>
            <w:r w:rsidR="000A747A">
              <w:rPr>
                <w:rFonts w:cs="Arial"/>
                <w:color w:val="000000" w:themeColor="text1"/>
                <w:sz w:val="22"/>
                <w:szCs w:val="22"/>
                <w:lang w:val="en-US"/>
              </w:rPr>
              <w:t>y</w:t>
            </w:r>
            <w:r w:rsidRPr="00D76591">
              <w:rPr>
                <w:rFonts w:cs="Arial"/>
                <w:color w:val="000000" w:themeColor="text1"/>
                <w:sz w:val="22"/>
                <w:szCs w:val="22"/>
                <w:lang w:val="en-US"/>
              </w:rPr>
              <w:t xml:space="preserve"> between 1 in 30,000 and 1 in 100,000</w:t>
            </w:r>
            <w:r w:rsidR="00FA6804" w:rsidRPr="00D76591">
              <w:rPr>
                <w:rFonts w:cs="Arial"/>
                <w:color w:val="000000" w:themeColor="text1"/>
                <w:sz w:val="22"/>
                <w:szCs w:val="22"/>
                <w:vertAlign w:val="superscript"/>
                <w:lang w:val="en-US"/>
              </w:rPr>
              <w:t>10</w:t>
            </w:r>
            <w:r w:rsidR="0025248E">
              <w:rPr>
                <w:rFonts w:cs="Arial"/>
                <w:color w:val="000000" w:themeColor="text1"/>
                <w:sz w:val="22"/>
                <w:szCs w:val="22"/>
                <w:lang w:val="en-US"/>
              </w:rPr>
              <w:t>.</w:t>
            </w:r>
            <w:r w:rsidR="0025248E">
              <w:rPr>
                <w:rFonts w:cs="Arial"/>
                <w:color w:val="000000" w:themeColor="text1"/>
                <w:sz w:val="22"/>
                <w:szCs w:val="22"/>
                <w:vertAlign w:val="superscript"/>
                <w:lang w:val="en-US"/>
              </w:rPr>
              <w:t xml:space="preserve">  </w:t>
            </w:r>
            <w:r w:rsidRPr="00D76591">
              <w:rPr>
                <w:rFonts w:cs="Arial"/>
                <w:color w:val="000000" w:themeColor="text1"/>
                <w:sz w:val="22"/>
                <w:szCs w:val="22"/>
                <w:lang w:val="en-US"/>
              </w:rPr>
              <w:t>This leads to a prevalence of 565 to 1,885 in England (</w:t>
            </w:r>
            <w:hyperlink r:id="rId8" w:anchor="timeseries">
              <w:r w:rsidRPr="00D76591">
                <w:rPr>
                  <w:color w:val="000000" w:themeColor="text1"/>
                </w:rPr>
                <w:t xml:space="preserve">using </w:t>
              </w:r>
              <w:r w:rsidRPr="00D76591">
                <w:rPr>
                  <w:color w:val="000000" w:themeColor="text1"/>
                  <w:lang w:val="en-GB"/>
                </w:rPr>
                <w:t>2021</w:t>
              </w:r>
              <w:r w:rsidRPr="00D76591">
                <w:rPr>
                  <w:color w:val="000000" w:themeColor="text1"/>
                </w:rPr>
                <w:t xml:space="preserve"> mid-year England population estimate</w:t>
              </w:r>
            </w:hyperlink>
            <w:r w:rsidRPr="00D76591">
              <w:rPr>
                <w:rFonts w:cs="Arial"/>
                <w:color w:val="000000" w:themeColor="text1"/>
                <w:sz w:val="22"/>
                <w:szCs w:val="22"/>
                <w:lang w:val="en-US"/>
              </w:rPr>
              <w:t>, 56,550,000)</w:t>
            </w:r>
            <w:r w:rsidRPr="00D76591">
              <w:rPr>
                <w:rFonts w:cs="Arial"/>
                <w:color w:val="000000" w:themeColor="text1"/>
                <w:sz w:val="22"/>
                <w:szCs w:val="22"/>
                <w:vertAlign w:val="superscript"/>
                <w:lang w:val="en-US"/>
              </w:rPr>
              <w:t>11</w:t>
            </w:r>
            <w:r w:rsidR="000A747A">
              <w:rPr>
                <w:rFonts w:cs="Arial"/>
                <w:color w:val="000000" w:themeColor="text1"/>
                <w:sz w:val="22"/>
                <w:szCs w:val="22"/>
                <w:lang w:val="en-US"/>
              </w:rPr>
              <w:t>.</w:t>
            </w:r>
            <w:r w:rsidRPr="00D76591">
              <w:rPr>
                <w:rFonts w:cs="Arial"/>
                <w:color w:val="000000" w:themeColor="text1"/>
                <w:sz w:val="22"/>
                <w:szCs w:val="22"/>
                <w:lang w:val="en-US"/>
              </w:rPr>
              <w:t xml:space="preserve"> </w:t>
            </w:r>
          </w:p>
          <w:p w14:paraId="149FA4DF" w14:textId="77777777" w:rsidR="00C7642E" w:rsidRDefault="00C7642E" w:rsidP="00C7642E">
            <w:pPr>
              <w:pStyle w:val="BodyText"/>
              <w:spacing w:after="0"/>
              <w:rPr>
                <w:rFonts w:cs="Arial"/>
                <w:sz w:val="22"/>
                <w:szCs w:val="22"/>
                <w:lang w:val="en-US"/>
              </w:rPr>
            </w:pPr>
          </w:p>
          <w:p w14:paraId="4B84C6A5" w14:textId="7C380CCC" w:rsidR="00C7642E" w:rsidRPr="0020343D" w:rsidRDefault="00C7642E" w:rsidP="00C7642E">
            <w:pPr>
              <w:pStyle w:val="BodyText"/>
              <w:spacing w:after="0"/>
              <w:rPr>
                <w:rFonts w:cs="Arial"/>
                <w:sz w:val="22"/>
                <w:szCs w:val="22"/>
              </w:rPr>
            </w:pPr>
            <w:r w:rsidRPr="008C25FC">
              <w:rPr>
                <w:color w:val="000000" w:themeColor="text1"/>
                <w:sz w:val="22"/>
                <w:szCs w:val="22"/>
              </w:rPr>
              <w:t xml:space="preserve">So criterion </w:t>
            </w:r>
            <w:r w:rsidRPr="008C25FC">
              <w:rPr>
                <w:color w:val="000000" w:themeColor="text1"/>
                <w:sz w:val="22"/>
                <w:szCs w:val="22"/>
                <w:lang w:val="en-GB"/>
              </w:rPr>
              <w:t>1</w:t>
            </w:r>
            <w:r w:rsidRPr="008C25FC">
              <w:rPr>
                <w:color w:val="000000" w:themeColor="text1"/>
                <w:sz w:val="22"/>
                <w:szCs w:val="22"/>
              </w:rPr>
              <w:t xml:space="preserve"> is </w:t>
            </w:r>
            <w:r w:rsidR="00B96FEE">
              <w:rPr>
                <w:color w:val="000000" w:themeColor="text1"/>
                <w:sz w:val="22"/>
                <w:szCs w:val="22"/>
                <w:lang w:val="en-GB"/>
              </w:rPr>
              <w:t>“</w:t>
            </w:r>
            <w:r w:rsidR="00B96FEE" w:rsidRPr="008C25FC">
              <w:rPr>
                <w:color w:val="000000" w:themeColor="text1"/>
                <w:sz w:val="22"/>
                <w:szCs w:val="22"/>
              </w:rPr>
              <w:t>not met</w:t>
            </w:r>
            <w:r w:rsidR="00B96FEE">
              <w:rPr>
                <w:color w:val="000000" w:themeColor="text1"/>
                <w:sz w:val="22"/>
                <w:szCs w:val="22"/>
                <w:lang w:val="en-GB"/>
              </w:rPr>
              <w:t>”</w:t>
            </w:r>
            <w:r w:rsidRPr="008C25FC">
              <w:rPr>
                <w:color w:val="000000" w:themeColor="text1"/>
                <w:sz w:val="22"/>
                <w:szCs w:val="22"/>
              </w:rPr>
              <w:t>.</w:t>
            </w:r>
          </w:p>
          <w:p w14:paraId="179CDD69" w14:textId="35A139EC" w:rsidR="00C7642E" w:rsidRPr="00385F27" w:rsidRDefault="00C7642E" w:rsidP="00C7642E">
            <w:pPr>
              <w:pStyle w:val="BodyText"/>
              <w:rPr>
                <w:rFonts w:cs="Arial"/>
              </w:rPr>
            </w:pPr>
          </w:p>
        </w:tc>
        <w:tc>
          <w:tcPr>
            <w:tcW w:w="630" w:type="pct"/>
            <w:tcBorders>
              <w:top w:val="nil"/>
              <w:left w:val="single" w:sz="8" w:space="0" w:color="auto"/>
              <w:bottom w:val="single" w:sz="8" w:space="0" w:color="auto"/>
              <w:right w:val="single" w:sz="8" w:space="0" w:color="auto"/>
            </w:tcBorders>
            <w:shd w:val="clear" w:color="auto" w:fill="FF0000"/>
          </w:tcPr>
          <w:p w14:paraId="6CD7944E" w14:textId="27EB0F3B" w:rsidR="00C7642E" w:rsidRPr="00D71447" w:rsidRDefault="00C7642E" w:rsidP="00C7642E">
            <w:pPr>
              <w:ind w:left="288" w:right="188"/>
              <w:rPr>
                <w:rFonts w:ascii="Arial" w:hAnsi="Arial" w:cs="Arial"/>
              </w:rPr>
            </w:pPr>
            <w:r>
              <w:rPr>
                <w:rFonts w:ascii="Arial" w:hAnsi="Arial" w:cs="Arial"/>
              </w:rPr>
              <w:lastRenderedPageBreak/>
              <w:t>Not met</w:t>
            </w:r>
          </w:p>
          <w:p w14:paraId="25C3AF43" w14:textId="77777777" w:rsidR="00C7642E" w:rsidRPr="00EF3DC0" w:rsidRDefault="00C7642E" w:rsidP="00C7642E">
            <w:pPr>
              <w:ind w:left="288" w:right="188"/>
              <w:rPr>
                <w:rFonts w:ascii="Arial" w:hAnsi="Arial" w:cs="Arial"/>
                <w:b/>
                <w:bCs/>
              </w:rPr>
            </w:pPr>
          </w:p>
        </w:tc>
      </w:tr>
      <w:tr w:rsidR="00C7642E" w:rsidRPr="00C9475C" w14:paraId="2415CBFC" w14:textId="77777777" w:rsidTr="00385F27">
        <w:tc>
          <w:tcPr>
            <w:tcW w:w="403" w:type="pct"/>
            <w:tcBorders>
              <w:top w:val="nil"/>
              <w:left w:val="single" w:sz="8" w:space="0" w:color="auto"/>
              <w:bottom w:val="single" w:sz="8" w:space="0" w:color="auto"/>
              <w:right w:val="single" w:sz="8" w:space="0" w:color="auto"/>
            </w:tcBorders>
          </w:tcPr>
          <w:p w14:paraId="05E92A59" w14:textId="77777777" w:rsidR="00C7642E" w:rsidRPr="00D71447" w:rsidRDefault="00C7642E" w:rsidP="00C7642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4117" w14:textId="77777777" w:rsidR="00C7642E" w:rsidRDefault="00C7642E" w:rsidP="00C7642E">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6D70085D" w14:textId="77777777" w:rsidR="00C7642E" w:rsidRPr="00D71447" w:rsidRDefault="00C7642E" w:rsidP="00C7642E">
            <w:pPr>
              <w:rPr>
                <w:rFonts w:ascii="Arial" w:hAnsi="Arial" w:cs="Arial"/>
              </w:rPr>
            </w:pPr>
          </w:p>
        </w:tc>
        <w:tc>
          <w:tcPr>
            <w:tcW w:w="2689" w:type="pct"/>
            <w:tcBorders>
              <w:top w:val="nil"/>
              <w:left w:val="single" w:sz="8" w:space="0" w:color="auto"/>
              <w:bottom w:val="single" w:sz="8" w:space="0" w:color="auto"/>
              <w:right w:val="single" w:sz="8" w:space="0" w:color="auto"/>
            </w:tcBorders>
          </w:tcPr>
          <w:p w14:paraId="702B132E" w14:textId="77777777" w:rsidR="00C7642E" w:rsidRPr="00D76591" w:rsidRDefault="00C7642E" w:rsidP="00C7642E">
            <w:pPr>
              <w:pStyle w:val="Paragraphnonumbers"/>
              <w:rPr>
                <w:b/>
                <w:bCs/>
                <w:color w:val="000000" w:themeColor="text1"/>
              </w:rPr>
            </w:pPr>
            <w:r w:rsidRPr="00D76591">
              <w:rPr>
                <w:b/>
                <w:bCs/>
                <w:color w:val="000000" w:themeColor="text1"/>
              </w:rPr>
              <w:t>Live birth incidence:</w:t>
            </w:r>
          </w:p>
          <w:p w14:paraId="3F8BC5C5" w14:textId="77777777" w:rsidR="00C7642E" w:rsidRDefault="00C7642E" w:rsidP="00C7642E">
            <w:pPr>
              <w:pStyle w:val="Paragraphnonumbers"/>
              <w:numPr>
                <w:ilvl w:val="0"/>
                <w:numId w:val="38"/>
              </w:numPr>
              <w:rPr>
                <w:color w:val="000000" w:themeColor="text1"/>
              </w:rPr>
            </w:pPr>
            <w:r>
              <w:rPr>
                <w:rFonts w:cs="Arial"/>
                <w:lang w:val="en-US"/>
              </w:rPr>
              <w:t>T</w:t>
            </w:r>
            <w:r w:rsidRPr="000847AA">
              <w:rPr>
                <w:rFonts w:cs="Arial"/>
                <w:lang w:val="en-US"/>
              </w:rPr>
              <w:t xml:space="preserve">here were </w:t>
            </w:r>
            <w:r>
              <w:rPr>
                <w:rFonts w:cs="Arial"/>
                <w:lang w:val="en-US"/>
              </w:rPr>
              <w:t>595</w:t>
            </w:r>
            <w:r w:rsidRPr="000847AA">
              <w:rPr>
                <w:rFonts w:cs="Arial"/>
                <w:lang w:val="en-US"/>
              </w:rPr>
              <w:t>,</w:t>
            </w:r>
            <w:r>
              <w:rPr>
                <w:rFonts w:cs="Arial"/>
                <w:lang w:val="en-US"/>
              </w:rPr>
              <w:t>948</w:t>
            </w:r>
            <w:r w:rsidRPr="000847AA">
              <w:rPr>
                <w:rFonts w:cs="Arial"/>
                <w:lang w:val="en-US"/>
              </w:rPr>
              <w:t xml:space="preserve"> live births in England in 20</w:t>
            </w:r>
            <w:r>
              <w:rPr>
                <w:rFonts w:cs="Arial"/>
                <w:lang w:val="en-US"/>
              </w:rPr>
              <w:t>21</w:t>
            </w:r>
            <w:r w:rsidRPr="008C25FC">
              <w:rPr>
                <w:rFonts w:cs="Arial"/>
                <w:vertAlign w:val="superscript"/>
                <w:lang w:val="en-US"/>
              </w:rPr>
              <w:t>1</w:t>
            </w:r>
            <w:r>
              <w:rPr>
                <w:rFonts w:cs="Arial"/>
                <w:vertAlign w:val="superscript"/>
                <w:lang w:val="en-US"/>
              </w:rPr>
              <w:t>2</w:t>
            </w:r>
            <w:r w:rsidRPr="000847AA">
              <w:rPr>
                <w:rFonts w:cs="Arial"/>
                <w:lang w:val="en-US"/>
              </w:rPr>
              <w:t>, so the incidence equates to about 20 (</w:t>
            </w:r>
            <w:r>
              <w:rPr>
                <w:rFonts w:cs="Arial"/>
                <w:lang w:val="en-US"/>
              </w:rPr>
              <w:t>595</w:t>
            </w:r>
            <w:r w:rsidRPr="000847AA">
              <w:rPr>
                <w:rFonts w:cs="Arial"/>
                <w:lang w:val="en-US"/>
              </w:rPr>
              <w:t>,</w:t>
            </w:r>
            <w:r>
              <w:rPr>
                <w:rFonts w:cs="Arial"/>
                <w:lang w:val="en-US"/>
              </w:rPr>
              <w:t>948</w:t>
            </w:r>
            <w:r w:rsidRPr="000847AA">
              <w:rPr>
                <w:rFonts w:cs="Arial"/>
                <w:lang w:val="en-US"/>
              </w:rPr>
              <w:t xml:space="preserve">/30,000) live births each year in England using 1:30,000 </w:t>
            </w:r>
            <w:r>
              <w:rPr>
                <w:rFonts w:cs="Arial"/>
                <w:lang w:val="en-US"/>
              </w:rPr>
              <w:t xml:space="preserve">live birth </w:t>
            </w:r>
            <w:r w:rsidRPr="000847AA">
              <w:rPr>
                <w:rFonts w:cs="Arial"/>
                <w:lang w:val="en-US"/>
              </w:rPr>
              <w:t>estimate</w:t>
            </w:r>
            <w:r>
              <w:rPr>
                <w:rFonts w:cs="Arial"/>
                <w:lang w:val="en-US"/>
              </w:rPr>
              <w:t xml:space="preserve">. </w:t>
            </w:r>
          </w:p>
          <w:p w14:paraId="702EEC5B" w14:textId="77777777" w:rsidR="00C7642E" w:rsidRPr="00D76591" w:rsidRDefault="00C7642E" w:rsidP="00C7642E">
            <w:pPr>
              <w:pStyle w:val="Paragraphnonumbers"/>
              <w:rPr>
                <w:b/>
                <w:bCs/>
                <w:color w:val="000000" w:themeColor="text1"/>
              </w:rPr>
            </w:pPr>
            <w:r w:rsidRPr="00D76591">
              <w:rPr>
                <w:b/>
                <w:bCs/>
                <w:color w:val="000000" w:themeColor="text1"/>
              </w:rPr>
              <w:t xml:space="preserve">Population eligible for treatment: </w:t>
            </w:r>
          </w:p>
          <w:p w14:paraId="532E5E70" w14:textId="77777777" w:rsidR="00C7642E" w:rsidRDefault="00C7642E" w:rsidP="00C7642E">
            <w:pPr>
              <w:pStyle w:val="Paragraphnonumbers"/>
              <w:rPr>
                <w:color w:val="000000" w:themeColor="text1"/>
              </w:rPr>
            </w:pPr>
            <w:r>
              <w:rPr>
                <w:color w:val="000000" w:themeColor="text1"/>
              </w:rPr>
              <w:t xml:space="preserve">The technology aims specifically to treat </w:t>
            </w:r>
            <w:r w:rsidRPr="00D94305">
              <w:rPr>
                <w:color w:val="000000" w:themeColor="text1"/>
              </w:rPr>
              <w:t>cholesta</w:t>
            </w:r>
            <w:r>
              <w:rPr>
                <w:color w:val="000000" w:themeColor="text1"/>
              </w:rPr>
              <w:t>tic</w:t>
            </w:r>
            <w:r w:rsidRPr="00D94305">
              <w:rPr>
                <w:color w:val="000000" w:themeColor="text1"/>
              </w:rPr>
              <w:t xml:space="preserve"> pruritus</w:t>
            </w:r>
            <w:r>
              <w:rPr>
                <w:color w:val="000000" w:themeColor="text1"/>
              </w:rPr>
              <w:t xml:space="preserve"> which can occur </w:t>
            </w:r>
            <w:r w:rsidRPr="00D94305">
              <w:rPr>
                <w:color w:val="000000" w:themeColor="text1"/>
              </w:rPr>
              <w:t>in Alagille syndrome</w:t>
            </w:r>
            <w:r>
              <w:rPr>
                <w:color w:val="000000" w:themeColor="text1"/>
              </w:rPr>
              <w:t xml:space="preserve">. The exact number of people in England with </w:t>
            </w:r>
            <w:r w:rsidRPr="00D94305">
              <w:rPr>
                <w:color w:val="000000" w:themeColor="text1"/>
              </w:rPr>
              <w:t>Alagille syndrome</w:t>
            </w:r>
            <w:r>
              <w:rPr>
                <w:color w:val="000000" w:themeColor="text1"/>
              </w:rPr>
              <w:t xml:space="preserve"> who may be eligible for treatment is not known but the NICE technical team considered that, where appropriate, this may be estimated using real world evidence. </w:t>
            </w:r>
          </w:p>
          <w:p w14:paraId="34E9C06F" w14:textId="77777777" w:rsidR="00C7642E" w:rsidRDefault="00C7642E" w:rsidP="00C7642E">
            <w:pPr>
              <w:pStyle w:val="Paragraphnonumbers"/>
              <w:rPr>
                <w:color w:val="000000" w:themeColor="text1"/>
              </w:rPr>
            </w:pPr>
            <w:r>
              <w:rPr>
                <w:color w:val="000000" w:themeColor="text1"/>
              </w:rPr>
              <w:lastRenderedPageBreak/>
              <w:t xml:space="preserve">The Global Alagille Alliance (GALA) study is an international cohort of more than 1,500 children with Alagille syndrome, which included </w:t>
            </w:r>
            <w:r w:rsidRPr="00BB3862">
              <w:rPr>
                <w:color w:val="000000" w:themeColor="text1"/>
              </w:rPr>
              <w:t>clinically and</w:t>
            </w:r>
            <w:r>
              <w:rPr>
                <w:color w:val="000000" w:themeColor="text1"/>
              </w:rPr>
              <w:t>/or</w:t>
            </w:r>
            <w:r w:rsidRPr="00BB3862">
              <w:rPr>
                <w:color w:val="000000" w:themeColor="text1"/>
              </w:rPr>
              <w:t xml:space="preserve"> genetically confirmed </w:t>
            </w:r>
            <w:r>
              <w:rPr>
                <w:color w:val="000000" w:themeColor="text1"/>
              </w:rPr>
              <w:t>cases.</w:t>
            </w:r>
            <w:r>
              <w:rPr>
                <w:color w:val="000000" w:themeColor="text1"/>
                <w:vertAlign w:val="superscript"/>
              </w:rPr>
              <w:t>9</w:t>
            </w:r>
            <w:r>
              <w:rPr>
                <w:color w:val="000000" w:themeColor="text1"/>
              </w:rPr>
              <w:t xml:space="preserve"> It is </w:t>
            </w:r>
            <w:r w:rsidRPr="005945BD">
              <w:rPr>
                <w:color w:val="000000" w:themeColor="text1"/>
              </w:rPr>
              <w:t xml:space="preserve">the largest cohort of paediatric patients </w:t>
            </w:r>
            <w:r>
              <w:rPr>
                <w:color w:val="000000" w:themeColor="text1"/>
              </w:rPr>
              <w:t xml:space="preserve">to date and aims to </w:t>
            </w:r>
            <w:r w:rsidRPr="005945BD">
              <w:rPr>
                <w:color w:val="000000" w:themeColor="text1"/>
              </w:rPr>
              <w:t xml:space="preserve">explore the natural history of </w:t>
            </w:r>
            <w:r w:rsidRPr="00E51EC3">
              <w:rPr>
                <w:color w:val="000000" w:themeColor="text1"/>
              </w:rPr>
              <w:t>Alagille syndrome</w:t>
            </w:r>
            <w:r w:rsidRPr="00CE7E37">
              <w:rPr>
                <w:color w:val="000000" w:themeColor="text1"/>
                <w:vertAlign w:val="superscript"/>
              </w:rPr>
              <w:t>1</w:t>
            </w:r>
            <w:r>
              <w:rPr>
                <w:color w:val="000000" w:themeColor="text1"/>
                <w:vertAlign w:val="superscript"/>
              </w:rPr>
              <w:t>3</w:t>
            </w:r>
            <w:r>
              <w:rPr>
                <w:color w:val="000000" w:themeColor="text1"/>
              </w:rPr>
              <w:t>.</w:t>
            </w:r>
            <w:r w:rsidRPr="005945BD">
              <w:rPr>
                <w:color w:val="000000" w:themeColor="text1"/>
              </w:rPr>
              <w:t xml:space="preserve"> </w:t>
            </w:r>
            <w:r>
              <w:rPr>
                <w:color w:val="000000" w:themeColor="text1"/>
              </w:rPr>
              <w:t xml:space="preserve">The NICE technical team considered that it may be reasonable to use some findings of this study to inform the estimation of population eligible for treatment, specifically: </w:t>
            </w:r>
          </w:p>
          <w:p w14:paraId="068842B0" w14:textId="7127EBF2" w:rsidR="00C7642E" w:rsidRDefault="00C7642E" w:rsidP="00C7642E">
            <w:pPr>
              <w:pStyle w:val="Paragraphnonumbers"/>
              <w:numPr>
                <w:ilvl w:val="0"/>
                <w:numId w:val="39"/>
              </w:numPr>
              <w:rPr>
                <w:color w:val="000000" w:themeColor="text1"/>
              </w:rPr>
            </w:pPr>
            <w:r>
              <w:rPr>
                <w:color w:val="000000" w:themeColor="text1"/>
              </w:rPr>
              <w:t>Proportion of population with cholestatic pruritus: include only people with cholestatic pruritus, about 74% as reported in the GALA study</w:t>
            </w:r>
            <w:r w:rsidRPr="00CE7E37">
              <w:rPr>
                <w:color w:val="000000" w:themeColor="text1"/>
                <w:vertAlign w:val="superscript"/>
              </w:rPr>
              <w:t>9</w:t>
            </w:r>
            <w:r>
              <w:rPr>
                <w:color w:val="000000" w:themeColor="text1"/>
              </w:rPr>
              <w:t xml:space="preserve">. Cholestatic pruritus is what the technology aims to treat. </w:t>
            </w:r>
          </w:p>
          <w:p w14:paraId="3472FDAE" w14:textId="77777777" w:rsidR="00C7642E" w:rsidRDefault="00C7642E" w:rsidP="00C7642E">
            <w:pPr>
              <w:pStyle w:val="Paragraphnonumbers"/>
              <w:numPr>
                <w:ilvl w:val="0"/>
                <w:numId w:val="39"/>
              </w:numPr>
              <w:rPr>
                <w:color w:val="000000" w:themeColor="text1"/>
              </w:rPr>
            </w:pPr>
            <w:r>
              <w:rPr>
                <w:color w:val="000000" w:themeColor="text1"/>
              </w:rPr>
              <w:t xml:space="preserve">Proportion of liver transplantation: exclude people who are likely to have had a liver transplant, 36% had a transplant due to persistent cholestasis (with </w:t>
            </w:r>
            <w:r w:rsidRPr="00280409">
              <w:rPr>
                <w:color w:val="000000" w:themeColor="text1"/>
              </w:rPr>
              <w:t>intractable pruritus the most common complication</w:t>
            </w:r>
            <w:r>
              <w:rPr>
                <w:color w:val="000000" w:themeColor="text1"/>
              </w:rPr>
              <w:t xml:space="preserve"> of persistent cholestasis) in the GALA study,</w:t>
            </w:r>
            <w:r>
              <w:rPr>
                <w:color w:val="000000" w:themeColor="text1"/>
                <w:vertAlign w:val="superscript"/>
              </w:rPr>
              <w:t>9</w:t>
            </w:r>
            <w:r>
              <w:rPr>
                <w:color w:val="000000" w:themeColor="text1"/>
              </w:rPr>
              <w:t xml:space="preserve"> because it is expected that they would not need treatment with the technology. </w:t>
            </w:r>
          </w:p>
          <w:p w14:paraId="3A7AC857" w14:textId="77777777" w:rsidR="00C7642E" w:rsidRDefault="00C7642E" w:rsidP="00C7642E">
            <w:pPr>
              <w:pStyle w:val="Paragraphnonumbers"/>
              <w:numPr>
                <w:ilvl w:val="0"/>
                <w:numId w:val="39"/>
              </w:numPr>
              <w:rPr>
                <w:color w:val="000000" w:themeColor="text1"/>
              </w:rPr>
            </w:pPr>
            <w:r>
              <w:rPr>
                <w:color w:val="000000" w:themeColor="text1"/>
              </w:rPr>
              <w:t>Mortality: exclude mortality, about 9%, which is the risk of mortality among people who had not had a liver transplant by age 18 years, as reported in the GALA study</w:t>
            </w:r>
            <w:r>
              <w:rPr>
                <w:color w:val="000000" w:themeColor="text1"/>
                <w:vertAlign w:val="superscript"/>
              </w:rPr>
              <w:t>9</w:t>
            </w:r>
            <w:r>
              <w:rPr>
                <w:color w:val="000000" w:themeColor="text1"/>
              </w:rPr>
              <w:t xml:space="preserve">. </w:t>
            </w:r>
          </w:p>
          <w:p w14:paraId="13647A10" w14:textId="77777777" w:rsidR="00C7642E" w:rsidRDefault="00C7642E" w:rsidP="00C7642E">
            <w:pPr>
              <w:pStyle w:val="Paragraphnonumbers"/>
              <w:numPr>
                <w:ilvl w:val="0"/>
                <w:numId w:val="39"/>
              </w:numPr>
              <w:rPr>
                <w:color w:val="000000" w:themeColor="text1"/>
              </w:rPr>
            </w:pPr>
            <w:r>
              <w:rPr>
                <w:color w:val="000000" w:themeColor="text1"/>
              </w:rPr>
              <w:t xml:space="preserve">Age: exclude people who are too young to receive the technology based on the licensed indication. </w:t>
            </w:r>
          </w:p>
          <w:p w14:paraId="10AB8418" w14:textId="38F7EA32" w:rsidR="00C7642E" w:rsidRDefault="00C7642E" w:rsidP="00C7642E">
            <w:pPr>
              <w:pStyle w:val="Paragraphnonumbers"/>
              <w:rPr>
                <w:color w:val="000000" w:themeColor="text1"/>
              </w:rPr>
            </w:pPr>
            <w:r>
              <w:rPr>
                <w:color w:val="000000" w:themeColor="text1"/>
              </w:rPr>
              <w:lastRenderedPageBreak/>
              <w:t xml:space="preserve">Taking account of these adjustments, the estimated population of people with Alagille syndrome who would be eligible for the technology exceeds 300. </w:t>
            </w:r>
            <w:proofErr w:type="gramStart"/>
            <w:r>
              <w:rPr>
                <w:color w:val="000000" w:themeColor="text1"/>
              </w:rPr>
              <w:t>So</w:t>
            </w:r>
            <w:proofErr w:type="gramEnd"/>
            <w:r>
              <w:rPr>
                <w:color w:val="000000" w:themeColor="text1"/>
              </w:rPr>
              <w:t xml:space="preserve"> criterion 2 is ‘not met’.</w:t>
            </w:r>
          </w:p>
          <w:p w14:paraId="1EF73CC0" w14:textId="77777777" w:rsidR="00C7642E" w:rsidRPr="00232BDD" w:rsidRDefault="00C7642E" w:rsidP="00C7642E">
            <w:pPr>
              <w:pStyle w:val="Paragraphnonumbers"/>
              <w:rPr>
                <w:color w:val="000000" w:themeColor="text1"/>
              </w:rPr>
            </w:pPr>
            <w:r>
              <w:rPr>
                <w:color w:val="000000" w:themeColor="text1"/>
              </w:rPr>
              <w:t xml:space="preserve">There are uncertainties in the estimation of population eligible for treatment. But there is </w:t>
            </w:r>
            <w:r>
              <w:rPr>
                <w:rFonts w:eastAsia="Times New Roman"/>
                <w:lang w:eastAsia="en-GB"/>
              </w:rPr>
              <w:t xml:space="preserve">not sufficient or robust evidence clearly indicating that criterion 2 is met. </w:t>
            </w:r>
          </w:p>
          <w:p w14:paraId="4FC9EDBE" w14:textId="3132426D" w:rsidR="00C7642E" w:rsidRPr="006C5FE3" w:rsidRDefault="00C7642E" w:rsidP="00C7642E">
            <w:pPr>
              <w:pStyle w:val="Paragraphnonumbers"/>
              <w:rPr>
                <w:rFonts w:cs="Arial"/>
                <w:b/>
                <w:bCs/>
                <w:lang w:val="en-US"/>
              </w:rPr>
            </w:pPr>
          </w:p>
        </w:tc>
        <w:tc>
          <w:tcPr>
            <w:tcW w:w="630" w:type="pct"/>
            <w:tcBorders>
              <w:top w:val="nil"/>
              <w:left w:val="single" w:sz="8" w:space="0" w:color="auto"/>
              <w:bottom w:val="single" w:sz="8" w:space="0" w:color="auto"/>
              <w:right w:val="single" w:sz="8" w:space="0" w:color="auto"/>
            </w:tcBorders>
            <w:shd w:val="clear" w:color="auto" w:fill="FF0000"/>
          </w:tcPr>
          <w:p w14:paraId="5A79AD52" w14:textId="77777777" w:rsidR="00C7642E" w:rsidRDefault="00C7642E" w:rsidP="00C7642E">
            <w:pPr>
              <w:ind w:left="288" w:right="188"/>
              <w:rPr>
                <w:rFonts w:ascii="Arial" w:hAnsi="Arial" w:cs="Arial"/>
              </w:rPr>
            </w:pPr>
            <w:r w:rsidRPr="00D71447">
              <w:rPr>
                <w:rFonts w:ascii="Arial" w:hAnsi="Arial" w:cs="Arial"/>
              </w:rPr>
              <w:lastRenderedPageBreak/>
              <w:t>Not met</w:t>
            </w:r>
          </w:p>
          <w:p w14:paraId="08FB19B4" w14:textId="77777777" w:rsidR="00C7642E" w:rsidRPr="00EF3DC0" w:rsidRDefault="00C7642E" w:rsidP="00C7642E">
            <w:pPr>
              <w:ind w:left="288" w:right="188"/>
              <w:rPr>
                <w:rFonts w:ascii="Arial" w:hAnsi="Arial" w:cs="Arial"/>
                <w:b/>
                <w:bCs/>
              </w:rPr>
            </w:pPr>
          </w:p>
        </w:tc>
      </w:tr>
      <w:tr w:rsidR="00C7642E" w:rsidRPr="00C9475C" w14:paraId="27429494" w14:textId="77777777" w:rsidTr="00C7642E">
        <w:tc>
          <w:tcPr>
            <w:tcW w:w="403" w:type="pct"/>
            <w:tcBorders>
              <w:top w:val="nil"/>
              <w:left w:val="single" w:sz="8" w:space="0" w:color="auto"/>
              <w:bottom w:val="single" w:sz="8" w:space="0" w:color="auto"/>
              <w:right w:val="single" w:sz="8" w:space="0" w:color="auto"/>
            </w:tcBorders>
          </w:tcPr>
          <w:p w14:paraId="733F41DC" w14:textId="77777777" w:rsidR="00C7642E" w:rsidRPr="00D71447" w:rsidRDefault="00C7642E" w:rsidP="00C7642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CE816B" w14:textId="77777777" w:rsidR="00C7642E" w:rsidRPr="00D71447" w:rsidRDefault="00C7642E" w:rsidP="00C7642E">
            <w:pPr>
              <w:rPr>
                <w:rFonts w:ascii="Arial" w:hAnsi="Arial" w:cs="Arial"/>
              </w:rPr>
            </w:pPr>
            <w:r w:rsidRPr="00D71447">
              <w:rPr>
                <w:rFonts w:ascii="Arial" w:hAnsi="Arial" w:cs="Arial"/>
              </w:rPr>
              <w:t xml:space="preserve">The very rare condition significantly shortens life or severely impairs its quality </w:t>
            </w:r>
          </w:p>
          <w:p w14:paraId="7947C04E" w14:textId="77777777" w:rsidR="00C7642E" w:rsidRPr="00D71447" w:rsidRDefault="00C7642E" w:rsidP="00C7642E">
            <w:pPr>
              <w:rPr>
                <w:rFonts w:ascii="Arial" w:hAnsi="Arial" w:cs="Arial"/>
              </w:rPr>
            </w:pPr>
          </w:p>
        </w:tc>
        <w:tc>
          <w:tcPr>
            <w:tcW w:w="2689" w:type="pct"/>
            <w:tcBorders>
              <w:top w:val="nil"/>
              <w:left w:val="single" w:sz="8" w:space="0" w:color="auto"/>
              <w:bottom w:val="single" w:sz="8" w:space="0" w:color="auto"/>
              <w:right w:val="single" w:sz="8" w:space="0" w:color="auto"/>
            </w:tcBorders>
          </w:tcPr>
          <w:p w14:paraId="2CBB6404" w14:textId="77777777" w:rsidR="00C7642E" w:rsidRDefault="00C7642E" w:rsidP="00C7642E">
            <w:pPr>
              <w:spacing w:after="240"/>
              <w:rPr>
                <w:rFonts w:ascii="Arial" w:hAnsi="Arial" w:cs="Arial"/>
              </w:rPr>
            </w:pPr>
            <w:r>
              <w:rPr>
                <w:rFonts w:ascii="Arial" w:hAnsi="Arial" w:cs="Arial"/>
              </w:rPr>
              <w:t xml:space="preserve">Pruritus associated with cholestasis in Alagille syndrome severely impairs the quality of life, impacting on all aspects of the child’s life, including sleep, appetite, education, relationships, and ability to take part in everyday activities. This has an impact on the caregivers and the wider family. </w:t>
            </w:r>
            <w:r w:rsidRPr="00CC0D68">
              <w:rPr>
                <w:rFonts w:ascii="Arial" w:hAnsi="Arial" w:cs="Arial"/>
              </w:rPr>
              <w:t xml:space="preserve">Severe and unremitting pruritus </w:t>
            </w:r>
            <w:r>
              <w:rPr>
                <w:rFonts w:ascii="Arial" w:hAnsi="Arial" w:cs="Arial"/>
              </w:rPr>
              <w:t xml:space="preserve">is </w:t>
            </w:r>
            <w:r w:rsidRPr="00CC0D68">
              <w:rPr>
                <w:rFonts w:ascii="Arial" w:hAnsi="Arial" w:cs="Arial"/>
              </w:rPr>
              <w:t>present in about 80% of cases at 2 years</w:t>
            </w:r>
            <w:r>
              <w:rPr>
                <w:rFonts w:ascii="Arial" w:hAnsi="Arial" w:cs="Arial"/>
                <w:vertAlign w:val="superscript"/>
              </w:rPr>
              <w:t>14</w:t>
            </w:r>
            <w:r>
              <w:rPr>
                <w:rFonts w:ascii="Arial" w:hAnsi="Arial" w:cs="Arial"/>
              </w:rPr>
              <w:t>.</w:t>
            </w:r>
          </w:p>
          <w:p w14:paraId="2BF8BED4" w14:textId="77777777" w:rsidR="00C7642E" w:rsidRPr="00A71BFC" w:rsidRDefault="00C7642E" w:rsidP="00C7642E">
            <w:pPr>
              <w:spacing w:after="240"/>
              <w:rPr>
                <w:rFonts w:ascii="Arial" w:hAnsi="Arial" w:cs="Arial"/>
              </w:rPr>
            </w:pPr>
            <w:r>
              <w:rPr>
                <w:rFonts w:ascii="Arial" w:hAnsi="Arial" w:cs="Arial"/>
              </w:rPr>
              <w:t xml:space="preserve">The disease can </w:t>
            </w:r>
            <w:proofErr w:type="gramStart"/>
            <w:r>
              <w:rPr>
                <w:rFonts w:ascii="Arial" w:hAnsi="Arial" w:cs="Arial"/>
              </w:rPr>
              <w:t>stabilise</w:t>
            </w:r>
            <w:proofErr w:type="gramEnd"/>
            <w:r>
              <w:rPr>
                <w:rFonts w:ascii="Arial" w:hAnsi="Arial" w:cs="Arial"/>
              </w:rPr>
              <w:t xml:space="preserve"> and symptoms may improve, but</w:t>
            </w:r>
            <w:r w:rsidRPr="00B35C14">
              <w:rPr>
                <w:rFonts w:ascii="Arial" w:hAnsi="Arial" w:cs="Arial"/>
              </w:rPr>
              <w:t xml:space="preserve"> </w:t>
            </w:r>
            <w:r w:rsidRPr="00F76740">
              <w:rPr>
                <w:rFonts w:ascii="Arial" w:hAnsi="Arial" w:cs="Arial"/>
              </w:rPr>
              <w:t xml:space="preserve">between 15% and </w:t>
            </w:r>
            <w:r>
              <w:rPr>
                <w:rFonts w:ascii="Arial" w:hAnsi="Arial" w:cs="Arial"/>
              </w:rPr>
              <w:t>50</w:t>
            </w:r>
            <w:r w:rsidRPr="00F76740">
              <w:rPr>
                <w:rFonts w:ascii="Arial" w:hAnsi="Arial" w:cs="Arial"/>
              </w:rPr>
              <w:t xml:space="preserve">% of </w:t>
            </w:r>
            <w:r>
              <w:rPr>
                <w:rFonts w:ascii="Arial" w:hAnsi="Arial" w:cs="Arial"/>
              </w:rPr>
              <w:t>children</w:t>
            </w:r>
            <w:r w:rsidRPr="00F76740">
              <w:rPr>
                <w:rFonts w:ascii="Arial" w:hAnsi="Arial" w:cs="Arial"/>
              </w:rPr>
              <w:t xml:space="preserve"> with Alagille Syndrome will have a liver transplant before 18 years of age</w:t>
            </w:r>
            <w:r w:rsidRPr="00CE7E37">
              <w:rPr>
                <w:rFonts w:ascii="Arial" w:hAnsi="Arial" w:cs="Arial"/>
                <w:vertAlign w:val="superscript"/>
              </w:rPr>
              <w:t>9</w:t>
            </w:r>
            <w:r>
              <w:rPr>
                <w:rFonts w:ascii="Arial" w:hAnsi="Arial" w:cs="Arial"/>
                <w:vertAlign w:val="superscript"/>
              </w:rPr>
              <w:t>,14</w:t>
            </w:r>
            <w:r>
              <w:rPr>
                <w:rFonts w:ascii="Arial" w:hAnsi="Arial" w:cs="Arial"/>
              </w:rPr>
              <w:t xml:space="preserve"> including 50%</w:t>
            </w:r>
            <w:r w:rsidRPr="00A71BFC">
              <w:rPr>
                <w:rFonts w:ascii="Arial" w:hAnsi="Arial" w:cs="Arial"/>
              </w:rPr>
              <w:t xml:space="preserve"> of </w:t>
            </w:r>
            <w:r>
              <w:rPr>
                <w:rFonts w:ascii="Arial" w:hAnsi="Arial" w:cs="Arial"/>
              </w:rPr>
              <w:t>those with neonatal cholestasis</w:t>
            </w:r>
            <w:r w:rsidRPr="00C723BB">
              <w:rPr>
                <w:rFonts w:ascii="Arial" w:hAnsi="Arial" w:cs="Arial"/>
                <w:vertAlign w:val="superscript"/>
              </w:rPr>
              <w:t>9</w:t>
            </w:r>
            <w:r>
              <w:rPr>
                <w:rFonts w:ascii="Arial" w:hAnsi="Arial" w:cs="Arial"/>
              </w:rPr>
              <w:t xml:space="preserve">. </w:t>
            </w:r>
            <w:r w:rsidRPr="00A71BFC">
              <w:rPr>
                <w:rFonts w:ascii="Arial" w:hAnsi="Arial" w:cs="Arial"/>
              </w:rPr>
              <w:t>Currently there is no way to predict whether liver symptoms in infancy will resolve or progress</w:t>
            </w:r>
            <w:r>
              <w:rPr>
                <w:rFonts w:ascii="Arial" w:hAnsi="Arial" w:cs="Arial"/>
                <w:vertAlign w:val="superscript"/>
              </w:rPr>
              <w:t>15</w:t>
            </w:r>
            <w:r w:rsidRPr="00A71BFC">
              <w:rPr>
                <w:rFonts w:ascii="Arial" w:hAnsi="Arial" w:cs="Arial"/>
              </w:rPr>
              <w:t>.</w:t>
            </w:r>
          </w:p>
          <w:p w14:paraId="00BD8889" w14:textId="77777777" w:rsidR="00C7642E" w:rsidRPr="00B35C14" w:rsidRDefault="00C7642E" w:rsidP="00C7642E">
            <w:pPr>
              <w:spacing w:after="240"/>
              <w:rPr>
                <w:rFonts w:ascii="Arial" w:hAnsi="Arial" w:cs="Arial"/>
              </w:rPr>
            </w:pPr>
            <w:r w:rsidRPr="00501A61">
              <w:rPr>
                <w:rFonts w:ascii="Arial" w:hAnsi="Arial" w:cs="Arial"/>
              </w:rPr>
              <w:t xml:space="preserve">The </w:t>
            </w:r>
            <w:r>
              <w:rPr>
                <w:rFonts w:ascii="Arial" w:hAnsi="Arial" w:cs="Arial"/>
              </w:rPr>
              <w:t xml:space="preserve">overall survival rate in </w:t>
            </w:r>
            <w:r w:rsidRPr="00F76740">
              <w:rPr>
                <w:rFonts w:ascii="Arial" w:hAnsi="Arial" w:cs="Arial"/>
              </w:rPr>
              <w:t xml:space="preserve">Alagille Syndrome </w:t>
            </w:r>
            <w:r>
              <w:rPr>
                <w:rFonts w:ascii="Arial" w:hAnsi="Arial" w:cs="Arial"/>
              </w:rPr>
              <w:t>is 88% at 18 years</w:t>
            </w:r>
            <w:r>
              <w:rPr>
                <w:rFonts w:ascii="Arial" w:hAnsi="Arial" w:cs="Arial"/>
                <w:vertAlign w:val="superscript"/>
              </w:rPr>
              <w:t>9</w:t>
            </w:r>
            <w:r>
              <w:rPr>
                <w:rFonts w:ascii="Arial" w:hAnsi="Arial" w:cs="Arial"/>
              </w:rPr>
              <w:t>.</w:t>
            </w:r>
            <w:r w:rsidRPr="00A71BFC">
              <w:rPr>
                <w:rFonts w:ascii="Arial" w:hAnsi="Arial" w:cs="Arial"/>
              </w:rPr>
              <w:t xml:space="preserve"> The 20-year life expectancy was higher (80%) for patients who did not require a liver transplant, and lower (60%) for patients who did require a liver transplant.</w:t>
            </w:r>
            <w:r>
              <w:rPr>
                <w:rFonts w:ascii="Arial" w:hAnsi="Arial" w:cs="Arial"/>
                <w:vertAlign w:val="superscript"/>
              </w:rPr>
              <w:t>16</w:t>
            </w:r>
          </w:p>
          <w:p w14:paraId="67C46B84" w14:textId="3AE28404" w:rsidR="00C7642E" w:rsidRPr="00385F27" w:rsidRDefault="00C7642E" w:rsidP="00C7642E">
            <w:pPr>
              <w:rPr>
                <w:rFonts w:ascii="Arial" w:hAnsi="Arial" w:cs="Arial"/>
              </w:rPr>
            </w:pPr>
          </w:p>
        </w:tc>
        <w:tc>
          <w:tcPr>
            <w:tcW w:w="630" w:type="pct"/>
            <w:tcBorders>
              <w:top w:val="nil"/>
              <w:left w:val="single" w:sz="8" w:space="0" w:color="auto"/>
              <w:bottom w:val="single" w:sz="8" w:space="0" w:color="auto"/>
              <w:right w:val="single" w:sz="8" w:space="0" w:color="auto"/>
            </w:tcBorders>
            <w:shd w:val="clear" w:color="auto" w:fill="92D050"/>
          </w:tcPr>
          <w:p w14:paraId="755D9B04" w14:textId="03236862" w:rsidR="00C7642E" w:rsidRPr="00D71447" w:rsidRDefault="00C7642E" w:rsidP="00C7642E">
            <w:pPr>
              <w:ind w:left="288" w:right="188"/>
              <w:rPr>
                <w:rFonts w:ascii="Arial" w:hAnsi="Arial" w:cs="Arial"/>
              </w:rPr>
            </w:pPr>
            <w:r>
              <w:rPr>
                <w:rFonts w:ascii="Arial" w:hAnsi="Arial" w:cs="Arial"/>
              </w:rPr>
              <w:t>M</w:t>
            </w:r>
            <w:r w:rsidRPr="00D71447">
              <w:rPr>
                <w:rFonts w:ascii="Arial" w:hAnsi="Arial" w:cs="Arial"/>
              </w:rPr>
              <w:t>et</w:t>
            </w:r>
          </w:p>
          <w:p w14:paraId="5B45FE88" w14:textId="77777777" w:rsidR="00C7642E" w:rsidRPr="00EF3DC0" w:rsidRDefault="00C7642E" w:rsidP="00C7642E">
            <w:pPr>
              <w:ind w:left="288" w:right="188"/>
              <w:rPr>
                <w:rFonts w:ascii="Arial" w:hAnsi="Arial" w:cs="Arial"/>
                <w:b/>
                <w:bCs/>
              </w:rPr>
            </w:pPr>
          </w:p>
        </w:tc>
      </w:tr>
      <w:tr w:rsidR="00C7642E" w:rsidRPr="00C9475C" w14:paraId="201A34A5" w14:textId="77777777" w:rsidTr="00385F27">
        <w:tc>
          <w:tcPr>
            <w:tcW w:w="403" w:type="pct"/>
            <w:tcBorders>
              <w:top w:val="nil"/>
              <w:left w:val="single" w:sz="8" w:space="0" w:color="auto"/>
              <w:bottom w:val="single" w:sz="8" w:space="0" w:color="auto"/>
              <w:right w:val="single" w:sz="8" w:space="0" w:color="auto"/>
            </w:tcBorders>
          </w:tcPr>
          <w:p w14:paraId="404ABE31" w14:textId="77777777" w:rsidR="00C7642E" w:rsidRPr="00D71447" w:rsidRDefault="00C7642E" w:rsidP="00C7642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F4222" w14:textId="77777777" w:rsidR="00C7642E" w:rsidRDefault="00C7642E" w:rsidP="00C7642E">
            <w:pPr>
              <w:rPr>
                <w:rFonts w:ascii="Arial" w:hAnsi="Arial" w:cs="Arial"/>
              </w:rPr>
            </w:pPr>
            <w:r w:rsidRPr="00D71447">
              <w:rPr>
                <w:rFonts w:ascii="Arial" w:hAnsi="Arial" w:cs="Arial"/>
              </w:rPr>
              <w:t xml:space="preserve">There are no other satisfactory treatment options, or the </w:t>
            </w:r>
            <w:r w:rsidRPr="00D71447">
              <w:rPr>
                <w:rFonts w:ascii="Arial" w:hAnsi="Arial" w:cs="Arial"/>
              </w:rPr>
              <w:lastRenderedPageBreak/>
              <w:t>technology is likely to offer significant additional benefit over existing treatment options.</w:t>
            </w:r>
          </w:p>
          <w:p w14:paraId="5D48CE25" w14:textId="77777777" w:rsidR="00C7642E" w:rsidRPr="00D71447" w:rsidRDefault="00C7642E" w:rsidP="00C7642E">
            <w:pPr>
              <w:rPr>
                <w:rFonts w:ascii="Arial" w:hAnsi="Arial" w:cs="Arial"/>
              </w:rPr>
            </w:pPr>
          </w:p>
          <w:p w14:paraId="4D193955" w14:textId="77777777" w:rsidR="00C7642E" w:rsidRPr="00D71447" w:rsidRDefault="00C7642E" w:rsidP="00C7642E">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76171B9" w14:textId="77777777" w:rsidR="00C7642E" w:rsidRDefault="00C7642E" w:rsidP="00C7642E">
            <w:pPr>
              <w:spacing w:after="240"/>
              <w:rPr>
                <w:rFonts w:ascii="Arial" w:hAnsi="Arial" w:cs="Arial"/>
              </w:rPr>
            </w:pPr>
            <w:r>
              <w:rPr>
                <w:rFonts w:ascii="Arial" w:hAnsi="Arial" w:cs="Arial"/>
              </w:rPr>
              <w:lastRenderedPageBreak/>
              <w:t xml:space="preserve">Current treatment for Alagille Syndrome focuses on alleviating symptoms. Treatments to reduce itching may include </w:t>
            </w:r>
            <w:proofErr w:type="spellStart"/>
            <w:r>
              <w:rPr>
                <w:rFonts w:ascii="Arial" w:hAnsi="Arial" w:cs="Arial"/>
              </w:rPr>
              <w:t>ursodeoxycholic</w:t>
            </w:r>
            <w:proofErr w:type="spellEnd"/>
            <w:r>
              <w:rPr>
                <w:rFonts w:ascii="Arial" w:hAnsi="Arial" w:cs="Arial"/>
              </w:rPr>
              <w:t xml:space="preserve"> acid, </w:t>
            </w:r>
            <w:r>
              <w:rPr>
                <w:rFonts w:ascii="Arial" w:hAnsi="Arial" w:cs="Arial"/>
              </w:rPr>
              <w:lastRenderedPageBreak/>
              <w:t xml:space="preserve">cholestyramine, rifampicin, </w:t>
            </w:r>
            <w:r w:rsidRPr="00A71BFC">
              <w:rPr>
                <w:rFonts w:ascii="Arial" w:hAnsi="Arial" w:cs="Arial"/>
              </w:rPr>
              <w:t xml:space="preserve">naltrexone, ondansetron, </w:t>
            </w:r>
            <w:proofErr w:type="gramStart"/>
            <w:r w:rsidRPr="00A71BFC">
              <w:rPr>
                <w:rFonts w:ascii="Arial" w:hAnsi="Arial" w:cs="Arial"/>
              </w:rPr>
              <w:t>SSRIs</w:t>
            </w:r>
            <w:proofErr w:type="gramEnd"/>
            <w:r w:rsidRPr="00A71BFC">
              <w:rPr>
                <w:rFonts w:ascii="Arial" w:hAnsi="Arial" w:cs="Arial"/>
              </w:rPr>
              <w:t xml:space="preserve"> and antihistamines such as chlorphenamine</w:t>
            </w:r>
            <w:r>
              <w:rPr>
                <w:rFonts w:ascii="Arial" w:hAnsi="Arial" w:cs="Arial"/>
                <w:vertAlign w:val="superscript"/>
              </w:rPr>
              <w:t>17</w:t>
            </w:r>
            <w:r w:rsidRPr="00A71BFC">
              <w:rPr>
                <w:rFonts w:ascii="Arial" w:hAnsi="Arial" w:cs="Arial"/>
              </w:rPr>
              <w:t>. Nutritional supplements and high-calorie diets are important for many people with Alagille Syndrome, because of the difficulties cholestasis causes with absorbing fats and nutrients</w:t>
            </w:r>
            <w:r>
              <w:rPr>
                <w:rFonts w:ascii="Arial" w:hAnsi="Arial" w:cs="Arial"/>
                <w:vertAlign w:val="superscript"/>
              </w:rPr>
              <w:t>15</w:t>
            </w:r>
            <w:r w:rsidRPr="00A71BFC">
              <w:rPr>
                <w:rFonts w:ascii="Arial" w:hAnsi="Arial" w:cs="Arial"/>
              </w:rPr>
              <w:t>. If Alagille Syndrome does not respond to drug and dietary therapies, a partial biliary diversion may be carried out</w:t>
            </w:r>
            <w:r w:rsidRPr="00501A61">
              <w:rPr>
                <w:rFonts w:ascii="Arial" w:hAnsi="Arial" w:cs="Arial"/>
                <w:vertAlign w:val="superscript"/>
              </w:rPr>
              <w:t>1</w:t>
            </w:r>
            <w:r>
              <w:rPr>
                <w:rFonts w:ascii="Arial" w:hAnsi="Arial" w:cs="Arial"/>
                <w:vertAlign w:val="superscript"/>
              </w:rPr>
              <w:t>8</w:t>
            </w:r>
            <w:r w:rsidRPr="00A71BFC">
              <w:rPr>
                <w:rFonts w:ascii="Arial" w:hAnsi="Arial" w:cs="Arial"/>
              </w:rPr>
              <w:t xml:space="preserve"> although this is rare in the UK. </w:t>
            </w:r>
            <w:r>
              <w:rPr>
                <w:rFonts w:ascii="Arial" w:hAnsi="Arial" w:cs="Arial"/>
              </w:rPr>
              <w:t>B</w:t>
            </w:r>
            <w:r w:rsidRPr="00F76740">
              <w:rPr>
                <w:rFonts w:ascii="Arial" w:hAnsi="Arial" w:cs="Arial"/>
              </w:rPr>
              <w:t xml:space="preserve">etween 15% and </w:t>
            </w:r>
            <w:r>
              <w:rPr>
                <w:rFonts w:ascii="Arial" w:hAnsi="Arial" w:cs="Arial"/>
              </w:rPr>
              <w:t>50</w:t>
            </w:r>
            <w:r w:rsidRPr="00F76740">
              <w:rPr>
                <w:rFonts w:ascii="Arial" w:hAnsi="Arial" w:cs="Arial"/>
              </w:rPr>
              <w:t xml:space="preserve">% of </w:t>
            </w:r>
            <w:r>
              <w:rPr>
                <w:rFonts w:ascii="Arial" w:hAnsi="Arial" w:cs="Arial"/>
              </w:rPr>
              <w:t>children</w:t>
            </w:r>
            <w:r w:rsidRPr="00F76740">
              <w:rPr>
                <w:rFonts w:ascii="Arial" w:hAnsi="Arial" w:cs="Arial"/>
              </w:rPr>
              <w:t xml:space="preserve"> with Alagille Syndrome will have a liver transplant before 18 years of age</w:t>
            </w:r>
            <w:r w:rsidRPr="00CE7E37">
              <w:rPr>
                <w:rFonts w:ascii="Arial" w:hAnsi="Arial" w:cs="Arial"/>
                <w:vertAlign w:val="superscript"/>
              </w:rPr>
              <w:t>9</w:t>
            </w:r>
            <w:r w:rsidRPr="00501A61">
              <w:rPr>
                <w:rFonts w:ascii="Arial" w:hAnsi="Arial" w:cs="Arial"/>
                <w:vertAlign w:val="superscript"/>
              </w:rPr>
              <w:t>,</w:t>
            </w:r>
            <w:r>
              <w:rPr>
                <w:rFonts w:ascii="Arial" w:hAnsi="Arial" w:cs="Arial"/>
                <w:vertAlign w:val="superscript"/>
              </w:rPr>
              <w:t>14</w:t>
            </w:r>
            <w:r>
              <w:rPr>
                <w:rFonts w:ascii="Arial" w:hAnsi="Arial" w:cs="Arial"/>
              </w:rPr>
              <w:t xml:space="preserve"> including 50%</w:t>
            </w:r>
            <w:r w:rsidRPr="00A71BFC">
              <w:rPr>
                <w:rFonts w:ascii="Arial" w:hAnsi="Arial" w:cs="Arial"/>
              </w:rPr>
              <w:t xml:space="preserve"> of </w:t>
            </w:r>
            <w:r>
              <w:rPr>
                <w:rFonts w:ascii="Arial" w:hAnsi="Arial" w:cs="Arial"/>
              </w:rPr>
              <w:t>those with neonatal cholestasis</w:t>
            </w:r>
            <w:r w:rsidRPr="00CE7E37">
              <w:rPr>
                <w:rFonts w:ascii="Arial" w:hAnsi="Arial" w:cs="Arial"/>
                <w:vertAlign w:val="superscript"/>
              </w:rPr>
              <w:t>9</w:t>
            </w:r>
            <w:r w:rsidRPr="00A71BFC">
              <w:rPr>
                <w:rFonts w:ascii="Arial" w:hAnsi="Arial" w:cs="Arial"/>
              </w:rPr>
              <w:t>.</w:t>
            </w:r>
          </w:p>
          <w:p w14:paraId="74937EBB" w14:textId="424976DA" w:rsidR="00C7642E" w:rsidRPr="00385F27" w:rsidRDefault="00C7642E" w:rsidP="00C7642E">
            <w:pPr>
              <w:rPr>
                <w:rFonts w:ascii="Arial" w:hAnsi="Arial" w:cs="Arial"/>
              </w:rPr>
            </w:pPr>
          </w:p>
        </w:tc>
        <w:tc>
          <w:tcPr>
            <w:tcW w:w="630" w:type="pct"/>
            <w:tcBorders>
              <w:top w:val="nil"/>
              <w:left w:val="single" w:sz="8" w:space="0" w:color="auto"/>
              <w:bottom w:val="single" w:sz="8" w:space="0" w:color="auto"/>
              <w:right w:val="single" w:sz="8" w:space="0" w:color="auto"/>
            </w:tcBorders>
            <w:shd w:val="clear" w:color="auto" w:fill="92D050"/>
          </w:tcPr>
          <w:p w14:paraId="5971CD09" w14:textId="77777777" w:rsidR="00C7642E" w:rsidRPr="00D71447" w:rsidRDefault="00C7642E" w:rsidP="00C7642E">
            <w:pPr>
              <w:ind w:left="288" w:right="188"/>
              <w:rPr>
                <w:rFonts w:ascii="Arial" w:hAnsi="Arial" w:cs="Arial"/>
              </w:rPr>
            </w:pPr>
            <w:r w:rsidRPr="00D71447">
              <w:rPr>
                <w:rFonts w:ascii="Arial" w:hAnsi="Arial" w:cs="Arial"/>
              </w:rPr>
              <w:lastRenderedPageBreak/>
              <w:t>Met</w:t>
            </w:r>
          </w:p>
          <w:p w14:paraId="7794BCC1" w14:textId="77777777" w:rsidR="00C7642E" w:rsidRPr="00EF3DC0" w:rsidRDefault="00C7642E" w:rsidP="00C7642E">
            <w:pPr>
              <w:ind w:left="288" w:right="188"/>
              <w:rPr>
                <w:rFonts w:ascii="Arial" w:hAnsi="Arial" w:cs="Arial"/>
                <w:b/>
                <w:bCs/>
              </w:rPr>
            </w:pPr>
          </w:p>
        </w:tc>
      </w:tr>
    </w:tbl>
    <w:p w14:paraId="28627396" w14:textId="1F9AAD13" w:rsidR="000D3405" w:rsidRDefault="000D3405" w:rsidP="00F90BB8">
      <w:pPr>
        <w:rPr>
          <w:rFonts w:ascii="Arial" w:hAnsi="Arial" w:cs="Arial"/>
          <w:b/>
          <w:bCs/>
        </w:rPr>
      </w:pPr>
    </w:p>
    <w:p w14:paraId="0BEE7A83" w14:textId="59611918" w:rsidR="00385F27" w:rsidRDefault="00385F27" w:rsidP="00F90BB8">
      <w:pPr>
        <w:rPr>
          <w:rFonts w:ascii="Arial" w:hAnsi="Arial" w:cs="Arial"/>
          <w:b/>
          <w:bCs/>
        </w:rPr>
      </w:pPr>
      <w:r>
        <w:rPr>
          <w:rFonts w:ascii="Arial" w:hAnsi="Arial" w:cs="Arial"/>
          <w:b/>
          <w:bCs/>
        </w:rPr>
        <w:t>References</w:t>
      </w:r>
    </w:p>
    <w:p w14:paraId="11771180" w14:textId="77777777" w:rsidR="006C5FE3" w:rsidRDefault="006C5FE3" w:rsidP="006C5FE3">
      <w:pPr>
        <w:rPr>
          <w:rFonts w:ascii="Arial" w:hAnsi="Arial" w:cs="Arial"/>
          <w:b/>
          <w:bCs/>
        </w:rPr>
      </w:pPr>
    </w:p>
    <w:p w14:paraId="1DE48F7A" w14:textId="693166DC" w:rsidR="00C7642E" w:rsidRPr="00217E7D" w:rsidRDefault="00C7642E" w:rsidP="00C7642E">
      <w:pPr>
        <w:pStyle w:val="BodyText"/>
        <w:rPr>
          <w:rFonts w:cs="Arial"/>
          <w:sz w:val="22"/>
          <w:szCs w:val="22"/>
          <w:lang w:val="en-GB"/>
        </w:rPr>
      </w:pPr>
      <w:bookmarkStart w:id="0" w:name="_Hlk90471482"/>
      <w:r w:rsidRPr="00217E7D">
        <w:rPr>
          <w:rFonts w:cs="Arial"/>
          <w:sz w:val="22"/>
          <w:szCs w:val="22"/>
        </w:rPr>
        <w:t>1</w:t>
      </w:r>
      <w:r w:rsidRPr="00217E7D">
        <w:rPr>
          <w:rFonts w:cs="Arial"/>
          <w:sz w:val="22"/>
          <w:szCs w:val="22"/>
          <w:lang w:val="en-GB"/>
        </w:rPr>
        <w:t xml:space="preserve"> </w:t>
      </w:r>
      <w:proofErr w:type="spellStart"/>
      <w:r w:rsidRPr="00217E7D">
        <w:rPr>
          <w:rFonts w:cs="Arial"/>
          <w:sz w:val="22"/>
          <w:szCs w:val="22"/>
          <w:lang w:val="en-GB"/>
        </w:rPr>
        <w:t>Turnpenny</w:t>
      </w:r>
      <w:proofErr w:type="spellEnd"/>
      <w:r w:rsidRPr="00217E7D">
        <w:rPr>
          <w:rFonts w:cs="Arial"/>
          <w:sz w:val="22"/>
          <w:szCs w:val="22"/>
          <w:lang w:val="en-GB"/>
        </w:rPr>
        <w:t xml:space="preserve"> PD &amp; Ellard S. (2012) </w:t>
      </w:r>
      <w:proofErr w:type="spellStart"/>
      <w:r w:rsidRPr="00217E7D">
        <w:rPr>
          <w:rFonts w:cs="Arial"/>
          <w:sz w:val="22"/>
          <w:szCs w:val="22"/>
          <w:lang w:val="en-GB"/>
        </w:rPr>
        <w:t>Eur</w:t>
      </w:r>
      <w:proofErr w:type="spellEnd"/>
      <w:r w:rsidRPr="00217E7D">
        <w:rPr>
          <w:rFonts w:cs="Arial"/>
          <w:sz w:val="22"/>
          <w:szCs w:val="22"/>
          <w:lang w:val="en-GB"/>
        </w:rPr>
        <w:t xml:space="preserve"> J Hum Genet</w:t>
      </w:r>
      <w:r w:rsidR="00217E7D">
        <w:rPr>
          <w:rFonts w:cs="Arial"/>
          <w:sz w:val="22"/>
          <w:szCs w:val="22"/>
          <w:lang w:val="en-GB"/>
        </w:rPr>
        <w:t xml:space="preserve"> </w:t>
      </w:r>
      <w:r w:rsidRPr="00217E7D">
        <w:rPr>
          <w:rFonts w:cs="Arial"/>
          <w:sz w:val="22"/>
          <w:szCs w:val="22"/>
          <w:lang w:val="en-GB"/>
        </w:rPr>
        <w:t xml:space="preserve">20:251-7. </w:t>
      </w:r>
      <w:hyperlink r:id="rId9" w:history="1">
        <w:r w:rsidRPr="00217E7D">
          <w:rPr>
            <w:rFonts w:cs="Arial"/>
            <w:sz w:val="22"/>
            <w:szCs w:val="22"/>
            <w:lang w:val="en-GB"/>
          </w:rPr>
          <w:t xml:space="preserve">Alagille syndrome: pathogenesis, </w:t>
        </w:r>
        <w:proofErr w:type="gramStart"/>
        <w:r w:rsidRPr="00217E7D">
          <w:rPr>
            <w:rFonts w:cs="Arial"/>
            <w:sz w:val="22"/>
            <w:szCs w:val="22"/>
            <w:lang w:val="en-GB"/>
          </w:rPr>
          <w:t>diagnosis</w:t>
        </w:r>
        <w:proofErr w:type="gramEnd"/>
        <w:r w:rsidRPr="00217E7D">
          <w:rPr>
            <w:rFonts w:cs="Arial"/>
            <w:sz w:val="22"/>
            <w:szCs w:val="22"/>
            <w:lang w:val="en-GB"/>
          </w:rPr>
          <w:t xml:space="preserve"> and management | European Journal of Human Genetics (nature.com)</w:t>
        </w:r>
      </w:hyperlink>
    </w:p>
    <w:p w14:paraId="6460F7EF" w14:textId="77777777" w:rsidR="00C7642E" w:rsidRPr="00217E7D" w:rsidRDefault="00C7642E" w:rsidP="00C7642E">
      <w:pPr>
        <w:pStyle w:val="BodyText"/>
        <w:rPr>
          <w:rFonts w:cs="Arial"/>
          <w:sz w:val="22"/>
          <w:szCs w:val="22"/>
        </w:rPr>
      </w:pPr>
      <w:r w:rsidRPr="00217E7D">
        <w:rPr>
          <w:rFonts w:cs="Arial"/>
          <w:sz w:val="22"/>
          <w:szCs w:val="22"/>
          <w:lang w:val="en-GB"/>
        </w:rPr>
        <w:t xml:space="preserve">2 </w:t>
      </w:r>
      <w:proofErr w:type="spellStart"/>
      <w:r w:rsidRPr="00217E7D">
        <w:rPr>
          <w:rFonts w:cs="Arial"/>
          <w:sz w:val="22"/>
          <w:szCs w:val="22"/>
          <w:lang w:val="en-GB"/>
        </w:rPr>
        <w:t>Danks</w:t>
      </w:r>
      <w:proofErr w:type="spellEnd"/>
      <w:r w:rsidRPr="00217E7D">
        <w:rPr>
          <w:rFonts w:cs="Arial"/>
          <w:sz w:val="22"/>
          <w:szCs w:val="22"/>
          <w:lang w:val="en-GB"/>
        </w:rPr>
        <w:t xml:space="preserve"> DM, et al. (1977) Arch Dis Childhood 52:360-367. </w:t>
      </w:r>
      <w:hyperlink r:id="rId10" w:history="1">
        <w:r w:rsidRPr="00217E7D">
          <w:rPr>
            <w:rFonts w:cs="Arial"/>
            <w:sz w:val="22"/>
            <w:szCs w:val="22"/>
          </w:rPr>
          <w:t>360.full.pdf (bmj.com)</w:t>
        </w:r>
      </w:hyperlink>
      <w:r w:rsidRPr="00217E7D">
        <w:rPr>
          <w:rFonts w:cs="Arial"/>
          <w:sz w:val="22"/>
          <w:szCs w:val="22"/>
        </w:rPr>
        <w:t xml:space="preserve"> </w:t>
      </w:r>
    </w:p>
    <w:p w14:paraId="77148A00" w14:textId="77777777" w:rsidR="00C7642E" w:rsidRPr="00217E7D" w:rsidRDefault="00C7642E" w:rsidP="00C7642E">
      <w:pPr>
        <w:pStyle w:val="BodyText"/>
        <w:rPr>
          <w:rFonts w:cs="Arial"/>
          <w:sz w:val="22"/>
          <w:szCs w:val="22"/>
          <w:lang w:val="en-GB"/>
        </w:rPr>
      </w:pPr>
      <w:r w:rsidRPr="00217E7D">
        <w:rPr>
          <w:rFonts w:cs="Arial"/>
          <w:sz w:val="22"/>
          <w:szCs w:val="22"/>
          <w:lang w:val="en-GB"/>
        </w:rPr>
        <w:t xml:space="preserve">3 Kamath BM, Spinner NB, </w:t>
      </w:r>
      <w:proofErr w:type="spellStart"/>
      <w:r w:rsidRPr="00217E7D">
        <w:rPr>
          <w:rFonts w:cs="Arial"/>
          <w:sz w:val="22"/>
          <w:szCs w:val="22"/>
          <w:lang w:val="en-GB"/>
        </w:rPr>
        <w:t>Piccoli</w:t>
      </w:r>
      <w:proofErr w:type="spellEnd"/>
      <w:r w:rsidRPr="00217E7D">
        <w:rPr>
          <w:rFonts w:cs="Arial"/>
          <w:sz w:val="22"/>
          <w:szCs w:val="22"/>
          <w:lang w:val="en-GB"/>
        </w:rPr>
        <w:t xml:space="preserve"> DA. Alagille syndrome. In: </w:t>
      </w:r>
      <w:proofErr w:type="spellStart"/>
      <w:r w:rsidRPr="00217E7D">
        <w:rPr>
          <w:rFonts w:cs="Arial"/>
          <w:sz w:val="22"/>
          <w:szCs w:val="22"/>
          <w:lang w:val="en-GB"/>
        </w:rPr>
        <w:t>Suchy</w:t>
      </w:r>
      <w:proofErr w:type="spellEnd"/>
      <w:r w:rsidRPr="00217E7D">
        <w:rPr>
          <w:rFonts w:cs="Arial"/>
          <w:sz w:val="22"/>
          <w:szCs w:val="22"/>
          <w:lang w:val="en-GB"/>
        </w:rPr>
        <w:t xml:space="preserve"> FJ, Sokol RJ, Balistreri WF, eds. Liver Disease in Children, 3rd ed. Cambridge, UK: Cambridge University Press; 2007:326–45.</w:t>
      </w:r>
    </w:p>
    <w:p w14:paraId="69FF1DB4" w14:textId="7E99231E" w:rsidR="00C7642E" w:rsidRPr="00217E7D" w:rsidRDefault="00C7642E" w:rsidP="00C7642E">
      <w:pPr>
        <w:pStyle w:val="BodyText"/>
        <w:rPr>
          <w:rFonts w:cs="Arial"/>
          <w:sz w:val="22"/>
          <w:szCs w:val="22"/>
          <w:lang w:val="en-GB"/>
        </w:rPr>
      </w:pPr>
      <w:r w:rsidRPr="00217E7D">
        <w:rPr>
          <w:rFonts w:cs="Arial"/>
          <w:sz w:val="22"/>
          <w:szCs w:val="22"/>
          <w:lang w:val="en-GB"/>
        </w:rPr>
        <w:t xml:space="preserve">4 </w:t>
      </w:r>
      <w:proofErr w:type="spellStart"/>
      <w:r w:rsidRPr="00217E7D">
        <w:rPr>
          <w:rFonts w:cs="Arial"/>
          <w:sz w:val="22"/>
          <w:szCs w:val="22"/>
          <w:lang w:val="en-GB"/>
        </w:rPr>
        <w:t>Subramamn</w:t>
      </w:r>
      <w:proofErr w:type="spellEnd"/>
      <w:r w:rsidRPr="00217E7D">
        <w:rPr>
          <w:rFonts w:cs="Arial"/>
          <w:sz w:val="22"/>
          <w:szCs w:val="22"/>
          <w:lang w:val="en-GB"/>
        </w:rPr>
        <w:t xml:space="preserve"> et al. 2020 Diagnosis of Alagille Syndrome—25 Years of Experience at King's College Hospital, PPGN</w:t>
      </w:r>
      <w:r w:rsidR="00217E7D">
        <w:rPr>
          <w:rFonts w:cs="Arial"/>
          <w:sz w:val="22"/>
          <w:szCs w:val="22"/>
          <w:lang w:val="en-GB"/>
        </w:rPr>
        <w:t xml:space="preserve"> </w:t>
      </w:r>
      <w:hyperlink r:id="rId11" w:history="1">
        <w:r w:rsidR="00217E7D" w:rsidRPr="00D20F15">
          <w:rPr>
            <w:rStyle w:val="Hyperlink"/>
            <w:rFonts w:cs="Arial"/>
            <w:sz w:val="22"/>
            <w:szCs w:val="22"/>
            <w:lang w:val="en-GB"/>
          </w:rPr>
          <w:t>https://jo</w:t>
        </w:r>
        <w:r w:rsidR="00217E7D" w:rsidRPr="00D20F15">
          <w:rPr>
            <w:rStyle w:val="Hyperlink"/>
            <w:rFonts w:cs="Arial"/>
            <w:sz w:val="22"/>
            <w:szCs w:val="22"/>
          </w:rPr>
          <w:t>urnals.lww.com/jpgn/FullText/2011/01000/Diagnosis_of_Alagille_Syndrome_25_Years_of.16.aspx</w:t>
        </w:r>
      </w:hyperlink>
      <w:r w:rsidR="00217E7D">
        <w:rPr>
          <w:rFonts w:cs="Arial"/>
          <w:sz w:val="22"/>
          <w:szCs w:val="22"/>
          <w:lang w:val="en-GB"/>
        </w:rPr>
        <w:t xml:space="preserve"> </w:t>
      </w:r>
    </w:p>
    <w:p w14:paraId="7B237E65" w14:textId="77777777" w:rsidR="00C7642E" w:rsidRPr="00217E7D" w:rsidRDefault="00C7642E" w:rsidP="00C7642E">
      <w:pPr>
        <w:pStyle w:val="BodyText"/>
        <w:rPr>
          <w:rFonts w:cs="Arial"/>
          <w:sz w:val="22"/>
          <w:szCs w:val="22"/>
        </w:rPr>
      </w:pPr>
      <w:r w:rsidRPr="00217E7D">
        <w:rPr>
          <w:rFonts w:cs="Arial"/>
          <w:sz w:val="22"/>
          <w:szCs w:val="22"/>
          <w:lang w:val="fr-FR"/>
        </w:rPr>
        <w:t xml:space="preserve">5 Leonard, L.D. </w:t>
      </w:r>
      <w:r w:rsidRPr="00217E7D">
        <w:rPr>
          <w:rFonts w:cs="Arial"/>
          <w:i/>
          <w:iCs/>
          <w:sz w:val="22"/>
          <w:szCs w:val="22"/>
          <w:lang w:val="fr-FR"/>
        </w:rPr>
        <w:t>et al.</w:t>
      </w:r>
      <w:r w:rsidRPr="00217E7D">
        <w:rPr>
          <w:rFonts w:cs="Arial"/>
          <w:sz w:val="22"/>
          <w:szCs w:val="22"/>
          <w:lang w:val="fr-FR"/>
        </w:rPr>
        <w:t xml:space="preserve"> </w:t>
      </w:r>
      <w:r w:rsidRPr="00217E7D">
        <w:rPr>
          <w:rFonts w:cs="Arial"/>
          <w:sz w:val="22"/>
          <w:szCs w:val="22"/>
        </w:rPr>
        <w:t xml:space="preserve">(2014) ‘Clinical utility gene card for: Alagille Syndrome (ALGS)’, </w:t>
      </w:r>
      <w:r w:rsidRPr="00217E7D">
        <w:rPr>
          <w:rFonts w:cs="Arial"/>
          <w:i/>
          <w:iCs/>
          <w:sz w:val="22"/>
          <w:szCs w:val="22"/>
        </w:rPr>
        <w:t>European Journal of Human Genetics</w:t>
      </w:r>
      <w:r w:rsidRPr="00217E7D">
        <w:rPr>
          <w:rFonts w:cs="Arial"/>
          <w:sz w:val="22"/>
          <w:szCs w:val="22"/>
        </w:rPr>
        <w:t xml:space="preserve">, 22(3). </w:t>
      </w:r>
    </w:p>
    <w:p w14:paraId="1BB4DA23" w14:textId="77777777" w:rsidR="00C7642E" w:rsidRPr="00217E7D" w:rsidRDefault="00C7642E" w:rsidP="00C7642E">
      <w:pPr>
        <w:pStyle w:val="CommentText"/>
        <w:spacing w:after="240"/>
        <w:rPr>
          <w:rFonts w:ascii="Arial" w:eastAsia="Times New Roman" w:hAnsi="Arial" w:cs="Arial"/>
          <w:sz w:val="22"/>
          <w:szCs w:val="22"/>
        </w:rPr>
      </w:pPr>
      <w:r w:rsidRPr="00217E7D">
        <w:rPr>
          <w:rFonts w:ascii="Arial" w:eastAsia="Times New Roman" w:hAnsi="Arial" w:cs="Arial"/>
          <w:sz w:val="22"/>
          <w:szCs w:val="22"/>
        </w:rPr>
        <w:t xml:space="preserve">6 Kamath, B. </w:t>
      </w:r>
      <w:r w:rsidRPr="00217E7D">
        <w:rPr>
          <w:rFonts w:ascii="Arial" w:eastAsia="Times New Roman" w:hAnsi="Arial" w:cs="Arial"/>
          <w:i/>
          <w:iCs/>
          <w:sz w:val="22"/>
          <w:szCs w:val="22"/>
        </w:rPr>
        <w:t>et al.</w:t>
      </w:r>
      <w:r w:rsidRPr="00217E7D">
        <w:rPr>
          <w:rFonts w:ascii="Arial" w:eastAsia="Times New Roman" w:hAnsi="Arial" w:cs="Arial"/>
          <w:sz w:val="22"/>
          <w:szCs w:val="22"/>
        </w:rPr>
        <w:t xml:space="preserve"> (2003) ‘Consequences of JAG1 mutations’, </w:t>
      </w:r>
      <w:r w:rsidRPr="00217E7D">
        <w:rPr>
          <w:rFonts w:ascii="Arial" w:eastAsia="Times New Roman" w:hAnsi="Arial" w:cs="Arial"/>
          <w:i/>
          <w:iCs/>
          <w:sz w:val="22"/>
          <w:szCs w:val="22"/>
        </w:rPr>
        <w:t>Journal of Medical Genetics</w:t>
      </w:r>
      <w:r w:rsidRPr="00217E7D">
        <w:rPr>
          <w:rFonts w:ascii="Arial" w:eastAsia="Times New Roman" w:hAnsi="Arial" w:cs="Arial"/>
          <w:sz w:val="22"/>
          <w:szCs w:val="22"/>
        </w:rPr>
        <w:t>, 40(12), pp. 891–895. doi:10.1136/jmg.40.12.891.</w:t>
      </w:r>
    </w:p>
    <w:p w14:paraId="0421247F" w14:textId="77777777" w:rsidR="00C7642E" w:rsidRPr="00217E7D" w:rsidRDefault="00C7642E" w:rsidP="00C7642E">
      <w:pPr>
        <w:pStyle w:val="Paragraphnonumbers"/>
        <w:rPr>
          <w:rFonts w:cs="Arial"/>
        </w:rPr>
      </w:pPr>
      <w:r w:rsidRPr="00217E7D">
        <w:rPr>
          <w:rFonts w:cs="Arial"/>
        </w:rPr>
        <w:lastRenderedPageBreak/>
        <w:t xml:space="preserve">7 Ayoub MD, Kamath BM. Diagnostics (Basel). 2020; 10(11): 907. </w:t>
      </w:r>
      <w:hyperlink r:id="rId12" w:history="1">
        <w:r w:rsidRPr="00217E7D">
          <w:rPr>
            <w:rStyle w:val="Hyperlink"/>
            <w:rFonts w:cs="Arial"/>
          </w:rPr>
          <w:t>Alagille Syndrome: Diagnostic Challenges and Advances in Management - PMC (nih.gov)</w:t>
        </w:r>
      </w:hyperlink>
    </w:p>
    <w:p w14:paraId="0681BCF6" w14:textId="77777777" w:rsidR="00C7642E" w:rsidRPr="00217E7D" w:rsidRDefault="00C7642E" w:rsidP="00C7642E">
      <w:pPr>
        <w:pStyle w:val="BodyText"/>
        <w:rPr>
          <w:rFonts w:eastAsiaTheme="minorHAnsi" w:cs="Arial"/>
          <w:sz w:val="22"/>
          <w:szCs w:val="22"/>
          <w:lang w:val="en-GB"/>
        </w:rPr>
      </w:pPr>
      <w:r w:rsidRPr="00217E7D">
        <w:rPr>
          <w:rFonts w:eastAsiaTheme="minorHAnsi" w:cs="Arial"/>
          <w:sz w:val="22"/>
          <w:szCs w:val="22"/>
          <w:lang w:val="en-GB"/>
        </w:rPr>
        <w:t xml:space="preserve">8 Kamath BM, Spinner NB, </w:t>
      </w:r>
      <w:proofErr w:type="spellStart"/>
      <w:r w:rsidRPr="00217E7D">
        <w:rPr>
          <w:rFonts w:eastAsiaTheme="minorHAnsi" w:cs="Arial"/>
          <w:sz w:val="22"/>
          <w:szCs w:val="22"/>
          <w:lang w:val="en-GB"/>
        </w:rPr>
        <w:t>Piccoli</w:t>
      </w:r>
      <w:proofErr w:type="spellEnd"/>
      <w:r w:rsidRPr="00217E7D">
        <w:rPr>
          <w:rFonts w:eastAsiaTheme="minorHAnsi" w:cs="Arial"/>
          <w:sz w:val="22"/>
          <w:szCs w:val="22"/>
          <w:lang w:val="en-GB"/>
        </w:rPr>
        <w:t xml:space="preserve"> DA. Alagille syndrome. In: </w:t>
      </w:r>
      <w:proofErr w:type="spellStart"/>
      <w:r w:rsidRPr="00217E7D">
        <w:rPr>
          <w:rFonts w:eastAsiaTheme="minorHAnsi" w:cs="Arial"/>
          <w:sz w:val="22"/>
          <w:szCs w:val="22"/>
          <w:lang w:val="en-GB"/>
        </w:rPr>
        <w:t>Suchy</w:t>
      </w:r>
      <w:proofErr w:type="spellEnd"/>
      <w:r w:rsidRPr="00217E7D">
        <w:rPr>
          <w:rFonts w:eastAsiaTheme="minorHAnsi" w:cs="Arial"/>
          <w:sz w:val="22"/>
          <w:szCs w:val="22"/>
          <w:lang w:val="en-GB"/>
        </w:rPr>
        <w:t xml:space="preserve"> FJ, Sokol RJ, Balistreri WF, eds. Liver Disease in Children, 5th ed. Cambridge, UK: Cambridge University Press; 2021:222–41.</w:t>
      </w:r>
    </w:p>
    <w:p w14:paraId="3A3ACBE9" w14:textId="77777777" w:rsidR="00C7642E" w:rsidRPr="00217E7D" w:rsidRDefault="00C7642E" w:rsidP="00C7642E">
      <w:pPr>
        <w:pStyle w:val="BodyText"/>
        <w:rPr>
          <w:rFonts w:cs="Arial"/>
          <w:sz w:val="22"/>
          <w:szCs w:val="22"/>
          <w:lang w:val="en-GB"/>
        </w:rPr>
      </w:pPr>
      <w:r w:rsidRPr="00217E7D">
        <w:rPr>
          <w:rFonts w:cs="Arial"/>
          <w:sz w:val="22"/>
          <w:szCs w:val="22"/>
          <w:lang w:val="en-GB"/>
        </w:rPr>
        <w:t xml:space="preserve">9 </w:t>
      </w:r>
      <w:proofErr w:type="spellStart"/>
      <w:r w:rsidRPr="00217E7D">
        <w:rPr>
          <w:rFonts w:cs="Arial"/>
          <w:sz w:val="22"/>
          <w:szCs w:val="22"/>
          <w:lang w:val="en-GB"/>
        </w:rPr>
        <w:t>Vandriel</w:t>
      </w:r>
      <w:proofErr w:type="spellEnd"/>
      <w:r w:rsidRPr="00217E7D">
        <w:rPr>
          <w:rFonts w:cs="Arial"/>
          <w:sz w:val="22"/>
          <w:szCs w:val="22"/>
          <w:lang w:val="en-GB"/>
        </w:rPr>
        <w:t xml:space="preserve"> SM, Li L, She H, et al. (2023) Natural history of liver disease in a large international cohort of children with Alagille syndrome: Results from the GALA study. Hepatology 77, 512–529. </w:t>
      </w:r>
      <w:hyperlink r:id="rId13" w:history="1">
        <w:r w:rsidRPr="00217E7D">
          <w:rPr>
            <w:rStyle w:val="Hyperlink"/>
            <w:rFonts w:cs="Arial"/>
            <w:sz w:val="22"/>
            <w:szCs w:val="22"/>
            <w:lang w:val="en-GB"/>
          </w:rPr>
          <w:t>https://doi.org/10.1002/hep.32761</w:t>
        </w:r>
      </w:hyperlink>
    </w:p>
    <w:p w14:paraId="7CAD795D" w14:textId="77777777" w:rsidR="00C7642E" w:rsidRPr="00217E7D" w:rsidRDefault="00C7642E" w:rsidP="00C7642E">
      <w:pPr>
        <w:pStyle w:val="BodyText"/>
        <w:rPr>
          <w:rFonts w:cs="Arial"/>
          <w:sz w:val="22"/>
          <w:szCs w:val="22"/>
          <w:lang w:val="en-GB"/>
        </w:rPr>
      </w:pPr>
      <w:r w:rsidRPr="00217E7D">
        <w:rPr>
          <w:rFonts w:cs="Arial"/>
          <w:sz w:val="22"/>
          <w:szCs w:val="22"/>
          <w:lang w:val="en-US"/>
        </w:rPr>
        <w:t xml:space="preserve">10 Diaz-Frias J, </w:t>
      </w:r>
      <w:proofErr w:type="spellStart"/>
      <w:r w:rsidRPr="00217E7D">
        <w:rPr>
          <w:rFonts w:cs="Arial"/>
          <w:sz w:val="22"/>
          <w:szCs w:val="22"/>
          <w:lang w:val="en-US"/>
        </w:rPr>
        <w:t>Kondamudi</w:t>
      </w:r>
      <w:proofErr w:type="spellEnd"/>
      <w:r w:rsidRPr="00217E7D">
        <w:rPr>
          <w:rFonts w:cs="Arial"/>
          <w:sz w:val="22"/>
          <w:szCs w:val="22"/>
          <w:lang w:val="en-US"/>
        </w:rPr>
        <w:t xml:space="preserve"> NP. Alagille Syndrome. [Updated 2022 </w:t>
      </w:r>
      <w:proofErr w:type="spellStart"/>
      <w:r w:rsidRPr="00217E7D">
        <w:rPr>
          <w:rFonts w:cs="Arial"/>
          <w:sz w:val="22"/>
          <w:szCs w:val="22"/>
          <w:lang w:val="en-US"/>
        </w:rPr>
        <w:t>JAug</w:t>
      </w:r>
      <w:proofErr w:type="spellEnd"/>
      <w:r w:rsidRPr="00217E7D">
        <w:rPr>
          <w:rFonts w:cs="Arial"/>
          <w:sz w:val="22"/>
          <w:szCs w:val="22"/>
          <w:lang w:val="en-US"/>
        </w:rPr>
        <w:t xml:space="preserve"> 14]. In: </w:t>
      </w:r>
      <w:proofErr w:type="spellStart"/>
      <w:r w:rsidRPr="00217E7D">
        <w:rPr>
          <w:rFonts w:cs="Arial"/>
          <w:sz w:val="22"/>
          <w:szCs w:val="22"/>
          <w:lang w:val="en-US"/>
        </w:rPr>
        <w:t>StatPearls</w:t>
      </w:r>
      <w:proofErr w:type="spellEnd"/>
      <w:r w:rsidRPr="00217E7D">
        <w:rPr>
          <w:rFonts w:cs="Arial"/>
          <w:sz w:val="22"/>
          <w:szCs w:val="22"/>
          <w:lang w:val="en-US"/>
        </w:rPr>
        <w:t xml:space="preserve"> [Internet]. Treasure Island (FL): </w:t>
      </w:r>
      <w:proofErr w:type="spellStart"/>
      <w:r w:rsidRPr="00217E7D">
        <w:rPr>
          <w:rFonts w:cs="Arial"/>
          <w:sz w:val="22"/>
          <w:szCs w:val="22"/>
          <w:lang w:val="en-US"/>
        </w:rPr>
        <w:t>StatPearls</w:t>
      </w:r>
      <w:proofErr w:type="spellEnd"/>
      <w:r w:rsidRPr="00217E7D">
        <w:rPr>
          <w:rFonts w:cs="Arial"/>
          <w:sz w:val="22"/>
          <w:szCs w:val="22"/>
          <w:lang w:val="en-US"/>
        </w:rPr>
        <w:t xml:space="preserve"> Publishing; 2023. Available at: </w:t>
      </w:r>
      <w:hyperlink r:id="rId14" w:history="1">
        <w:r w:rsidRPr="00217E7D">
          <w:rPr>
            <w:rStyle w:val="Hyperlink"/>
            <w:rFonts w:cs="Arial"/>
            <w:sz w:val="22"/>
            <w:szCs w:val="22"/>
            <w:lang w:val="en-US"/>
          </w:rPr>
          <w:t>https://www.ncbi.nlm.nih.gov/books/NBK507827</w:t>
        </w:r>
      </w:hyperlink>
      <w:r w:rsidRPr="00217E7D">
        <w:rPr>
          <w:rFonts w:cs="Arial"/>
          <w:sz w:val="22"/>
          <w:szCs w:val="22"/>
          <w:lang w:val="en-US"/>
        </w:rPr>
        <w:t>. Accessed July 2023.</w:t>
      </w:r>
    </w:p>
    <w:p w14:paraId="2615EF2E" w14:textId="77777777" w:rsidR="00C7642E" w:rsidRPr="00217E7D" w:rsidRDefault="00C7642E" w:rsidP="00C7642E">
      <w:pPr>
        <w:pStyle w:val="CommentText"/>
        <w:spacing w:after="240"/>
        <w:rPr>
          <w:rFonts w:ascii="Arial" w:eastAsia="Times New Roman" w:hAnsi="Arial" w:cs="Arial"/>
          <w:sz w:val="22"/>
          <w:szCs w:val="22"/>
        </w:rPr>
      </w:pPr>
      <w:r w:rsidRPr="00217E7D">
        <w:rPr>
          <w:rFonts w:ascii="Arial" w:eastAsia="Times New Roman" w:hAnsi="Arial" w:cs="Arial"/>
          <w:sz w:val="22"/>
          <w:szCs w:val="22"/>
        </w:rPr>
        <w:t xml:space="preserve">11 Office for National Statistics (2022) Estimates of the population for the UK, England and Wales, </w:t>
      </w:r>
      <w:proofErr w:type="gramStart"/>
      <w:r w:rsidRPr="00217E7D">
        <w:rPr>
          <w:rFonts w:ascii="Arial" w:eastAsia="Times New Roman" w:hAnsi="Arial" w:cs="Arial"/>
          <w:sz w:val="22"/>
          <w:szCs w:val="22"/>
        </w:rPr>
        <w:t>Scotland</w:t>
      </w:r>
      <w:proofErr w:type="gramEnd"/>
      <w:r w:rsidRPr="00217E7D">
        <w:rPr>
          <w:rFonts w:ascii="Arial" w:eastAsia="Times New Roman" w:hAnsi="Arial" w:cs="Arial"/>
          <w:sz w:val="22"/>
          <w:szCs w:val="22"/>
        </w:rPr>
        <w:t xml:space="preserve"> and Northern Ireland. Available at </w:t>
      </w:r>
      <w:hyperlink r:id="rId15" w:history="1">
        <w:r w:rsidRPr="00217E7D">
          <w:rPr>
            <w:rStyle w:val="Hyperlink"/>
            <w:rFonts w:ascii="Arial" w:eastAsia="Times New Roman" w:hAnsi="Arial" w:cs="Arial"/>
            <w:sz w:val="22"/>
            <w:szCs w:val="22"/>
          </w:rPr>
          <w:t>https://www.ons.gov.uk/peoplepopulationandcommunity/populationandmigration/populationestimates/datasets/populationestimatesforukenglandandwalesscotlandandnorthernireland</w:t>
        </w:r>
      </w:hyperlink>
      <w:r w:rsidRPr="00217E7D">
        <w:rPr>
          <w:rFonts w:ascii="Arial" w:eastAsia="Times New Roman" w:hAnsi="Arial" w:cs="Arial"/>
          <w:sz w:val="22"/>
          <w:szCs w:val="22"/>
        </w:rPr>
        <w:t xml:space="preserve"> Accessed March 2023. </w:t>
      </w:r>
    </w:p>
    <w:p w14:paraId="32857E12" w14:textId="77777777" w:rsidR="00C7642E" w:rsidRPr="00217E7D" w:rsidRDefault="00C7642E" w:rsidP="00C7642E">
      <w:pPr>
        <w:pStyle w:val="CommentText"/>
        <w:spacing w:after="240"/>
        <w:rPr>
          <w:rFonts w:ascii="Arial" w:eastAsia="Times New Roman" w:hAnsi="Arial" w:cs="Arial"/>
          <w:sz w:val="22"/>
          <w:szCs w:val="22"/>
        </w:rPr>
      </w:pPr>
      <w:r w:rsidRPr="00217E7D">
        <w:rPr>
          <w:rFonts w:ascii="Arial" w:eastAsia="Times New Roman" w:hAnsi="Arial" w:cs="Arial"/>
          <w:sz w:val="22"/>
          <w:szCs w:val="22"/>
        </w:rPr>
        <w:t xml:space="preserve">12 Live births rate 7 Office for National Statistics (2021) Births in England and Wales: summary tables. Available at </w:t>
      </w:r>
      <w:hyperlink r:id="rId16" w:history="1">
        <w:r w:rsidRPr="00217E7D">
          <w:rPr>
            <w:rStyle w:val="Hyperlink"/>
            <w:rFonts w:ascii="Arial" w:eastAsia="Times New Roman" w:hAnsi="Arial" w:cs="Arial"/>
            <w:sz w:val="22"/>
            <w:szCs w:val="22"/>
          </w:rPr>
          <w:t>https://www.ons.gov.uk/peoplepopulationandcommunity/birthsdeathsandmarriages/livebirths/datasets/birthsummarytables</w:t>
        </w:r>
      </w:hyperlink>
      <w:r w:rsidRPr="00217E7D">
        <w:rPr>
          <w:rFonts w:ascii="Arial" w:eastAsia="Times New Roman" w:hAnsi="Arial" w:cs="Arial"/>
          <w:sz w:val="22"/>
          <w:szCs w:val="22"/>
        </w:rPr>
        <w:t xml:space="preserve"> Accessed January 2023.</w:t>
      </w:r>
    </w:p>
    <w:p w14:paraId="46424185" w14:textId="0DEA03F4" w:rsidR="00C7642E" w:rsidRPr="00217E7D" w:rsidRDefault="00C7642E" w:rsidP="00C7642E">
      <w:pPr>
        <w:pStyle w:val="Paragraphnonumbers"/>
        <w:rPr>
          <w:rFonts w:cs="Arial"/>
        </w:rPr>
      </w:pPr>
      <w:r w:rsidRPr="00217E7D">
        <w:rPr>
          <w:rFonts w:cs="Arial"/>
        </w:rPr>
        <w:t xml:space="preserve">13 </w:t>
      </w:r>
      <w:proofErr w:type="spellStart"/>
      <w:r w:rsidRPr="00217E7D">
        <w:rPr>
          <w:rFonts w:cs="Arial"/>
        </w:rPr>
        <w:t>Habash</w:t>
      </w:r>
      <w:proofErr w:type="spellEnd"/>
      <w:r w:rsidRPr="00217E7D">
        <w:rPr>
          <w:rFonts w:cs="Arial"/>
        </w:rPr>
        <w:t xml:space="preserve"> N, Ibrahim S. (2023) The Global Alagille Alliance study: Redefining the natural history of Alagille syndrome. Hepatology 77(2): 347-349. </w:t>
      </w:r>
      <w:r w:rsidR="00217E7D">
        <w:rPr>
          <w:rFonts w:cs="Arial"/>
        </w:rPr>
        <w:t>doi</w:t>
      </w:r>
      <w:r w:rsidRPr="00217E7D">
        <w:rPr>
          <w:rFonts w:cs="Arial"/>
        </w:rPr>
        <w:t>:10.1002/hep.32760</w:t>
      </w:r>
    </w:p>
    <w:p w14:paraId="76D86201" w14:textId="77777777" w:rsidR="00C7642E" w:rsidRPr="00217E7D" w:rsidRDefault="00C7642E" w:rsidP="00C7642E">
      <w:pPr>
        <w:pStyle w:val="BodyText"/>
        <w:rPr>
          <w:rFonts w:cs="Arial"/>
          <w:sz w:val="22"/>
          <w:szCs w:val="22"/>
          <w:lang w:val="en-GB"/>
        </w:rPr>
      </w:pPr>
      <w:r w:rsidRPr="00217E7D">
        <w:rPr>
          <w:rFonts w:cs="Arial"/>
          <w:sz w:val="22"/>
          <w:szCs w:val="22"/>
          <w:lang w:val="en-GB"/>
        </w:rPr>
        <w:t xml:space="preserve">14 Kamath, B.M. et al. (2018) ‘Systematic Review: The Epidemiology, Natural History, and Burden of Alagille Syndrome’, Journal of </w:t>
      </w:r>
      <w:proofErr w:type="spellStart"/>
      <w:r w:rsidRPr="00217E7D">
        <w:rPr>
          <w:rFonts w:cs="Arial"/>
          <w:sz w:val="22"/>
          <w:szCs w:val="22"/>
          <w:lang w:val="en-GB"/>
        </w:rPr>
        <w:t>Pediatric</w:t>
      </w:r>
      <w:proofErr w:type="spellEnd"/>
      <w:r w:rsidRPr="00217E7D">
        <w:rPr>
          <w:rFonts w:cs="Arial"/>
          <w:sz w:val="22"/>
          <w:szCs w:val="22"/>
          <w:lang w:val="en-GB"/>
        </w:rPr>
        <w:t xml:space="preserve"> Gastroenterology and Nutrition, 67(2), pp. 148–156. doi:10.1097/MPG.0000000000001958.</w:t>
      </w:r>
    </w:p>
    <w:p w14:paraId="6634C6A2" w14:textId="77777777" w:rsidR="00C7642E" w:rsidRPr="00217E7D" w:rsidRDefault="00C7642E" w:rsidP="00C7642E">
      <w:pPr>
        <w:pStyle w:val="Paragraphnonumbers"/>
        <w:rPr>
          <w:rFonts w:cs="Arial"/>
        </w:rPr>
      </w:pPr>
      <w:r w:rsidRPr="00217E7D">
        <w:rPr>
          <w:rFonts w:cs="Arial"/>
        </w:rPr>
        <w:t xml:space="preserve">15 Spinner NB, Gilbert MA, </w:t>
      </w:r>
      <w:proofErr w:type="spellStart"/>
      <w:r w:rsidRPr="00217E7D">
        <w:rPr>
          <w:rFonts w:cs="Arial"/>
        </w:rPr>
        <w:t>Loomes</w:t>
      </w:r>
      <w:proofErr w:type="spellEnd"/>
      <w:r w:rsidRPr="00217E7D">
        <w:rPr>
          <w:rFonts w:cs="Arial"/>
        </w:rPr>
        <w:t xml:space="preserve"> KM, et al. Alagille Syndrome. 2000 May 19 [Updated 2019 Dec 12]. In: Adam MP, </w:t>
      </w:r>
      <w:proofErr w:type="spellStart"/>
      <w:r w:rsidRPr="00217E7D">
        <w:rPr>
          <w:rFonts w:cs="Arial"/>
        </w:rPr>
        <w:t>Ardinger</w:t>
      </w:r>
      <w:proofErr w:type="spellEnd"/>
      <w:r w:rsidRPr="00217E7D">
        <w:rPr>
          <w:rFonts w:cs="Arial"/>
        </w:rPr>
        <w:t xml:space="preserve"> HH, </w:t>
      </w:r>
      <w:proofErr w:type="spellStart"/>
      <w:r w:rsidRPr="00217E7D">
        <w:rPr>
          <w:rFonts w:cs="Arial"/>
        </w:rPr>
        <w:t>Pagon</w:t>
      </w:r>
      <w:proofErr w:type="spellEnd"/>
      <w:r w:rsidRPr="00217E7D">
        <w:rPr>
          <w:rFonts w:cs="Arial"/>
        </w:rPr>
        <w:t xml:space="preserve"> RA, et al., editors. </w:t>
      </w:r>
      <w:proofErr w:type="spellStart"/>
      <w:r w:rsidRPr="00217E7D">
        <w:rPr>
          <w:rFonts w:cs="Arial"/>
        </w:rPr>
        <w:t>GeneReviews</w:t>
      </w:r>
      <w:proofErr w:type="spellEnd"/>
      <w:r w:rsidRPr="00217E7D">
        <w:rPr>
          <w:rFonts w:cs="Arial"/>
        </w:rPr>
        <w:t xml:space="preserve">® [Internet]. Seattle (WA): University of Washington, Seattle; 1993-2021. </w:t>
      </w:r>
    </w:p>
    <w:p w14:paraId="11B521E0" w14:textId="77777777" w:rsidR="00C7642E" w:rsidRPr="00217E7D" w:rsidRDefault="00C7642E" w:rsidP="00C7642E">
      <w:pPr>
        <w:pStyle w:val="Paragraphnonumbers"/>
        <w:rPr>
          <w:rFonts w:cs="Arial"/>
        </w:rPr>
      </w:pPr>
      <w:r w:rsidRPr="00217E7D">
        <w:rPr>
          <w:rFonts w:cs="Arial"/>
        </w:rPr>
        <w:t xml:space="preserve">16 Rare Disease Advisor. Available at </w:t>
      </w:r>
      <w:hyperlink r:id="rId17" w:history="1">
        <w:r w:rsidRPr="00217E7D">
          <w:rPr>
            <w:rStyle w:val="Hyperlink"/>
            <w:rFonts w:cs="Arial"/>
          </w:rPr>
          <w:t>Alagille Syndrome Life Expectancy - Rare Disease Advisor</w:t>
        </w:r>
      </w:hyperlink>
      <w:r w:rsidRPr="00217E7D">
        <w:rPr>
          <w:rFonts w:cs="Arial"/>
        </w:rPr>
        <w:t>. Accessed February 2023.</w:t>
      </w:r>
    </w:p>
    <w:p w14:paraId="6CE14CDD" w14:textId="77777777" w:rsidR="00C7642E" w:rsidRPr="00217E7D" w:rsidRDefault="00C7642E" w:rsidP="00C7642E">
      <w:pPr>
        <w:pStyle w:val="Paragraphnonumbers"/>
        <w:rPr>
          <w:rFonts w:cs="Arial"/>
        </w:rPr>
      </w:pPr>
      <w:r w:rsidRPr="00217E7D">
        <w:rPr>
          <w:rFonts w:cs="Arial"/>
        </w:rPr>
        <w:t xml:space="preserve">17 Children’s Liver Disease Foundation. Alagille Syndrome. Available at </w:t>
      </w:r>
      <w:r w:rsidRPr="00217E7D">
        <w:rPr>
          <w:rFonts w:eastAsia="Times New Roman" w:cs="Arial"/>
          <w:color w:val="0000FF"/>
          <w:u w:val="single"/>
        </w:rPr>
        <w:t>https://childliverdisease.org/liver-information/childhood-liver-conditions/alagille-syndrome/</w:t>
      </w:r>
      <w:r w:rsidRPr="00217E7D">
        <w:rPr>
          <w:rFonts w:cs="Arial"/>
        </w:rPr>
        <w:t xml:space="preserve"> Accessed March 2023.</w:t>
      </w:r>
    </w:p>
    <w:p w14:paraId="1A4EA6DC" w14:textId="77777777" w:rsidR="00C7642E" w:rsidRPr="00217E7D" w:rsidRDefault="00C7642E" w:rsidP="00C7642E">
      <w:pPr>
        <w:pStyle w:val="CommentText"/>
        <w:rPr>
          <w:rFonts w:ascii="Arial" w:eastAsia="Times New Roman" w:hAnsi="Arial" w:cs="Arial"/>
          <w:sz w:val="22"/>
          <w:szCs w:val="22"/>
        </w:rPr>
      </w:pPr>
      <w:r w:rsidRPr="00217E7D">
        <w:rPr>
          <w:rFonts w:ascii="Arial" w:hAnsi="Arial" w:cs="Arial"/>
          <w:sz w:val="22"/>
          <w:szCs w:val="22"/>
        </w:rPr>
        <w:lastRenderedPageBreak/>
        <w:t xml:space="preserve">18 </w:t>
      </w:r>
      <w:r w:rsidRPr="00217E7D">
        <w:rPr>
          <w:rFonts w:ascii="Arial" w:eastAsia="Times New Roman" w:hAnsi="Arial" w:cs="Arial"/>
          <w:sz w:val="22"/>
          <w:szCs w:val="22"/>
        </w:rPr>
        <w:t xml:space="preserve">National Organization for Rare Disorders. Alagille Syndrome. Available at </w:t>
      </w:r>
      <w:hyperlink r:id="rId18" w:history="1">
        <w:r w:rsidRPr="00217E7D">
          <w:rPr>
            <w:rStyle w:val="Hyperlink"/>
            <w:rFonts w:ascii="Arial" w:eastAsia="Times New Roman" w:hAnsi="Arial" w:cs="Arial"/>
            <w:color w:val="0000FF"/>
            <w:sz w:val="22"/>
            <w:szCs w:val="22"/>
          </w:rPr>
          <w:t>https://rarediseases.org/rare-diseases/alagille-syndrome/</w:t>
        </w:r>
      </w:hyperlink>
      <w:r w:rsidRPr="00217E7D">
        <w:rPr>
          <w:rFonts w:ascii="Arial" w:eastAsia="Times New Roman" w:hAnsi="Arial" w:cs="Arial"/>
          <w:sz w:val="22"/>
          <w:szCs w:val="22"/>
        </w:rPr>
        <w:t xml:space="preserve">. Accessed </w:t>
      </w:r>
      <w:r w:rsidRPr="00217E7D">
        <w:rPr>
          <w:rFonts w:ascii="Arial" w:hAnsi="Arial" w:cs="Arial"/>
          <w:sz w:val="22"/>
          <w:szCs w:val="22"/>
        </w:rPr>
        <w:t>January 2023</w:t>
      </w:r>
      <w:r w:rsidRPr="00217E7D">
        <w:rPr>
          <w:rFonts w:ascii="Arial" w:eastAsia="Times New Roman" w:hAnsi="Arial" w:cs="Arial"/>
          <w:sz w:val="22"/>
          <w:szCs w:val="22"/>
        </w:rPr>
        <w:t>.</w:t>
      </w:r>
    </w:p>
    <w:bookmarkEnd w:id="0"/>
    <w:p w14:paraId="1291397E" w14:textId="77777777" w:rsidR="006C5FE3" w:rsidRPr="00217E7D" w:rsidRDefault="006C5FE3" w:rsidP="006C5FE3">
      <w:pPr>
        <w:pStyle w:val="BodyText"/>
        <w:rPr>
          <w:rFonts w:cs="Arial"/>
          <w:sz w:val="22"/>
          <w:szCs w:val="22"/>
          <w:lang w:val="en-GB"/>
        </w:rPr>
      </w:pPr>
    </w:p>
    <w:p w14:paraId="56708030" w14:textId="77777777" w:rsidR="00751773" w:rsidRDefault="00751773">
      <w:pPr>
        <w:rPr>
          <w:rFonts w:ascii="Arial" w:eastAsia="Times New Roman" w:hAnsi="Arial" w:cs="Arial"/>
          <w:b/>
          <w:bCs/>
          <w:color w:val="00506A"/>
          <w:sz w:val="26"/>
          <w:szCs w:val="26"/>
        </w:rPr>
      </w:pPr>
      <w:r>
        <w:br w:type="page"/>
      </w:r>
    </w:p>
    <w:p w14:paraId="63F90C92" w14:textId="1FCEAA85" w:rsidR="00715265" w:rsidRPr="00BE5619" w:rsidRDefault="00715265" w:rsidP="00715265">
      <w:pPr>
        <w:pStyle w:val="Heading3boardreport"/>
      </w:pPr>
      <w:r w:rsidRPr="00BE5619">
        <w:lastRenderedPageBreak/>
        <w:t>H</w:t>
      </w:r>
      <w:r>
        <w:t>ighly specialised technologies</w:t>
      </w:r>
      <w:r w:rsidRPr="00BE5619">
        <w:t xml:space="preserve"> </w:t>
      </w:r>
      <w:r>
        <w:t>v</w:t>
      </w:r>
      <w:r w:rsidRPr="00BE5619">
        <w:t xml:space="preserve">ision </w:t>
      </w:r>
      <w:r>
        <w:t>and routing criteria</w:t>
      </w:r>
    </w:p>
    <w:p w14:paraId="64641707"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is designed to be used in exceptional circumstances. Its purpose is to evaluate technologies for very rare diseases</w:t>
      </w:r>
      <w:r>
        <w:t xml:space="preserve"> that have:</w:t>
      </w:r>
    </w:p>
    <w:p w14:paraId="6ED44726" w14:textId="77777777" w:rsidR="00EC53AC" w:rsidRDefault="00EC53AC" w:rsidP="00EC53AC">
      <w:pPr>
        <w:pStyle w:val="Bulletindent1"/>
        <w:numPr>
          <w:ilvl w:val="0"/>
          <w:numId w:val="33"/>
        </w:numPr>
      </w:pPr>
      <w:r w:rsidRPr="00861650">
        <w:t>small</w:t>
      </w:r>
      <w:r>
        <w:t xml:space="preserve"> numbers of patients</w:t>
      </w:r>
    </w:p>
    <w:p w14:paraId="60BA7450" w14:textId="77777777" w:rsidR="00EC53AC" w:rsidRDefault="00EC53AC" w:rsidP="00EC53AC">
      <w:pPr>
        <w:pStyle w:val="Bulletindent1"/>
        <w:numPr>
          <w:ilvl w:val="0"/>
          <w:numId w:val="33"/>
        </w:numPr>
      </w:pPr>
      <w:r w:rsidRPr="00861650">
        <w:t>limited or no treatment options</w:t>
      </w:r>
    </w:p>
    <w:p w14:paraId="6C0D1679" w14:textId="77777777" w:rsidR="00EC53AC" w:rsidRPr="00861650" w:rsidRDefault="00EC53AC" w:rsidP="00EC53AC">
      <w:pPr>
        <w:pStyle w:val="Bulletindent1last"/>
        <w:tabs>
          <w:tab w:val="clear" w:pos="851"/>
          <w:tab w:val="num" w:pos="1418"/>
        </w:tabs>
        <w:ind w:left="1418" w:hanging="284"/>
      </w:pPr>
      <w:r w:rsidRPr="00861650">
        <w:t xml:space="preserve">challenges for research and difficulties with </w:t>
      </w:r>
      <w:r>
        <w:t xml:space="preserve">collecting </w:t>
      </w:r>
      <w:r w:rsidRPr="00861650">
        <w:t>evidence</w:t>
      </w:r>
      <w:r>
        <w:t>, because of the uniqueness of the disease</w:t>
      </w:r>
      <w:r w:rsidRPr="00861650">
        <w:t>.</w:t>
      </w:r>
    </w:p>
    <w:p w14:paraId="4D2411FF" w14:textId="77777777" w:rsidR="00EC53AC" w:rsidRPr="00861650" w:rsidRDefault="00EC53AC" w:rsidP="00EC53AC">
      <w:pPr>
        <w:pStyle w:val="Numberedlevel3text"/>
        <w:keepNext w:val="0"/>
      </w:pPr>
      <w:r w:rsidRPr="00861650">
        <w:t xml:space="preserve">The </w:t>
      </w:r>
      <w:r>
        <w:t>Highly Specialised Technologies</w:t>
      </w:r>
      <w:r w:rsidRPr="00861650">
        <w:t xml:space="preserve"> </w:t>
      </w:r>
      <w:r>
        <w:t>P</w:t>
      </w:r>
      <w:r w:rsidRPr="00861650">
        <w:t>rogramme aims to:</w:t>
      </w:r>
    </w:p>
    <w:p w14:paraId="7BD34F28" w14:textId="77777777" w:rsidR="00EC53AC" w:rsidRPr="00CC773C" w:rsidRDefault="00EC53AC" w:rsidP="00EC53AC">
      <w:pPr>
        <w:pStyle w:val="Bulletindent1"/>
        <w:numPr>
          <w:ilvl w:val="0"/>
          <w:numId w:val="33"/>
        </w:numPr>
      </w:pPr>
      <w:r>
        <w:t>e</w:t>
      </w:r>
      <w:r w:rsidRPr="00CC773C">
        <w:t>ncourage research</w:t>
      </w:r>
      <w:r>
        <w:t xml:space="preserve"> on,</w:t>
      </w:r>
      <w:r w:rsidRPr="00CC773C">
        <w:t xml:space="preserve"> and innovation </w:t>
      </w:r>
      <w:r>
        <w:t>for,</w:t>
      </w:r>
      <w:r w:rsidRPr="00CC773C">
        <w:t xml:space="preserve"> very</w:t>
      </w:r>
      <w:r>
        <w:t xml:space="preserve"> </w:t>
      </w:r>
      <w:r w:rsidRPr="00CC773C">
        <w:t xml:space="preserve">rare </w:t>
      </w:r>
      <w:r>
        <w:t>conditions</w:t>
      </w:r>
      <w:r w:rsidRPr="00CC773C">
        <w:t xml:space="preserve"> whe</w:t>
      </w:r>
      <w:r>
        <w:t>n</w:t>
      </w:r>
      <w:r w:rsidRPr="00CC773C">
        <w:t xml:space="preserve"> there are challenges in generating </w:t>
      </w:r>
      <w:r>
        <w:t xml:space="preserve">an </w:t>
      </w:r>
      <w:r w:rsidRPr="00CC773C">
        <w:t>evidence base</w:t>
      </w:r>
      <w:r>
        <w:t xml:space="preserve"> that is</w:t>
      </w:r>
      <w:r w:rsidRPr="00CC773C">
        <w:t xml:space="preserve"> robust enough to bring </w:t>
      </w:r>
      <w:r>
        <w:t>the product</w:t>
      </w:r>
      <w:r w:rsidRPr="00CC773C">
        <w:t xml:space="preserve"> to market</w:t>
      </w:r>
    </w:p>
    <w:p w14:paraId="7490A478" w14:textId="77777777" w:rsidR="00EC53AC" w:rsidRPr="00CC773C" w:rsidRDefault="00EC53AC" w:rsidP="00EC53AC">
      <w:pPr>
        <w:pStyle w:val="Bulletindent1"/>
        <w:numPr>
          <w:ilvl w:val="0"/>
          <w:numId w:val="33"/>
        </w:numPr>
      </w:pPr>
      <w:r>
        <w:t>s</w:t>
      </w:r>
      <w:r w:rsidRPr="00CC773C">
        <w:t>ecure fairer and more equitable treatment access for very small populations with very rare</w:t>
      </w:r>
      <w:r>
        <w:t xml:space="preserve"> </w:t>
      </w:r>
      <w:r w:rsidRPr="00CC773C">
        <w:t xml:space="preserve">diseases </w:t>
      </w:r>
    </w:p>
    <w:p w14:paraId="6C028202" w14:textId="77777777" w:rsidR="00EC53AC" w:rsidRPr="00CC773C" w:rsidRDefault="00EC53AC" w:rsidP="00EC53AC">
      <w:pPr>
        <w:pStyle w:val="Bulletindent1last"/>
        <w:tabs>
          <w:tab w:val="clear" w:pos="851"/>
          <w:tab w:val="num" w:pos="1418"/>
        </w:tabs>
        <w:ind w:left="1418" w:hanging="284"/>
      </w:pPr>
      <w:r>
        <w:t>r</w:t>
      </w:r>
      <w:r w:rsidRPr="00CC773C">
        <w:t xml:space="preserve">ecognise that </w:t>
      </w:r>
      <w:r>
        <w:t xml:space="preserve">an approach that </w:t>
      </w:r>
      <w:r w:rsidRPr="00CC773C">
        <w:t>maximis</w:t>
      </w:r>
      <w:r>
        <w:t>es</w:t>
      </w:r>
      <w:r w:rsidRPr="00CC773C">
        <w:t xml:space="preserve"> health gain for the NHS may not always be acceptable</w:t>
      </w:r>
      <w:r>
        <w:t xml:space="preserve">: </w:t>
      </w:r>
      <w:r w:rsidRPr="00CC773C">
        <w:t>it could deliver results that are not equitable.</w:t>
      </w:r>
    </w:p>
    <w:p w14:paraId="37426EA7"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acknowledges</w:t>
      </w:r>
      <w:r>
        <w:t xml:space="preserve"> that:</w:t>
      </w:r>
    </w:p>
    <w:p w14:paraId="0A9BD41D" w14:textId="77777777" w:rsidR="00EC53AC" w:rsidRDefault="00EC53AC" w:rsidP="00EC53AC">
      <w:pPr>
        <w:pStyle w:val="Bulletindent1"/>
        <w:numPr>
          <w:ilvl w:val="0"/>
          <w:numId w:val="33"/>
        </w:numPr>
      </w:pPr>
      <w:r>
        <w:t>It is</w:t>
      </w:r>
      <w:r w:rsidRPr="00CC773C">
        <w:t xml:space="preserve"> importan</w:t>
      </w:r>
      <w:r>
        <w:t>t for</w:t>
      </w:r>
      <w:r w:rsidRPr="00CC773C">
        <w:t xml:space="preserve"> NICE</w:t>
      </w:r>
      <w:r>
        <w:t xml:space="preserve"> to</w:t>
      </w:r>
      <w:r w:rsidRPr="00CC773C">
        <w:t xml:space="preserve"> apply appropriate limits on the</w:t>
      </w:r>
      <w:r>
        <w:t xml:space="preserve"> </w:t>
      </w:r>
      <w:r w:rsidRPr="00CC773C">
        <w:t xml:space="preserve">very rare </w:t>
      </w:r>
      <w:r>
        <w:t>populations</w:t>
      </w:r>
      <w:r w:rsidRPr="00CC773C">
        <w:t xml:space="preserve"> that can potentially</w:t>
      </w:r>
      <w:r>
        <w:t xml:space="preserve"> be</w:t>
      </w:r>
      <w:r w:rsidRPr="00CC773C">
        <w:t xml:space="preserve"> routed to the program</w:t>
      </w:r>
      <w:r>
        <w:t>me</w:t>
      </w:r>
      <w:r w:rsidRPr="00CC773C">
        <w:t xml:space="preserve">. This is because the </w:t>
      </w:r>
      <w:r>
        <w:t>Highly Specialised Technologies</w:t>
      </w:r>
      <w:r w:rsidRPr="00CC773C">
        <w:t xml:space="preserve"> </w:t>
      </w:r>
      <w:r>
        <w:t>P</w:t>
      </w:r>
      <w:r w:rsidRPr="00CC773C">
        <w:t xml:space="preserve">rogramme is a deliberate departure from the standard </w:t>
      </w:r>
      <w:r>
        <w:t>technology appraisal</w:t>
      </w:r>
      <w:r w:rsidRPr="00CC773C">
        <w:t xml:space="preserve"> process</w:t>
      </w:r>
      <w:r>
        <w:t xml:space="preserve"> (v</w:t>
      </w:r>
      <w:r w:rsidRPr="00CC773C">
        <w:t>alu</w:t>
      </w:r>
      <w:r>
        <w:t>ing</w:t>
      </w:r>
      <w:r w:rsidRPr="00CC773C">
        <w:t xml:space="preserve"> the benefits </w:t>
      </w:r>
      <w:r>
        <w:t xml:space="preserve">from these </w:t>
      </w:r>
      <w:r w:rsidRPr="00CC773C">
        <w:t xml:space="preserve">technologies more highly by having a much higher </w:t>
      </w:r>
      <w:hyperlink r:id="rId19" w:history="1">
        <w:r w:rsidRPr="00D837D5">
          <w:rPr>
            <w:rStyle w:val="Hyperlink"/>
          </w:rPr>
          <w:t>incremental cost-effectiveness ratio [ICER]</w:t>
        </w:r>
      </w:hyperlink>
      <w:r w:rsidRPr="00CC773C">
        <w:t xml:space="preserve"> threshold</w:t>
      </w:r>
      <w:r>
        <w:t>) for the reasons outlined above.</w:t>
      </w:r>
    </w:p>
    <w:p w14:paraId="17250F0A" w14:textId="77777777" w:rsidR="00EC53AC" w:rsidRDefault="00EC53AC" w:rsidP="00EC53AC">
      <w:pPr>
        <w:pStyle w:val="Bulletindent1"/>
        <w:numPr>
          <w:ilvl w:val="0"/>
          <w:numId w:val="33"/>
        </w:numPr>
      </w:pPr>
      <w:r>
        <w:lastRenderedPageBreak/>
        <w:t>Each time</w:t>
      </w:r>
      <w:r w:rsidRPr="00CC773C">
        <w:t xml:space="preserve"> NICE routes a topic to </w:t>
      </w:r>
      <w:r>
        <w:t>the Highly Specialised Technologies Programme</w:t>
      </w:r>
      <w:r w:rsidRPr="00CC773C">
        <w:t xml:space="preserve"> it is deciding that, if the technology is recommended, the NHS must commit to allocat</w:t>
      </w:r>
      <w:r>
        <w:t>e</w:t>
      </w:r>
      <w:r w:rsidRPr="00CC773C">
        <w:t xml:space="preserve"> resources that would </w:t>
      </w:r>
      <w:r>
        <w:t xml:space="preserve">have </w:t>
      </w:r>
      <w:r w:rsidRPr="00CC773C">
        <w:t xml:space="preserve">otherwise been used on activities </w:t>
      </w:r>
      <w:r>
        <w:t xml:space="preserve">that would be </w:t>
      </w:r>
      <w:r w:rsidRPr="00CC773C">
        <w:t>expected to generate greater health benefits.</w:t>
      </w:r>
    </w:p>
    <w:p w14:paraId="03BEB672" w14:textId="77777777" w:rsidR="00EC53AC" w:rsidRDefault="00EC53AC" w:rsidP="00EC53AC">
      <w:pPr>
        <w:pStyle w:val="Bulletindent1"/>
        <w:numPr>
          <w:ilvl w:val="0"/>
          <w:numId w:val="33"/>
        </w:numPr>
      </w:pPr>
      <w:r w:rsidRPr="00CC773C">
        <w:t>NICE has sought to</w:t>
      </w:r>
      <w:r>
        <w:t xml:space="preserve"> strike a</w:t>
      </w:r>
      <w:r w:rsidRPr="00CC773C">
        <w:t xml:space="preserve"> balance </w:t>
      </w:r>
      <w:r>
        <w:t xml:space="preserve">between </w:t>
      </w:r>
      <w:r w:rsidRPr="00CC773C">
        <w:t>the desir</w:t>
      </w:r>
      <w:r>
        <w:t xml:space="preserve">ability of </w:t>
      </w:r>
      <w:r w:rsidRPr="00CC773C">
        <w:t>support</w:t>
      </w:r>
      <w:r>
        <w:t>ing</w:t>
      </w:r>
      <w:r w:rsidRPr="00CC773C">
        <w:t xml:space="preserve"> </w:t>
      </w:r>
      <w:r>
        <w:t>access to treatments for</w:t>
      </w:r>
      <w:r w:rsidRPr="00CC773C">
        <w:t xml:space="preserve"> </w:t>
      </w:r>
      <w:r>
        <w:t xml:space="preserve">very rare diseases </w:t>
      </w:r>
      <w:r w:rsidRPr="00CC773C">
        <w:t xml:space="preserve">against the inevitable reduction in overall health gain across the NHS that this will cause. Both considerations are valid and </w:t>
      </w:r>
      <w:r w:rsidRPr="00861650">
        <w:t>important,</w:t>
      </w:r>
      <w:r w:rsidRPr="00CC773C">
        <w:t xml:space="preserve"> and neither can be given absolute priority over the other. </w:t>
      </w:r>
      <w:r w:rsidRPr="00861650">
        <w:t>Therefore,</w:t>
      </w:r>
      <w:r w:rsidRPr="00CC773C">
        <w:t xml:space="preserve"> the </w:t>
      </w:r>
      <w:r>
        <w:t>Highly Specialised Technologies</w:t>
      </w:r>
      <w:r w:rsidRPr="00CC773C">
        <w:t xml:space="preserve"> </w:t>
      </w:r>
      <w:r>
        <w:t xml:space="preserve">Programme </w:t>
      </w:r>
      <w:r w:rsidRPr="00CC773C">
        <w:t xml:space="preserve">criteria and their anticipated application </w:t>
      </w:r>
      <w:r>
        <w:t>intentionally do not seek</w:t>
      </w:r>
      <w:r w:rsidRPr="00CC773C">
        <w:t xml:space="preserve"> to capture every </w:t>
      </w:r>
      <w:r>
        <w:t>case when</w:t>
      </w:r>
      <w:r w:rsidRPr="00CC773C">
        <w:t xml:space="preserve"> there are challenges in generating an evidence base or</w:t>
      </w:r>
      <w:r>
        <w:t xml:space="preserve"> when there is</w:t>
      </w:r>
      <w:r w:rsidRPr="00CC773C">
        <w:t xml:space="preserve"> a small population with a rare disease. </w:t>
      </w:r>
    </w:p>
    <w:p w14:paraId="4669F5A7" w14:textId="77777777" w:rsidR="00EC53AC" w:rsidRPr="00CC773C" w:rsidRDefault="00EC53AC" w:rsidP="00EC53AC">
      <w:pPr>
        <w:pStyle w:val="Bulletindent1last"/>
        <w:tabs>
          <w:tab w:val="clear" w:pos="851"/>
          <w:tab w:val="num" w:pos="1418"/>
        </w:tabs>
        <w:ind w:left="1418" w:hanging="284"/>
      </w:pPr>
      <w:r w:rsidRPr="00CC773C">
        <w:t>This approach ensures th</w:t>
      </w:r>
      <w:r>
        <w:t>at</w:t>
      </w:r>
      <w:r w:rsidRPr="00CC773C">
        <w:t xml:space="preserve"> technologies routed </w:t>
      </w:r>
      <w:r>
        <w:t>to the</w:t>
      </w:r>
      <w:r w:rsidRPr="00CC773C">
        <w:t xml:space="preserve"> </w:t>
      </w:r>
      <w:r>
        <w:t>Highly Specialised Technologies</w:t>
      </w:r>
      <w:r w:rsidRPr="00CC773C">
        <w:t xml:space="preserve"> </w:t>
      </w:r>
      <w:r>
        <w:t xml:space="preserve">Programme </w:t>
      </w:r>
      <w:r w:rsidRPr="00CC773C">
        <w:t>fulfil the vision of the programme and manage</w:t>
      </w:r>
      <w:r>
        <w:t>s</w:t>
      </w:r>
      <w:r w:rsidRPr="00CC773C">
        <w:t xml:space="preserve"> the displacement in the wider NHS. </w:t>
      </w:r>
    </w:p>
    <w:p w14:paraId="6A01D105" w14:textId="77777777" w:rsidR="00EC53AC" w:rsidRPr="00365C11" w:rsidRDefault="00EC53AC" w:rsidP="00EC53AC">
      <w:pPr>
        <w:pStyle w:val="Numberedlevel3text"/>
        <w:keepNext w:val="0"/>
      </w:pPr>
      <w:bookmarkStart w:id="1" w:name="_Hlk78194163"/>
      <w:r w:rsidRPr="00D244AE">
        <w:t xml:space="preserve">However, it can be difficult to identify the exceptional circumstances when the highly specialised technologies methods and processes should be used because of the difficulty in getting the information needed. Proxy information is often relied on and used to make subjective judgements. </w:t>
      </w:r>
      <w:r>
        <w:t xml:space="preserve">The </w:t>
      </w:r>
      <w:bookmarkEnd w:id="1"/>
      <w:r>
        <w:t>r</w:t>
      </w:r>
      <w:r w:rsidRPr="00D244AE">
        <w:t xml:space="preserve">outing criteria identify which technologies should be routed for highly specialised technologies guidance. These criteria help make subjective judgements as informed, justifiable, </w:t>
      </w:r>
      <w:proofErr w:type="gramStart"/>
      <w:r w:rsidRPr="00D244AE">
        <w:t>consistent</w:t>
      </w:r>
      <w:proofErr w:type="gramEnd"/>
      <w:r w:rsidRPr="00D244AE">
        <w:t xml:space="preserve"> and predictable as possible. NICE’s capacity to develop highly specialised technologies guidance can react to need</w:t>
      </w:r>
      <w:r>
        <w:t xml:space="preserve"> and</w:t>
      </w:r>
      <w:r w:rsidRPr="00D244AE">
        <w:t xml:space="preserve"> there is no limit on the number of technologies that can be routed. </w:t>
      </w:r>
    </w:p>
    <w:p w14:paraId="62BCA659" w14:textId="77777777" w:rsidR="00EC53AC" w:rsidRPr="00BE5619" w:rsidRDefault="00EC53AC" w:rsidP="00EC53AC">
      <w:pPr>
        <w:pStyle w:val="NICEnormalnumbered"/>
        <w:numPr>
          <w:ilvl w:val="0"/>
          <w:numId w:val="0"/>
        </w:numPr>
        <w:ind w:left="425" w:hanging="425"/>
      </w:pPr>
      <w:r w:rsidRPr="00BE5619">
        <w:t xml:space="preserve">The final routing criteria for the </w:t>
      </w:r>
      <w:r>
        <w:t>Highly Specialised Technologies Programme</w:t>
      </w:r>
      <w:r w:rsidRPr="00584734" w:rsidDel="00F92EB7">
        <w:t xml:space="preserve"> </w:t>
      </w:r>
      <w:r w:rsidRPr="00BE5619">
        <w:t>are:</w:t>
      </w:r>
    </w:p>
    <w:p w14:paraId="7A4695FF" w14:textId="77777777" w:rsidR="00EC53AC" w:rsidRDefault="00EC53AC" w:rsidP="00EC53AC">
      <w:pPr>
        <w:pStyle w:val="Bulletindent1"/>
        <w:numPr>
          <w:ilvl w:val="0"/>
          <w:numId w:val="32"/>
        </w:numPr>
        <w:tabs>
          <w:tab w:val="clear" w:pos="1418"/>
        </w:tabs>
        <w:ind w:left="851" w:hanging="425"/>
      </w:pPr>
      <w:r w:rsidRPr="00EA768C">
        <w:t>The disease is very rare</w:t>
      </w:r>
      <w:r>
        <w:t xml:space="preserve"> – defined as 1:50,000 population in England.</w:t>
      </w:r>
    </w:p>
    <w:p w14:paraId="00F54689" w14:textId="77777777" w:rsidR="00EC53AC" w:rsidRDefault="00EC53AC" w:rsidP="00EC53AC">
      <w:pPr>
        <w:pStyle w:val="Bulletindent1"/>
        <w:numPr>
          <w:ilvl w:val="0"/>
          <w:numId w:val="32"/>
        </w:numPr>
        <w:tabs>
          <w:tab w:val="clear" w:pos="1418"/>
        </w:tabs>
        <w:ind w:left="851" w:hanging="425"/>
      </w:pPr>
      <w:r w:rsidRPr="00EA768C">
        <w:t>Normally no more than 300 people in England are eligible for the technology in its licensed indication and no more than 500 across all its indications</w:t>
      </w:r>
      <w:r>
        <w:t>.</w:t>
      </w:r>
    </w:p>
    <w:p w14:paraId="5C9FA2A6" w14:textId="77777777" w:rsidR="00EC53AC" w:rsidRDefault="00EC53AC" w:rsidP="00EC53AC">
      <w:pPr>
        <w:pStyle w:val="Bulletindent1"/>
        <w:numPr>
          <w:ilvl w:val="0"/>
          <w:numId w:val="32"/>
        </w:numPr>
        <w:tabs>
          <w:tab w:val="clear" w:pos="1418"/>
        </w:tabs>
        <w:ind w:left="851" w:hanging="425"/>
      </w:pPr>
      <w:r w:rsidRPr="00EA768C">
        <w:lastRenderedPageBreak/>
        <w:t xml:space="preserve">The very rare disease </w:t>
      </w:r>
      <w:r>
        <w:t xml:space="preserve">for which </w:t>
      </w:r>
      <w:r w:rsidRPr="00EA768C">
        <w:t>the technology is indicated significantly shortens life or severely impairs quality of life</w:t>
      </w:r>
      <w:r>
        <w:t>.</w:t>
      </w:r>
    </w:p>
    <w:p w14:paraId="732FB2F0" w14:textId="77777777" w:rsidR="00EC53AC" w:rsidRPr="00C02579" w:rsidRDefault="00EC53AC" w:rsidP="00EC53AC">
      <w:pPr>
        <w:pStyle w:val="Bulletindent1last"/>
      </w:pPr>
      <w:r w:rsidRPr="00EA768C">
        <w:t xml:space="preserve">There are no other satisfactory treatment options, or the technology is likely to </w:t>
      </w:r>
      <w:r>
        <w:t xml:space="preserve">offer </w:t>
      </w:r>
      <w:r w:rsidRPr="00EA768C">
        <w:t xml:space="preserve">significant additional benefit </w:t>
      </w:r>
      <w:r>
        <w:t>over</w:t>
      </w:r>
      <w:r w:rsidRPr="00EA768C">
        <w:t xml:space="preserve"> existing treatment options</w:t>
      </w:r>
      <w:r>
        <w:t>.</w:t>
      </w:r>
    </w:p>
    <w:p w14:paraId="07F0976E" w14:textId="77777777" w:rsidR="00715265" w:rsidRDefault="00715265" w:rsidP="00F90BB8">
      <w:pPr>
        <w:rPr>
          <w:rFonts w:ascii="Arial" w:hAnsi="Arial" w:cs="Arial"/>
          <w:b/>
          <w:bCs/>
        </w:rPr>
      </w:pPr>
    </w:p>
    <w:sectPr w:rsidR="00715265" w:rsidSect="000D3405">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AC3" w14:textId="77777777" w:rsidR="00F61029" w:rsidRDefault="00F61029" w:rsidP="00446BEE">
      <w:r>
        <w:separator/>
      </w:r>
    </w:p>
  </w:endnote>
  <w:endnote w:type="continuationSeparator" w:id="0">
    <w:p w14:paraId="6F7FF04B" w14:textId="77777777" w:rsidR="00F61029" w:rsidRDefault="00F6102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7FC70823" w14:textId="77777777"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90141D" w14:textId="0311D13D" w:rsidR="00696A5C" w:rsidRDefault="00CD45AF">
    <w:pPr>
      <w:pStyle w:val="Footer"/>
    </w:pPr>
    <w:r>
      <w:t>July</w:t>
    </w:r>
    <w:r w:rsidR="00CB4FC8">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FC5A" w14:textId="77777777" w:rsidR="00F61029" w:rsidRDefault="00F61029" w:rsidP="00446BEE">
      <w:r>
        <w:separator/>
      </w:r>
    </w:p>
  </w:footnote>
  <w:footnote w:type="continuationSeparator" w:id="0">
    <w:p w14:paraId="5749AB5E" w14:textId="77777777" w:rsidR="00F61029" w:rsidRDefault="00F61029"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E6CE" w14:textId="702BF146" w:rsidR="002C5E6A" w:rsidRDefault="00696A5C" w:rsidP="00200E38">
    <w:pPr>
      <w:pStyle w:val="Header"/>
      <w:ind w:left="-567"/>
      <w:rPr>
        <w:noProof/>
      </w:rPr>
    </w:pPr>
    <w:r>
      <w:rPr>
        <w:noProof/>
        <w:lang w:eastAsia="en-GB"/>
      </w:rPr>
      <w:drawing>
        <wp:inline distT="0" distB="0" distL="0" distR="0" wp14:anchorId="2843F34C" wp14:editId="51D977EF">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r w:rsidR="00D74D43">
      <w:rPr>
        <w:noProof/>
      </w:rPr>
      <w:tab/>
    </w:r>
    <w:r w:rsidR="00D74D43">
      <w:rPr>
        <w:noProof/>
      </w:rPr>
      <w:tab/>
    </w:r>
    <w:r w:rsidR="00D74D43">
      <w:rPr>
        <w:noProof/>
      </w:rPr>
      <w:tab/>
    </w:r>
    <w:r w:rsidR="00D74D43">
      <w:rPr>
        <w:noProof/>
      </w:rPr>
      <w:tab/>
    </w:r>
    <w:r w:rsidR="00D74D43">
      <w:rPr>
        <w:noProof/>
      </w:rPr>
      <w:tab/>
    </w:r>
    <w:r w:rsidR="00D74D43">
      <w:rPr>
        <w:noProof/>
      </w:rPr>
      <w:tab/>
    </w:r>
    <w:r w:rsidR="00D74D43">
      <w:rPr>
        <w:noProof/>
      </w:rPr>
      <w:tab/>
      <w:t>Item 5.1d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CBF1E23"/>
    <w:multiLevelType w:val="hybridMultilevel"/>
    <w:tmpl w:val="DE46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A0CCB"/>
    <w:multiLevelType w:val="hybridMultilevel"/>
    <w:tmpl w:val="9F3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7178A"/>
    <w:multiLevelType w:val="hybridMultilevel"/>
    <w:tmpl w:val="73EA3E3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92C44"/>
    <w:multiLevelType w:val="hybridMultilevel"/>
    <w:tmpl w:val="E968C0E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23"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165508">
    <w:abstractNumId w:val="26"/>
  </w:num>
  <w:num w:numId="2" w16cid:durableId="1785343646">
    <w:abstractNumId w:val="28"/>
  </w:num>
  <w:num w:numId="3" w16cid:durableId="1710059983">
    <w:abstractNumId w:val="28"/>
    <w:lvlOverride w:ilvl="0">
      <w:startOverride w:val="1"/>
    </w:lvlOverride>
  </w:num>
  <w:num w:numId="4" w16cid:durableId="1253195980">
    <w:abstractNumId w:val="28"/>
    <w:lvlOverride w:ilvl="0">
      <w:startOverride w:val="1"/>
    </w:lvlOverride>
  </w:num>
  <w:num w:numId="5" w16cid:durableId="905845971">
    <w:abstractNumId w:val="28"/>
    <w:lvlOverride w:ilvl="0">
      <w:startOverride w:val="1"/>
    </w:lvlOverride>
  </w:num>
  <w:num w:numId="6" w16cid:durableId="729691620">
    <w:abstractNumId w:val="28"/>
    <w:lvlOverride w:ilvl="0">
      <w:startOverride w:val="1"/>
    </w:lvlOverride>
  </w:num>
  <w:num w:numId="7" w16cid:durableId="1916087734">
    <w:abstractNumId w:val="28"/>
    <w:lvlOverride w:ilvl="0">
      <w:startOverride w:val="1"/>
    </w:lvlOverride>
  </w:num>
  <w:num w:numId="8" w16cid:durableId="1740248251">
    <w:abstractNumId w:val="9"/>
  </w:num>
  <w:num w:numId="9" w16cid:durableId="784735520">
    <w:abstractNumId w:val="7"/>
  </w:num>
  <w:num w:numId="10" w16cid:durableId="1802728620">
    <w:abstractNumId w:val="6"/>
  </w:num>
  <w:num w:numId="11" w16cid:durableId="1467115717">
    <w:abstractNumId w:val="5"/>
  </w:num>
  <w:num w:numId="12" w16cid:durableId="1293167612">
    <w:abstractNumId w:val="4"/>
  </w:num>
  <w:num w:numId="13" w16cid:durableId="1659845806">
    <w:abstractNumId w:val="8"/>
  </w:num>
  <w:num w:numId="14" w16cid:durableId="1974291957">
    <w:abstractNumId w:val="3"/>
  </w:num>
  <w:num w:numId="15" w16cid:durableId="1337266997">
    <w:abstractNumId w:val="2"/>
  </w:num>
  <w:num w:numId="16" w16cid:durableId="1265262564">
    <w:abstractNumId w:val="1"/>
  </w:num>
  <w:num w:numId="17" w16cid:durableId="1378893587">
    <w:abstractNumId w:val="0"/>
  </w:num>
  <w:num w:numId="18" w16cid:durableId="704520089">
    <w:abstractNumId w:val="16"/>
  </w:num>
  <w:num w:numId="19" w16cid:durableId="538052125">
    <w:abstractNumId w:val="16"/>
    <w:lvlOverride w:ilvl="0">
      <w:startOverride w:val="1"/>
    </w:lvlOverride>
  </w:num>
  <w:num w:numId="20" w16cid:durableId="1883903557">
    <w:abstractNumId w:val="12"/>
  </w:num>
  <w:num w:numId="21" w16cid:durableId="491601163">
    <w:abstractNumId w:val="30"/>
  </w:num>
  <w:num w:numId="22" w16cid:durableId="1767800118">
    <w:abstractNumId w:val="25"/>
  </w:num>
  <w:num w:numId="23" w16cid:durableId="1902905784">
    <w:abstractNumId w:val="29"/>
  </w:num>
  <w:num w:numId="24" w16cid:durableId="1995448382">
    <w:abstractNumId w:val="27"/>
  </w:num>
  <w:num w:numId="25" w16cid:durableId="1429499441">
    <w:abstractNumId w:val="23"/>
  </w:num>
  <w:num w:numId="26" w16cid:durableId="1563176345">
    <w:abstractNumId w:val="19"/>
  </w:num>
  <w:num w:numId="27" w16cid:durableId="2013146416">
    <w:abstractNumId w:val="17"/>
  </w:num>
  <w:num w:numId="28" w16cid:durableId="1473251006">
    <w:abstractNumId w:val="13"/>
  </w:num>
  <w:num w:numId="29" w16cid:durableId="514534961">
    <w:abstractNumId w:val="21"/>
  </w:num>
  <w:num w:numId="30" w16cid:durableId="1434325343">
    <w:abstractNumId w:val="31"/>
  </w:num>
  <w:num w:numId="31" w16cid:durableId="69084418">
    <w:abstractNumId w:val="15"/>
  </w:num>
  <w:num w:numId="32" w16cid:durableId="46697087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45440">
    <w:abstractNumId w:val="10"/>
  </w:num>
  <w:num w:numId="34" w16cid:durableId="830411196">
    <w:abstractNumId w:val="18"/>
  </w:num>
  <w:num w:numId="35" w16cid:durableId="619262304">
    <w:abstractNumId w:val="24"/>
  </w:num>
  <w:num w:numId="36" w16cid:durableId="1418821416">
    <w:abstractNumId w:val="22"/>
  </w:num>
  <w:num w:numId="37" w16cid:durableId="1521819574">
    <w:abstractNumId w:val="20"/>
  </w:num>
  <w:num w:numId="38" w16cid:durableId="1291396673">
    <w:abstractNumId w:val="14"/>
  </w:num>
  <w:num w:numId="39" w16cid:durableId="146166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9"/>
    <w:rsid w:val="000053F8"/>
    <w:rsid w:val="00006FAF"/>
    <w:rsid w:val="00024D0A"/>
    <w:rsid w:val="000472DC"/>
    <w:rsid w:val="000567FF"/>
    <w:rsid w:val="00070065"/>
    <w:rsid w:val="000A4FEE"/>
    <w:rsid w:val="000A747A"/>
    <w:rsid w:val="000B5939"/>
    <w:rsid w:val="000D3405"/>
    <w:rsid w:val="000D6071"/>
    <w:rsid w:val="000E39C5"/>
    <w:rsid w:val="000E5CCE"/>
    <w:rsid w:val="00111CCE"/>
    <w:rsid w:val="001134E7"/>
    <w:rsid w:val="0017149E"/>
    <w:rsid w:val="0017169E"/>
    <w:rsid w:val="00181A4A"/>
    <w:rsid w:val="001B0EE9"/>
    <w:rsid w:val="001B24CC"/>
    <w:rsid w:val="001B65B3"/>
    <w:rsid w:val="00200E38"/>
    <w:rsid w:val="002029A6"/>
    <w:rsid w:val="0020527C"/>
    <w:rsid w:val="00217E7D"/>
    <w:rsid w:val="002408EA"/>
    <w:rsid w:val="00241CF0"/>
    <w:rsid w:val="00245EF8"/>
    <w:rsid w:val="0025248E"/>
    <w:rsid w:val="002819D7"/>
    <w:rsid w:val="00286F9B"/>
    <w:rsid w:val="00291A17"/>
    <w:rsid w:val="002A32FE"/>
    <w:rsid w:val="002C1A7E"/>
    <w:rsid w:val="002C5E6A"/>
    <w:rsid w:val="002D3376"/>
    <w:rsid w:val="00311ED0"/>
    <w:rsid w:val="003648C5"/>
    <w:rsid w:val="003722FA"/>
    <w:rsid w:val="00385F27"/>
    <w:rsid w:val="003A0F66"/>
    <w:rsid w:val="003C7AAF"/>
    <w:rsid w:val="003F41C3"/>
    <w:rsid w:val="004075B6"/>
    <w:rsid w:val="00411DED"/>
    <w:rsid w:val="0041504E"/>
    <w:rsid w:val="00420952"/>
    <w:rsid w:val="00433EFF"/>
    <w:rsid w:val="00443081"/>
    <w:rsid w:val="00446BEE"/>
    <w:rsid w:val="00482716"/>
    <w:rsid w:val="004E20CB"/>
    <w:rsid w:val="005006BD"/>
    <w:rsid w:val="005025A1"/>
    <w:rsid w:val="00513BE4"/>
    <w:rsid w:val="00536FB9"/>
    <w:rsid w:val="0053717B"/>
    <w:rsid w:val="00537220"/>
    <w:rsid w:val="005461CB"/>
    <w:rsid w:val="00566E2A"/>
    <w:rsid w:val="00586B10"/>
    <w:rsid w:val="00593FC2"/>
    <w:rsid w:val="006921E1"/>
    <w:rsid w:val="00696A5C"/>
    <w:rsid w:val="006B3D61"/>
    <w:rsid w:val="006C5FE3"/>
    <w:rsid w:val="006D6093"/>
    <w:rsid w:val="006E5ECB"/>
    <w:rsid w:val="006F4B25"/>
    <w:rsid w:val="006F6496"/>
    <w:rsid w:val="007145D1"/>
    <w:rsid w:val="00715265"/>
    <w:rsid w:val="00735205"/>
    <w:rsid w:val="00736348"/>
    <w:rsid w:val="00751773"/>
    <w:rsid w:val="00760908"/>
    <w:rsid w:val="007808D3"/>
    <w:rsid w:val="007955CD"/>
    <w:rsid w:val="007C1C73"/>
    <w:rsid w:val="007C3374"/>
    <w:rsid w:val="007F09A1"/>
    <w:rsid w:val="007F1D5F"/>
    <w:rsid w:val="007F238D"/>
    <w:rsid w:val="00835AD7"/>
    <w:rsid w:val="00857CBD"/>
    <w:rsid w:val="00860835"/>
    <w:rsid w:val="00861B92"/>
    <w:rsid w:val="008814FB"/>
    <w:rsid w:val="008F5E30"/>
    <w:rsid w:val="00914D7F"/>
    <w:rsid w:val="00962555"/>
    <w:rsid w:val="009809FF"/>
    <w:rsid w:val="00987DBC"/>
    <w:rsid w:val="009930B5"/>
    <w:rsid w:val="00995EEA"/>
    <w:rsid w:val="009A2E7D"/>
    <w:rsid w:val="009A60B4"/>
    <w:rsid w:val="009E680B"/>
    <w:rsid w:val="009E7530"/>
    <w:rsid w:val="00A03822"/>
    <w:rsid w:val="00A15A1F"/>
    <w:rsid w:val="00A3325A"/>
    <w:rsid w:val="00A43013"/>
    <w:rsid w:val="00A71BFC"/>
    <w:rsid w:val="00AA0377"/>
    <w:rsid w:val="00AF108A"/>
    <w:rsid w:val="00B02E55"/>
    <w:rsid w:val="00B036C1"/>
    <w:rsid w:val="00B222B1"/>
    <w:rsid w:val="00B46ABD"/>
    <w:rsid w:val="00B5431F"/>
    <w:rsid w:val="00B716C2"/>
    <w:rsid w:val="00B96FEE"/>
    <w:rsid w:val="00BC66C6"/>
    <w:rsid w:val="00BF629E"/>
    <w:rsid w:val="00BF7FE0"/>
    <w:rsid w:val="00C209B6"/>
    <w:rsid w:val="00C670DD"/>
    <w:rsid w:val="00C75FBF"/>
    <w:rsid w:val="00C7642E"/>
    <w:rsid w:val="00C81104"/>
    <w:rsid w:val="00C9475C"/>
    <w:rsid w:val="00C96411"/>
    <w:rsid w:val="00CA055B"/>
    <w:rsid w:val="00CA78AA"/>
    <w:rsid w:val="00CB04D1"/>
    <w:rsid w:val="00CB4FC8"/>
    <w:rsid w:val="00CB5671"/>
    <w:rsid w:val="00CB7EF2"/>
    <w:rsid w:val="00CD3014"/>
    <w:rsid w:val="00CD45AF"/>
    <w:rsid w:val="00CF58B7"/>
    <w:rsid w:val="00D005C2"/>
    <w:rsid w:val="00D22C5F"/>
    <w:rsid w:val="00D351C1"/>
    <w:rsid w:val="00D35EFB"/>
    <w:rsid w:val="00D44C15"/>
    <w:rsid w:val="00D504B3"/>
    <w:rsid w:val="00D71447"/>
    <w:rsid w:val="00D74D43"/>
    <w:rsid w:val="00D86AC1"/>
    <w:rsid w:val="00D86BF0"/>
    <w:rsid w:val="00D93F96"/>
    <w:rsid w:val="00D96736"/>
    <w:rsid w:val="00DA57A2"/>
    <w:rsid w:val="00DC3B22"/>
    <w:rsid w:val="00DE4DE9"/>
    <w:rsid w:val="00E51920"/>
    <w:rsid w:val="00E64120"/>
    <w:rsid w:val="00E660A1"/>
    <w:rsid w:val="00E72062"/>
    <w:rsid w:val="00E74106"/>
    <w:rsid w:val="00E74BDE"/>
    <w:rsid w:val="00EA3CCF"/>
    <w:rsid w:val="00EC536F"/>
    <w:rsid w:val="00EC53AC"/>
    <w:rsid w:val="00EF3DC0"/>
    <w:rsid w:val="00F00624"/>
    <w:rsid w:val="00F055F1"/>
    <w:rsid w:val="00F279C0"/>
    <w:rsid w:val="00F61029"/>
    <w:rsid w:val="00F610AF"/>
    <w:rsid w:val="00F76740"/>
    <w:rsid w:val="00F90BB8"/>
    <w:rsid w:val="00FA2C5A"/>
    <w:rsid w:val="00FA6804"/>
    <w:rsid w:val="00FC2D11"/>
    <w:rsid w:val="00FC6230"/>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45E6D"/>
  <w15:chartTrackingRefBased/>
  <w15:docId w15:val="{009094CC-E726-46F1-AD94-85DC3B33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FollowedHyperlink">
    <w:name w:val="FollowedHyperlink"/>
    <w:basedOn w:val="DefaultParagraphFont"/>
    <w:semiHidden/>
    <w:unhideWhenUsed/>
    <w:rsid w:val="00A03822"/>
    <w:rPr>
      <w:color w:val="800080" w:themeColor="followedHyperlink"/>
      <w:u w:val="single"/>
    </w:rPr>
  </w:style>
  <w:style w:type="paragraph" w:styleId="Revision">
    <w:name w:val="Revision"/>
    <w:hidden/>
    <w:uiPriority w:val="99"/>
    <w:semiHidden/>
    <w:rsid w:val="002A32FE"/>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21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735">
      <w:bodyDiv w:val="1"/>
      <w:marLeft w:val="0"/>
      <w:marRight w:val="0"/>
      <w:marTop w:val="0"/>
      <w:marBottom w:val="0"/>
      <w:divBdr>
        <w:top w:val="none" w:sz="0" w:space="0" w:color="auto"/>
        <w:left w:val="none" w:sz="0" w:space="0" w:color="auto"/>
        <w:bottom w:val="none" w:sz="0" w:space="0" w:color="auto"/>
        <w:right w:val="none" w:sz="0" w:space="0" w:color="auto"/>
      </w:divBdr>
    </w:div>
    <w:div w:id="304621998">
      <w:bodyDiv w:val="1"/>
      <w:marLeft w:val="0"/>
      <w:marRight w:val="0"/>
      <w:marTop w:val="0"/>
      <w:marBottom w:val="0"/>
      <w:divBdr>
        <w:top w:val="none" w:sz="0" w:space="0" w:color="auto"/>
        <w:left w:val="none" w:sz="0" w:space="0" w:color="auto"/>
        <w:bottom w:val="none" w:sz="0" w:space="0" w:color="auto"/>
        <w:right w:val="none" w:sz="0" w:space="0" w:color="auto"/>
      </w:divBdr>
    </w:div>
    <w:div w:id="558371133">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249271167">
      <w:bodyDiv w:val="1"/>
      <w:marLeft w:val="0"/>
      <w:marRight w:val="0"/>
      <w:marTop w:val="0"/>
      <w:marBottom w:val="0"/>
      <w:divBdr>
        <w:top w:val="none" w:sz="0" w:space="0" w:color="auto"/>
        <w:left w:val="none" w:sz="0" w:space="0" w:color="auto"/>
        <w:bottom w:val="none" w:sz="0" w:space="0" w:color="auto"/>
        <w:right w:val="none" w:sz="0" w:space="0" w:color="auto"/>
      </w:divBdr>
    </w:div>
    <w:div w:id="1672875218">
      <w:bodyDiv w:val="1"/>
      <w:marLeft w:val="0"/>
      <w:marRight w:val="0"/>
      <w:marTop w:val="0"/>
      <w:marBottom w:val="0"/>
      <w:divBdr>
        <w:top w:val="none" w:sz="0" w:space="0" w:color="auto"/>
        <w:left w:val="none" w:sz="0" w:space="0" w:color="auto"/>
        <w:bottom w:val="none" w:sz="0" w:space="0" w:color="auto"/>
        <w:right w:val="none" w:sz="0" w:space="0" w:color="auto"/>
      </w:divBdr>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824812332">
      <w:bodyDiv w:val="1"/>
      <w:marLeft w:val="0"/>
      <w:marRight w:val="0"/>
      <w:marTop w:val="0"/>
      <w:marBottom w:val="0"/>
      <w:divBdr>
        <w:top w:val="none" w:sz="0" w:space="0" w:color="auto"/>
        <w:left w:val="none" w:sz="0" w:space="0" w:color="auto"/>
        <w:bottom w:val="none" w:sz="0" w:space="0" w:color="auto"/>
        <w:right w:val="none" w:sz="0" w:space="0" w:color="auto"/>
      </w:divBdr>
    </w:div>
    <w:div w:id="2121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populationestimates" TargetMode="External"/><Relationship Id="rId13" Type="http://schemas.openxmlformats.org/officeDocument/2006/relationships/hyperlink" Target="https://doi.org/10.1002/hep.32761" TargetMode="External"/><Relationship Id="rId18" Type="http://schemas.openxmlformats.org/officeDocument/2006/relationships/hyperlink" Target="https://rarediseases.org/rare-diseases/alagille-syndrom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ice.org.uk/process/pmg37/chapter/highly-specialised-technologies" TargetMode="External"/><Relationship Id="rId12" Type="http://schemas.openxmlformats.org/officeDocument/2006/relationships/hyperlink" Target="https://www.ncbi.nlm.nih.gov/pmc/articles/PMC7694636/" TargetMode="External"/><Relationship Id="rId17" Type="http://schemas.openxmlformats.org/officeDocument/2006/relationships/hyperlink" Target="https://www.rarediseaseadvisor.com/hcp-resource/alagille-syndrome-life-expectancy/" TargetMode="External"/><Relationship Id="rId2" Type="http://schemas.openxmlformats.org/officeDocument/2006/relationships/styles" Target="styles.xml"/><Relationship Id="rId16" Type="http://schemas.openxmlformats.org/officeDocument/2006/relationships/hyperlink" Target="https://www.ons.gov.uk/peoplepopulationandcommunity/birthsdeathsandmarriages/livebirths/datasets/birthsummarytab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lww.com/jpgn/FullText/2011/01000/Diagnosis_of_Alagille_Syndrome_25_Years_of.16.aspx" TargetMode="External"/><Relationship Id="rId5" Type="http://schemas.openxmlformats.org/officeDocument/2006/relationships/footnotes" Target="footnotes.xml"/><Relationship Id="rId15" Type="http://schemas.openxmlformats.org/officeDocument/2006/relationships/hyperlink" Target="https://www.ons.gov.uk/peoplepopulationandcommunity/populationandmigration/populationestimates/datasets/populationestimatesforukenglandandwalesscotlandandnorthernireland%20" TargetMode="External"/><Relationship Id="rId23" Type="http://schemas.openxmlformats.org/officeDocument/2006/relationships/theme" Target="theme/theme1.xml"/><Relationship Id="rId10" Type="http://schemas.openxmlformats.org/officeDocument/2006/relationships/hyperlink" Target="https://adc.bmj.com/content/archdischild/52/5/360.full.pdf" TargetMode="External"/><Relationship Id="rId19" Type="http://schemas.openxmlformats.org/officeDocument/2006/relationships/hyperlink" Target="https://www.nice.org.uk/Glossary/incremental-cost-effectiveness-ratio" TargetMode="External"/><Relationship Id="rId4" Type="http://schemas.openxmlformats.org/officeDocument/2006/relationships/webSettings" Target="webSettings.xml"/><Relationship Id="rId9" Type="http://schemas.openxmlformats.org/officeDocument/2006/relationships/hyperlink" Target="https://www.nature.com/articles/ejhg2011181/" TargetMode="External"/><Relationship Id="rId14" Type="http://schemas.openxmlformats.org/officeDocument/2006/relationships/hyperlink" Target="https://www.ncbi.nlm.nih.gov/books/NBK50782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Scoping\3.%20Tech%20team%20templates%20updated%20March%2022\TEMPLATE%20-%20HST%20criteria%20checklist%20-%20for%20NIC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HST criteria checklist - for NICE use</Template>
  <TotalTime>2</TotalTime>
  <Pages>12</Pages>
  <Words>2364</Words>
  <Characters>15146</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Spanswick</dc:creator>
  <cp:keywords/>
  <dc:description/>
  <cp:lastModifiedBy>Stephanie Callaghan</cp:lastModifiedBy>
  <cp:revision>3</cp:revision>
  <cp:lastPrinted>2020-02-04T14:39:00Z</cp:lastPrinted>
  <dcterms:created xsi:type="dcterms:W3CDTF">2023-07-28T10:39:00Z</dcterms:created>
  <dcterms:modified xsi:type="dcterms:W3CDTF">2023-07-28T10:40:00Z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2023-02-28T17:01:49Z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8c0ea060-058a-4345-8556-9198c5ad14a9</vt:lpwstr>
  </property>
  <property fmtid="{D5CDD505-2E9C-101B-9397-08002B2CF9AE}" pid="8" name="MSIP_Label_c69d85d5-6d9e-4305-a294-1f636ec0f2d6_ContentBits">
    <vt:lpwstr>0</vt:lpwstr>
  </property>
</Properties>
</file>