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A041B" w:rsidR="007A041B" w:rsidP="007A041B" w:rsidRDefault="007A041B" w14:paraId="4D71C263" w14:textId="38A23C53">
      <w:pPr>
        <w:rPr>
          <w:rStyle w:val="Hyperlink"/>
          <w:rFonts w:ascii="Arial" w:hAnsi="Arial" w:cs="Arial"/>
          <w:sz w:val="20"/>
          <w:szCs w:val="20"/>
        </w:rPr>
      </w:pPr>
      <w:r w:rsidRPr="1F41547B" w:rsidR="007A041B">
        <w:rPr>
          <w:rFonts w:ascii="Arial" w:hAnsi="Arial" w:cs="Arial"/>
          <w:sz w:val="20"/>
          <w:szCs w:val="20"/>
        </w:rPr>
        <w:t xml:space="preserve">Sent by e-mail only: </w:t>
      </w:r>
      <w:r w:rsidRPr="1F41547B" w:rsidR="32D8E6DC">
        <w:rPr>
          <w:rFonts w:ascii="Arial" w:hAnsi="Arial" w:cs="Arial"/>
          <w:sz w:val="20"/>
          <w:szCs w:val="20"/>
          <w:highlight w:val="black"/>
        </w:rPr>
        <w:t>XXXXXXXXXXXXXX</w:t>
      </w:r>
      <w:r w:rsidRPr="1F41547B" w:rsidR="007A041B">
        <w:rPr>
          <w:rFonts w:ascii="Arial" w:hAnsi="Arial" w:cs="Arial"/>
          <w:sz w:val="20"/>
          <w:szCs w:val="20"/>
        </w:rPr>
        <w:t xml:space="preserve">  </w:t>
      </w:r>
    </w:p>
    <w:p w:rsidRPr="007A041B" w:rsidR="007A041B" w:rsidP="007A041B" w:rsidRDefault="007A041B" w14:paraId="203B2BE7" w14:textId="41852C71">
      <w:pPr>
        <w:spacing w:after="0" w:line="240" w:lineRule="auto"/>
        <w:jc w:val="both"/>
        <w:rPr>
          <w:rFonts w:ascii="Arial" w:hAnsi="Arial" w:cs="Arial"/>
          <w:sz w:val="20"/>
          <w:szCs w:val="20"/>
        </w:rPr>
      </w:pPr>
      <w:r w:rsidRPr="1F41547B" w:rsidR="007A041B">
        <w:rPr>
          <w:rFonts w:ascii="Arial" w:hAnsi="Arial" w:cs="Arial"/>
          <w:sz w:val="20"/>
          <w:szCs w:val="20"/>
        </w:rPr>
        <w:t xml:space="preserve">FAO </w:t>
      </w:r>
      <w:r w:rsidRPr="1F41547B" w:rsidR="41B33C21">
        <w:rPr>
          <w:rFonts w:ascii="Arial" w:hAnsi="Arial" w:cs="Arial"/>
          <w:sz w:val="20"/>
          <w:szCs w:val="20"/>
          <w:highlight w:val="black"/>
        </w:rPr>
        <w:t>XXXXXXXXXX</w:t>
      </w:r>
    </w:p>
    <w:p w:rsidRPr="007A041B" w:rsidR="007A041B" w:rsidP="007A041B" w:rsidRDefault="007A041B" w14:paraId="191011E4" w14:textId="77777777">
      <w:pPr>
        <w:spacing w:after="0" w:line="240" w:lineRule="auto"/>
        <w:jc w:val="both"/>
        <w:rPr>
          <w:rFonts w:ascii="Arial" w:hAnsi="Arial" w:cs="Arial"/>
          <w:sz w:val="20"/>
          <w:szCs w:val="20"/>
        </w:rPr>
      </w:pPr>
      <w:r w:rsidRPr="007A041B">
        <w:rPr>
          <w:rFonts w:ascii="Arial" w:hAnsi="Arial" w:cs="Arial"/>
          <w:sz w:val="20"/>
          <w:szCs w:val="20"/>
        </w:rPr>
        <w:t>Incyte Biosciences UK Ltd</w:t>
      </w:r>
    </w:p>
    <w:p w:rsidRPr="007A041B" w:rsidR="007A041B" w:rsidP="007A041B" w:rsidRDefault="007A041B" w14:paraId="188B0A8F" w14:textId="77777777">
      <w:pPr>
        <w:rPr>
          <w:rFonts w:ascii="Arial" w:hAnsi="Arial" w:cs="Arial"/>
          <w:sz w:val="20"/>
          <w:szCs w:val="20"/>
        </w:rPr>
      </w:pPr>
    </w:p>
    <w:p w:rsidRPr="007A041B" w:rsidR="007A041B" w:rsidP="007A041B" w:rsidRDefault="007A041B" w14:paraId="2920C24E" w14:textId="77777777">
      <w:pPr>
        <w:rPr>
          <w:rFonts w:ascii="Arial" w:hAnsi="Arial" w:cs="Arial"/>
          <w:sz w:val="20"/>
          <w:szCs w:val="20"/>
        </w:rPr>
      </w:pPr>
    </w:p>
    <w:p w:rsidRPr="007A041B" w:rsidR="007A041B" w:rsidP="007A041B" w:rsidRDefault="007A041B" w14:paraId="68CAE035" w14:textId="5F5631BC">
      <w:pPr>
        <w:rPr>
          <w:rFonts w:ascii="Arial" w:hAnsi="Arial" w:cs="Arial"/>
          <w:sz w:val="20"/>
          <w:szCs w:val="20"/>
        </w:rPr>
      </w:pPr>
      <w:r w:rsidRPr="24BA5936" w:rsidR="3132354E">
        <w:rPr>
          <w:rFonts w:ascii="Arial" w:hAnsi="Arial" w:cs="Arial"/>
          <w:sz w:val="20"/>
          <w:szCs w:val="20"/>
        </w:rPr>
        <w:t>27 August 2024</w:t>
      </w:r>
    </w:p>
    <w:p w:rsidRPr="007A041B" w:rsidR="007A041B" w:rsidP="007A041B" w:rsidRDefault="007A041B" w14:paraId="4A084218" w14:textId="77777777">
      <w:pPr>
        <w:rPr>
          <w:rStyle w:val="Hyperlink"/>
          <w:rFonts w:ascii="Arial" w:hAnsi="Arial" w:cs="Arial"/>
          <w:sz w:val="20"/>
          <w:szCs w:val="20"/>
        </w:rPr>
      </w:pPr>
    </w:p>
    <w:p w:rsidRPr="007A041B" w:rsidR="007A041B" w:rsidP="1F41547B" w:rsidRDefault="007A041B" w14:paraId="39DC81B0" w14:textId="16640287">
      <w:pPr>
        <w:ind w:left="426" w:right="468" w:hanging="426"/>
        <w:jc w:val="both"/>
        <w:rPr>
          <w:rFonts w:ascii="Arial" w:hAnsi="Arial" w:cs="Arial"/>
          <w:noProof/>
          <w:spacing w:val="-3"/>
          <w:sz w:val="20"/>
          <w:szCs w:val="20"/>
          <w:lang w:eastAsia="en-GB"/>
        </w:rPr>
      </w:pPr>
      <w:bookmarkStart w:name="deartext" w:id="0"/>
      <w:r w:rsidRPr="1F41547B" w:rsidR="007A041B">
        <w:rPr>
          <w:rFonts w:ascii="Arial" w:hAnsi="Arial" w:cs="Arial"/>
          <w:sz w:val="20"/>
          <w:szCs w:val="20"/>
        </w:rPr>
        <w:t>Dear</w:t>
      </w:r>
      <w:bookmarkEnd w:id="0"/>
      <w:r w:rsidRPr="1F41547B" w:rsidR="007A041B">
        <w:rPr>
          <w:rFonts w:ascii="Arial" w:hAnsi="Arial" w:cs="Arial"/>
          <w:sz w:val="20"/>
          <w:szCs w:val="20"/>
        </w:rPr>
        <w:t xml:space="preserve"> </w:t>
      </w:r>
      <w:r w:rsidRPr="1F41547B" w:rsidR="5834C92E">
        <w:rPr>
          <w:rFonts w:ascii="Arial" w:hAnsi="Arial" w:cs="Arial"/>
          <w:sz w:val="20"/>
          <w:szCs w:val="20"/>
          <w:highlight w:val="black"/>
        </w:rPr>
        <w:t>XXXXXX</w:t>
      </w:r>
      <w:bookmarkStart w:name="Sal" w:id="1"/>
      <w:bookmarkEnd w:id="1"/>
    </w:p>
    <w:p w:rsidRPr="007A041B" w:rsidR="00F24B1D" w:rsidP="007A041B" w:rsidRDefault="007A041B" w14:paraId="67AFD44F" w14:textId="5B681726">
      <w:pPr>
        <w:ind w:left="426" w:right="468" w:hanging="426"/>
        <w:jc w:val="both"/>
        <w:rPr>
          <w:rFonts w:ascii="Arial" w:hAnsi="Arial" w:cs="Arial"/>
          <w:b/>
          <w:sz w:val="20"/>
          <w:szCs w:val="20"/>
        </w:rPr>
      </w:pPr>
      <w:r w:rsidRPr="007A041B">
        <w:rPr>
          <w:rFonts w:ascii="Arial" w:hAnsi="Arial" w:cs="Arial"/>
          <w:noProof/>
          <w:sz w:val="20"/>
          <w:szCs w:val="20"/>
          <w:lang w:eastAsia="en-GB"/>
        </w:rPr>
        <mc:AlternateContent>
          <mc:Choice Requires="wps">
            <w:drawing>
              <wp:anchor distT="4294967294" distB="4294967294" distL="114300" distR="114300" simplePos="0" relativeHeight="251659264" behindDoc="0" locked="0" layoutInCell="1" allowOverlap="1" wp14:anchorId="434D0151" wp14:editId="7C386B92">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w14:anchorId="1013DF0F">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w14:anchorId="12DCA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o:lock v:ext="edit" shapetype="f"/>
              </v:line>
            </w:pict>
          </mc:Fallback>
        </mc:AlternateContent>
      </w:r>
      <w:r w:rsidRPr="007A041B">
        <w:rPr>
          <w:rFonts w:ascii="Arial" w:hAnsi="Arial" w:cs="Arial"/>
          <w:b/>
          <w:spacing w:val="-3"/>
          <w:sz w:val="20"/>
          <w:szCs w:val="20"/>
        </w:rPr>
        <w:t>Re:</w:t>
      </w:r>
      <w:r w:rsidRPr="007A041B">
        <w:rPr>
          <w:rFonts w:ascii="Arial" w:hAnsi="Arial" w:cs="Arial"/>
          <w:sz w:val="20"/>
          <w:szCs w:val="20"/>
        </w:rPr>
        <w:t xml:space="preserve"> </w:t>
      </w:r>
      <w:r w:rsidRPr="007A041B">
        <w:rPr>
          <w:rFonts w:ascii="Arial" w:hAnsi="Arial" w:cs="Arial"/>
          <w:b/>
          <w:sz w:val="20"/>
          <w:szCs w:val="20"/>
        </w:rPr>
        <w:t>Final Draft Guidance For Ruxolitinib Cream For Treating Non-Segmental Vitiligo In People 12 Years And Over [ID 3998</w:t>
      </w:r>
      <w:r w:rsidRPr="007A041B" w:rsidR="00BB16DB">
        <w:rPr>
          <w:rFonts w:ascii="Arial" w:hAnsi="Arial" w:cs="Arial"/>
          <w:b/>
          <w:sz w:val="20"/>
          <w:szCs w:val="20"/>
        </w:rPr>
        <w:t>]</w:t>
      </w:r>
    </w:p>
    <w:p w:rsidRPr="007A041B" w:rsidR="00DB178D" w:rsidP="00DB178D" w:rsidRDefault="00DB178D" w14:paraId="645F333C" w14:textId="212C7AD1">
      <w:pPr>
        <w:spacing w:before="240" w:after="240"/>
        <w:jc w:val="both"/>
        <w:rPr>
          <w:rFonts w:ascii="Arial" w:hAnsi="Arial" w:eastAsia="Times New Roman" w:cs="Arial"/>
          <w:sz w:val="20"/>
          <w:szCs w:val="20"/>
        </w:rPr>
      </w:pPr>
      <w:r w:rsidRPr="007A041B">
        <w:rPr>
          <w:rFonts w:ascii="Arial" w:hAnsi="Arial" w:eastAsia="Times New Roman" w:cs="Arial"/>
          <w:sz w:val="20"/>
          <w:szCs w:val="20"/>
        </w:rPr>
        <w:t xml:space="preserve">Thank you for your letter of </w:t>
      </w:r>
      <w:r w:rsidRPr="007A041B" w:rsidR="007A041B">
        <w:rPr>
          <w:rFonts w:ascii="Arial" w:hAnsi="Arial" w:eastAsia="Times New Roman" w:cs="Arial"/>
          <w:sz w:val="20"/>
          <w:szCs w:val="20"/>
        </w:rPr>
        <w:t>21 August</w:t>
      </w:r>
      <w:r w:rsidRPr="007A041B" w:rsidR="00BB16DB">
        <w:rPr>
          <w:rFonts w:ascii="Arial" w:hAnsi="Arial" w:eastAsia="Times New Roman" w:cs="Arial"/>
          <w:sz w:val="20"/>
          <w:szCs w:val="20"/>
        </w:rPr>
        <w:t xml:space="preserve"> 2024</w:t>
      </w:r>
      <w:r w:rsidRPr="007A041B">
        <w:rPr>
          <w:rFonts w:ascii="Arial" w:hAnsi="Arial" w:eastAsia="Times New Roman" w:cs="Arial"/>
          <w:sz w:val="20"/>
          <w:szCs w:val="20"/>
        </w:rPr>
        <w:t xml:space="preserve"> responding to my initial scrutiny views.  This is my final decision on initial scrutiny.</w:t>
      </w:r>
    </w:p>
    <w:p w:rsidRPr="007A041B" w:rsidR="00DB178D" w:rsidP="00DB178D" w:rsidRDefault="00DB178D" w14:paraId="55B1D5E2" w14:textId="28FD5E0E">
      <w:pPr>
        <w:spacing w:before="240" w:after="240"/>
        <w:jc w:val="both"/>
        <w:rPr>
          <w:rFonts w:ascii="Arial" w:hAnsi="Arial" w:eastAsia="Times New Roman" w:cs="Arial"/>
          <w:sz w:val="20"/>
          <w:szCs w:val="20"/>
        </w:rPr>
      </w:pPr>
      <w:r w:rsidRPr="007A041B">
        <w:rPr>
          <w:rFonts w:ascii="Arial" w:hAnsi="Arial" w:eastAsia="Times New Roman" w:cs="Arial"/>
          <w:sz w:val="20"/>
          <w:szCs w:val="20"/>
        </w:rPr>
        <w:t xml:space="preserve">I </w:t>
      </w:r>
      <w:r w:rsidRPr="007A041B" w:rsidR="00BB16DB">
        <w:rPr>
          <w:rFonts w:ascii="Arial" w:hAnsi="Arial" w:eastAsia="Times New Roman" w:cs="Arial"/>
          <w:sz w:val="20"/>
          <w:szCs w:val="20"/>
        </w:rPr>
        <w:t>assess each of your points in turn.</w:t>
      </w:r>
    </w:p>
    <w:p w:rsidRPr="007A041B" w:rsidR="007A041B" w:rsidP="007A041B" w:rsidRDefault="007A041B" w14:paraId="1275C715" w14:textId="77777777">
      <w:pPr>
        <w:spacing w:before="120" w:after="0" w:line="240" w:lineRule="auto"/>
        <w:rPr>
          <w:rFonts w:ascii="Arial" w:hAnsi="Arial" w:cs="Arial"/>
          <w:b/>
          <w:i/>
          <w:sz w:val="20"/>
          <w:szCs w:val="20"/>
          <w:lang w:eastAsia="en-GB"/>
        </w:rPr>
      </w:pPr>
      <w:r w:rsidRPr="007A041B">
        <w:rPr>
          <w:rFonts w:ascii="Arial" w:hAnsi="Arial" w:cs="Arial"/>
          <w:b/>
          <w:i/>
          <w:sz w:val="20"/>
          <w:szCs w:val="20"/>
          <w:lang w:eastAsia="en-GB"/>
        </w:rPr>
        <w:t>Ground 1(a): In making the assessment that preceded the recommendation, NICE has failed to act fairly</w:t>
      </w:r>
    </w:p>
    <w:p w:rsidRPr="007A041B" w:rsidR="007A041B" w:rsidP="007A041B" w:rsidRDefault="007A041B" w14:paraId="6AABDA73" w14:textId="77777777">
      <w:pPr>
        <w:spacing w:before="120" w:after="0" w:line="240" w:lineRule="auto"/>
        <w:rPr>
          <w:rFonts w:ascii="Arial" w:hAnsi="Arial" w:cs="Arial"/>
          <w:b/>
          <w:i/>
          <w:sz w:val="20"/>
          <w:szCs w:val="20"/>
          <w:lang w:eastAsia="en-GB"/>
        </w:rPr>
      </w:pPr>
    </w:p>
    <w:p w:rsidRPr="007A041B" w:rsidR="007A041B" w:rsidP="007A041B" w:rsidRDefault="007A041B" w14:paraId="0E33D380" w14:textId="77777777">
      <w:pPr>
        <w:pStyle w:val="BodyText"/>
        <w:jc w:val="both"/>
        <w:rPr>
          <w:rFonts w:cs="Arial"/>
          <w:b/>
          <w:color w:val="auto"/>
          <w:u w:val="single"/>
        </w:rPr>
      </w:pPr>
      <w:r w:rsidRPr="007A041B">
        <w:rPr>
          <w:rFonts w:cs="Arial"/>
          <w:b/>
          <w:color w:val="auto"/>
          <w:u w:val="single"/>
        </w:rPr>
        <w:t>Appeal point 1(a).2: A third meeting of the Appraisal Committee should have been scheduled in view of the issues which were unresolved at the second meeting and in order adequately to consider data requested by the Committee and submitted by Incyte in response to the draft guidance</w:t>
      </w:r>
    </w:p>
    <w:p w:rsidR="00456F6B" w:rsidP="00456F6B" w:rsidRDefault="00BB16DB" w14:paraId="13376B40" w14:textId="6CA852F9">
      <w:pPr>
        <w:spacing w:before="120" w:after="240"/>
        <w:jc w:val="both"/>
        <w:rPr>
          <w:rFonts w:ascii="Arial" w:hAnsi="Arial" w:eastAsia="Times New Roman" w:cs="Arial"/>
          <w:color w:val="0D0D0D" w:themeColor="text1" w:themeTint="F2"/>
          <w:sz w:val="20"/>
          <w:szCs w:val="20"/>
          <w:lang w:eastAsia="en-GB"/>
        </w:rPr>
      </w:pPr>
      <w:r w:rsidRPr="00456F6B">
        <w:rPr>
          <w:rFonts w:ascii="Arial" w:hAnsi="Arial" w:eastAsia="Times New Roman" w:cs="Arial"/>
          <w:color w:val="0D0D0D" w:themeColor="text1" w:themeTint="F2"/>
          <w:sz w:val="20"/>
          <w:szCs w:val="20"/>
          <w:lang w:eastAsia="en-GB"/>
        </w:rPr>
        <w:t>I agree that this is a valid appeal point</w:t>
      </w:r>
      <w:r w:rsidR="00456F6B">
        <w:rPr>
          <w:rFonts w:ascii="Arial" w:hAnsi="Arial" w:eastAsia="Times New Roman" w:cs="Arial"/>
          <w:color w:val="0D0D0D" w:themeColor="text1" w:themeTint="F2"/>
          <w:sz w:val="20"/>
          <w:szCs w:val="20"/>
          <w:lang w:eastAsia="en-GB"/>
        </w:rPr>
        <w:t xml:space="preserve"> and I will refer the point to the Appeal Panel covering the arguments made in your appeal letter, including whether sufficient time was permitted at ACM2 for consideration of the data and whether Incyte was unfairly denied the opportunity to respond to the EAG's critique of that data</w:t>
      </w:r>
      <w:r w:rsidRPr="00456F6B">
        <w:rPr>
          <w:rFonts w:ascii="Arial" w:hAnsi="Arial" w:eastAsia="Times New Roman" w:cs="Arial"/>
          <w:color w:val="0D0D0D" w:themeColor="text1" w:themeTint="F2"/>
          <w:sz w:val="20"/>
          <w:szCs w:val="20"/>
          <w:lang w:eastAsia="en-GB"/>
        </w:rPr>
        <w:t>.</w:t>
      </w:r>
      <w:r w:rsidR="00456F6B">
        <w:rPr>
          <w:rFonts w:ascii="Arial" w:hAnsi="Arial" w:eastAsia="Times New Roman" w:cs="Arial"/>
          <w:color w:val="0D0D0D" w:themeColor="text1" w:themeTint="F2"/>
          <w:sz w:val="20"/>
          <w:szCs w:val="20"/>
          <w:lang w:eastAsia="en-GB"/>
        </w:rPr>
        <w:t xml:space="preserve"> I expect the Panel will wish to explore how the new data was handled by the Committee and EAG, what might have been achieved by spending more time and/or inviting stakeholder feedback on the EAG's critique of that data and whether fairness required more time and/or opportunity for comment (by way of a third committee meeting or otherwise).</w:t>
      </w:r>
    </w:p>
    <w:p w:rsidRPr="007A041B" w:rsidR="007A041B" w:rsidP="00456F6B" w:rsidRDefault="007A041B" w14:paraId="3183D124" w14:textId="109A86F0">
      <w:pPr>
        <w:spacing w:before="120" w:after="240"/>
        <w:jc w:val="both"/>
        <w:rPr>
          <w:rFonts w:ascii="Arial" w:hAnsi="Arial" w:cs="Arial"/>
          <w:b/>
          <w:sz w:val="20"/>
          <w:szCs w:val="20"/>
          <w:u w:val="single"/>
        </w:rPr>
      </w:pPr>
      <w:r w:rsidRPr="007A041B">
        <w:rPr>
          <w:rFonts w:ascii="Arial" w:hAnsi="Arial" w:cs="Arial"/>
          <w:b/>
          <w:sz w:val="20"/>
          <w:szCs w:val="20"/>
          <w:u w:val="single"/>
        </w:rPr>
        <w:t>Appeal point 1(a).4:</w:t>
      </w:r>
      <w:r w:rsidRPr="007A041B">
        <w:rPr>
          <w:rFonts w:ascii="Arial" w:hAnsi="Arial" w:cs="Arial"/>
          <w:sz w:val="20"/>
          <w:szCs w:val="20"/>
          <w:u w:val="single"/>
        </w:rPr>
        <w:t xml:space="preserve"> </w:t>
      </w:r>
      <w:r w:rsidRPr="007A041B">
        <w:rPr>
          <w:rFonts w:ascii="Arial" w:hAnsi="Arial" w:cs="Arial"/>
          <w:b/>
          <w:sz w:val="20"/>
          <w:szCs w:val="20"/>
          <w:u w:val="single"/>
        </w:rPr>
        <w:t>The Committee has failed to give adequate consideration to its duty under the Equality Act 2010</w:t>
      </w:r>
    </w:p>
    <w:p w:rsidR="0037713C" w:rsidP="00456F6B" w:rsidRDefault="007A041B" w14:paraId="01FE011C" w14:textId="1CE1FE28">
      <w:pPr>
        <w:spacing w:before="120" w:after="240"/>
        <w:jc w:val="both"/>
        <w:rPr>
          <w:rFonts w:ascii="Arial" w:hAnsi="Arial" w:eastAsia="Times New Roman" w:cs="Arial"/>
          <w:color w:val="0D0D0D" w:themeColor="text1" w:themeTint="F2"/>
          <w:sz w:val="20"/>
          <w:szCs w:val="20"/>
          <w:lang w:eastAsia="en-GB"/>
        </w:rPr>
      </w:pPr>
      <w:r w:rsidRPr="007E5761">
        <w:rPr>
          <w:rFonts w:ascii="Arial" w:hAnsi="Arial" w:eastAsia="Times New Roman" w:cs="Arial"/>
          <w:color w:val="0D0D0D" w:themeColor="text1" w:themeTint="F2"/>
          <w:sz w:val="20"/>
          <w:szCs w:val="20"/>
          <w:lang w:eastAsia="en-GB"/>
        </w:rPr>
        <w:t xml:space="preserve">Having considered the additional arguments made in your letter of 21 August, I agree that </w:t>
      </w:r>
      <w:r w:rsidRPr="007E5761" w:rsidR="007E5761">
        <w:rPr>
          <w:rFonts w:ascii="Arial" w:hAnsi="Arial" w:eastAsia="Times New Roman" w:cs="Arial"/>
          <w:color w:val="0D0D0D" w:themeColor="text1" w:themeTint="F2"/>
          <w:sz w:val="20"/>
          <w:szCs w:val="20"/>
          <w:lang w:eastAsia="en-GB"/>
        </w:rPr>
        <w:t xml:space="preserve">it is arguable that the Committee provided inadequate </w:t>
      </w:r>
      <w:r w:rsidR="0037713C">
        <w:rPr>
          <w:rFonts w:ascii="Arial" w:hAnsi="Arial" w:eastAsia="Times New Roman" w:cs="Arial"/>
          <w:color w:val="0D0D0D" w:themeColor="text1" w:themeTint="F2"/>
          <w:sz w:val="20"/>
          <w:szCs w:val="20"/>
          <w:lang w:eastAsia="en-GB"/>
        </w:rPr>
        <w:t xml:space="preserve">explanation of </w:t>
      </w:r>
      <w:r w:rsidRPr="007E5761" w:rsidR="007E5761">
        <w:rPr>
          <w:rFonts w:ascii="Arial" w:hAnsi="Arial" w:eastAsia="Times New Roman" w:cs="Arial"/>
          <w:color w:val="0D0D0D" w:themeColor="text1" w:themeTint="F2"/>
          <w:sz w:val="20"/>
          <w:szCs w:val="20"/>
          <w:lang w:eastAsia="en-GB"/>
        </w:rPr>
        <w:t xml:space="preserve">how it </w:t>
      </w:r>
      <w:r w:rsidR="007E5761">
        <w:rPr>
          <w:rFonts w:ascii="Arial" w:hAnsi="Arial" w:eastAsia="Times New Roman" w:cs="Arial"/>
          <w:color w:val="0D0D0D" w:themeColor="text1" w:themeTint="F2"/>
          <w:sz w:val="20"/>
          <w:szCs w:val="20"/>
          <w:lang w:eastAsia="en-GB"/>
        </w:rPr>
        <w:t xml:space="preserve">had taken into account the equalities issues listed at paragraph 3.20 of the FDG and reached the conclusion that there were no equality issues </w:t>
      </w:r>
      <w:r w:rsidR="0037713C">
        <w:rPr>
          <w:rFonts w:ascii="Arial" w:hAnsi="Arial" w:eastAsia="Times New Roman" w:cs="Arial"/>
          <w:color w:val="0D0D0D" w:themeColor="text1" w:themeTint="F2"/>
          <w:sz w:val="20"/>
          <w:szCs w:val="20"/>
          <w:lang w:eastAsia="en-GB"/>
        </w:rPr>
        <w:t>relevant</w:t>
      </w:r>
      <w:r w:rsidR="007E5761">
        <w:rPr>
          <w:rFonts w:ascii="Arial" w:hAnsi="Arial" w:eastAsia="Times New Roman" w:cs="Arial"/>
          <w:color w:val="0D0D0D" w:themeColor="text1" w:themeTint="F2"/>
          <w:sz w:val="20"/>
          <w:szCs w:val="20"/>
          <w:lang w:eastAsia="en-GB"/>
        </w:rPr>
        <w:t xml:space="preserve"> to the recommendations</w:t>
      </w:r>
      <w:r w:rsidR="0037713C">
        <w:rPr>
          <w:rFonts w:ascii="Arial" w:hAnsi="Arial" w:eastAsia="Times New Roman" w:cs="Arial"/>
          <w:color w:val="0D0D0D" w:themeColor="text1" w:themeTint="F2"/>
          <w:sz w:val="20"/>
          <w:szCs w:val="20"/>
          <w:lang w:eastAsia="en-GB"/>
        </w:rPr>
        <w:t>.</w:t>
      </w:r>
      <w:r w:rsidRPr="007E5761" w:rsidR="007E5761">
        <w:rPr>
          <w:rFonts w:ascii="Arial" w:hAnsi="Arial" w:eastAsia="Times New Roman" w:cs="Arial"/>
          <w:color w:val="0D0D0D" w:themeColor="text1" w:themeTint="F2"/>
          <w:sz w:val="20"/>
          <w:szCs w:val="20"/>
          <w:lang w:eastAsia="en-GB"/>
        </w:rPr>
        <w:t xml:space="preserve"> </w:t>
      </w:r>
    </w:p>
    <w:p w:rsidR="007E5761" w:rsidP="007A041B" w:rsidRDefault="007A041B" w14:paraId="700C9F41" w14:textId="6F8FFD86">
      <w:pPr>
        <w:spacing w:before="120" w:after="240"/>
        <w:rPr>
          <w:rFonts w:ascii="Arial" w:hAnsi="Arial" w:eastAsia="Times New Roman" w:cs="Arial"/>
          <w:color w:val="0D0D0D" w:themeColor="text1" w:themeTint="F2"/>
          <w:sz w:val="20"/>
          <w:szCs w:val="20"/>
          <w:lang w:eastAsia="en-GB"/>
        </w:rPr>
      </w:pPr>
      <w:r w:rsidRPr="007E5761">
        <w:rPr>
          <w:rFonts w:ascii="Arial" w:hAnsi="Arial" w:eastAsia="Times New Roman" w:cs="Arial"/>
          <w:color w:val="0D0D0D" w:themeColor="text1" w:themeTint="F2"/>
          <w:sz w:val="20"/>
          <w:szCs w:val="20"/>
          <w:lang w:eastAsia="en-GB"/>
        </w:rPr>
        <w:t xml:space="preserve">I will </w:t>
      </w:r>
      <w:r w:rsidRPr="007E5761" w:rsidR="007E5761">
        <w:rPr>
          <w:rFonts w:ascii="Arial" w:hAnsi="Arial" w:eastAsia="Times New Roman" w:cs="Arial"/>
          <w:color w:val="0D0D0D" w:themeColor="text1" w:themeTint="F2"/>
          <w:sz w:val="20"/>
          <w:szCs w:val="20"/>
          <w:lang w:eastAsia="en-GB"/>
        </w:rPr>
        <w:t xml:space="preserve">therefore </w:t>
      </w:r>
      <w:r w:rsidRPr="007E5761">
        <w:rPr>
          <w:rFonts w:ascii="Arial" w:hAnsi="Arial" w:eastAsia="Times New Roman" w:cs="Arial"/>
          <w:color w:val="0D0D0D" w:themeColor="text1" w:themeTint="F2"/>
          <w:sz w:val="20"/>
          <w:szCs w:val="20"/>
          <w:lang w:eastAsia="en-GB"/>
        </w:rPr>
        <w:t>refer</w:t>
      </w:r>
      <w:r w:rsidRPr="007E5761" w:rsidR="007E5761">
        <w:rPr>
          <w:rFonts w:ascii="Arial" w:hAnsi="Arial" w:eastAsia="Times New Roman" w:cs="Arial"/>
          <w:color w:val="0D0D0D" w:themeColor="text1" w:themeTint="F2"/>
          <w:sz w:val="20"/>
          <w:szCs w:val="20"/>
          <w:lang w:eastAsia="en-GB"/>
        </w:rPr>
        <w:t xml:space="preserve"> your point 1(a).4 as a valid appeal point</w:t>
      </w:r>
      <w:r w:rsidRPr="007E5761">
        <w:rPr>
          <w:rFonts w:ascii="Arial" w:hAnsi="Arial" w:eastAsia="Times New Roman" w:cs="Arial"/>
          <w:color w:val="0D0D0D" w:themeColor="text1" w:themeTint="F2"/>
          <w:sz w:val="20"/>
          <w:szCs w:val="20"/>
          <w:lang w:eastAsia="en-GB"/>
        </w:rPr>
        <w:t xml:space="preserve"> </w:t>
      </w:r>
      <w:proofErr w:type="spellStart"/>
      <w:r w:rsidRPr="007E5761">
        <w:rPr>
          <w:rFonts w:ascii="Arial" w:hAnsi="Arial" w:eastAsia="Times New Roman" w:cs="Arial"/>
          <w:color w:val="0D0D0D" w:themeColor="text1" w:themeTint="F2"/>
          <w:sz w:val="20"/>
          <w:szCs w:val="20"/>
          <w:lang w:eastAsia="en-GB"/>
        </w:rPr>
        <w:t>under ground</w:t>
      </w:r>
      <w:proofErr w:type="spellEnd"/>
      <w:r w:rsidRPr="007E5761">
        <w:rPr>
          <w:rFonts w:ascii="Arial" w:hAnsi="Arial" w:eastAsia="Times New Roman" w:cs="Arial"/>
          <w:color w:val="0D0D0D" w:themeColor="text1" w:themeTint="F2"/>
          <w:sz w:val="20"/>
          <w:szCs w:val="20"/>
          <w:lang w:eastAsia="en-GB"/>
        </w:rPr>
        <w:t xml:space="preserve"> 1(a). </w:t>
      </w:r>
    </w:p>
    <w:p w:rsidR="007A041B" w:rsidP="007A041B" w:rsidRDefault="007E5761" w14:paraId="2E74BCF2" w14:textId="548E3ED0">
      <w:pPr>
        <w:spacing w:before="120" w:after="240"/>
        <w:rPr>
          <w:rFonts w:ascii="Arial" w:hAnsi="Arial" w:eastAsia="Times New Roman" w:cs="Arial"/>
          <w:color w:val="0D0D0D" w:themeColor="text1" w:themeTint="F2"/>
          <w:sz w:val="20"/>
          <w:szCs w:val="20"/>
          <w:lang w:eastAsia="en-GB"/>
        </w:rPr>
      </w:pPr>
      <w:r>
        <w:rPr>
          <w:rFonts w:ascii="Arial" w:hAnsi="Arial" w:eastAsia="Times New Roman" w:cs="Arial"/>
          <w:color w:val="0D0D0D" w:themeColor="text1" w:themeTint="F2"/>
          <w:sz w:val="20"/>
          <w:szCs w:val="20"/>
          <w:lang w:eastAsia="en-GB"/>
        </w:rPr>
        <w:t>I will amend the heading of this point (which should be a one-sentence description of the appeal point: see s4.6 of the NICE appeals process guide) to:</w:t>
      </w:r>
    </w:p>
    <w:p w:rsidRPr="007A041B" w:rsidR="007E5761" w:rsidP="007E5761" w:rsidRDefault="007E5761" w14:paraId="5DF69CAE" w14:textId="4EA099BC">
      <w:pPr>
        <w:spacing w:before="120" w:after="240"/>
        <w:ind w:left="720"/>
        <w:rPr>
          <w:rFonts w:ascii="Arial" w:hAnsi="Arial" w:cs="Arial"/>
          <w:color w:val="0D0D0D" w:themeColor="text1" w:themeTint="F2"/>
          <w:sz w:val="20"/>
          <w:szCs w:val="20"/>
          <w:lang w:eastAsia="en-GB"/>
        </w:rPr>
      </w:pPr>
      <w:r>
        <w:rPr>
          <w:rFonts w:ascii="Arial" w:hAnsi="Arial" w:cs="Arial"/>
          <w:b/>
          <w:sz w:val="20"/>
          <w:szCs w:val="20"/>
          <w:u w:val="single"/>
        </w:rPr>
        <w:t>"</w:t>
      </w:r>
      <w:r w:rsidRPr="007A041B">
        <w:rPr>
          <w:rFonts w:ascii="Arial" w:hAnsi="Arial" w:cs="Arial"/>
          <w:b/>
          <w:sz w:val="20"/>
          <w:szCs w:val="20"/>
          <w:u w:val="single"/>
        </w:rPr>
        <w:t xml:space="preserve">The Committee has failed to </w:t>
      </w:r>
      <w:r w:rsidR="0037713C">
        <w:rPr>
          <w:rFonts w:ascii="Arial" w:hAnsi="Arial" w:cs="Arial"/>
          <w:b/>
          <w:sz w:val="20"/>
          <w:szCs w:val="20"/>
          <w:u w:val="single"/>
        </w:rPr>
        <w:t xml:space="preserve">give </w:t>
      </w:r>
      <w:r w:rsidR="00E2576D">
        <w:rPr>
          <w:rFonts w:ascii="Arial" w:hAnsi="Arial" w:cs="Arial"/>
          <w:b/>
          <w:sz w:val="20"/>
          <w:szCs w:val="20"/>
          <w:u w:val="single"/>
        </w:rPr>
        <w:t xml:space="preserve">an </w:t>
      </w:r>
      <w:r w:rsidR="0037713C">
        <w:rPr>
          <w:rFonts w:ascii="Arial" w:hAnsi="Arial" w:cs="Arial"/>
          <w:b/>
          <w:sz w:val="20"/>
          <w:szCs w:val="20"/>
          <w:u w:val="single"/>
        </w:rPr>
        <w:t xml:space="preserve">adequate explanation of </w:t>
      </w:r>
      <w:r w:rsidR="00E2576D">
        <w:rPr>
          <w:rFonts w:ascii="Arial" w:hAnsi="Arial" w:cs="Arial"/>
          <w:b/>
          <w:sz w:val="20"/>
          <w:szCs w:val="20"/>
          <w:u w:val="single"/>
        </w:rPr>
        <w:t>how it has complied with the Equality Act 2010</w:t>
      </w:r>
      <w:r>
        <w:rPr>
          <w:rFonts w:ascii="Arial" w:hAnsi="Arial" w:cs="Arial"/>
          <w:b/>
          <w:sz w:val="20"/>
          <w:szCs w:val="20"/>
          <w:u w:val="single"/>
        </w:rPr>
        <w:t>"</w:t>
      </w:r>
      <w:r w:rsidR="00E2576D">
        <w:rPr>
          <w:rFonts w:ascii="Arial" w:hAnsi="Arial" w:cs="Arial"/>
          <w:b/>
          <w:sz w:val="20"/>
          <w:szCs w:val="20"/>
          <w:u w:val="single"/>
        </w:rPr>
        <w:t>.</w:t>
      </w:r>
    </w:p>
    <w:p w:rsidRPr="007A041B" w:rsidR="005A7A7D" w:rsidP="005A7A7D" w:rsidRDefault="005A7A7D" w14:paraId="2AADAF28" w14:textId="77777777">
      <w:pPr>
        <w:spacing w:before="120" w:after="240"/>
        <w:jc w:val="both"/>
        <w:rPr>
          <w:rFonts w:ascii="Arial" w:hAnsi="Arial" w:eastAsia="Times New Roman" w:cs="Arial"/>
          <w:sz w:val="20"/>
          <w:szCs w:val="20"/>
          <w:u w:val="single"/>
        </w:rPr>
      </w:pPr>
      <w:r w:rsidRPr="007A041B">
        <w:rPr>
          <w:rFonts w:ascii="Arial" w:hAnsi="Arial" w:eastAsia="Times New Roman" w:cs="Arial"/>
          <w:sz w:val="20"/>
          <w:szCs w:val="20"/>
          <w:u w:val="single"/>
        </w:rPr>
        <w:t>Conclusion</w:t>
      </w:r>
    </w:p>
    <w:p w:rsidRPr="007A041B" w:rsidR="005A7A7D" w:rsidP="005A7A7D" w:rsidRDefault="005A7A7D" w14:paraId="64256DC4" w14:textId="77777777">
      <w:pPr>
        <w:spacing w:before="120" w:after="240"/>
        <w:jc w:val="both"/>
        <w:rPr>
          <w:rFonts w:ascii="Arial" w:hAnsi="Arial" w:eastAsia="Times New Roman" w:cs="Arial"/>
          <w:sz w:val="20"/>
          <w:szCs w:val="20"/>
        </w:rPr>
      </w:pPr>
      <w:r w:rsidRPr="007A041B">
        <w:rPr>
          <w:rFonts w:ascii="Arial" w:hAnsi="Arial" w:eastAsia="Times New Roman" w:cs="Arial"/>
          <w:sz w:val="20"/>
          <w:szCs w:val="20"/>
        </w:rPr>
        <w:t>Therefore the valid appeal points are:</w:t>
      </w:r>
    </w:p>
    <w:p w:rsidRPr="00456F6B" w:rsidR="005A7A7D" w:rsidP="007A041B" w:rsidRDefault="005A7A7D" w14:paraId="0AF0E90C" w14:textId="39B112F1">
      <w:pPr>
        <w:pStyle w:val="ListParagraph"/>
        <w:numPr>
          <w:ilvl w:val="0"/>
          <w:numId w:val="11"/>
        </w:numPr>
        <w:spacing w:before="120" w:after="240"/>
        <w:jc w:val="both"/>
        <w:rPr>
          <w:rFonts w:cs="Arial"/>
        </w:rPr>
      </w:pPr>
      <w:r w:rsidRPr="00456F6B">
        <w:rPr>
          <w:rFonts w:cs="Arial"/>
        </w:rPr>
        <w:t>1(a).1;</w:t>
      </w:r>
    </w:p>
    <w:p w:rsidRPr="00456F6B" w:rsidR="005A7A7D" w:rsidP="007A041B" w:rsidRDefault="005A7A7D" w14:paraId="572939F7" w14:textId="2D28B8F9">
      <w:pPr>
        <w:pStyle w:val="ListParagraph"/>
        <w:numPr>
          <w:ilvl w:val="0"/>
          <w:numId w:val="11"/>
        </w:numPr>
        <w:spacing w:before="120" w:after="240"/>
        <w:jc w:val="both"/>
        <w:rPr>
          <w:rFonts w:cs="Arial"/>
        </w:rPr>
      </w:pPr>
      <w:r w:rsidRPr="00456F6B">
        <w:rPr>
          <w:rFonts w:cs="Arial"/>
        </w:rPr>
        <w:t>1(</w:t>
      </w:r>
      <w:r w:rsidRPr="00456F6B" w:rsidR="007A041B">
        <w:rPr>
          <w:rFonts w:cs="Arial"/>
        </w:rPr>
        <w:t>a).2;</w:t>
      </w:r>
    </w:p>
    <w:p w:rsidRPr="00456F6B" w:rsidR="005A7A7D" w:rsidP="007A041B" w:rsidRDefault="005A7A7D" w14:paraId="63A192F1" w14:textId="1C9FE340">
      <w:pPr>
        <w:pStyle w:val="ListParagraph"/>
        <w:numPr>
          <w:ilvl w:val="0"/>
          <w:numId w:val="11"/>
        </w:numPr>
        <w:spacing w:before="120" w:after="240"/>
        <w:jc w:val="both"/>
        <w:rPr>
          <w:rFonts w:cs="Arial"/>
        </w:rPr>
      </w:pPr>
      <w:r w:rsidRPr="00456F6B">
        <w:rPr>
          <w:rFonts w:cs="Arial"/>
        </w:rPr>
        <w:t>1(</w:t>
      </w:r>
      <w:r w:rsidRPr="00456F6B" w:rsidR="007A041B">
        <w:rPr>
          <w:rFonts w:cs="Arial"/>
        </w:rPr>
        <w:t>a</w:t>
      </w:r>
      <w:r w:rsidRPr="00456F6B">
        <w:rPr>
          <w:rFonts w:cs="Arial"/>
        </w:rPr>
        <w:t>).</w:t>
      </w:r>
      <w:r w:rsidRPr="00456F6B" w:rsidR="007A041B">
        <w:rPr>
          <w:rFonts w:cs="Arial"/>
        </w:rPr>
        <w:t>3;</w:t>
      </w:r>
    </w:p>
    <w:p w:rsidRPr="00456F6B" w:rsidR="007A041B" w:rsidP="005A7A7D" w:rsidRDefault="005A7A7D" w14:paraId="30AA10A5" w14:textId="488C2538">
      <w:pPr>
        <w:pStyle w:val="ListParagraph"/>
        <w:numPr>
          <w:ilvl w:val="0"/>
          <w:numId w:val="11"/>
        </w:numPr>
        <w:spacing w:before="120" w:after="240"/>
        <w:jc w:val="both"/>
        <w:rPr>
          <w:rFonts w:cs="Arial"/>
        </w:rPr>
      </w:pPr>
      <w:r w:rsidRPr="00456F6B">
        <w:rPr>
          <w:rFonts w:cs="Arial"/>
        </w:rPr>
        <w:t>1(</w:t>
      </w:r>
      <w:r w:rsidRPr="00456F6B" w:rsidR="007A041B">
        <w:rPr>
          <w:rFonts w:cs="Arial"/>
        </w:rPr>
        <w:t>a</w:t>
      </w:r>
      <w:r w:rsidRPr="00456F6B">
        <w:rPr>
          <w:rFonts w:cs="Arial"/>
        </w:rPr>
        <w:t>).</w:t>
      </w:r>
      <w:r w:rsidRPr="00456F6B" w:rsidR="007A041B">
        <w:rPr>
          <w:rFonts w:cs="Arial"/>
        </w:rPr>
        <w:t>4</w:t>
      </w:r>
      <w:r w:rsidRPr="00456F6B" w:rsidR="00E2576D">
        <w:rPr>
          <w:rFonts w:cs="Arial"/>
        </w:rPr>
        <w:t xml:space="preserve"> (amended to:</w:t>
      </w:r>
      <w:r w:rsidRPr="00456F6B" w:rsidR="00E2576D">
        <w:t xml:space="preserve"> '</w:t>
      </w:r>
      <w:r w:rsidRPr="00456F6B" w:rsidR="00E2576D">
        <w:rPr>
          <w:rFonts w:cs="Arial"/>
        </w:rPr>
        <w:t>The Committee has failed to give an adequate explanation of how it has complied with the Equality Act 2010')</w:t>
      </w:r>
      <w:r w:rsidRPr="00456F6B" w:rsidR="007A041B">
        <w:rPr>
          <w:rFonts w:cs="Arial"/>
        </w:rPr>
        <w:t>;</w:t>
      </w:r>
    </w:p>
    <w:p w:rsidRPr="00456F6B" w:rsidR="007A041B" w:rsidP="007A041B" w:rsidRDefault="005A7A7D" w14:paraId="59991218" w14:textId="3E03C148">
      <w:pPr>
        <w:pStyle w:val="ListParagraph"/>
        <w:numPr>
          <w:ilvl w:val="0"/>
          <w:numId w:val="11"/>
        </w:numPr>
        <w:spacing w:before="120" w:after="240"/>
        <w:jc w:val="both"/>
        <w:rPr>
          <w:rFonts w:cs="Arial"/>
        </w:rPr>
      </w:pPr>
      <w:r w:rsidRPr="00456F6B">
        <w:rPr>
          <w:rFonts w:cs="Arial"/>
        </w:rPr>
        <w:t>2.</w:t>
      </w:r>
      <w:r w:rsidRPr="00456F6B" w:rsidR="007A041B">
        <w:rPr>
          <w:rFonts w:cs="Arial"/>
        </w:rPr>
        <w:t>1.</w:t>
      </w:r>
    </w:p>
    <w:p w:rsidRPr="00771051" w:rsidR="005A7A7D" w:rsidP="005A7A7D" w:rsidRDefault="005A7A7D" w14:paraId="6599EABC" w14:textId="5C693579">
      <w:pPr>
        <w:spacing w:before="120" w:after="240"/>
        <w:jc w:val="both"/>
        <w:rPr>
          <w:rFonts w:ascii="Arial" w:hAnsi="Arial" w:eastAsia="Times New Roman" w:cs="Arial"/>
          <w:sz w:val="20"/>
          <w:szCs w:val="20"/>
        </w:rPr>
      </w:pPr>
      <w:r w:rsidRPr="00771051">
        <w:rPr>
          <w:rFonts w:ascii="Arial" w:hAnsi="Arial" w:eastAsia="Times New Roman" w:cs="Arial"/>
          <w:sz w:val="20"/>
          <w:szCs w:val="20"/>
        </w:rPr>
        <w:t xml:space="preserve">NICE shares the valid appeal grounds of each appellant with the other appellants to assist with preparation for the hearing.  </w:t>
      </w:r>
    </w:p>
    <w:p w:rsidRPr="00771051" w:rsidR="005A7A7D" w:rsidP="005A7A7D" w:rsidRDefault="005A7A7D" w14:paraId="5CCF2CB3"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 xml:space="preserve">NICE will be in contact with you regarding the administration of the appeal, which will be held orally. </w:t>
      </w:r>
    </w:p>
    <w:p w:rsidRPr="00771051" w:rsidR="005A7A7D" w:rsidP="005A7A7D" w:rsidRDefault="005A7A7D" w14:paraId="12F2B947" w14:textId="77777777">
      <w:pPr>
        <w:spacing w:before="120" w:after="240"/>
        <w:jc w:val="both"/>
        <w:rPr>
          <w:rFonts w:ascii="Arial" w:hAnsi="Arial" w:eastAsia="Times New Roman" w:cs="Arial"/>
          <w:sz w:val="20"/>
          <w:szCs w:val="20"/>
          <w:u w:val="single"/>
        </w:rPr>
      </w:pPr>
    </w:p>
    <w:p w:rsidRPr="00771051" w:rsidR="005A7A7D" w:rsidP="005A7A7D" w:rsidRDefault="005A7A7D" w14:paraId="04BAA200" w14:textId="77777777">
      <w:pPr>
        <w:spacing w:before="120" w:after="240"/>
        <w:jc w:val="both"/>
        <w:rPr>
          <w:rFonts w:ascii="Arial" w:hAnsi="Arial" w:eastAsia="Times New Roman" w:cs="Arial"/>
          <w:sz w:val="20"/>
          <w:szCs w:val="20"/>
        </w:rPr>
      </w:pPr>
      <w:r w:rsidRPr="24BA5936" w:rsidR="005A7A7D">
        <w:rPr>
          <w:rFonts w:ascii="Arial" w:hAnsi="Arial" w:eastAsia="Times New Roman" w:cs="Arial"/>
          <w:sz w:val="20"/>
          <w:szCs w:val="20"/>
        </w:rPr>
        <w:t>Yours sincerely</w:t>
      </w:r>
    </w:p>
    <w:p w:rsidR="1F441542" w:rsidP="1F41547B" w:rsidRDefault="1F441542" w14:paraId="69B0F439" w14:textId="0A22644D">
      <w:pPr>
        <w:pStyle w:val="Normal"/>
        <w:spacing w:before="120" w:after="240"/>
        <w:jc w:val="both"/>
        <w:rPr>
          <w:highlight w:val="black"/>
        </w:rPr>
      </w:pPr>
      <w:r w:rsidRPr="1F41547B" w:rsidR="138D2103">
        <w:rPr>
          <w:highlight w:val="black"/>
        </w:rPr>
        <w:t>XXXXXXXXXXXXXXXXX</w:t>
      </w:r>
    </w:p>
    <w:p w:rsidRPr="00771051" w:rsidR="005A7A7D" w:rsidP="005A7A7D" w:rsidRDefault="005A7A7D" w14:paraId="06E59F3D"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Dr Mark Chakravarty</w:t>
      </w:r>
    </w:p>
    <w:p w:rsidRPr="00771051" w:rsidR="005A7A7D" w:rsidP="005A7A7D" w:rsidRDefault="005A7A7D" w14:paraId="321A9458"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Lead Non-Executive Director for Appeals &amp; Vice Chairman</w:t>
      </w:r>
    </w:p>
    <w:p w:rsidRPr="00771051" w:rsidR="005A7A7D" w:rsidP="005A7A7D" w:rsidRDefault="005A7A7D" w14:paraId="40B9BBC0" w14:textId="77777777">
      <w:pPr>
        <w:spacing w:before="120" w:after="240"/>
        <w:jc w:val="both"/>
        <w:rPr>
          <w:rFonts w:ascii="Arial" w:hAnsi="Arial" w:eastAsia="Times New Roman" w:cs="Arial"/>
          <w:sz w:val="20"/>
          <w:szCs w:val="20"/>
        </w:rPr>
      </w:pPr>
      <w:r w:rsidRPr="00771051">
        <w:rPr>
          <w:rFonts w:ascii="Arial" w:hAnsi="Arial" w:eastAsia="Times New Roman" w:cs="Arial"/>
          <w:sz w:val="20"/>
          <w:szCs w:val="20"/>
        </w:rPr>
        <w:t>National Institute for Health and Care Excellence</w:t>
      </w:r>
    </w:p>
    <w:p w:rsidRPr="0043022B" w:rsidR="000B36E1" w:rsidP="002B6A0D" w:rsidRDefault="000B36E1" w14:paraId="03E7BAFA" w14:textId="4811D299">
      <w:pPr>
        <w:spacing w:line="360" w:lineRule="auto"/>
        <w:rPr>
          <w:rFonts w:ascii="Arial" w:hAnsi="Arial" w:cs="Arial"/>
          <w:sz w:val="20"/>
          <w:szCs w:val="20"/>
        </w:rPr>
      </w:pPr>
    </w:p>
    <w:sectPr w:rsidRPr="0043022B" w:rsidR="000B36E1" w:rsidSect="000B36E1">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C5C" w:rsidP="000B352B" w:rsidRDefault="00D43C5C" w14:paraId="3471B2D4" w14:textId="77777777">
      <w:pPr>
        <w:spacing w:after="0" w:line="240" w:lineRule="auto"/>
      </w:pPr>
      <w:r>
        <w:separator/>
      </w:r>
    </w:p>
  </w:endnote>
  <w:endnote w:type="continuationSeparator" w:id="0">
    <w:p w:rsidR="00D43C5C" w:rsidP="000B352B" w:rsidRDefault="00D43C5C" w14:paraId="05F8C6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6DB" w:rsidRDefault="00BB16DB" w14:paraId="118258B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36E1" w:rsidP="000B36E1" w:rsidRDefault="000B36E1" w14:paraId="5D4D323D" w14:textId="1CEBF2EA">
    <w:pPr>
      <w:pStyle w:val="Footer"/>
      <w:tabs>
        <w:tab w:val="clear" w:pos="4513"/>
        <w:tab w:val="clear" w:pos="9026"/>
        <w:tab w:val="left" w:pos="1758"/>
      </w:tabs>
      <w:rPr>
        <w:noProof/>
      </w:rPr>
    </w:pPr>
    <w:r>
      <w:tab/>
    </w:r>
    <w:r>
      <w:t xml:space="preserve">                                                                                                                                 Page | </w:t>
    </w:r>
    <w:r>
      <w:fldChar w:fldCharType="begin"/>
    </w:r>
    <w:r>
      <w:instrText xml:space="preserve"> PAGE   \* MERGEFORMAT </w:instrText>
    </w:r>
    <w:r>
      <w:fldChar w:fldCharType="separate"/>
    </w:r>
    <w:r w:rsidR="002B6A0D">
      <w:rPr>
        <w:noProof/>
      </w:rPr>
      <w:t>2</w:t>
    </w:r>
    <w:r>
      <w:rPr>
        <w:noProof/>
      </w:rPr>
      <w:fldChar w:fldCharType="end"/>
    </w:r>
  </w:p>
  <w:p w:rsidR="000B36E1" w:rsidP="000B36E1" w:rsidRDefault="000B36E1" w14:paraId="4B5AA96B" w14:textId="77777777">
    <w:pPr>
      <w:pStyle w:val="Footer"/>
      <w:tabs>
        <w:tab w:val="clear" w:pos="4513"/>
        <w:tab w:val="clear" w:pos="9026"/>
        <w:tab w:val="left" w:pos="175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36E1" w:rsidRDefault="000B36E1" w14:paraId="7283D9E9" w14:textId="65FFA284">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C5C" w:rsidP="000B352B" w:rsidRDefault="00D43C5C" w14:paraId="50A3907F" w14:textId="77777777">
      <w:pPr>
        <w:spacing w:after="0" w:line="240" w:lineRule="auto"/>
      </w:pPr>
      <w:r>
        <w:separator/>
      </w:r>
    </w:p>
  </w:footnote>
  <w:footnote w:type="continuationSeparator" w:id="0">
    <w:p w:rsidR="00D43C5C" w:rsidP="000B352B" w:rsidRDefault="00D43C5C" w14:paraId="31E0A1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16DB" w:rsidRDefault="00BB16DB" w14:paraId="6ADB81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E0434" w:rsidR="009E2F15" w:rsidP="003A79BD" w:rsidRDefault="009E2F15" w14:paraId="18A30C4B" w14:textId="45456900">
    <w:pPr>
      <w:pStyle w:val="Header"/>
      <w:ind w:right="-1"/>
      <w:rPr>
        <w:rFonts w:ascii="Arial" w:hAnsi="Arial" w:cs="Arial"/>
        <w:color w:val="0E0E0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B36E1" w:rsidP="000B36E1" w:rsidRDefault="000B36E1" w14:paraId="7E317012" w14:textId="503FBB8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Pr="0003729F" w:rsid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rsidRPr="005E0434" w:rsidR="0003729F" w:rsidP="000B36E1" w:rsidRDefault="0003729F" w14:paraId="3809122A" w14:textId="119E090B">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rsidRPr="005E0434" w:rsidR="000B36E1" w:rsidP="000B36E1" w:rsidRDefault="000B36E1" w14:paraId="49A56729"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rsidRPr="005E0434" w:rsidR="000B36E1" w:rsidP="000B36E1" w:rsidRDefault="0003729F" w14:paraId="69737D36" w14:textId="720B211D">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rsidRPr="005E0434" w:rsidR="000B36E1" w:rsidP="000B36E1" w:rsidRDefault="000B36E1" w14:paraId="0E978159" w14:textId="77777777">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rsidRPr="005E0434" w:rsidR="000B36E1" w:rsidP="000B36E1" w:rsidRDefault="000B36E1" w14:paraId="6549E90E" w14:textId="77777777">
    <w:pPr>
      <w:pStyle w:val="Header"/>
      <w:tabs>
        <w:tab w:val="clear" w:pos="9026"/>
        <w:tab w:val="right" w:pos="10065"/>
      </w:tabs>
      <w:ind w:right="-1039"/>
      <w:jc w:val="right"/>
      <w:rPr>
        <w:rFonts w:ascii="Arial" w:hAnsi="Arial" w:cs="Arial"/>
        <w:color w:val="0E0E0E"/>
        <w:sz w:val="20"/>
        <w:szCs w:val="20"/>
      </w:rPr>
    </w:pPr>
  </w:p>
  <w:p w:rsidRPr="003A3E2E" w:rsidR="000B36E1" w:rsidP="003A3E2E" w:rsidRDefault="003A3E2E" w14:paraId="17F30120" w14:textId="7A0D7C0A">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rsidR="000B36E1" w:rsidP="000B36E1" w:rsidRDefault="000B36E1" w14:paraId="5D75BB6C" w14:textId="09F7B04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30252CC4"/>
    <w:multiLevelType w:val="hybridMultilevel"/>
    <w:tmpl w:val="215A0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771EDA"/>
    <w:multiLevelType w:val="hybridMultilevel"/>
    <w:tmpl w:val="81400DCA"/>
    <w:lvl w:ilvl="0" w:tplc="18EC7094">
      <w:numFmt w:val="bullet"/>
      <w:lvlText w:val="•"/>
      <w:lvlJc w:val="left"/>
      <w:pPr>
        <w:ind w:left="1080" w:hanging="72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9"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081330">
    <w:abstractNumId w:val="1"/>
  </w:num>
  <w:num w:numId="2" w16cid:durableId="1239897750">
    <w:abstractNumId w:val="7"/>
  </w:num>
  <w:num w:numId="3" w16cid:durableId="724110161">
    <w:abstractNumId w:val="2"/>
  </w:num>
  <w:num w:numId="4" w16cid:durableId="99180155">
    <w:abstractNumId w:val="8"/>
  </w:num>
  <w:num w:numId="5" w16cid:durableId="1481845086">
    <w:abstractNumId w:val="0"/>
  </w:num>
  <w:num w:numId="6" w16cid:durableId="423919277">
    <w:abstractNumId w:val="4"/>
  </w:num>
  <w:num w:numId="7" w16cid:durableId="2008357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738768">
    <w:abstractNumId w:val="6"/>
  </w:num>
  <w:num w:numId="9" w16cid:durableId="1504122631">
    <w:abstractNumId w:val="9"/>
  </w:num>
  <w:num w:numId="10" w16cid:durableId="811947901">
    <w:abstractNumId w:val="3"/>
  </w:num>
  <w:num w:numId="11" w16cid:durableId="1083843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641E7"/>
    <w:rsid w:val="00085181"/>
    <w:rsid w:val="000B104A"/>
    <w:rsid w:val="000B352B"/>
    <w:rsid w:val="000B36E1"/>
    <w:rsid w:val="000D756A"/>
    <w:rsid w:val="00144F73"/>
    <w:rsid w:val="0014732A"/>
    <w:rsid w:val="00176AA4"/>
    <w:rsid w:val="001D5BD2"/>
    <w:rsid w:val="001E0317"/>
    <w:rsid w:val="001F3962"/>
    <w:rsid w:val="0022689E"/>
    <w:rsid w:val="002B6A0D"/>
    <w:rsid w:val="002DCE91"/>
    <w:rsid w:val="00320722"/>
    <w:rsid w:val="00321B75"/>
    <w:rsid w:val="00360AE6"/>
    <w:rsid w:val="00371B99"/>
    <w:rsid w:val="0037713C"/>
    <w:rsid w:val="003936B7"/>
    <w:rsid w:val="003A3E2E"/>
    <w:rsid w:val="003A79BD"/>
    <w:rsid w:val="003B2535"/>
    <w:rsid w:val="003D614E"/>
    <w:rsid w:val="0040409D"/>
    <w:rsid w:val="004215D9"/>
    <w:rsid w:val="0043022B"/>
    <w:rsid w:val="00453738"/>
    <w:rsid w:val="00453774"/>
    <w:rsid w:val="00456F6B"/>
    <w:rsid w:val="00480405"/>
    <w:rsid w:val="00490CDB"/>
    <w:rsid w:val="00493D2F"/>
    <w:rsid w:val="004C2D22"/>
    <w:rsid w:val="004E4493"/>
    <w:rsid w:val="004F29D7"/>
    <w:rsid w:val="004F39B0"/>
    <w:rsid w:val="00545445"/>
    <w:rsid w:val="00593F3D"/>
    <w:rsid w:val="005A42E5"/>
    <w:rsid w:val="005A7A7D"/>
    <w:rsid w:val="005B078B"/>
    <w:rsid w:val="005C388B"/>
    <w:rsid w:val="005C7480"/>
    <w:rsid w:val="005E0434"/>
    <w:rsid w:val="005E2A58"/>
    <w:rsid w:val="00641CEB"/>
    <w:rsid w:val="006628FF"/>
    <w:rsid w:val="00671EF3"/>
    <w:rsid w:val="0069376C"/>
    <w:rsid w:val="006D0C62"/>
    <w:rsid w:val="006F031D"/>
    <w:rsid w:val="0072577F"/>
    <w:rsid w:val="00732227"/>
    <w:rsid w:val="0079326E"/>
    <w:rsid w:val="007A041B"/>
    <w:rsid w:val="007B36FA"/>
    <w:rsid w:val="007C64C6"/>
    <w:rsid w:val="007D4914"/>
    <w:rsid w:val="007E5761"/>
    <w:rsid w:val="0085004D"/>
    <w:rsid w:val="00866617"/>
    <w:rsid w:val="00886417"/>
    <w:rsid w:val="008C081A"/>
    <w:rsid w:val="008E4AE4"/>
    <w:rsid w:val="00961369"/>
    <w:rsid w:val="009A01FD"/>
    <w:rsid w:val="009E2F15"/>
    <w:rsid w:val="009E5151"/>
    <w:rsid w:val="009F0476"/>
    <w:rsid w:val="00A0226C"/>
    <w:rsid w:val="00A84AF4"/>
    <w:rsid w:val="00AD3112"/>
    <w:rsid w:val="00AD7658"/>
    <w:rsid w:val="00AE303D"/>
    <w:rsid w:val="00AE670F"/>
    <w:rsid w:val="00AF1673"/>
    <w:rsid w:val="00B24360"/>
    <w:rsid w:val="00B32B71"/>
    <w:rsid w:val="00B737D4"/>
    <w:rsid w:val="00BB16DB"/>
    <w:rsid w:val="00BC7BE7"/>
    <w:rsid w:val="00C85906"/>
    <w:rsid w:val="00C96687"/>
    <w:rsid w:val="00CB4563"/>
    <w:rsid w:val="00CE085C"/>
    <w:rsid w:val="00D22D3F"/>
    <w:rsid w:val="00D37DEC"/>
    <w:rsid w:val="00D43C5C"/>
    <w:rsid w:val="00D755E3"/>
    <w:rsid w:val="00D770E0"/>
    <w:rsid w:val="00DB178D"/>
    <w:rsid w:val="00DD43C2"/>
    <w:rsid w:val="00E03263"/>
    <w:rsid w:val="00E2576D"/>
    <w:rsid w:val="00E467E2"/>
    <w:rsid w:val="00E60FCF"/>
    <w:rsid w:val="00E622D7"/>
    <w:rsid w:val="00E67BD1"/>
    <w:rsid w:val="00E70F23"/>
    <w:rsid w:val="00E7772A"/>
    <w:rsid w:val="00EA3919"/>
    <w:rsid w:val="00EE6553"/>
    <w:rsid w:val="00F04994"/>
    <w:rsid w:val="00F10A08"/>
    <w:rsid w:val="00F1265E"/>
    <w:rsid w:val="00F233EA"/>
    <w:rsid w:val="00F24B1D"/>
    <w:rsid w:val="00F47A04"/>
    <w:rsid w:val="00F70A40"/>
    <w:rsid w:val="00FB225B"/>
    <w:rsid w:val="00FC0EF1"/>
    <w:rsid w:val="00FE3296"/>
    <w:rsid w:val="0541775C"/>
    <w:rsid w:val="138D2103"/>
    <w:rsid w:val="1F41547B"/>
    <w:rsid w:val="1F441542"/>
    <w:rsid w:val="24BA5936"/>
    <w:rsid w:val="3132354E"/>
    <w:rsid w:val="32D8E6DC"/>
    <w:rsid w:val="41B33C21"/>
    <w:rsid w:val="521B351E"/>
    <w:rsid w:val="5834C92E"/>
    <w:rsid w:val="64C102C6"/>
    <w:rsid w:val="65D36C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A30C3A"/>
  <w15:docId w15:val="{5E5192C4-7C1C-460D-BFA5-1A9E65B2B1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68DC"/>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B352B"/>
    <w:rPr>
      <w:rFonts w:ascii="Tahoma" w:hAnsi="Tahoma" w:cs="Tahoma"/>
      <w:sz w:val="16"/>
      <w:szCs w:val="16"/>
    </w:rPr>
  </w:style>
  <w:style w:type="paragraph" w:styleId="Paragraph" w:customStyle="1">
    <w:name w:val="Paragraph"/>
    <w:basedOn w:val="Normal"/>
    <w:uiPriority w:val="4"/>
    <w:qFormat/>
    <w:rsid w:val="009A01FD"/>
    <w:pPr>
      <w:numPr>
        <w:numId w:val="2"/>
      </w:numPr>
      <w:spacing w:before="240" w:after="240"/>
    </w:pPr>
    <w:rPr>
      <w:rFonts w:ascii="Arial" w:hAnsi="Arial" w:eastAsia="Times New Roman"/>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1" w:customStyle="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hAnsi="Arial" w:eastAsia="Times New Roman"/>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styleId="CommentTextChar" w:customStyle="1">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styleId="CommentSubjectChar" w:customStyle="1">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hAnsi="Arial" w:eastAsia="Times New Roman"/>
      <w:color w:val="333333"/>
      <w:sz w:val="20"/>
      <w:szCs w:val="20"/>
    </w:rPr>
  </w:style>
  <w:style w:type="character" w:styleId="BodyTextChar" w:customStyle="1">
    <w:name w:val="Body Text Char"/>
    <w:basedOn w:val="DefaultParagraphFont"/>
    <w:link w:val="BodyText"/>
    <w:rsid w:val="00671EF3"/>
    <w:rPr>
      <w:rFonts w:ascii="Arial" w:hAnsi="Arial" w:eastAsia="Times New Roman"/>
      <w:color w:val="3333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 A c t i v e 1 ! 1 5 6 7 2 8 9 4 9 . 1 < / d o c u m e n t i d >  
     < s e n d e r i d > A X Y S < / s e n d e r i d >  
     < s e n d e r e m a i l > A X S M I T H @ D A C B E A C H C R O F T . C O M < / s e n d e r e m a i l >  
     < l a s t m o d i f i e d > 2 0 2 4 - 0 8 - 2 3 T 1 4 : 5 3 : 0 0 . 0 0 0 0 0 0 0 + 0 1 : 0 0 < / l a s t m o d i f i e d >  
     < d a t a b a s e > A c t i v e 1 < / 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customXml/itemProps2.xml><?xml version="1.0" encoding="utf-8"?>
<ds:datastoreItem xmlns:ds="http://schemas.openxmlformats.org/officeDocument/2006/customXml" ds:itemID="{849D66E3-1DEB-42C5-BCA7-C8DAF29B6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21490-8EB8-479F-B500-73017A2CA929}">
  <ds:schemaRefs>
    <ds:schemaRef ds:uri="http://schemas.microsoft.com/sharepoint/v3/contenttype/forms"/>
  </ds:schemaRefs>
</ds:datastoreItem>
</file>

<file path=customXml/itemProps4.xml><?xml version="1.0" encoding="utf-8"?>
<ds:datastoreItem xmlns:ds="http://schemas.openxmlformats.org/officeDocument/2006/customXml" ds:itemID="{0432F62F-D25D-42B0-9E3C-207D775592F3}">
  <ds:schemaRefs>
    <ds:schemaRef ds:uri="http://www.imanage.com/work/xmlschema"/>
  </ds:schemaRefs>
</ds:datastoreItem>
</file>

<file path=customXml/itemProps5.xml><?xml version="1.0" encoding="utf-8"?>
<ds:datastoreItem xmlns:ds="http://schemas.openxmlformats.org/officeDocument/2006/customXml" ds:itemID="{182E340A-36E4-45B0-9834-B59ABB089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NICE-Word-Master-London.dotx</ap:Template>
  <ap:Application>Microsoft Word for the web</ap:Application>
  <ap:DocSecurity>0</ap:DocSecurity>
  <ap:ScaleCrop>false</ap:ScaleCrop>
  <ap:Company>NICE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Paul Ripley</dc:creator>
  <lastModifiedBy>Lyn Davies</lastModifiedBy>
  <revision>13</revision>
  <lastPrinted>2017-02-13T09:51:00.0000000Z</lastPrinted>
  <dcterms:created xsi:type="dcterms:W3CDTF">2024-08-27T14:23:00.0000000Z</dcterms:created>
  <dcterms:modified xsi:type="dcterms:W3CDTF">2024-09-27T09:21:21.3135955Z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2024-08-27T14:23:30Z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e5934811-b7af-4fb1-8733-0196c4c7b185</vt:lpwstr>
  </property>
  <property fmtid="{D5CDD505-2E9C-101B-9397-08002B2CF9AE}" pid="9" name="MSIP_Label_c69d85d5-6d9e-4305-a294-1f636ec0f2d6_ContentBits">
    <vt:lpwstr>0</vt:lpwstr>
  </property>
</Properties>
</file>