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D337" w14:textId="3DD8FBFD" w:rsidR="00D47BA7" w:rsidRPr="00D8132E" w:rsidRDefault="00A43DA6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D8132E">
        <w:rPr>
          <w:rFonts w:ascii="Arial" w:hAnsi="Arial" w:cs="Arial"/>
          <w:b/>
          <w:bCs/>
          <w:color w:val="00506A"/>
          <w:sz w:val="28"/>
          <w:szCs w:val="28"/>
        </w:rPr>
        <w:t xml:space="preserve">Technology </w:t>
      </w:r>
      <w:r w:rsidR="00D47BA7" w:rsidRPr="00D8132E">
        <w:rPr>
          <w:rFonts w:ascii="Arial" w:hAnsi="Arial" w:cs="Arial"/>
          <w:b/>
          <w:bCs/>
          <w:color w:val="00506A"/>
          <w:sz w:val="28"/>
          <w:szCs w:val="28"/>
        </w:rPr>
        <w:t>Advisory Committee</w:t>
      </w:r>
      <w:r w:rsidR="004A2D1D" w:rsidRPr="00D8132E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CF0D3C">
        <w:rPr>
          <w:rFonts w:ascii="Arial" w:hAnsi="Arial" w:cs="Arial"/>
          <w:b/>
          <w:bCs/>
          <w:color w:val="00506A"/>
          <w:sz w:val="28"/>
          <w:szCs w:val="28"/>
        </w:rPr>
        <w:t>B</w:t>
      </w:r>
      <w:r w:rsidRPr="00D8132E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4A2D1D" w:rsidRPr="00D8132E">
        <w:rPr>
          <w:rFonts w:ascii="Arial" w:hAnsi="Arial" w:cs="Arial"/>
          <w:b/>
          <w:bCs/>
          <w:color w:val="00506A"/>
          <w:sz w:val="28"/>
          <w:szCs w:val="28"/>
        </w:rPr>
        <w:t>Interests Register</w:t>
      </w:r>
    </w:p>
    <w:p w14:paraId="50841E93" w14:textId="77777777" w:rsidR="00CF0D3C" w:rsidRDefault="00CF0D3C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proofErr w:type="spellStart"/>
      <w:r w:rsidRPr="00CF0D3C">
        <w:rPr>
          <w:rFonts w:ascii="Arial" w:hAnsi="Arial" w:cs="Arial"/>
          <w:b/>
          <w:bCs/>
          <w:color w:val="00506A"/>
          <w:sz w:val="28"/>
          <w:szCs w:val="28"/>
        </w:rPr>
        <w:t>Elranatamab</w:t>
      </w:r>
      <w:proofErr w:type="spellEnd"/>
      <w:r w:rsidRPr="00CF0D3C">
        <w:rPr>
          <w:rFonts w:ascii="Arial" w:hAnsi="Arial" w:cs="Arial"/>
          <w:b/>
          <w:bCs/>
          <w:color w:val="00506A"/>
          <w:sz w:val="28"/>
          <w:szCs w:val="28"/>
        </w:rPr>
        <w:t xml:space="preserve"> for treating relapsed or refractory multiple myeloma after 3 therapies [ID4026] </w:t>
      </w:r>
    </w:p>
    <w:p w14:paraId="74C01AEC" w14:textId="5FCCD7EA" w:rsidR="00D47BA7" w:rsidRPr="00A43DA6" w:rsidRDefault="00D47BA7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D8132E">
        <w:rPr>
          <w:rFonts w:ascii="Arial" w:hAnsi="Arial" w:cs="Arial"/>
          <w:b/>
          <w:bCs/>
          <w:color w:val="00506A"/>
          <w:sz w:val="28"/>
          <w:szCs w:val="28"/>
        </w:rPr>
        <w:t>Publication Date:</w:t>
      </w:r>
      <w:r w:rsidR="003404D8" w:rsidRPr="00D8132E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E23430">
        <w:rPr>
          <w:rFonts w:ascii="Arial" w:hAnsi="Arial" w:cs="Arial"/>
          <w:b/>
          <w:bCs/>
          <w:color w:val="00506A"/>
          <w:sz w:val="28"/>
          <w:szCs w:val="28"/>
        </w:rPr>
        <w:t>TBC</w:t>
      </w:r>
    </w:p>
    <w:p w14:paraId="1C7CC411" w14:textId="77777777" w:rsidR="00D47BA7" w:rsidRDefault="00D47BA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4"/>
        <w:gridCol w:w="1741"/>
        <w:gridCol w:w="1939"/>
        <w:gridCol w:w="3799"/>
        <w:gridCol w:w="1467"/>
        <w:gridCol w:w="2868"/>
      </w:tblGrid>
      <w:tr w:rsidR="005C6BC7" w:rsidRPr="009F66BF" w14:paraId="111674D1" w14:textId="77777777" w:rsidTr="00E40C4D">
        <w:trPr>
          <w:trHeight w:val="775"/>
          <w:tblHeader/>
        </w:trPr>
        <w:tc>
          <w:tcPr>
            <w:tcW w:w="765" w:type="pct"/>
          </w:tcPr>
          <w:p w14:paraId="626159D9" w14:textId="77777777" w:rsidR="005C6BC7" w:rsidRPr="009F66BF" w:rsidRDefault="005C6BC7" w:rsidP="00492FE1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Name</w:t>
            </w:r>
          </w:p>
        </w:tc>
        <w:tc>
          <w:tcPr>
            <w:tcW w:w="624" w:type="pct"/>
          </w:tcPr>
          <w:p w14:paraId="4BC0C4D4" w14:textId="77777777" w:rsidR="005C6BC7" w:rsidRPr="009F66BF" w:rsidRDefault="005C6BC7" w:rsidP="00492FE1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Role</w:t>
            </w:r>
            <w:r>
              <w:rPr>
                <w:color w:val="00506A"/>
                <w:sz w:val="22"/>
                <w:szCs w:val="22"/>
              </w:rPr>
              <w:t xml:space="preserve"> with NICE</w:t>
            </w:r>
          </w:p>
        </w:tc>
        <w:tc>
          <w:tcPr>
            <w:tcW w:w="695" w:type="pct"/>
          </w:tcPr>
          <w:p w14:paraId="3D4BE18B" w14:textId="77777777" w:rsidR="005C6BC7" w:rsidRPr="009F66BF" w:rsidRDefault="005C6BC7" w:rsidP="00492FE1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Type of interest</w:t>
            </w:r>
          </w:p>
        </w:tc>
        <w:tc>
          <w:tcPr>
            <w:tcW w:w="1362" w:type="pct"/>
          </w:tcPr>
          <w:p w14:paraId="231853E2" w14:textId="77777777" w:rsidR="005C6BC7" w:rsidRPr="009F66BF" w:rsidRDefault="005C6BC7" w:rsidP="00492FE1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Description of interest</w:t>
            </w:r>
          </w:p>
        </w:tc>
        <w:tc>
          <w:tcPr>
            <w:tcW w:w="526" w:type="pct"/>
          </w:tcPr>
          <w:p w14:paraId="07D4B157" w14:textId="77777777" w:rsidR="005C6BC7" w:rsidRPr="004602D6" w:rsidRDefault="005C6BC7" w:rsidP="00492FE1">
            <w:pPr>
              <w:pStyle w:val="Title"/>
              <w:spacing w:after="0"/>
              <w:rPr>
                <w:color w:val="00506A"/>
                <w:sz w:val="20"/>
                <w:szCs w:val="20"/>
              </w:rPr>
            </w:pPr>
            <w:r w:rsidRPr="004602D6">
              <w:rPr>
                <w:color w:val="00506A"/>
                <w:sz w:val="20"/>
                <w:szCs w:val="20"/>
              </w:rPr>
              <w:t>Interest</w:t>
            </w:r>
          </w:p>
          <w:p w14:paraId="79047174" w14:textId="05A416BF" w:rsidR="005C6BC7" w:rsidRPr="009F66BF" w:rsidRDefault="005C6BC7" w:rsidP="00492FE1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4602D6">
              <w:rPr>
                <w:color w:val="00506A"/>
                <w:sz w:val="20"/>
                <w:szCs w:val="20"/>
              </w:rPr>
              <w:t>declared</w:t>
            </w:r>
          </w:p>
        </w:tc>
        <w:tc>
          <w:tcPr>
            <w:tcW w:w="1028" w:type="pct"/>
          </w:tcPr>
          <w:p w14:paraId="5A51D99E" w14:textId="77777777" w:rsidR="005C6BC7" w:rsidRPr="009F66BF" w:rsidRDefault="005C6BC7" w:rsidP="00492FE1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Comments</w:t>
            </w:r>
          </w:p>
        </w:tc>
      </w:tr>
      <w:tr w:rsidR="005C6BC7" w14:paraId="7C538747" w14:textId="77777777" w:rsidTr="00E40C4D">
        <w:tc>
          <w:tcPr>
            <w:tcW w:w="765" w:type="pct"/>
          </w:tcPr>
          <w:p w14:paraId="5A9ABA95" w14:textId="7B35A873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 w:rsidRPr="006F3077">
              <w:rPr>
                <w:rFonts w:ascii="Arial" w:hAnsi="Arial" w:cs="Arial"/>
                <w:iCs/>
              </w:rPr>
              <w:t>Peter Wheatley Price</w:t>
            </w:r>
          </w:p>
        </w:tc>
        <w:tc>
          <w:tcPr>
            <w:tcW w:w="624" w:type="pct"/>
          </w:tcPr>
          <w:p w14:paraId="7CF4D325" w14:textId="1AE30B25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TAC B Member</w:t>
            </w:r>
          </w:p>
        </w:tc>
        <w:tc>
          <w:tcPr>
            <w:tcW w:w="695" w:type="pct"/>
          </w:tcPr>
          <w:p w14:paraId="57553DA8" w14:textId="329AB347" w:rsidR="005C6BC7" w:rsidRPr="004415DB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Direct </w:t>
            </w:r>
          </w:p>
        </w:tc>
        <w:tc>
          <w:tcPr>
            <w:tcW w:w="1362" w:type="pct"/>
          </w:tcPr>
          <w:p w14:paraId="6B2459DA" w14:textId="77777777" w:rsidR="005C6BC7" w:rsidRDefault="006F3077" w:rsidP="006F3077">
            <w:pPr>
              <w:rPr>
                <w:rFonts w:ascii="Arial" w:hAnsi="Arial" w:cs="Arial"/>
                <w:bCs/>
              </w:rPr>
            </w:pPr>
            <w:r w:rsidRPr="00A96B30">
              <w:rPr>
                <w:rFonts w:ascii="Arial" w:hAnsi="Arial" w:cs="Arial"/>
                <w:bCs/>
              </w:rPr>
              <w:t xml:space="preserve">Takeda manufacture </w:t>
            </w:r>
            <w:proofErr w:type="spellStart"/>
            <w:r w:rsidRPr="00A96B30">
              <w:rPr>
                <w:rFonts w:ascii="Arial" w:hAnsi="Arial" w:cs="Arial"/>
                <w:bCs/>
              </w:rPr>
              <w:t>ixazomib</w:t>
            </w:r>
            <w:proofErr w:type="spellEnd"/>
            <w:r w:rsidRPr="00A96B30">
              <w:rPr>
                <w:rFonts w:ascii="Arial" w:hAnsi="Arial" w:cs="Arial"/>
                <w:bCs/>
              </w:rPr>
              <w:t xml:space="preserve"> which is used in combination with lenalidomide and dexamethasone for treating relapsed or refractory multiple </w:t>
            </w:r>
            <w:proofErr w:type="spellStart"/>
            <w:r w:rsidRPr="00A96B30">
              <w:rPr>
                <w:rFonts w:ascii="Arial" w:hAnsi="Arial" w:cs="Arial"/>
                <w:bCs/>
              </w:rPr>
              <w:t>myleoma</w:t>
            </w:r>
            <w:proofErr w:type="spellEnd"/>
            <w:r w:rsidRPr="00A96B30">
              <w:rPr>
                <w:rFonts w:ascii="Arial" w:hAnsi="Arial" w:cs="Arial"/>
                <w:bCs/>
              </w:rPr>
              <w:t xml:space="preserve"> (TA505). </w:t>
            </w:r>
            <w:r>
              <w:rPr>
                <w:rFonts w:ascii="Arial" w:hAnsi="Arial" w:cs="Arial"/>
                <w:bCs/>
              </w:rPr>
              <w:t>They</w:t>
            </w:r>
            <w:r w:rsidRPr="00A96B30">
              <w:rPr>
                <w:rFonts w:ascii="Arial" w:hAnsi="Arial" w:cs="Arial"/>
                <w:bCs/>
              </w:rPr>
              <w:t xml:space="preserve"> have just successfully exited the CDF (ID1635). We are also in process to evaluate usage in frontline.</w:t>
            </w:r>
          </w:p>
          <w:p w14:paraId="7C2B42C0" w14:textId="7E990DC7" w:rsidR="006F3077" w:rsidRPr="006F3077" w:rsidRDefault="006F3077" w:rsidP="006F30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6" w:type="pct"/>
          </w:tcPr>
          <w:p w14:paraId="55C6028F" w14:textId="6DD0A3A7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08/02/2024</w:t>
            </w:r>
          </w:p>
        </w:tc>
        <w:tc>
          <w:tcPr>
            <w:tcW w:w="1028" w:type="pct"/>
          </w:tcPr>
          <w:p w14:paraId="1619F187" w14:textId="370531C2" w:rsidR="005C6BC7" w:rsidRPr="004415DB" w:rsidRDefault="006F3077" w:rsidP="00492FE1">
            <w:pPr>
              <w:pStyle w:val="Paragraph"/>
              <w:rPr>
                <w:rFonts w:ascii="Arial" w:hAnsi="Arial" w:cs="Arial"/>
                <w:iCs/>
              </w:rPr>
            </w:pPr>
            <w:r w:rsidRPr="006F3077">
              <w:rPr>
                <w:rFonts w:ascii="Arial" w:hAnsi="Arial" w:cs="Arial"/>
                <w:iCs/>
              </w:rPr>
              <w:t xml:space="preserve">It was agreed that </w:t>
            </w:r>
            <w:r>
              <w:rPr>
                <w:rFonts w:ascii="Arial" w:hAnsi="Arial" w:cs="Arial"/>
                <w:iCs/>
              </w:rPr>
              <w:t>Peter</w:t>
            </w:r>
            <w:r w:rsidRPr="006F3077">
              <w:rPr>
                <w:rFonts w:ascii="Arial" w:hAnsi="Arial" w:cs="Arial"/>
                <w:iCs/>
              </w:rPr>
              <w:t>'s declaration would prevent him from participating in discussions on this appraisal.</w:t>
            </w:r>
          </w:p>
        </w:tc>
      </w:tr>
      <w:tr w:rsidR="00E40C4D" w14:paraId="3DA6D1EE" w14:textId="77777777" w:rsidTr="00E40C4D">
        <w:tc>
          <w:tcPr>
            <w:tcW w:w="765" w:type="pct"/>
          </w:tcPr>
          <w:p w14:paraId="5F3CA0C6" w14:textId="6A482A5E" w:rsidR="00E40C4D" w:rsidRPr="006F3077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 w:rsidRPr="00E40C4D">
              <w:rPr>
                <w:rFonts w:ascii="Arial" w:hAnsi="Arial" w:cs="Arial"/>
                <w:iCs/>
              </w:rPr>
              <w:t xml:space="preserve">Veline </w:t>
            </w:r>
            <w:proofErr w:type="spellStart"/>
            <w:r w:rsidRPr="00E40C4D">
              <w:rPr>
                <w:rFonts w:ascii="Arial" w:hAnsi="Arial" w:cs="Arial"/>
                <w:iCs/>
              </w:rPr>
              <w:t>L’Esperance</w:t>
            </w:r>
            <w:proofErr w:type="spellEnd"/>
          </w:p>
        </w:tc>
        <w:tc>
          <w:tcPr>
            <w:tcW w:w="624" w:type="pct"/>
          </w:tcPr>
          <w:p w14:paraId="33F0B7C1" w14:textId="5957A0CD" w:rsidR="00E40C4D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TAC B Member</w:t>
            </w:r>
          </w:p>
        </w:tc>
        <w:tc>
          <w:tcPr>
            <w:tcW w:w="695" w:type="pct"/>
          </w:tcPr>
          <w:p w14:paraId="34C62933" w14:textId="7DF93AF4" w:rsidR="00E40C4D" w:rsidRPr="004415DB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 w:rsidRPr="00E40C4D">
              <w:rPr>
                <w:rFonts w:ascii="Arial" w:hAnsi="Arial" w:cs="Arial"/>
                <w:iCs/>
              </w:rPr>
              <w:t>Indirect</w:t>
            </w:r>
            <w:r>
              <w:rPr>
                <w:rFonts w:ascii="Arial" w:hAnsi="Arial" w:cs="Arial"/>
                <w:iCs/>
              </w:rPr>
              <w:t xml:space="preserve"> -</w:t>
            </w:r>
            <w:r w:rsidRPr="00E40C4D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F</w:t>
            </w:r>
            <w:r w:rsidRPr="00E40C4D">
              <w:rPr>
                <w:rFonts w:ascii="Arial" w:hAnsi="Arial" w:cs="Arial"/>
                <w:iCs/>
              </w:rPr>
              <w:t>inancial</w:t>
            </w:r>
          </w:p>
        </w:tc>
        <w:tc>
          <w:tcPr>
            <w:tcW w:w="1362" w:type="pct"/>
          </w:tcPr>
          <w:p w14:paraId="2E07AF1D" w14:textId="45DD114C" w:rsidR="00E40C4D" w:rsidRDefault="00E40C4D" w:rsidP="00E40C4D">
            <w:pPr>
              <w:rPr>
                <w:rFonts w:ascii="Arial" w:hAnsi="Arial" w:cs="Arial"/>
                <w:bCs/>
              </w:rPr>
            </w:pPr>
            <w:r w:rsidRPr="00D04A4A">
              <w:rPr>
                <w:rFonts w:ascii="Arial" w:hAnsi="Arial" w:cs="Arial"/>
                <w:bCs/>
              </w:rPr>
              <w:t xml:space="preserve">Employer received funding from GSK regarding shingles vaccination uptake. </w:t>
            </w:r>
            <w:r>
              <w:rPr>
                <w:rFonts w:ascii="Arial" w:hAnsi="Arial" w:cs="Arial"/>
                <w:bCs/>
              </w:rPr>
              <w:t>Veline is</w:t>
            </w:r>
            <w:r w:rsidRPr="00D04A4A">
              <w:rPr>
                <w:rFonts w:ascii="Arial" w:hAnsi="Arial" w:cs="Arial"/>
                <w:bCs/>
              </w:rPr>
              <w:t xml:space="preserve"> the PI on the project.</w:t>
            </w:r>
          </w:p>
          <w:p w14:paraId="31276B4F" w14:textId="77777777" w:rsidR="00E40C4D" w:rsidRPr="00A96B30" w:rsidRDefault="00E40C4D" w:rsidP="006F30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6" w:type="pct"/>
          </w:tcPr>
          <w:p w14:paraId="504C911C" w14:textId="11855187" w:rsidR="00E40C4D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14/03/2024</w:t>
            </w:r>
          </w:p>
        </w:tc>
        <w:tc>
          <w:tcPr>
            <w:tcW w:w="1028" w:type="pct"/>
          </w:tcPr>
          <w:p w14:paraId="2467D017" w14:textId="0C7A3C85" w:rsidR="00E40C4D" w:rsidRPr="006F3077" w:rsidRDefault="00E40C4D" w:rsidP="00492FE1">
            <w:pPr>
              <w:pStyle w:val="Paragraph"/>
              <w:rPr>
                <w:rFonts w:ascii="Arial" w:hAnsi="Arial" w:cs="Arial"/>
                <w:iCs/>
              </w:rPr>
            </w:pPr>
            <w:r w:rsidRPr="001161AE">
              <w:rPr>
                <w:rFonts w:ascii="Arial" w:hAnsi="Arial" w:cs="Arial"/>
                <w:iCs/>
              </w:rPr>
              <w:t>It was agreed that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Veline</w:t>
            </w:r>
            <w:r w:rsidRPr="001161AE">
              <w:rPr>
                <w:rFonts w:ascii="Arial" w:hAnsi="Arial" w:cs="Arial"/>
                <w:iCs/>
              </w:rPr>
              <w:t>'s</w:t>
            </w:r>
            <w:proofErr w:type="spellEnd"/>
            <w:r w:rsidRPr="001161AE">
              <w:rPr>
                <w:rFonts w:ascii="Arial" w:hAnsi="Arial" w:cs="Arial"/>
                <w:iCs/>
              </w:rPr>
              <w:t xml:space="preserve"> declaration would not prevent h</w:t>
            </w:r>
            <w:r>
              <w:rPr>
                <w:rFonts w:ascii="Arial" w:hAnsi="Arial" w:cs="Arial"/>
                <w:iCs/>
              </w:rPr>
              <w:t>er</w:t>
            </w:r>
            <w:r w:rsidRPr="001161AE">
              <w:rPr>
                <w:rFonts w:ascii="Arial" w:hAnsi="Arial" w:cs="Arial"/>
                <w:iCs/>
              </w:rPr>
              <w:t xml:space="preserve"> from </w:t>
            </w:r>
            <w:r w:rsidRPr="006F3077">
              <w:rPr>
                <w:rFonts w:ascii="Arial" w:hAnsi="Arial" w:cs="Arial"/>
                <w:iCs/>
              </w:rPr>
              <w:t>participating in discussions on this appraisal.</w:t>
            </w:r>
          </w:p>
        </w:tc>
      </w:tr>
      <w:tr w:rsidR="005C6BC7" w14:paraId="07D6FE42" w14:textId="77777777" w:rsidTr="00E40C4D">
        <w:tc>
          <w:tcPr>
            <w:tcW w:w="765" w:type="pct"/>
          </w:tcPr>
          <w:p w14:paraId="5D5835FE" w14:textId="0A7033A6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 w:rsidRPr="006F3077">
              <w:rPr>
                <w:rFonts w:ascii="Arial" w:hAnsi="Arial" w:cs="Arial"/>
                <w:iCs/>
              </w:rPr>
              <w:t xml:space="preserve">Scott Purdon  </w:t>
            </w:r>
          </w:p>
        </w:tc>
        <w:tc>
          <w:tcPr>
            <w:tcW w:w="624" w:type="pct"/>
          </w:tcPr>
          <w:p w14:paraId="1C1C2F76" w14:textId="23921D80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Patient Expert</w:t>
            </w:r>
          </w:p>
        </w:tc>
        <w:tc>
          <w:tcPr>
            <w:tcW w:w="695" w:type="pct"/>
          </w:tcPr>
          <w:p w14:paraId="005581B6" w14:textId="2DDA0013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Indirect – Financial </w:t>
            </w:r>
          </w:p>
        </w:tc>
        <w:tc>
          <w:tcPr>
            <w:tcW w:w="1362" w:type="pct"/>
          </w:tcPr>
          <w:p w14:paraId="6B5DCD4D" w14:textId="73DC7E8F" w:rsidR="006F3077" w:rsidRPr="006F3077" w:rsidRDefault="006F3077" w:rsidP="006F3077">
            <w:pPr>
              <w:rPr>
                <w:rFonts w:ascii="Arial" w:hAnsi="Arial" w:cs="Arial"/>
              </w:rPr>
            </w:pPr>
            <w:r w:rsidRPr="00145E29">
              <w:rPr>
                <w:rFonts w:ascii="Arial" w:hAnsi="Arial" w:cs="Arial"/>
              </w:rPr>
              <w:t>We have received funding for a specific research project from the manufacturer of the technology in the last 12 months</w:t>
            </w:r>
            <w:r>
              <w:rPr>
                <w:rFonts w:ascii="Arial" w:hAnsi="Arial" w:cs="Arial"/>
              </w:rPr>
              <w:t xml:space="preserve"> (£</w:t>
            </w:r>
            <w:r w:rsidRPr="00145E29">
              <w:rPr>
                <w:rFonts w:ascii="Arial" w:hAnsi="Arial" w:cs="Arial"/>
              </w:rPr>
              <w:t>19,259</w:t>
            </w:r>
            <w:r>
              <w:rPr>
                <w:rFonts w:ascii="Arial" w:hAnsi="Arial" w:cs="Arial"/>
              </w:rPr>
              <w:t>)</w:t>
            </w:r>
            <w:r w:rsidRPr="00145E29">
              <w:rPr>
                <w:rFonts w:ascii="Arial" w:hAnsi="Arial" w:cs="Arial"/>
              </w:rPr>
              <w:t>.</w:t>
            </w:r>
            <w:r w:rsidRPr="00145E29">
              <w:t xml:space="preserve"> </w:t>
            </w:r>
            <w:r w:rsidRPr="00145E29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>. I</w:t>
            </w:r>
            <w:r w:rsidRPr="00145E29">
              <w:rPr>
                <w:rFonts w:ascii="Arial" w:hAnsi="Arial" w:cs="Arial"/>
              </w:rPr>
              <w:t>n 2022, 5.7% of Myeloma UK’s income came from pharmaceutical companies (£298,849).</w:t>
            </w:r>
          </w:p>
        </w:tc>
        <w:tc>
          <w:tcPr>
            <w:tcW w:w="526" w:type="pct"/>
          </w:tcPr>
          <w:p w14:paraId="0B60DDA0" w14:textId="3506B421" w:rsidR="00972DD7" w:rsidRDefault="00972DD7" w:rsidP="00972DD7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09/10/2024</w:t>
            </w:r>
          </w:p>
          <w:p w14:paraId="133D062A" w14:textId="77261782" w:rsidR="005C6BC7" w:rsidRPr="004415DB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14/03/2024</w:t>
            </w:r>
          </w:p>
        </w:tc>
        <w:tc>
          <w:tcPr>
            <w:tcW w:w="1028" w:type="pct"/>
          </w:tcPr>
          <w:p w14:paraId="672EC20B" w14:textId="615EFD10" w:rsidR="005C6BC7" w:rsidRPr="004415DB" w:rsidRDefault="001161AE" w:rsidP="00492FE1">
            <w:pPr>
              <w:pStyle w:val="Paragraph"/>
              <w:rPr>
                <w:rFonts w:ascii="Arial" w:hAnsi="Arial" w:cs="Arial"/>
                <w:iCs/>
              </w:rPr>
            </w:pPr>
            <w:r w:rsidRPr="001161AE">
              <w:rPr>
                <w:rFonts w:ascii="Arial" w:hAnsi="Arial" w:cs="Arial"/>
                <w:iCs/>
              </w:rPr>
              <w:t xml:space="preserve">It was agreed that </w:t>
            </w:r>
            <w:r>
              <w:rPr>
                <w:rFonts w:ascii="Arial" w:hAnsi="Arial" w:cs="Arial"/>
                <w:iCs/>
              </w:rPr>
              <w:t>Scott</w:t>
            </w:r>
            <w:r w:rsidRPr="001161AE">
              <w:rPr>
                <w:rFonts w:ascii="Arial" w:hAnsi="Arial" w:cs="Arial"/>
                <w:iCs/>
              </w:rPr>
              <w:t>'s declaration would not prevent him from providing expert advice to the committee.</w:t>
            </w:r>
          </w:p>
        </w:tc>
      </w:tr>
      <w:tr w:rsidR="005C6BC7" w14:paraId="337FADC7" w14:textId="77777777" w:rsidTr="00E40C4D">
        <w:tc>
          <w:tcPr>
            <w:tcW w:w="765" w:type="pct"/>
          </w:tcPr>
          <w:p w14:paraId="2CC78238" w14:textId="093D52E5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 w:rsidRPr="006F3077">
              <w:rPr>
                <w:rFonts w:ascii="Arial" w:hAnsi="Arial" w:cs="Arial"/>
                <w:iCs/>
              </w:rPr>
              <w:lastRenderedPageBreak/>
              <w:t xml:space="preserve">Jon </w:t>
            </w:r>
            <w:proofErr w:type="spellStart"/>
            <w:r w:rsidRPr="006F3077">
              <w:rPr>
                <w:rFonts w:ascii="Arial" w:hAnsi="Arial" w:cs="Arial"/>
                <w:iCs/>
              </w:rPr>
              <w:t>Missin</w:t>
            </w:r>
            <w:proofErr w:type="spellEnd"/>
            <w:r w:rsidRPr="006F3077">
              <w:rPr>
                <w:rFonts w:ascii="Arial" w:hAnsi="Arial" w:cs="Arial"/>
                <w:iCs/>
              </w:rPr>
              <w:t xml:space="preserve">  </w:t>
            </w:r>
          </w:p>
        </w:tc>
        <w:tc>
          <w:tcPr>
            <w:tcW w:w="624" w:type="pct"/>
          </w:tcPr>
          <w:p w14:paraId="7CDB68F8" w14:textId="161E573C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Patient expert</w:t>
            </w:r>
          </w:p>
        </w:tc>
        <w:tc>
          <w:tcPr>
            <w:tcW w:w="695" w:type="pct"/>
          </w:tcPr>
          <w:p w14:paraId="0856EF01" w14:textId="3E154765" w:rsidR="005C6BC7" w:rsidRPr="004415DB" w:rsidRDefault="006F307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Indirect – Financial </w:t>
            </w:r>
          </w:p>
        </w:tc>
        <w:tc>
          <w:tcPr>
            <w:tcW w:w="1362" w:type="pct"/>
          </w:tcPr>
          <w:p w14:paraId="76FB9FF7" w14:textId="77777777" w:rsidR="006F3077" w:rsidRDefault="006F3077" w:rsidP="006F3077">
            <w:pPr>
              <w:rPr>
                <w:rFonts w:ascii="Arial" w:hAnsi="Arial" w:cs="Arial"/>
              </w:rPr>
            </w:pPr>
            <w:r w:rsidRPr="00145E29">
              <w:rPr>
                <w:rFonts w:ascii="Arial" w:hAnsi="Arial" w:cs="Arial"/>
              </w:rPr>
              <w:t>We have received funding for a specific research project from the manufacturer of the technology in the last 12 months</w:t>
            </w:r>
            <w:r>
              <w:rPr>
                <w:rFonts w:ascii="Arial" w:hAnsi="Arial" w:cs="Arial"/>
              </w:rPr>
              <w:t xml:space="preserve"> (£</w:t>
            </w:r>
            <w:r w:rsidRPr="00145E29">
              <w:rPr>
                <w:rFonts w:ascii="Arial" w:hAnsi="Arial" w:cs="Arial"/>
              </w:rPr>
              <w:t>19,259</w:t>
            </w:r>
            <w:r>
              <w:rPr>
                <w:rFonts w:ascii="Arial" w:hAnsi="Arial" w:cs="Arial"/>
              </w:rPr>
              <w:t>)</w:t>
            </w:r>
            <w:r w:rsidRPr="00145E29">
              <w:rPr>
                <w:rFonts w:ascii="Arial" w:hAnsi="Arial" w:cs="Arial"/>
              </w:rPr>
              <w:t>.</w:t>
            </w:r>
            <w:r w:rsidRPr="00145E29">
              <w:t xml:space="preserve"> </w:t>
            </w:r>
            <w:r w:rsidRPr="00145E29">
              <w:rPr>
                <w:rFonts w:ascii="Arial" w:hAnsi="Arial" w:cs="Arial"/>
              </w:rPr>
              <w:t>2022</w:t>
            </w:r>
            <w:r>
              <w:rPr>
                <w:rFonts w:ascii="Arial" w:hAnsi="Arial" w:cs="Arial"/>
              </w:rPr>
              <w:t>. I</w:t>
            </w:r>
            <w:r w:rsidRPr="00145E29">
              <w:rPr>
                <w:rFonts w:ascii="Arial" w:hAnsi="Arial" w:cs="Arial"/>
              </w:rPr>
              <w:t>n 2022, 5.7% of Myeloma UK’s income came from pharmaceutical companies (£298,849).</w:t>
            </w:r>
          </w:p>
          <w:p w14:paraId="0A1BA50D" w14:textId="77777777" w:rsidR="005C6BC7" w:rsidRPr="004415DB" w:rsidRDefault="005C6BC7" w:rsidP="00492FE1">
            <w:pPr>
              <w:pStyle w:val="Paragraph"/>
              <w:rPr>
                <w:rFonts w:ascii="Arial" w:hAnsi="Arial" w:cs="Arial"/>
                <w:iCs/>
              </w:rPr>
            </w:pPr>
          </w:p>
        </w:tc>
        <w:tc>
          <w:tcPr>
            <w:tcW w:w="526" w:type="pct"/>
          </w:tcPr>
          <w:p w14:paraId="7AF71938" w14:textId="1E827DF9" w:rsidR="00972DD7" w:rsidRDefault="00972DD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09/10/2024</w:t>
            </w:r>
          </w:p>
          <w:p w14:paraId="0EF7F80F" w14:textId="1B252487" w:rsidR="005C6BC7" w:rsidRPr="004415DB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14/03/2024</w:t>
            </w:r>
          </w:p>
        </w:tc>
        <w:tc>
          <w:tcPr>
            <w:tcW w:w="1028" w:type="pct"/>
          </w:tcPr>
          <w:p w14:paraId="007F6CDB" w14:textId="1BD0E461" w:rsidR="005C6BC7" w:rsidRPr="004415DB" w:rsidRDefault="001161AE" w:rsidP="00492FE1">
            <w:pPr>
              <w:pStyle w:val="Paragraph"/>
              <w:rPr>
                <w:rFonts w:ascii="Arial" w:hAnsi="Arial" w:cs="Arial"/>
                <w:iCs/>
              </w:rPr>
            </w:pPr>
            <w:r w:rsidRPr="001161AE">
              <w:rPr>
                <w:rFonts w:ascii="Arial" w:hAnsi="Arial" w:cs="Arial"/>
                <w:iCs/>
              </w:rPr>
              <w:t xml:space="preserve">It was agreed that </w:t>
            </w:r>
            <w:r>
              <w:rPr>
                <w:rFonts w:ascii="Arial" w:hAnsi="Arial" w:cs="Arial"/>
                <w:iCs/>
              </w:rPr>
              <w:t>Jon’</w:t>
            </w:r>
            <w:r w:rsidRPr="001161AE">
              <w:rPr>
                <w:rFonts w:ascii="Arial" w:hAnsi="Arial" w:cs="Arial"/>
                <w:iCs/>
              </w:rPr>
              <w:t>s declaration would not prevent him from providing expert advice to the committee.</w:t>
            </w:r>
          </w:p>
        </w:tc>
      </w:tr>
      <w:tr w:rsidR="005C6BC7" w14:paraId="0FBA0A78" w14:textId="77777777" w:rsidTr="00E40C4D">
        <w:tc>
          <w:tcPr>
            <w:tcW w:w="765" w:type="pct"/>
          </w:tcPr>
          <w:p w14:paraId="45F37783" w14:textId="05FA08AD" w:rsidR="005C6BC7" w:rsidRPr="004415DB" w:rsidRDefault="001161AE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Gordon Cook</w:t>
            </w:r>
          </w:p>
        </w:tc>
        <w:tc>
          <w:tcPr>
            <w:tcW w:w="624" w:type="pct"/>
          </w:tcPr>
          <w:p w14:paraId="283CA6F5" w14:textId="294D14EB" w:rsidR="005C6BC7" w:rsidRPr="004415DB" w:rsidRDefault="001161AE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Clinical expert</w:t>
            </w:r>
          </w:p>
        </w:tc>
        <w:tc>
          <w:tcPr>
            <w:tcW w:w="695" w:type="pct"/>
          </w:tcPr>
          <w:p w14:paraId="39DDBF60" w14:textId="78CA711F" w:rsidR="005C6BC7" w:rsidRPr="004415DB" w:rsidRDefault="001161AE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Direct - Professional</w:t>
            </w:r>
          </w:p>
        </w:tc>
        <w:tc>
          <w:tcPr>
            <w:tcW w:w="1362" w:type="pct"/>
          </w:tcPr>
          <w:p w14:paraId="642B8579" w14:textId="77777777" w:rsidR="001161AE" w:rsidRPr="00512C04" w:rsidRDefault="001161AE" w:rsidP="001161AE">
            <w:pPr>
              <w:rPr>
                <w:rFonts w:ascii="Arial" w:hAnsi="Arial" w:cs="Arial"/>
              </w:rPr>
            </w:pPr>
            <w:r w:rsidRPr="00512C04">
              <w:rPr>
                <w:rFonts w:ascii="Arial" w:hAnsi="Arial" w:cs="Arial"/>
              </w:rPr>
              <w:t xml:space="preserve">Consultancy – BMS/Celgene, Takeda, Janssen, Sanofi, Roche, Amgen, Pfizer, </w:t>
            </w:r>
            <w:proofErr w:type="spellStart"/>
            <w:r w:rsidRPr="00512C04">
              <w:rPr>
                <w:rFonts w:ascii="Arial" w:hAnsi="Arial" w:cs="Arial"/>
              </w:rPr>
              <w:t>Abbvie</w:t>
            </w:r>
            <w:proofErr w:type="spellEnd"/>
          </w:p>
          <w:p w14:paraId="08074D17" w14:textId="77777777" w:rsidR="00972DD7" w:rsidRDefault="00972DD7" w:rsidP="001161AE">
            <w:pPr>
              <w:rPr>
                <w:rFonts w:ascii="Arial" w:hAnsi="Arial" w:cs="Arial"/>
              </w:rPr>
            </w:pPr>
          </w:p>
          <w:p w14:paraId="6BBAE74E" w14:textId="7EB1DA0E" w:rsidR="005C6BC7" w:rsidRDefault="001161AE" w:rsidP="00116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Indirect - </w:t>
            </w:r>
            <w:r w:rsidRPr="00512C04">
              <w:rPr>
                <w:rFonts w:ascii="Arial" w:hAnsi="Arial" w:cs="Arial"/>
              </w:rPr>
              <w:t xml:space="preserve">Research Funding – BMS/Celgene, Takeda, Janssen </w:t>
            </w:r>
          </w:p>
          <w:p w14:paraId="0B038C76" w14:textId="16212533" w:rsidR="001161AE" w:rsidRPr="001161AE" w:rsidRDefault="001161AE" w:rsidP="001161AE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</w:tcPr>
          <w:p w14:paraId="515F66ED" w14:textId="6C1BB9C0" w:rsidR="00972DD7" w:rsidRDefault="00972DD7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09/10/2024</w:t>
            </w:r>
          </w:p>
          <w:p w14:paraId="306FC0A9" w14:textId="70DFB63E" w:rsidR="005C6BC7" w:rsidRPr="004415DB" w:rsidRDefault="00E40C4D" w:rsidP="00492FE1">
            <w:pPr>
              <w:pStyle w:val="Paragraph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14/03/2024</w:t>
            </w:r>
          </w:p>
        </w:tc>
        <w:tc>
          <w:tcPr>
            <w:tcW w:w="1028" w:type="pct"/>
          </w:tcPr>
          <w:p w14:paraId="66741E44" w14:textId="797EFEEF" w:rsidR="005C6BC7" w:rsidRPr="004415DB" w:rsidRDefault="001161AE" w:rsidP="00492FE1">
            <w:pPr>
              <w:pStyle w:val="Paragraph"/>
              <w:rPr>
                <w:rFonts w:ascii="Arial" w:hAnsi="Arial" w:cs="Arial"/>
                <w:iCs/>
              </w:rPr>
            </w:pPr>
            <w:r w:rsidRPr="001161AE">
              <w:rPr>
                <w:rFonts w:ascii="Arial" w:hAnsi="Arial" w:cs="Arial"/>
                <w:iCs/>
              </w:rPr>
              <w:t xml:space="preserve">It was agreed that </w:t>
            </w:r>
            <w:r>
              <w:rPr>
                <w:rFonts w:ascii="Arial" w:hAnsi="Arial" w:cs="Arial"/>
                <w:iCs/>
              </w:rPr>
              <w:t>Gordon</w:t>
            </w:r>
            <w:r w:rsidRPr="001161AE">
              <w:rPr>
                <w:rFonts w:ascii="Arial" w:hAnsi="Arial" w:cs="Arial"/>
                <w:iCs/>
              </w:rPr>
              <w:t>'s declaration would not prevent him from providing expert advice to the committee.</w:t>
            </w:r>
          </w:p>
        </w:tc>
      </w:tr>
    </w:tbl>
    <w:p w14:paraId="45BBDFF5" w14:textId="40AE3608" w:rsidR="006F3077" w:rsidRPr="00972DD7" w:rsidRDefault="00972DD7" w:rsidP="00972DD7">
      <w:pPr>
        <w:rPr>
          <w:rFonts w:ascii="Arial" w:hAnsi="Arial" w:cs="Arial"/>
          <w:b/>
        </w:rPr>
      </w:pPr>
      <w:r w:rsidRPr="00DD562A">
        <w:rPr>
          <w:rFonts w:ascii="Arial" w:hAnsi="Arial" w:cs="Arial"/>
          <w:b/>
        </w:rPr>
        <w:t xml:space="preserve"> </w:t>
      </w:r>
    </w:p>
    <w:sectPr w:rsidR="006F3077" w:rsidRPr="00972DD7" w:rsidSect="009813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CAD8" w14:textId="77777777" w:rsidR="009F66BF" w:rsidRDefault="009F66BF" w:rsidP="00446BEE">
      <w:r>
        <w:separator/>
      </w:r>
    </w:p>
  </w:endnote>
  <w:endnote w:type="continuationSeparator" w:id="0">
    <w:p w14:paraId="1D964235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E64B" w14:textId="77777777" w:rsidR="005C6BC7" w:rsidRDefault="005C6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2A93" w14:textId="599D5E3A" w:rsidR="00446BEE" w:rsidRDefault="00446BEE" w:rsidP="009F66BF">
    <w:pPr>
      <w:pStyle w:val="Footer"/>
      <w:ind w:hanging="567"/>
    </w:pPr>
    <w:r>
      <w:tab/>
    </w:r>
    <w:r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>
      <w:fldChar w:fldCharType="begin"/>
    </w:r>
    <w:r>
      <w:instrText xml:space="preserve"> PAGE </w:instrText>
    </w:r>
    <w:r>
      <w:fldChar w:fldCharType="separate"/>
    </w:r>
    <w:r w:rsidR="001946BB">
      <w:rPr>
        <w:noProof/>
      </w:rPr>
      <w:t>1</w:t>
    </w:r>
    <w:r>
      <w:fldChar w:fldCharType="end"/>
    </w:r>
    <w:r>
      <w:t xml:space="preserve"> of </w:t>
    </w:r>
    <w:r w:rsidR="005C6BC7">
      <w:fldChar w:fldCharType="begin"/>
    </w:r>
    <w:r w:rsidR="005C6BC7">
      <w:instrText xml:space="preserve"> NUMPAGES  </w:instrText>
    </w:r>
    <w:r w:rsidR="005C6BC7">
      <w:fldChar w:fldCharType="separate"/>
    </w:r>
    <w:r w:rsidR="001946BB">
      <w:rPr>
        <w:noProof/>
      </w:rPr>
      <w:t>2</w:t>
    </w:r>
    <w:r w:rsidR="005C6B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D4CB" w14:textId="77777777" w:rsidR="005C6BC7" w:rsidRDefault="005C6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2C14" w14:textId="77777777" w:rsidR="009F66BF" w:rsidRDefault="009F66BF" w:rsidP="00446BEE">
      <w:r>
        <w:separator/>
      </w:r>
    </w:p>
  </w:footnote>
  <w:footnote w:type="continuationSeparator" w:id="0">
    <w:p w14:paraId="371F5E8E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C0CA" w14:textId="77777777" w:rsidR="005C6BC7" w:rsidRDefault="005C6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78B0" w14:textId="4C4500D4" w:rsidR="009F66BF" w:rsidRDefault="0047764B" w:rsidP="009F66BF">
    <w:pPr>
      <w:pStyle w:val="Header"/>
      <w:ind w:hanging="567"/>
    </w:pPr>
    <w:sdt>
      <w:sdtPr>
        <w:id w:val="47787848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856AE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66BF" w:rsidRPr="009F66BF">
      <w:rPr>
        <w:noProof/>
      </w:rPr>
      <w:drawing>
        <wp:inline distT="0" distB="0" distL="0" distR="0" wp14:anchorId="685F7C58" wp14:editId="7DF035DC">
          <wp:extent cx="2505075" cy="444449"/>
          <wp:effectExtent l="0" t="0" r="0" b="0"/>
          <wp:docPr id="9" name="Picture 9" descr="This is the NICE logo in a header ro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NICE logo in a header row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BA7">
      <w:tab/>
    </w:r>
    <w:r w:rsidR="00D47BA7">
      <w:tab/>
    </w:r>
    <w:r w:rsidR="00D47BA7">
      <w:tab/>
    </w:r>
    <w:r w:rsidR="00D47BA7">
      <w:tab/>
    </w:r>
  </w:p>
  <w:p w14:paraId="211FF48C" w14:textId="77777777" w:rsidR="009F66BF" w:rsidRDefault="009F6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033A" w14:textId="77777777" w:rsidR="005C6BC7" w:rsidRDefault="005C6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634C"/>
    <w:multiLevelType w:val="hybridMultilevel"/>
    <w:tmpl w:val="F56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20245">
    <w:abstractNumId w:val="13"/>
  </w:num>
  <w:num w:numId="2" w16cid:durableId="2002538492">
    <w:abstractNumId w:val="14"/>
  </w:num>
  <w:num w:numId="3" w16cid:durableId="1115755560">
    <w:abstractNumId w:val="14"/>
    <w:lvlOverride w:ilvl="0">
      <w:startOverride w:val="1"/>
    </w:lvlOverride>
  </w:num>
  <w:num w:numId="4" w16cid:durableId="1164737210">
    <w:abstractNumId w:val="14"/>
    <w:lvlOverride w:ilvl="0">
      <w:startOverride w:val="1"/>
    </w:lvlOverride>
  </w:num>
  <w:num w:numId="5" w16cid:durableId="1907496277">
    <w:abstractNumId w:val="14"/>
    <w:lvlOverride w:ilvl="0">
      <w:startOverride w:val="1"/>
    </w:lvlOverride>
  </w:num>
  <w:num w:numId="6" w16cid:durableId="957377609">
    <w:abstractNumId w:val="14"/>
    <w:lvlOverride w:ilvl="0">
      <w:startOverride w:val="1"/>
    </w:lvlOverride>
  </w:num>
  <w:num w:numId="7" w16cid:durableId="2040887977">
    <w:abstractNumId w:val="14"/>
    <w:lvlOverride w:ilvl="0">
      <w:startOverride w:val="1"/>
    </w:lvlOverride>
  </w:num>
  <w:num w:numId="8" w16cid:durableId="738747964">
    <w:abstractNumId w:val="9"/>
  </w:num>
  <w:num w:numId="9" w16cid:durableId="1244754255">
    <w:abstractNumId w:val="7"/>
  </w:num>
  <w:num w:numId="10" w16cid:durableId="1101799043">
    <w:abstractNumId w:val="6"/>
  </w:num>
  <w:num w:numId="11" w16cid:durableId="119882121">
    <w:abstractNumId w:val="5"/>
  </w:num>
  <w:num w:numId="12" w16cid:durableId="446702736">
    <w:abstractNumId w:val="4"/>
  </w:num>
  <w:num w:numId="13" w16cid:durableId="1073700658">
    <w:abstractNumId w:val="8"/>
  </w:num>
  <w:num w:numId="14" w16cid:durableId="1414276336">
    <w:abstractNumId w:val="3"/>
  </w:num>
  <w:num w:numId="15" w16cid:durableId="1295528479">
    <w:abstractNumId w:val="2"/>
  </w:num>
  <w:num w:numId="16" w16cid:durableId="1817455520">
    <w:abstractNumId w:val="1"/>
  </w:num>
  <w:num w:numId="17" w16cid:durableId="1175413547">
    <w:abstractNumId w:val="0"/>
  </w:num>
  <w:num w:numId="18" w16cid:durableId="1672416867">
    <w:abstractNumId w:val="11"/>
  </w:num>
  <w:num w:numId="19" w16cid:durableId="304820830">
    <w:abstractNumId w:val="11"/>
    <w:lvlOverride w:ilvl="0">
      <w:startOverride w:val="1"/>
    </w:lvlOverride>
  </w:num>
  <w:num w:numId="20" w16cid:durableId="985671688">
    <w:abstractNumId w:val="10"/>
  </w:num>
  <w:num w:numId="21" w16cid:durableId="14515064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11B79"/>
    <w:rsid w:val="00024D0A"/>
    <w:rsid w:val="000472DC"/>
    <w:rsid w:val="0005185C"/>
    <w:rsid w:val="00070065"/>
    <w:rsid w:val="000A4FEE"/>
    <w:rsid w:val="000B5102"/>
    <w:rsid w:val="000B5939"/>
    <w:rsid w:val="00111CCE"/>
    <w:rsid w:val="001134E7"/>
    <w:rsid w:val="001161AE"/>
    <w:rsid w:val="0013226F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D3376"/>
    <w:rsid w:val="00311ED0"/>
    <w:rsid w:val="003404D8"/>
    <w:rsid w:val="00360316"/>
    <w:rsid w:val="003648C5"/>
    <w:rsid w:val="003722FA"/>
    <w:rsid w:val="003C7AAF"/>
    <w:rsid w:val="003E25CF"/>
    <w:rsid w:val="00406A49"/>
    <w:rsid w:val="004075B6"/>
    <w:rsid w:val="00420952"/>
    <w:rsid w:val="004327C3"/>
    <w:rsid w:val="00433EFF"/>
    <w:rsid w:val="004415DB"/>
    <w:rsid w:val="00443081"/>
    <w:rsid w:val="00446BEE"/>
    <w:rsid w:val="004602D6"/>
    <w:rsid w:val="0047764B"/>
    <w:rsid w:val="00492FE1"/>
    <w:rsid w:val="00494FEF"/>
    <w:rsid w:val="004A241F"/>
    <w:rsid w:val="004A2D1D"/>
    <w:rsid w:val="004E3A84"/>
    <w:rsid w:val="005025A1"/>
    <w:rsid w:val="0053393E"/>
    <w:rsid w:val="00557456"/>
    <w:rsid w:val="0058204D"/>
    <w:rsid w:val="00593097"/>
    <w:rsid w:val="005B1BED"/>
    <w:rsid w:val="005C6BC7"/>
    <w:rsid w:val="006921E1"/>
    <w:rsid w:val="006A3196"/>
    <w:rsid w:val="006C42BD"/>
    <w:rsid w:val="006F3077"/>
    <w:rsid w:val="006F4B25"/>
    <w:rsid w:val="006F6496"/>
    <w:rsid w:val="0073154B"/>
    <w:rsid w:val="00731D82"/>
    <w:rsid w:val="00736348"/>
    <w:rsid w:val="007574E6"/>
    <w:rsid w:val="00760908"/>
    <w:rsid w:val="007D764C"/>
    <w:rsid w:val="007F238D"/>
    <w:rsid w:val="00861B92"/>
    <w:rsid w:val="008814FB"/>
    <w:rsid w:val="00882AB0"/>
    <w:rsid w:val="008F5E30"/>
    <w:rsid w:val="00914D7F"/>
    <w:rsid w:val="009176A1"/>
    <w:rsid w:val="00955EC5"/>
    <w:rsid w:val="00961C9E"/>
    <w:rsid w:val="00972DD7"/>
    <w:rsid w:val="009813A0"/>
    <w:rsid w:val="0099111D"/>
    <w:rsid w:val="009C1F2B"/>
    <w:rsid w:val="009E680B"/>
    <w:rsid w:val="009F4556"/>
    <w:rsid w:val="009F66BF"/>
    <w:rsid w:val="009F74FD"/>
    <w:rsid w:val="00A15A1F"/>
    <w:rsid w:val="00A17C0C"/>
    <w:rsid w:val="00A3325A"/>
    <w:rsid w:val="00A43013"/>
    <w:rsid w:val="00A43DA6"/>
    <w:rsid w:val="00A4430C"/>
    <w:rsid w:val="00AF108A"/>
    <w:rsid w:val="00B02E55"/>
    <w:rsid w:val="00B036C1"/>
    <w:rsid w:val="00B53C35"/>
    <w:rsid w:val="00B5431F"/>
    <w:rsid w:val="00B626DF"/>
    <w:rsid w:val="00BF7FE0"/>
    <w:rsid w:val="00C41FDB"/>
    <w:rsid w:val="00C81104"/>
    <w:rsid w:val="00C96411"/>
    <w:rsid w:val="00CB5671"/>
    <w:rsid w:val="00CD4C18"/>
    <w:rsid w:val="00CF0D3C"/>
    <w:rsid w:val="00CF58B7"/>
    <w:rsid w:val="00D351C1"/>
    <w:rsid w:val="00D35EFB"/>
    <w:rsid w:val="00D47BA7"/>
    <w:rsid w:val="00D504B3"/>
    <w:rsid w:val="00D607D5"/>
    <w:rsid w:val="00D61BEA"/>
    <w:rsid w:val="00D8132E"/>
    <w:rsid w:val="00D86BF0"/>
    <w:rsid w:val="00DB03DD"/>
    <w:rsid w:val="00E23430"/>
    <w:rsid w:val="00E40C4D"/>
    <w:rsid w:val="00E51920"/>
    <w:rsid w:val="00E64120"/>
    <w:rsid w:val="00E660A1"/>
    <w:rsid w:val="00EA3CCF"/>
    <w:rsid w:val="00EB7131"/>
    <w:rsid w:val="00F055F1"/>
    <w:rsid w:val="00F610AF"/>
    <w:rsid w:val="00F63A40"/>
    <w:rsid w:val="00F80C14"/>
    <w:rsid w:val="00FA2C5A"/>
    <w:rsid w:val="00FC2D11"/>
    <w:rsid w:val="00FC6230"/>
    <w:rsid w:val="00FE335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65876F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D61BEA"/>
    <w:pPr>
      <w:tabs>
        <w:tab w:val="left" w:pos="567"/>
      </w:tabs>
    </w:pPr>
    <w:rPr>
      <w:rFonts w:ascii="Lato" w:hAnsi="Lato"/>
      <w:sz w:val="22"/>
    </w:r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61C9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61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C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9E"/>
    <w:rPr>
      <w:b/>
      <w:bCs/>
    </w:rPr>
  </w:style>
  <w:style w:type="character" w:customStyle="1" w:styleId="normaltextrun">
    <w:name w:val="normaltextrun"/>
    <w:basedOn w:val="DefaultParagraphFont"/>
    <w:rsid w:val="0073154B"/>
  </w:style>
  <w:style w:type="character" w:customStyle="1" w:styleId="eop">
    <w:name w:val="eop"/>
    <w:basedOn w:val="DefaultParagraphFont"/>
    <w:rsid w:val="0073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10EBAD291349B5F1287E06115212" ma:contentTypeVersion="23" ma:contentTypeDescription="Create a new document." ma:contentTypeScope="" ma:versionID="132f14901e9546b7073fccc63651a6a5">
  <xsd:schema xmlns:xsd="http://www.w3.org/2001/XMLSchema" xmlns:xs="http://www.w3.org/2001/XMLSchema" xmlns:p="http://schemas.microsoft.com/office/2006/metadata/properties" xmlns:ns2="22a4ce4c-4130-45f5-940e-699e8d75c5d7" xmlns:ns3="0eb656aa-4e79-4e95-9076-bc119a23e0cc" targetNamespace="http://schemas.microsoft.com/office/2006/metadata/properties" ma:root="true" ma:fieldsID="71bae6b919f0c40d20549229b9f31154" ns2:_="" ns3:_="">
    <xsd:import namespace="22a4ce4c-4130-45f5-940e-699e8d75c5d7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18a3a9fb01f4e1185d6fd80a961dfc5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ce4c-4130-45f5-940e-699e8d75c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18a3a9fb01f4e1185d6fd80a961dfc5" ma:index="13" nillable="true" ma:taxonomy="true" ma:internalName="e18a3a9fb01f4e1185d6fd80a961dfc5" ma:taxonomyFieldName="Condition_x0020_category" ma:displayName="Condition category" ma:default="" ma:fieldId="{e18a3a9f-b01f-4e11-85d6-fd80a961dfc5}" ma:sspId="9abb4586-6e39-4769-a9e9-e64cee0e77fc" ma:termSetId="a7ec81b1-b973-4542-a2ec-925a7eb86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3b6d6a-0d86-42f2-94f2-ab57abf19206}" ma:internalName="TaxCatchAll" ma:showField="CatchAllData" ma:web="5da25f22-6e67-4052-b59c-66d53f7ea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18a3a9fb01f4e1185d6fd80a961dfc5 xmlns="22a4ce4c-4130-45f5-940e-699e8d75c5d7">
      <Terms xmlns="http://schemas.microsoft.com/office/infopath/2007/PartnerControls"/>
    </e18a3a9fb01f4e1185d6fd80a961dfc5>
    <lcf76f155ced4ddcb4097134ff3c332f xmlns="22a4ce4c-4130-45f5-940e-699e8d75c5d7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C66A2C1C-7570-4AF1-A4BB-6350BD32A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ce4c-4130-45f5-940e-699e8d75c5d7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14BF8-5783-45C1-9B66-6606FC735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A57C6-8B9F-49BC-95EE-2425B9ADBDB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0eb656aa-4e79-4e95-9076-bc119a23e0cc"/>
    <ds:schemaRef ds:uri="22a4ce4c-4130-45f5-940e-699e8d75c5d7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Portia Dodds</cp:lastModifiedBy>
  <cp:revision>2</cp:revision>
  <cp:lastPrinted>2024-03-20T10:17:00Z</cp:lastPrinted>
  <dcterms:created xsi:type="dcterms:W3CDTF">2024-10-10T10:28:00Z</dcterms:created>
  <dcterms:modified xsi:type="dcterms:W3CDTF">2024-10-10T10:28:00Z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2023-03-13T20:31:44Z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21afca20-9388-4a90-a27e-c82b70dfab09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0x010100342410EBAD291349B5F1287E06115212</vt:lpwstr>
  </property>
  <property fmtid="{D5CDD505-2E9C-101B-9397-08002B2CF9AE}" pid="10" name="Order">
    <vt:r8>100</vt:r8>
  </property>
  <property fmtid="{D5CDD505-2E9C-101B-9397-08002B2CF9AE}" pid="11" name="Condition category">
    <vt:lpwstr/>
  </property>
  <property fmtid="{D5CDD505-2E9C-101B-9397-08002B2CF9AE}" pid="12" name="MediaServiceImageTags">
    <vt:lpwstr/>
  </property>
</Properties>
</file>