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DAAD" w14:textId="77777777" w:rsidR="0085409B" w:rsidRDefault="0085409B" w:rsidP="0085409B">
      <w:pPr>
        <w:pStyle w:val="Title"/>
      </w:pPr>
      <w:r>
        <w:t>Highly Specialised Technologies (HST) criteria checklist</w:t>
      </w:r>
    </w:p>
    <w:p w14:paraId="4D9814B6" w14:textId="77777777" w:rsidR="0085409B" w:rsidRDefault="0085409B" w:rsidP="0085409B">
      <w:pPr>
        <w:jc w:val="center"/>
        <w:rPr>
          <w:rFonts w:ascii="Arial" w:hAnsi="Arial" w:cs="Arial"/>
          <w:b/>
          <w:bCs/>
        </w:rPr>
      </w:pPr>
      <w:proofErr w:type="spellStart"/>
      <w:r w:rsidRPr="008C58C3">
        <w:rPr>
          <w:rFonts w:ascii="Arial" w:hAnsi="Arial"/>
          <w:b/>
          <w:bCs/>
          <w:kern w:val="28"/>
          <w:sz w:val="32"/>
          <w:szCs w:val="32"/>
        </w:rPr>
        <w:t>Ganaxolone</w:t>
      </w:r>
      <w:proofErr w:type="spellEnd"/>
      <w:r w:rsidRPr="008C58C3">
        <w:rPr>
          <w:rFonts w:ascii="Arial" w:hAnsi="Arial"/>
          <w:b/>
          <w:bCs/>
          <w:kern w:val="28"/>
          <w:sz w:val="32"/>
          <w:szCs w:val="32"/>
        </w:rPr>
        <w:t xml:space="preserve"> for treating seizures caused by CDKL5 deficiency disorder in people 2 years and over ID3988</w:t>
      </w:r>
    </w:p>
    <w:p w14:paraId="51B3521F" w14:textId="77777777" w:rsidR="00D63841" w:rsidRDefault="00D63841" w:rsidP="0085409B">
      <w:pPr>
        <w:pStyle w:val="Heading3"/>
      </w:pPr>
    </w:p>
    <w:p w14:paraId="5E5F5951" w14:textId="32571452" w:rsidR="0085409B" w:rsidRDefault="0085409B" w:rsidP="0085409B">
      <w:pPr>
        <w:pStyle w:val="Heading3"/>
      </w:pPr>
      <w:r w:rsidRPr="00E74106">
        <w:t>Introduction</w:t>
      </w:r>
    </w:p>
    <w:p w14:paraId="0AF2520B" w14:textId="77777777" w:rsidR="0085409B" w:rsidRPr="00E74106" w:rsidRDefault="0085409B" w:rsidP="0085409B">
      <w:pPr>
        <w:rPr>
          <w:rFonts w:ascii="Arial" w:hAnsi="Arial" w:cs="Arial"/>
        </w:rPr>
      </w:pPr>
      <w:r w:rsidRPr="00E74106">
        <w:rPr>
          <w:rFonts w:ascii="Arial" w:hAnsi="Arial" w:cs="Arial"/>
        </w:rPr>
        <w:t>The NICE HST criteria checklist is to highlight where a technology meets/partially meets or does not meet the criteria for routing to the HST programme. Its purpose is to show the details of why a technology may not be appropriate for HST evaluation, but also where it has been identified as suitable.</w:t>
      </w:r>
      <w:r>
        <w:rPr>
          <w:rFonts w:ascii="Arial" w:hAnsi="Arial" w:cs="Arial"/>
        </w:rPr>
        <w:t xml:space="preserve"> </w:t>
      </w:r>
      <w:r w:rsidRPr="00DF772E">
        <w:rPr>
          <w:rFonts w:ascii="Arial" w:hAnsi="Arial" w:cs="Arial"/>
        </w:rPr>
        <w:t xml:space="preserve">For more information, please see </w:t>
      </w:r>
      <w:hyperlink r:id="rId8" w:history="1">
        <w:r w:rsidRPr="00DF772E">
          <w:rPr>
            <w:rStyle w:val="Hyperlink"/>
            <w:rFonts w:ascii="Arial" w:hAnsi="Arial" w:cs="Arial"/>
          </w:rPr>
          <w:t>section 7 of NICE health technology evaluation topic selection: the manual</w:t>
        </w:r>
      </w:hyperlink>
    </w:p>
    <w:p w14:paraId="0D422CC4" w14:textId="77777777" w:rsidR="0085409B" w:rsidRDefault="0085409B" w:rsidP="0085409B">
      <w:pPr>
        <w:rPr>
          <w:rFonts w:ascii="Arial" w:hAnsi="Arial" w:cs="Arial"/>
          <w:b/>
          <w:bCs/>
        </w:rPr>
      </w:pPr>
      <w:r>
        <w:rPr>
          <w:rFonts w:ascii="Arial" w:hAnsi="Arial" w:cs="Arial"/>
          <w:b/>
          <w:bCs/>
        </w:rPr>
        <w:t xml:space="preserve"> </w:t>
      </w:r>
    </w:p>
    <w:p w14:paraId="07859CBA" w14:textId="77777777" w:rsidR="0085409B" w:rsidRDefault="0085409B" w:rsidP="0085409B">
      <w:pPr>
        <w:rPr>
          <w:rFonts w:ascii="Arial" w:hAnsi="Arial" w:cs="Arial"/>
          <w:b/>
          <w:bCs/>
        </w:rPr>
      </w:pPr>
    </w:p>
    <w:p w14:paraId="2BDA4AD0" w14:textId="77777777" w:rsidR="0085409B" w:rsidRPr="00715265" w:rsidRDefault="0085409B" w:rsidP="0085409B">
      <w:pPr>
        <w:pStyle w:val="Heading3"/>
      </w:pPr>
      <w:r>
        <w:t xml:space="preserve">Key – does the technology meet the criteria? Please use the colour key to advise if the technology meets the criteria </w:t>
      </w:r>
    </w:p>
    <w:tbl>
      <w:tblPr>
        <w:tblStyle w:val="TableGrid"/>
        <w:tblW w:w="0" w:type="auto"/>
        <w:tblInd w:w="-5" w:type="dxa"/>
        <w:tblLook w:val="04A0" w:firstRow="1" w:lastRow="0" w:firstColumn="1" w:lastColumn="0" w:noHBand="0" w:noVBand="1"/>
      </w:tblPr>
      <w:tblGrid>
        <w:gridCol w:w="1043"/>
        <w:gridCol w:w="8097"/>
      </w:tblGrid>
      <w:tr w:rsidR="0085409B" w:rsidRPr="006D6093" w14:paraId="3F6306D2" w14:textId="77777777" w:rsidTr="001412C0">
        <w:trPr>
          <w:trHeight w:val="280"/>
        </w:trPr>
        <w:tc>
          <w:tcPr>
            <w:tcW w:w="975" w:type="dxa"/>
            <w:shd w:val="clear" w:color="auto" w:fill="92D050"/>
          </w:tcPr>
          <w:p w14:paraId="7074CCB9" w14:textId="77777777" w:rsidR="0085409B" w:rsidRPr="00E74106" w:rsidRDefault="0085409B" w:rsidP="001412C0">
            <w:pPr>
              <w:spacing w:after="240" w:line="276" w:lineRule="auto"/>
              <w:jc w:val="both"/>
              <w:rPr>
                <w:rFonts w:ascii="Arial" w:hAnsi="Arial"/>
              </w:rPr>
            </w:pPr>
            <w:r>
              <w:rPr>
                <w:rFonts w:ascii="Arial" w:hAnsi="Arial"/>
              </w:rPr>
              <w:t xml:space="preserve">Met </w:t>
            </w:r>
          </w:p>
        </w:tc>
        <w:tc>
          <w:tcPr>
            <w:tcW w:w="8097" w:type="dxa"/>
          </w:tcPr>
          <w:p w14:paraId="4BDEDA21" w14:textId="77777777" w:rsidR="0085409B" w:rsidRPr="00E74106" w:rsidRDefault="0085409B" w:rsidP="001412C0">
            <w:pPr>
              <w:spacing w:after="240" w:line="276" w:lineRule="auto"/>
              <w:rPr>
                <w:rFonts w:ascii="Arial" w:hAnsi="Arial"/>
              </w:rPr>
            </w:pPr>
            <w:r>
              <w:rPr>
                <w:rFonts w:ascii="Arial" w:hAnsi="Arial"/>
              </w:rPr>
              <w:t>There is clear and strong evidence that this criterion is met</w:t>
            </w:r>
          </w:p>
        </w:tc>
      </w:tr>
      <w:tr w:rsidR="0085409B" w:rsidRPr="006D6093" w14:paraId="1AEB6913" w14:textId="77777777" w:rsidTr="001412C0">
        <w:trPr>
          <w:trHeight w:val="280"/>
        </w:trPr>
        <w:tc>
          <w:tcPr>
            <w:tcW w:w="975" w:type="dxa"/>
            <w:shd w:val="clear" w:color="auto" w:fill="FFC000"/>
          </w:tcPr>
          <w:p w14:paraId="5509702B" w14:textId="77777777" w:rsidR="0085409B" w:rsidRPr="00E74106" w:rsidRDefault="0085409B" w:rsidP="001412C0">
            <w:pPr>
              <w:spacing w:after="240" w:line="276" w:lineRule="auto"/>
              <w:jc w:val="both"/>
              <w:rPr>
                <w:rFonts w:ascii="Arial" w:hAnsi="Arial"/>
              </w:rPr>
            </w:pPr>
            <w:r>
              <w:rPr>
                <w:rFonts w:ascii="Arial" w:hAnsi="Arial"/>
              </w:rPr>
              <w:t>Unclear</w:t>
            </w:r>
          </w:p>
        </w:tc>
        <w:tc>
          <w:tcPr>
            <w:tcW w:w="8097" w:type="dxa"/>
          </w:tcPr>
          <w:p w14:paraId="6620FF34" w14:textId="77777777" w:rsidR="0085409B" w:rsidRPr="00E74106" w:rsidRDefault="0085409B" w:rsidP="001412C0">
            <w:pPr>
              <w:spacing w:after="240" w:line="276" w:lineRule="auto"/>
              <w:rPr>
                <w:rFonts w:ascii="Arial" w:hAnsi="Arial"/>
              </w:rPr>
            </w:pPr>
            <w:r>
              <w:rPr>
                <w:rFonts w:ascii="Arial" w:hAnsi="Arial"/>
              </w:rPr>
              <w:t>There is some evidence, or the evidence available is unclear.</w:t>
            </w:r>
          </w:p>
        </w:tc>
      </w:tr>
      <w:tr w:rsidR="0085409B" w:rsidRPr="006D6093" w14:paraId="4B98247C" w14:textId="77777777" w:rsidTr="001412C0">
        <w:trPr>
          <w:trHeight w:val="343"/>
        </w:trPr>
        <w:tc>
          <w:tcPr>
            <w:tcW w:w="975" w:type="dxa"/>
            <w:shd w:val="clear" w:color="auto" w:fill="FF0000"/>
          </w:tcPr>
          <w:p w14:paraId="542AC90E" w14:textId="77777777" w:rsidR="0085409B" w:rsidRPr="00E74106" w:rsidRDefault="0085409B" w:rsidP="001412C0">
            <w:pPr>
              <w:spacing w:after="240" w:line="276" w:lineRule="auto"/>
              <w:jc w:val="both"/>
              <w:rPr>
                <w:rFonts w:ascii="Arial" w:hAnsi="Arial"/>
              </w:rPr>
            </w:pPr>
            <w:r>
              <w:rPr>
                <w:rFonts w:ascii="Arial" w:hAnsi="Arial"/>
              </w:rPr>
              <w:t>Not met</w:t>
            </w:r>
          </w:p>
        </w:tc>
        <w:tc>
          <w:tcPr>
            <w:tcW w:w="8097" w:type="dxa"/>
          </w:tcPr>
          <w:p w14:paraId="086FFF0C" w14:textId="77777777" w:rsidR="0085409B" w:rsidRPr="00E74106" w:rsidRDefault="0085409B" w:rsidP="001412C0">
            <w:pPr>
              <w:spacing w:after="240" w:line="276" w:lineRule="auto"/>
              <w:rPr>
                <w:rFonts w:ascii="Arial" w:hAnsi="Arial"/>
              </w:rPr>
            </w:pPr>
            <w:r>
              <w:rPr>
                <w:rFonts w:ascii="Arial" w:hAnsi="Arial"/>
              </w:rPr>
              <w:t xml:space="preserve">There is no evidence or limited evidence that the criterion is met.  </w:t>
            </w:r>
          </w:p>
        </w:tc>
      </w:tr>
    </w:tbl>
    <w:p w14:paraId="447F884F" w14:textId="6B9D1AA2" w:rsidR="0085409B" w:rsidRDefault="0085409B" w:rsidP="00F6548E">
      <w:pPr>
        <w:rPr>
          <w:rFonts w:ascii="Arial" w:hAnsi="Arial" w:cs="Arial"/>
          <w:b/>
          <w:bCs/>
          <w:sz w:val="22"/>
          <w:szCs w:val="22"/>
        </w:rPr>
      </w:pPr>
    </w:p>
    <w:p w14:paraId="40CFAA28" w14:textId="53A35AC9" w:rsidR="00F6548E" w:rsidRDefault="00F6548E" w:rsidP="00F6548E">
      <w:pPr>
        <w:pStyle w:val="Heading3"/>
        <w:rPr>
          <w:rFonts w:cs="Arial"/>
          <w:sz w:val="22"/>
          <w:szCs w:val="22"/>
        </w:rPr>
      </w:pPr>
      <w:r w:rsidRPr="0044238C">
        <w:rPr>
          <w:sz w:val="22"/>
          <w:szCs w:val="22"/>
        </w:rPr>
        <w:t xml:space="preserve">MA wording: </w:t>
      </w:r>
      <w:r w:rsidR="008D084F" w:rsidRPr="008D084F">
        <w:rPr>
          <w:rFonts w:cs="Arial"/>
          <w:sz w:val="22"/>
          <w:szCs w:val="22"/>
          <w:highlight w:val="black"/>
        </w:rPr>
        <w:t>*******************************************************************************************************************************************************************************************************</w:t>
      </w:r>
    </w:p>
    <w:p w14:paraId="3CDEB221" w14:textId="77777777" w:rsidR="0075165C" w:rsidRPr="0075165C" w:rsidRDefault="0075165C" w:rsidP="0075165C">
      <w:pPr>
        <w:pStyle w:val="Paragraph"/>
        <w:numPr>
          <w:ilvl w:val="0"/>
          <w:numId w:val="0"/>
        </w:numPr>
        <w:ind w:left="567" w:hanging="501"/>
      </w:pPr>
    </w:p>
    <w:p w14:paraId="79BFA9BA" w14:textId="77777777" w:rsidR="00F6548E" w:rsidRPr="0044238C" w:rsidRDefault="00F6548E" w:rsidP="00F6548E">
      <w:pPr>
        <w:rPr>
          <w:rFonts w:ascii="Arial" w:hAnsi="Arial" w:cs="Arial"/>
          <w:b/>
          <w:bCs/>
          <w:sz w:val="22"/>
          <w:szCs w:val="22"/>
        </w:rPr>
      </w:pPr>
    </w:p>
    <w:tbl>
      <w:tblPr>
        <w:tblW w:w="5000" w:type="pct"/>
        <w:jc w:val="center"/>
        <w:tblCellMar>
          <w:left w:w="0" w:type="dxa"/>
          <w:right w:w="0" w:type="dxa"/>
        </w:tblCellMar>
        <w:tblLook w:val="04A0" w:firstRow="1" w:lastRow="0" w:firstColumn="1" w:lastColumn="0" w:noHBand="0" w:noVBand="1"/>
      </w:tblPr>
      <w:tblGrid>
        <w:gridCol w:w="1123"/>
        <w:gridCol w:w="3563"/>
        <w:gridCol w:w="7496"/>
        <w:gridCol w:w="1756"/>
      </w:tblGrid>
      <w:tr w:rsidR="00F6548E" w:rsidRPr="0044238C" w14:paraId="41BEE457" w14:textId="77777777" w:rsidTr="00F6548E">
        <w:trPr>
          <w:tblHeader/>
          <w:jc w:val="cent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DF45AC" w14:textId="77777777" w:rsidR="00F6548E" w:rsidRPr="0044238C" w:rsidRDefault="00F6548E">
            <w:pPr>
              <w:ind w:firstLine="128"/>
              <w:rPr>
                <w:rFonts w:ascii="Arial" w:hAnsi="Arial" w:cs="Arial"/>
                <w:b/>
                <w:bCs/>
                <w:sz w:val="22"/>
                <w:szCs w:val="22"/>
              </w:rPr>
            </w:pPr>
            <w:r w:rsidRPr="0044238C">
              <w:rPr>
                <w:rFonts w:ascii="Arial" w:hAnsi="Arial" w:cs="Arial"/>
                <w:b/>
                <w:bCs/>
                <w:sz w:val="22"/>
                <w:szCs w:val="22"/>
              </w:rPr>
              <w:lastRenderedPageBreak/>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80B020" w14:textId="77777777" w:rsidR="00F6548E" w:rsidRPr="0044238C" w:rsidRDefault="00F6548E">
            <w:pPr>
              <w:ind w:firstLine="175"/>
              <w:rPr>
                <w:rFonts w:ascii="Arial" w:hAnsi="Arial" w:cs="Arial"/>
                <w:b/>
                <w:bCs/>
                <w:sz w:val="22"/>
                <w:szCs w:val="22"/>
              </w:rPr>
            </w:pPr>
            <w:r w:rsidRPr="0044238C">
              <w:rPr>
                <w:rFonts w:ascii="Arial" w:hAnsi="Arial" w:cs="Arial"/>
                <w:b/>
                <w:bCs/>
                <w:sz w:val="22"/>
                <w:szCs w:val="22"/>
              </w:rPr>
              <w:t>Criterion</w:t>
            </w: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F190E5" w14:textId="77777777" w:rsidR="00F6548E" w:rsidRPr="0044238C" w:rsidRDefault="00F6548E">
            <w:pPr>
              <w:ind w:firstLine="261"/>
              <w:rPr>
                <w:rFonts w:ascii="Arial" w:hAnsi="Arial" w:cs="Arial"/>
                <w:b/>
                <w:bCs/>
                <w:sz w:val="22"/>
                <w:szCs w:val="22"/>
              </w:rPr>
            </w:pPr>
            <w:r w:rsidRPr="0044238C">
              <w:rPr>
                <w:rFonts w:ascii="Arial" w:hAnsi="Arial" w:cs="Arial"/>
                <w:b/>
                <w:bCs/>
                <w:sz w:val="22"/>
                <w:szCs w:val="22"/>
              </w:rPr>
              <w:t xml:space="preserve">Description of how the technology meets the criteria </w:t>
            </w:r>
          </w:p>
          <w:p w14:paraId="3D506FCB" w14:textId="77777777" w:rsidR="00F6548E" w:rsidRPr="0044238C" w:rsidRDefault="00F6548E">
            <w:pPr>
              <w:rPr>
                <w:rFonts w:ascii="Arial" w:hAnsi="Arial" w:cs="Arial"/>
                <w:b/>
                <w:bCs/>
                <w:sz w:val="22"/>
                <w:szCs w:val="22"/>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DD86FA" w14:textId="77777777" w:rsidR="00F6548E" w:rsidRPr="0044238C" w:rsidRDefault="00F6548E">
            <w:pPr>
              <w:ind w:left="288" w:right="188"/>
              <w:rPr>
                <w:rFonts w:ascii="Arial" w:hAnsi="Arial" w:cs="Arial"/>
                <w:b/>
                <w:bCs/>
                <w:sz w:val="22"/>
                <w:szCs w:val="22"/>
              </w:rPr>
            </w:pPr>
            <w:r w:rsidRPr="0044238C">
              <w:rPr>
                <w:rFonts w:ascii="Arial" w:hAnsi="Arial" w:cs="Arial"/>
                <w:b/>
                <w:bCs/>
                <w:sz w:val="22"/>
                <w:szCs w:val="22"/>
              </w:rPr>
              <w:t>Does the technology meet the criteria?</w:t>
            </w:r>
          </w:p>
          <w:p w14:paraId="3A90028E" w14:textId="77777777" w:rsidR="00F6548E" w:rsidRPr="0044238C" w:rsidRDefault="00F6548E">
            <w:pPr>
              <w:ind w:right="188"/>
              <w:rPr>
                <w:rFonts w:ascii="Arial" w:hAnsi="Arial" w:cs="Arial"/>
                <w:sz w:val="22"/>
                <w:szCs w:val="22"/>
              </w:rPr>
            </w:pPr>
          </w:p>
        </w:tc>
      </w:tr>
      <w:tr w:rsidR="00F6548E" w:rsidRPr="0044238C" w14:paraId="7810C3E7" w14:textId="77777777" w:rsidTr="00F6548E">
        <w:trPr>
          <w:jc w:val="center"/>
        </w:trPr>
        <w:tc>
          <w:tcPr>
            <w:tcW w:w="403" w:type="pct"/>
            <w:tcBorders>
              <w:top w:val="nil"/>
              <w:left w:val="single" w:sz="8" w:space="0" w:color="auto"/>
              <w:bottom w:val="single" w:sz="8" w:space="0" w:color="auto"/>
              <w:right w:val="single" w:sz="8" w:space="0" w:color="auto"/>
            </w:tcBorders>
          </w:tcPr>
          <w:p w14:paraId="534AC6E1" w14:textId="77777777" w:rsidR="00F6548E" w:rsidRPr="0044238C" w:rsidRDefault="00F6548E" w:rsidP="00F6548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BC8771" w14:textId="77777777" w:rsidR="00F6548E" w:rsidRPr="0044238C" w:rsidRDefault="00F6548E">
            <w:pPr>
              <w:rPr>
                <w:rFonts w:ascii="Arial" w:hAnsi="Arial" w:cs="Arial"/>
                <w:sz w:val="22"/>
                <w:szCs w:val="22"/>
              </w:rPr>
            </w:pPr>
            <w:r w:rsidRPr="0044238C">
              <w:rPr>
                <w:rFonts w:ascii="Arial" w:hAnsi="Arial" w:cs="Arial"/>
                <w:sz w:val="22"/>
                <w:szCs w:val="22"/>
              </w:rPr>
              <w:t xml:space="preserve">The condition is very rare defined by 1:50,000 in England </w:t>
            </w:r>
          </w:p>
          <w:p w14:paraId="39A4F4DC" w14:textId="77777777" w:rsidR="00F6548E" w:rsidRPr="0044238C" w:rsidRDefault="00F6548E">
            <w:pPr>
              <w:rPr>
                <w:rFonts w:ascii="Arial" w:hAnsi="Arial" w:cs="Arial"/>
                <w:sz w:val="22"/>
                <w:szCs w:val="22"/>
              </w:rPr>
            </w:pPr>
          </w:p>
        </w:tc>
        <w:tc>
          <w:tcPr>
            <w:tcW w:w="2689" w:type="pct"/>
            <w:tcBorders>
              <w:top w:val="nil"/>
              <w:left w:val="single" w:sz="8" w:space="0" w:color="auto"/>
              <w:bottom w:val="single" w:sz="8" w:space="0" w:color="auto"/>
              <w:right w:val="single" w:sz="8" w:space="0" w:color="auto"/>
            </w:tcBorders>
          </w:tcPr>
          <w:p w14:paraId="27499D8F" w14:textId="77777777" w:rsidR="0044238C" w:rsidRPr="00586B5D" w:rsidRDefault="0044238C" w:rsidP="0085409B">
            <w:pPr>
              <w:rPr>
                <w:rFonts w:ascii="Arial" w:hAnsi="Arial" w:cs="Arial"/>
                <w:b/>
                <w:bCs/>
                <w:sz w:val="22"/>
                <w:szCs w:val="22"/>
              </w:rPr>
            </w:pPr>
            <w:r w:rsidRPr="00586B5D">
              <w:rPr>
                <w:rFonts w:ascii="Arial" w:hAnsi="Arial" w:cs="Arial"/>
                <w:b/>
                <w:bCs/>
                <w:sz w:val="22"/>
                <w:szCs w:val="22"/>
                <w:u w:val="single"/>
              </w:rPr>
              <w:t>Company</w:t>
            </w:r>
            <w:r w:rsidRPr="00586B5D">
              <w:rPr>
                <w:rFonts w:ascii="Arial" w:hAnsi="Arial" w:cs="Arial"/>
                <w:b/>
                <w:bCs/>
                <w:sz w:val="22"/>
                <w:szCs w:val="22"/>
              </w:rPr>
              <w:t xml:space="preserve"> comments on HST checklist:</w:t>
            </w:r>
          </w:p>
          <w:p w14:paraId="5CD31EA7" w14:textId="77777777" w:rsidR="00F6548E" w:rsidRPr="0044238C" w:rsidRDefault="00F6548E" w:rsidP="00F6548E">
            <w:pPr>
              <w:pStyle w:val="ListParagraph"/>
              <w:numPr>
                <w:ilvl w:val="0"/>
                <w:numId w:val="31"/>
              </w:numPr>
              <w:rPr>
                <w:rFonts w:ascii="Arial" w:hAnsi="Arial" w:cs="Arial"/>
              </w:rPr>
            </w:pPr>
            <w:r w:rsidRPr="0044238C">
              <w:rPr>
                <w:rFonts w:ascii="Arial" w:hAnsi="Arial" w:cs="Arial"/>
              </w:rPr>
              <w:t>Company provided two references for reported incidence</w:t>
            </w:r>
          </w:p>
          <w:p w14:paraId="2A4BC22A" w14:textId="77777777" w:rsidR="00F6548E" w:rsidRPr="0044238C" w:rsidRDefault="00F6548E" w:rsidP="00F6548E">
            <w:pPr>
              <w:pStyle w:val="ListParagraph"/>
              <w:numPr>
                <w:ilvl w:val="1"/>
                <w:numId w:val="31"/>
              </w:numPr>
              <w:rPr>
                <w:rFonts w:ascii="Arial" w:hAnsi="Arial" w:cs="Arial"/>
                <w:i/>
                <w:iCs/>
              </w:rPr>
            </w:pPr>
            <w:r w:rsidRPr="0044238C">
              <w:rPr>
                <w:rFonts w:ascii="Arial" w:hAnsi="Arial" w:cs="Arial"/>
              </w:rPr>
              <w:t xml:space="preserve">1.77 per 100,000 births </w:t>
            </w:r>
            <w:r w:rsidRPr="0044238C">
              <w:rPr>
                <w:rFonts w:ascii="Arial" w:hAnsi="Arial" w:cs="Arial"/>
                <w:i/>
                <w:iCs/>
              </w:rPr>
              <w:t>(Brain 2020: 143; 1099–1105)</w:t>
            </w:r>
          </w:p>
          <w:p w14:paraId="37648266" w14:textId="77777777" w:rsidR="00F6548E" w:rsidRPr="0044238C" w:rsidRDefault="00F6548E" w:rsidP="00F6548E">
            <w:pPr>
              <w:pStyle w:val="ListParagraph"/>
              <w:numPr>
                <w:ilvl w:val="1"/>
                <w:numId w:val="31"/>
              </w:numPr>
              <w:rPr>
                <w:rFonts w:ascii="Arial" w:hAnsi="Arial" w:cs="Arial"/>
                <w:i/>
                <w:iCs/>
              </w:rPr>
            </w:pPr>
            <w:r w:rsidRPr="0044238C">
              <w:rPr>
                <w:rFonts w:ascii="Arial" w:hAnsi="Arial" w:cs="Arial"/>
              </w:rPr>
              <w:t xml:space="preserve">1 in 40,000 to 1 in 60,000 live births </w:t>
            </w:r>
            <w:r w:rsidRPr="0044238C">
              <w:rPr>
                <w:rFonts w:ascii="Arial" w:hAnsi="Arial" w:cs="Arial"/>
                <w:i/>
                <w:iCs/>
              </w:rPr>
              <w:t>(</w:t>
            </w:r>
            <w:proofErr w:type="spellStart"/>
            <w:r w:rsidRPr="0044238C">
              <w:rPr>
                <w:rFonts w:ascii="Arial" w:hAnsi="Arial" w:cs="Arial"/>
                <w:i/>
                <w:iCs/>
              </w:rPr>
              <w:t>Pediatr</w:t>
            </w:r>
            <w:proofErr w:type="spellEnd"/>
            <w:r w:rsidRPr="0044238C">
              <w:rPr>
                <w:rFonts w:ascii="Arial" w:hAnsi="Arial" w:cs="Arial"/>
                <w:i/>
                <w:iCs/>
              </w:rPr>
              <w:t xml:space="preserve"> Neurol. 2019 Aug; 97: 18–25)</w:t>
            </w:r>
          </w:p>
          <w:p w14:paraId="25EB654A" w14:textId="77777777" w:rsidR="00F6548E" w:rsidRPr="0044238C" w:rsidRDefault="00F6548E">
            <w:pPr>
              <w:rPr>
                <w:rFonts w:ascii="Arial" w:hAnsi="Arial" w:cs="Arial"/>
                <w:sz w:val="22"/>
                <w:szCs w:val="22"/>
              </w:rPr>
            </w:pPr>
          </w:p>
          <w:p w14:paraId="52998061" w14:textId="77777777" w:rsidR="00F6548E" w:rsidRPr="0044238C" w:rsidRDefault="00F6548E" w:rsidP="00F6548E">
            <w:pPr>
              <w:pStyle w:val="ListParagraph"/>
              <w:numPr>
                <w:ilvl w:val="0"/>
                <w:numId w:val="32"/>
              </w:numPr>
              <w:rPr>
                <w:rFonts w:ascii="Arial" w:hAnsi="Arial" w:cs="Arial"/>
              </w:rPr>
            </w:pPr>
            <w:r w:rsidRPr="0044238C">
              <w:rPr>
                <w:rFonts w:ascii="Arial" w:hAnsi="Arial" w:cs="Arial"/>
              </w:rPr>
              <w:t xml:space="preserve">ONS figures show 613,936 live births in England and Wales in 2020 based on this figure. </w:t>
            </w:r>
          </w:p>
          <w:p w14:paraId="65DEE16D" w14:textId="77777777" w:rsidR="00F6548E" w:rsidRPr="0044238C" w:rsidRDefault="00F6548E" w:rsidP="00F6548E">
            <w:pPr>
              <w:pStyle w:val="ListParagraph"/>
              <w:numPr>
                <w:ilvl w:val="1"/>
                <w:numId w:val="32"/>
              </w:numPr>
              <w:rPr>
                <w:rFonts w:ascii="Arial" w:hAnsi="Arial" w:cs="Arial"/>
              </w:rPr>
            </w:pPr>
            <w:r w:rsidRPr="0044238C">
              <w:rPr>
                <w:rFonts w:ascii="Arial" w:hAnsi="Arial" w:cs="Arial"/>
              </w:rPr>
              <w:t>Brain 2020- 10.9 people born each year with CDD</w:t>
            </w:r>
          </w:p>
          <w:p w14:paraId="327B0AC9" w14:textId="77777777" w:rsidR="00F6548E" w:rsidRPr="0044238C" w:rsidRDefault="00F6548E" w:rsidP="00F6548E">
            <w:pPr>
              <w:pStyle w:val="ListParagraph"/>
              <w:numPr>
                <w:ilvl w:val="1"/>
                <w:numId w:val="32"/>
              </w:numPr>
              <w:rPr>
                <w:rFonts w:ascii="Arial" w:hAnsi="Arial" w:cs="Arial"/>
              </w:rPr>
            </w:pPr>
            <w:proofErr w:type="spellStart"/>
            <w:r w:rsidRPr="0044238C">
              <w:rPr>
                <w:rFonts w:ascii="Arial" w:hAnsi="Arial" w:cs="Arial"/>
              </w:rPr>
              <w:t>Pediatr</w:t>
            </w:r>
            <w:proofErr w:type="spellEnd"/>
            <w:r w:rsidRPr="0044238C">
              <w:rPr>
                <w:rFonts w:ascii="Arial" w:hAnsi="Arial" w:cs="Arial"/>
              </w:rPr>
              <w:t xml:space="preserve"> </w:t>
            </w:r>
            <w:proofErr w:type="spellStart"/>
            <w:proofErr w:type="gramStart"/>
            <w:r w:rsidRPr="0044238C">
              <w:rPr>
                <w:rFonts w:ascii="Arial" w:hAnsi="Arial" w:cs="Arial"/>
              </w:rPr>
              <w:t>Neurol</w:t>
            </w:r>
            <w:proofErr w:type="spellEnd"/>
            <w:r w:rsidRPr="0044238C">
              <w:rPr>
                <w:rFonts w:ascii="Arial" w:hAnsi="Arial" w:cs="Arial"/>
              </w:rPr>
              <w:t xml:space="preserve">  2019</w:t>
            </w:r>
            <w:proofErr w:type="gramEnd"/>
            <w:r w:rsidRPr="0044238C">
              <w:rPr>
                <w:rFonts w:ascii="Arial" w:hAnsi="Arial" w:cs="Arial"/>
              </w:rPr>
              <w:t xml:space="preserve"> -10.2 to 15.3 people born each year with CDD</w:t>
            </w:r>
          </w:p>
          <w:p w14:paraId="355981FC" w14:textId="6BBEC24B" w:rsidR="00F6548E" w:rsidRDefault="00972A85" w:rsidP="00972A85">
            <w:pPr>
              <w:rPr>
                <w:rFonts w:ascii="Arial" w:hAnsi="Arial" w:cs="Arial"/>
              </w:rPr>
            </w:pPr>
            <w:r>
              <w:rPr>
                <w:rFonts w:ascii="Arial" w:hAnsi="Arial" w:cs="Arial"/>
              </w:rPr>
              <w:t xml:space="preserve">For prevalence, the company stated that </w:t>
            </w:r>
            <w:r w:rsidRPr="00972A85">
              <w:rPr>
                <w:rFonts w:ascii="Arial" w:hAnsi="Arial" w:cs="Arial"/>
              </w:rPr>
              <w:t xml:space="preserve">currently less than 100 </w:t>
            </w:r>
            <w:r>
              <w:rPr>
                <w:rFonts w:ascii="Arial" w:hAnsi="Arial" w:cs="Arial"/>
              </w:rPr>
              <w:t xml:space="preserve">people diagnosed with CDD </w:t>
            </w:r>
            <w:r w:rsidRPr="00972A85">
              <w:rPr>
                <w:rFonts w:ascii="Arial" w:hAnsi="Arial" w:cs="Arial"/>
              </w:rPr>
              <w:t xml:space="preserve">in the UK, with an estimate of 50 to 60 patients in England </w:t>
            </w:r>
          </w:p>
          <w:p w14:paraId="1030BA00" w14:textId="77777777" w:rsidR="00972A85" w:rsidRPr="00972A85" w:rsidRDefault="00972A85" w:rsidP="00972A85">
            <w:pPr>
              <w:rPr>
                <w:rFonts w:ascii="Arial" w:hAnsi="Arial" w:cs="Arial"/>
              </w:rPr>
            </w:pPr>
          </w:p>
          <w:p w14:paraId="45DC6688" w14:textId="77777777" w:rsidR="00F6548E" w:rsidRPr="0085409B" w:rsidRDefault="00F6548E" w:rsidP="0085409B">
            <w:pPr>
              <w:rPr>
                <w:rFonts w:ascii="Arial" w:hAnsi="Arial" w:cs="Arial"/>
                <w:b/>
                <w:bCs/>
              </w:rPr>
            </w:pPr>
            <w:r w:rsidRPr="0085409B">
              <w:rPr>
                <w:rFonts w:ascii="Arial" w:hAnsi="Arial" w:cs="Arial"/>
                <w:b/>
                <w:bCs/>
              </w:rPr>
              <w:t>Scoping workshop and consultation comments:</w:t>
            </w:r>
          </w:p>
          <w:p w14:paraId="33563BE9" w14:textId="77777777" w:rsidR="00F6548E" w:rsidRPr="0044238C" w:rsidRDefault="00F6548E" w:rsidP="00F6548E">
            <w:pPr>
              <w:pStyle w:val="ListParagraph"/>
              <w:numPr>
                <w:ilvl w:val="0"/>
                <w:numId w:val="31"/>
              </w:numPr>
              <w:rPr>
                <w:rFonts w:ascii="Arial" w:hAnsi="Arial" w:cs="Arial"/>
              </w:rPr>
            </w:pPr>
            <w:r w:rsidRPr="0044238C">
              <w:rPr>
                <w:rFonts w:ascii="Arial" w:hAnsi="Arial" w:cs="Arial"/>
              </w:rPr>
              <w:t>A clinical expert suggested that the Brain paper might not be reliable as it only looked at the Scottish population and was based on only 2 to 3 cases of CDD.</w:t>
            </w:r>
          </w:p>
          <w:p w14:paraId="0E451E95" w14:textId="77777777" w:rsidR="00F6548E" w:rsidRPr="0044238C" w:rsidRDefault="00F6548E" w:rsidP="00F6548E">
            <w:pPr>
              <w:pStyle w:val="ListParagraph"/>
              <w:numPr>
                <w:ilvl w:val="0"/>
                <w:numId w:val="31"/>
              </w:numPr>
              <w:rPr>
                <w:rFonts w:ascii="Arial" w:hAnsi="Arial" w:cs="Arial"/>
              </w:rPr>
            </w:pPr>
            <w:r w:rsidRPr="0044238C">
              <w:rPr>
                <w:rFonts w:ascii="Arial" w:hAnsi="Arial" w:cs="Arial"/>
              </w:rPr>
              <w:t>Clinical and patient experts commented that it is difficult to arrive at an exact figure but that the 10-15 people a year (1 in 40,000 to 1 in 60,000) figure is reasonable.</w:t>
            </w:r>
          </w:p>
          <w:p w14:paraId="0CB2F1CE" w14:textId="77777777" w:rsidR="00F6548E" w:rsidRPr="0044238C" w:rsidRDefault="00F6548E">
            <w:pPr>
              <w:rPr>
                <w:rFonts w:ascii="Arial" w:hAnsi="Arial" w:cs="Arial"/>
                <w:sz w:val="22"/>
                <w:szCs w:val="22"/>
              </w:rPr>
            </w:pPr>
          </w:p>
          <w:p w14:paraId="4306EE46" w14:textId="2AD2DD4D" w:rsidR="00D55724" w:rsidRPr="0044238C" w:rsidRDefault="00D55724">
            <w:pPr>
              <w:rPr>
                <w:rFonts w:ascii="Arial" w:hAnsi="Arial" w:cs="Arial"/>
                <w:b/>
                <w:bCs/>
                <w:sz w:val="22"/>
                <w:szCs w:val="22"/>
              </w:rPr>
            </w:pPr>
            <w:r w:rsidRPr="0044238C">
              <w:rPr>
                <w:rFonts w:ascii="Arial" w:hAnsi="Arial" w:cs="Arial"/>
                <w:b/>
                <w:bCs/>
                <w:sz w:val="22"/>
                <w:szCs w:val="22"/>
              </w:rPr>
              <w:t xml:space="preserve">Summary </w:t>
            </w:r>
          </w:p>
          <w:p w14:paraId="47F31DBD" w14:textId="0ECB181D" w:rsidR="00F6548E" w:rsidRPr="0044238C" w:rsidRDefault="00F6548E">
            <w:pPr>
              <w:rPr>
                <w:rFonts w:ascii="Arial" w:hAnsi="Arial" w:cs="Arial"/>
                <w:sz w:val="22"/>
                <w:szCs w:val="22"/>
              </w:rPr>
            </w:pPr>
            <w:r w:rsidRPr="0044238C">
              <w:rPr>
                <w:rFonts w:ascii="Arial" w:hAnsi="Arial" w:cs="Arial"/>
                <w:sz w:val="22"/>
                <w:szCs w:val="22"/>
              </w:rPr>
              <w:t xml:space="preserve">Based on the above, this criterion is very likely met. </w:t>
            </w:r>
          </w:p>
        </w:tc>
        <w:tc>
          <w:tcPr>
            <w:tcW w:w="630" w:type="pct"/>
            <w:tcBorders>
              <w:top w:val="nil"/>
              <w:left w:val="single" w:sz="8" w:space="0" w:color="auto"/>
              <w:bottom w:val="single" w:sz="8" w:space="0" w:color="auto"/>
              <w:right w:val="single" w:sz="8" w:space="0" w:color="auto"/>
            </w:tcBorders>
            <w:shd w:val="clear" w:color="auto" w:fill="9BBB59" w:themeFill="accent3"/>
            <w:vAlign w:val="center"/>
          </w:tcPr>
          <w:p w14:paraId="54C8B473" w14:textId="77777777" w:rsidR="00F6548E" w:rsidRPr="0044238C" w:rsidRDefault="00F6548E">
            <w:pPr>
              <w:ind w:left="288" w:right="188"/>
              <w:jc w:val="center"/>
              <w:rPr>
                <w:rFonts w:ascii="Arial" w:hAnsi="Arial"/>
                <w:b/>
                <w:bCs/>
                <w:sz w:val="22"/>
                <w:szCs w:val="22"/>
              </w:rPr>
            </w:pPr>
            <w:r w:rsidRPr="0044238C">
              <w:rPr>
                <w:rFonts w:ascii="Arial" w:hAnsi="Arial"/>
                <w:b/>
                <w:bCs/>
                <w:sz w:val="22"/>
                <w:szCs w:val="22"/>
              </w:rPr>
              <w:t>Met</w:t>
            </w:r>
          </w:p>
          <w:p w14:paraId="32BF82FC" w14:textId="77777777" w:rsidR="00F6548E" w:rsidRPr="0044238C" w:rsidRDefault="00F6548E">
            <w:pPr>
              <w:ind w:left="288" w:right="188"/>
              <w:rPr>
                <w:rFonts w:ascii="Arial" w:eastAsiaTheme="minorHAnsi" w:hAnsi="Arial" w:cs="Arial"/>
                <w:b/>
                <w:bCs/>
                <w:sz w:val="22"/>
                <w:szCs w:val="22"/>
                <w:lang w:eastAsia="en-US"/>
              </w:rPr>
            </w:pPr>
          </w:p>
        </w:tc>
      </w:tr>
      <w:tr w:rsidR="00F6548E" w:rsidRPr="0044238C" w14:paraId="6C2846C7" w14:textId="77777777" w:rsidTr="00F6548E">
        <w:trPr>
          <w:jc w:val="center"/>
        </w:trPr>
        <w:tc>
          <w:tcPr>
            <w:tcW w:w="403" w:type="pct"/>
            <w:tcBorders>
              <w:top w:val="nil"/>
              <w:left w:val="single" w:sz="8" w:space="0" w:color="auto"/>
              <w:bottom w:val="single" w:sz="8" w:space="0" w:color="auto"/>
              <w:right w:val="single" w:sz="8" w:space="0" w:color="auto"/>
            </w:tcBorders>
          </w:tcPr>
          <w:p w14:paraId="36386443" w14:textId="77777777" w:rsidR="00F6548E" w:rsidRPr="0044238C" w:rsidRDefault="00F6548E" w:rsidP="00F6548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6B352F" w14:textId="77777777" w:rsidR="00F6548E" w:rsidRPr="0044238C" w:rsidRDefault="00F6548E">
            <w:pPr>
              <w:rPr>
                <w:rFonts w:ascii="Arial" w:hAnsi="Arial" w:cs="Arial"/>
                <w:sz w:val="22"/>
                <w:szCs w:val="22"/>
              </w:rPr>
            </w:pPr>
            <w:r w:rsidRPr="0044238C">
              <w:rPr>
                <w:rFonts w:ascii="Arial" w:hAnsi="Arial" w:cs="Arial"/>
                <w:sz w:val="22"/>
                <w:szCs w:val="22"/>
              </w:rPr>
              <w:t xml:space="preserve">Normally no more than 300 people in England are eligible for the technology in its licensed </w:t>
            </w:r>
            <w:r w:rsidRPr="0044238C">
              <w:rPr>
                <w:rFonts w:ascii="Arial" w:hAnsi="Arial" w:cs="Arial"/>
                <w:sz w:val="22"/>
                <w:szCs w:val="22"/>
              </w:rPr>
              <w:lastRenderedPageBreak/>
              <w:t xml:space="preserve">indication and no more than 500 across all its indications </w:t>
            </w:r>
          </w:p>
          <w:p w14:paraId="27E4138F" w14:textId="77777777" w:rsidR="00F6548E" w:rsidRPr="0044238C" w:rsidRDefault="00F6548E">
            <w:pPr>
              <w:rPr>
                <w:rFonts w:ascii="Arial" w:hAnsi="Arial" w:cs="Arial"/>
                <w:sz w:val="22"/>
                <w:szCs w:val="22"/>
              </w:rPr>
            </w:pPr>
          </w:p>
        </w:tc>
        <w:tc>
          <w:tcPr>
            <w:tcW w:w="2689" w:type="pct"/>
            <w:tcBorders>
              <w:top w:val="nil"/>
              <w:left w:val="single" w:sz="8" w:space="0" w:color="auto"/>
              <w:bottom w:val="single" w:sz="8" w:space="0" w:color="auto"/>
              <w:right w:val="single" w:sz="8" w:space="0" w:color="auto"/>
            </w:tcBorders>
          </w:tcPr>
          <w:p w14:paraId="67442C9F" w14:textId="77777777" w:rsidR="0044238C" w:rsidRPr="00586B5D" w:rsidRDefault="0044238C" w:rsidP="00586B5D">
            <w:pPr>
              <w:rPr>
                <w:rFonts w:ascii="Arial" w:hAnsi="Arial" w:cs="Arial"/>
                <w:b/>
                <w:bCs/>
                <w:sz w:val="22"/>
                <w:szCs w:val="22"/>
              </w:rPr>
            </w:pPr>
            <w:r w:rsidRPr="00586B5D">
              <w:rPr>
                <w:rFonts w:ascii="Arial" w:hAnsi="Arial" w:cs="Arial"/>
                <w:b/>
                <w:bCs/>
                <w:sz w:val="22"/>
                <w:szCs w:val="22"/>
                <w:u w:val="single"/>
              </w:rPr>
              <w:lastRenderedPageBreak/>
              <w:t>Company</w:t>
            </w:r>
            <w:r w:rsidRPr="00586B5D">
              <w:rPr>
                <w:rFonts w:ascii="Arial" w:hAnsi="Arial" w:cs="Arial"/>
                <w:b/>
                <w:bCs/>
                <w:sz w:val="22"/>
                <w:szCs w:val="22"/>
              </w:rPr>
              <w:t xml:space="preserve"> comments on HST checklist:</w:t>
            </w:r>
          </w:p>
          <w:p w14:paraId="6A26BC63" w14:textId="316C96B4" w:rsidR="00F6548E" w:rsidRPr="0044238C" w:rsidRDefault="00F6548E" w:rsidP="00F6548E">
            <w:pPr>
              <w:pStyle w:val="ListParagraph"/>
              <w:numPr>
                <w:ilvl w:val="0"/>
                <w:numId w:val="33"/>
              </w:numPr>
              <w:rPr>
                <w:rFonts w:ascii="Arial" w:hAnsi="Arial" w:cs="Arial"/>
              </w:rPr>
            </w:pPr>
            <w:r w:rsidRPr="0044238C">
              <w:rPr>
                <w:rFonts w:ascii="Arial" w:hAnsi="Arial" w:cs="Arial"/>
              </w:rPr>
              <w:t xml:space="preserve">Diagnosed CDD cases (prevalence) is currently less than 100 case in the UK, with an estimate of 50 to 60 patients in England (Bristol Centre of Excellence for CDD </w:t>
            </w:r>
          </w:p>
          <w:p w14:paraId="6B16077E" w14:textId="75E1E777" w:rsidR="00F6548E" w:rsidRPr="0044238C" w:rsidRDefault="00F6548E" w:rsidP="00F6548E">
            <w:pPr>
              <w:pStyle w:val="ListParagraph"/>
              <w:numPr>
                <w:ilvl w:val="0"/>
                <w:numId w:val="33"/>
              </w:numPr>
              <w:rPr>
                <w:rFonts w:ascii="Arial" w:hAnsi="Arial" w:cs="Arial"/>
              </w:rPr>
            </w:pPr>
            <w:r w:rsidRPr="0044238C">
              <w:rPr>
                <w:rFonts w:ascii="Arial" w:hAnsi="Arial" w:cs="Arial"/>
              </w:rPr>
              <w:lastRenderedPageBreak/>
              <w:t xml:space="preserve">The target population of </w:t>
            </w:r>
            <w:proofErr w:type="spellStart"/>
            <w:r w:rsidRPr="0044238C">
              <w:rPr>
                <w:rFonts w:ascii="Arial" w:hAnsi="Arial" w:cs="Arial"/>
              </w:rPr>
              <w:t>ganaxolone</w:t>
            </w:r>
            <w:proofErr w:type="spellEnd"/>
            <w:r w:rsidRPr="0044238C">
              <w:rPr>
                <w:rFonts w:ascii="Arial" w:hAnsi="Arial" w:cs="Arial"/>
              </w:rPr>
              <w:t xml:space="preserve"> as per intended indication </w:t>
            </w:r>
            <w:r w:rsidR="008D084F" w:rsidRPr="008D084F">
              <w:rPr>
                <w:rFonts w:ascii="Arial" w:hAnsi="Arial" w:cs="Arial"/>
                <w:highlight w:val="black"/>
                <w:u w:val="single"/>
              </w:rPr>
              <w:t>***************************************************************************</w:t>
            </w:r>
            <w:r w:rsidRPr="0044238C">
              <w:rPr>
                <w:rFonts w:ascii="Arial" w:hAnsi="Arial" w:cs="Arial"/>
              </w:rPr>
              <w:t xml:space="preserve"> Therefore, the target population is likely to be well below the 300 threshold, considering the information above</w:t>
            </w:r>
          </w:p>
          <w:p w14:paraId="472A4B55" w14:textId="77777777" w:rsidR="00F6548E" w:rsidRPr="0044238C" w:rsidRDefault="00F6548E">
            <w:pPr>
              <w:rPr>
                <w:rFonts w:ascii="Arial" w:hAnsi="Arial" w:cs="Arial"/>
                <w:sz w:val="22"/>
                <w:szCs w:val="22"/>
              </w:rPr>
            </w:pPr>
          </w:p>
          <w:p w14:paraId="3C98DEB6" w14:textId="77777777" w:rsidR="00F6548E" w:rsidRPr="00586B5D" w:rsidRDefault="00F6548E" w:rsidP="00586B5D">
            <w:pPr>
              <w:rPr>
                <w:rFonts w:ascii="Arial" w:hAnsi="Arial" w:cs="Arial"/>
                <w:b/>
                <w:bCs/>
                <w:sz w:val="22"/>
                <w:szCs w:val="22"/>
              </w:rPr>
            </w:pPr>
            <w:r w:rsidRPr="00586B5D">
              <w:rPr>
                <w:rFonts w:ascii="Arial" w:hAnsi="Arial" w:cs="Arial"/>
                <w:b/>
                <w:bCs/>
                <w:sz w:val="22"/>
                <w:szCs w:val="22"/>
              </w:rPr>
              <w:t>Scoping workshop and consultation comments:</w:t>
            </w:r>
          </w:p>
          <w:p w14:paraId="4FA4B5FF" w14:textId="77777777" w:rsidR="00F6548E" w:rsidRPr="0044238C" w:rsidRDefault="00F6548E" w:rsidP="00F6548E">
            <w:pPr>
              <w:pStyle w:val="ListParagraph"/>
              <w:numPr>
                <w:ilvl w:val="0"/>
                <w:numId w:val="33"/>
              </w:numPr>
              <w:rPr>
                <w:rFonts w:ascii="Arial" w:hAnsi="Arial" w:cs="Arial"/>
              </w:rPr>
            </w:pPr>
            <w:r w:rsidRPr="0044238C">
              <w:rPr>
                <w:rFonts w:ascii="Arial" w:hAnsi="Arial" w:cs="Arial"/>
              </w:rPr>
              <w:t>Clinical and patient experts were not able to provide an exact figure for the eligible patient number.</w:t>
            </w:r>
          </w:p>
          <w:p w14:paraId="7CE6D538" w14:textId="77777777" w:rsidR="00F6548E" w:rsidRPr="0044238C" w:rsidRDefault="00F6548E" w:rsidP="00F6548E">
            <w:pPr>
              <w:pStyle w:val="ListParagraph"/>
              <w:numPr>
                <w:ilvl w:val="0"/>
                <w:numId w:val="33"/>
              </w:numPr>
              <w:rPr>
                <w:rFonts w:ascii="Arial" w:hAnsi="Arial" w:cs="Arial"/>
              </w:rPr>
            </w:pPr>
            <w:r w:rsidRPr="0044238C">
              <w:rPr>
                <w:rFonts w:ascii="Arial" w:hAnsi="Arial" w:cs="Arial"/>
              </w:rPr>
              <w:t>The clinical experts explained that most people with CDD do experience seizures.</w:t>
            </w:r>
          </w:p>
          <w:p w14:paraId="3E8EC087" w14:textId="77777777" w:rsidR="00F6548E" w:rsidRPr="0044238C" w:rsidRDefault="00F6548E" w:rsidP="00F6548E">
            <w:pPr>
              <w:pStyle w:val="ListParagraph"/>
              <w:numPr>
                <w:ilvl w:val="0"/>
                <w:numId w:val="33"/>
              </w:numPr>
              <w:rPr>
                <w:rFonts w:ascii="Arial" w:hAnsi="Arial" w:cs="Arial"/>
              </w:rPr>
            </w:pPr>
            <w:r w:rsidRPr="0044238C">
              <w:rPr>
                <w:rFonts w:ascii="Arial" w:hAnsi="Arial" w:cs="Arial"/>
              </w:rPr>
              <w:t xml:space="preserve">The clinical experts explained that historically not everyone with CDD will have received a diagnosis, but now all children presenting with seizures will receive an epilepsy gene panel. </w:t>
            </w:r>
          </w:p>
          <w:p w14:paraId="057CC633" w14:textId="77777777" w:rsidR="00F6548E" w:rsidRPr="0044238C" w:rsidRDefault="00F6548E" w:rsidP="00F6548E">
            <w:pPr>
              <w:pStyle w:val="ListParagraph"/>
              <w:numPr>
                <w:ilvl w:val="0"/>
                <w:numId w:val="33"/>
              </w:numPr>
              <w:rPr>
                <w:rFonts w:ascii="Arial" w:hAnsi="Arial" w:cs="Arial"/>
              </w:rPr>
            </w:pPr>
            <w:r w:rsidRPr="0044238C">
              <w:rPr>
                <w:rFonts w:ascii="Arial" w:hAnsi="Arial" w:cs="Arial"/>
              </w:rPr>
              <w:t xml:space="preserve">The clinical and patient experts agreed that the total CDD population could be ≈200, but there is a lot of uncertainty. </w:t>
            </w:r>
          </w:p>
          <w:p w14:paraId="1ECC4D20" w14:textId="77777777" w:rsidR="00F6548E" w:rsidRPr="0044238C" w:rsidRDefault="00F6548E" w:rsidP="00F6548E">
            <w:pPr>
              <w:pStyle w:val="ListParagraph"/>
              <w:numPr>
                <w:ilvl w:val="0"/>
                <w:numId w:val="33"/>
              </w:numPr>
              <w:rPr>
                <w:rFonts w:ascii="Arial" w:hAnsi="Arial" w:cs="Arial"/>
              </w:rPr>
            </w:pPr>
            <w:r w:rsidRPr="0044238C">
              <w:rPr>
                <w:rFonts w:ascii="Arial" w:hAnsi="Arial" w:cs="Arial"/>
              </w:rPr>
              <w:t xml:space="preserve">The clinical experts suggested that a high proportion of those with CDD would be eligible to receive </w:t>
            </w:r>
            <w:proofErr w:type="spellStart"/>
            <w:r w:rsidRPr="0044238C">
              <w:rPr>
                <w:rFonts w:ascii="Arial" w:hAnsi="Arial" w:cs="Arial"/>
              </w:rPr>
              <w:t>ganaxolone</w:t>
            </w:r>
            <w:proofErr w:type="spellEnd"/>
            <w:r w:rsidRPr="0044238C">
              <w:rPr>
                <w:rFonts w:ascii="Arial" w:hAnsi="Arial" w:cs="Arial"/>
              </w:rPr>
              <w:t>, but there are other treatments that would be tried first.</w:t>
            </w:r>
          </w:p>
          <w:p w14:paraId="1EB779C0" w14:textId="54223674" w:rsidR="00F6548E" w:rsidRDefault="00F6548E" w:rsidP="00F6548E">
            <w:pPr>
              <w:pStyle w:val="ListParagraph"/>
              <w:numPr>
                <w:ilvl w:val="0"/>
                <w:numId w:val="33"/>
              </w:numPr>
              <w:rPr>
                <w:rFonts w:ascii="Arial" w:hAnsi="Arial" w:cs="Arial"/>
              </w:rPr>
            </w:pPr>
            <w:r w:rsidRPr="0044238C">
              <w:rPr>
                <w:rFonts w:ascii="Arial" w:hAnsi="Arial" w:cs="Arial"/>
              </w:rPr>
              <w:t xml:space="preserve">Although </w:t>
            </w:r>
            <w:r w:rsidR="008D084F" w:rsidRPr="008D084F">
              <w:rPr>
                <w:rFonts w:ascii="Arial" w:hAnsi="Arial" w:cs="Arial"/>
                <w:highlight w:val="black"/>
                <w:u w:val="single"/>
              </w:rPr>
              <w:t>*************************************************************</w:t>
            </w:r>
            <w:r w:rsidRPr="008D084F">
              <w:rPr>
                <w:rFonts w:ascii="Arial" w:hAnsi="Arial" w:cs="Arial"/>
                <w:highlight w:val="black"/>
                <w:u w:val="single"/>
              </w:rPr>
              <w:t xml:space="preserve"> </w:t>
            </w:r>
            <w:r w:rsidR="008D084F" w:rsidRPr="008D084F">
              <w:rPr>
                <w:rFonts w:ascii="Arial" w:hAnsi="Arial" w:cs="Arial"/>
                <w:highlight w:val="black"/>
                <w:u w:val="single"/>
              </w:rPr>
              <w:t>************************************************************************</w:t>
            </w:r>
            <w:r w:rsidRPr="008D084F">
              <w:rPr>
                <w:rFonts w:ascii="Arial" w:hAnsi="Arial" w:cs="Arial"/>
                <w:highlight w:val="black"/>
                <w:u w:val="single"/>
              </w:rPr>
              <w:t xml:space="preserve"> </w:t>
            </w:r>
            <w:r w:rsidR="008D084F" w:rsidRPr="008D084F">
              <w:rPr>
                <w:rFonts w:ascii="Arial" w:hAnsi="Arial" w:cs="Arial"/>
                <w:highlight w:val="black"/>
                <w:u w:val="single"/>
              </w:rPr>
              <w:t>**************************************************************************</w:t>
            </w:r>
            <w:r w:rsidRPr="008D084F">
              <w:rPr>
                <w:rFonts w:ascii="Arial" w:hAnsi="Arial" w:cs="Arial"/>
                <w:highlight w:val="black"/>
              </w:rPr>
              <w:t>.</w:t>
            </w:r>
            <w:r w:rsidRPr="0044238C">
              <w:rPr>
                <w:rFonts w:ascii="Arial" w:hAnsi="Arial" w:cs="Arial"/>
              </w:rPr>
              <w:t xml:space="preserve"> </w:t>
            </w:r>
          </w:p>
          <w:p w14:paraId="306B8D09" w14:textId="77777777" w:rsidR="0044238C" w:rsidRPr="0044238C" w:rsidRDefault="0044238C" w:rsidP="0044238C">
            <w:pPr>
              <w:pStyle w:val="ListParagraph"/>
              <w:rPr>
                <w:rFonts w:ascii="Arial" w:hAnsi="Arial" w:cs="Arial"/>
              </w:rPr>
            </w:pPr>
          </w:p>
          <w:p w14:paraId="7FC68C45" w14:textId="60F3E06E" w:rsidR="00F6548E" w:rsidRPr="0044238C" w:rsidRDefault="00D55724">
            <w:pPr>
              <w:rPr>
                <w:rFonts w:ascii="Arial" w:hAnsi="Arial" w:cs="Arial"/>
                <w:b/>
                <w:bCs/>
                <w:sz w:val="22"/>
                <w:szCs w:val="22"/>
              </w:rPr>
            </w:pPr>
            <w:r w:rsidRPr="0044238C">
              <w:rPr>
                <w:rFonts w:ascii="Arial" w:hAnsi="Arial" w:cs="Arial"/>
                <w:b/>
                <w:bCs/>
                <w:sz w:val="22"/>
                <w:szCs w:val="22"/>
              </w:rPr>
              <w:t xml:space="preserve">Summary </w:t>
            </w:r>
          </w:p>
          <w:p w14:paraId="7F0024E1" w14:textId="155627B5" w:rsidR="00F6548E" w:rsidRPr="0044238C" w:rsidRDefault="00D55724" w:rsidP="004815CE">
            <w:pPr>
              <w:rPr>
                <w:rFonts w:ascii="Arial" w:hAnsi="Arial" w:cs="Arial"/>
              </w:rPr>
            </w:pPr>
            <w:r w:rsidRPr="0044238C">
              <w:rPr>
                <w:rFonts w:ascii="Arial" w:hAnsi="Arial" w:cs="Arial"/>
                <w:sz w:val="22"/>
                <w:szCs w:val="22"/>
              </w:rPr>
              <w:t xml:space="preserve">The disease is very rare and likely to be well below 300. Although the drug has been studied in other indications, </w:t>
            </w:r>
            <w:r w:rsidR="008D084F" w:rsidRPr="008D084F">
              <w:rPr>
                <w:rFonts w:ascii="Arial" w:eastAsiaTheme="minorHAnsi" w:hAnsi="Arial" w:cs="Arial"/>
                <w:sz w:val="22"/>
                <w:szCs w:val="22"/>
                <w:highlight w:val="black"/>
                <w:u w:val="single"/>
                <w:lang w:eastAsia="en-US"/>
              </w:rPr>
              <w:t>*****************************************</w:t>
            </w:r>
            <w:r w:rsidRPr="008D084F">
              <w:rPr>
                <w:rFonts w:ascii="Arial" w:eastAsiaTheme="minorHAnsi" w:hAnsi="Arial" w:cs="Arial"/>
                <w:sz w:val="22"/>
                <w:szCs w:val="22"/>
                <w:highlight w:val="black"/>
                <w:u w:val="single"/>
                <w:lang w:eastAsia="en-US"/>
              </w:rPr>
              <w:t xml:space="preserve"> </w:t>
            </w:r>
            <w:r w:rsidR="008D084F" w:rsidRPr="008D084F">
              <w:rPr>
                <w:rFonts w:ascii="Arial" w:eastAsiaTheme="minorHAnsi" w:hAnsi="Arial" w:cs="Arial"/>
                <w:sz w:val="22"/>
                <w:szCs w:val="22"/>
                <w:highlight w:val="black"/>
                <w:u w:val="single"/>
                <w:lang w:eastAsia="en-US"/>
              </w:rPr>
              <w:t>************************************************************************************</w:t>
            </w:r>
            <w:r w:rsidRPr="008D084F">
              <w:rPr>
                <w:rFonts w:ascii="Arial" w:eastAsiaTheme="minorHAnsi" w:hAnsi="Arial" w:cs="Arial"/>
                <w:sz w:val="22"/>
                <w:szCs w:val="22"/>
                <w:highlight w:val="black"/>
                <w:u w:val="single"/>
                <w:lang w:eastAsia="en-US"/>
              </w:rPr>
              <w:t xml:space="preserve"> </w:t>
            </w:r>
            <w:r w:rsidR="008D084F" w:rsidRPr="008D084F">
              <w:rPr>
                <w:rFonts w:ascii="Arial" w:eastAsiaTheme="minorHAnsi" w:hAnsi="Arial" w:cs="Arial"/>
                <w:sz w:val="22"/>
                <w:szCs w:val="22"/>
                <w:highlight w:val="black"/>
                <w:u w:val="single"/>
                <w:lang w:eastAsia="en-US"/>
              </w:rPr>
              <w:t>****************************************************</w:t>
            </w:r>
            <w:r w:rsidRPr="008D084F">
              <w:rPr>
                <w:rFonts w:ascii="Arial" w:hAnsi="Arial" w:cs="Arial"/>
                <w:sz w:val="22"/>
                <w:szCs w:val="22"/>
                <w:highlight w:val="black"/>
              </w:rPr>
              <w:t>.</w:t>
            </w:r>
            <w:r w:rsidRPr="0044238C">
              <w:rPr>
                <w:rFonts w:ascii="Arial" w:hAnsi="Arial" w:cs="Arial"/>
                <w:sz w:val="22"/>
                <w:szCs w:val="22"/>
              </w:rPr>
              <w:t xml:space="preserve"> </w:t>
            </w:r>
          </w:p>
        </w:tc>
        <w:tc>
          <w:tcPr>
            <w:tcW w:w="630" w:type="pct"/>
            <w:tcBorders>
              <w:top w:val="nil"/>
              <w:left w:val="single" w:sz="8" w:space="0" w:color="auto"/>
              <w:bottom w:val="single" w:sz="8" w:space="0" w:color="auto"/>
              <w:right w:val="single" w:sz="8" w:space="0" w:color="auto"/>
            </w:tcBorders>
            <w:shd w:val="clear" w:color="auto" w:fill="9BBB59" w:themeFill="accent3"/>
            <w:vAlign w:val="center"/>
          </w:tcPr>
          <w:p w14:paraId="4393C8A5" w14:textId="77777777" w:rsidR="00F6548E" w:rsidRPr="0044238C" w:rsidRDefault="00F6548E">
            <w:pPr>
              <w:ind w:left="288" w:right="188"/>
              <w:jc w:val="center"/>
              <w:rPr>
                <w:rFonts w:ascii="Arial" w:hAnsi="Arial" w:cs="Arial"/>
                <w:b/>
                <w:bCs/>
                <w:sz w:val="22"/>
                <w:szCs w:val="22"/>
              </w:rPr>
            </w:pPr>
            <w:r w:rsidRPr="0044238C">
              <w:rPr>
                <w:rFonts w:ascii="Arial" w:hAnsi="Arial" w:cs="Arial"/>
                <w:b/>
                <w:bCs/>
                <w:sz w:val="22"/>
                <w:szCs w:val="22"/>
              </w:rPr>
              <w:lastRenderedPageBreak/>
              <w:t>Met</w:t>
            </w:r>
          </w:p>
          <w:p w14:paraId="178533FE" w14:textId="77777777" w:rsidR="00F6548E" w:rsidRPr="0044238C" w:rsidRDefault="00F6548E">
            <w:pPr>
              <w:ind w:left="288" w:right="188"/>
              <w:rPr>
                <w:rFonts w:ascii="Arial" w:hAnsi="Arial" w:cs="Arial"/>
                <w:b/>
                <w:bCs/>
                <w:sz w:val="22"/>
                <w:szCs w:val="22"/>
              </w:rPr>
            </w:pPr>
          </w:p>
        </w:tc>
      </w:tr>
      <w:tr w:rsidR="00F6548E" w:rsidRPr="0044238C" w14:paraId="1FF8C6DD" w14:textId="77777777" w:rsidTr="001C41A8">
        <w:trPr>
          <w:jc w:val="center"/>
        </w:trPr>
        <w:tc>
          <w:tcPr>
            <w:tcW w:w="403" w:type="pct"/>
            <w:tcBorders>
              <w:top w:val="nil"/>
              <w:left w:val="single" w:sz="8" w:space="0" w:color="auto"/>
              <w:bottom w:val="single" w:sz="8" w:space="0" w:color="auto"/>
              <w:right w:val="single" w:sz="8" w:space="0" w:color="auto"/>
            </w:tcBorders>
          </w:tcPr>
          <w:p w14:paraId="60302046" w14:textId="77777777" w:rsidR="00F6548E" w:rsidRPr="0044238C" w:rsidRDefault="00F6548E" w:rsidP="00F6548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53117F" w14:textId="77777777" w:rsidR="00F6548E" w:rsidRPr="0044238C" w:rsidRDefault="00F6548E">
            <w:pPr>
              <w:rPr>
                <w:rFonts w:ascii="Arial" w:hAnsi="Arial" w:cs="Arial"/>
                <w:sz w:val="22"/>
                <w:szCs w:val="22"/>
              </w:rPr>
            </w:pPr>
            <w:r w:rsidRPr="0044238C">
              <w:rPr>
                <w:rFonts w:ascii="Arial" w:hAnsi="Arial" w:cs="Arial"/>
                <w:sz w:val="22"/>
                <w:szCs w:val="22"/>
              </w:rPr>
              <w:t xml:space="preserve">The very rare condition significantly shortens life or severely impairs its quality </w:t>
            </w:r>
          </w:p>
          <w:p w14:paraId="5AD2F679" w14:textId="77777777" w:rsidR="00F6548E" w:rsidRPr="0044238C" w:rsidRDefault="00F6548E">
            <w:pPr>
              <w:rPr>
                <w:rFonts w:ascii="Arial" w:hAnsi="Arial" w:cs="Arial"/>
                <w:sz w:val="22"/>
                <w:szCs w:val="22"/>
              </w:rPr>
            </w:pPr>
          </w:p>
        </w:tc>
        <w:tc>
          <w:tcPr>
            <w:tcW w:w="2689" w:type="pct"/>
            <w:tcBorders>
              <w:top w:val="nil"/>
              <w:left w:val="single" w:sz="8" w:space="0" w:color="auto"/>
              <w:bottom w:val="single" w:sz="8" w:space="0" w:color="auto"/>
              <w:right w:val="single" w:sz="8" w:space="0" w:color="auto"/>
            </w:tcBorders>
          </w:tcPr>
          <w:p w14:paraId="6A4668C8" w14:textId="67FEF496" w:rsidR="00F6548E" w:rsidRPr="00586B5D" w:rsidRDefault="0044238C" w:rsidP="00586B5D">
            <w:pPr>
              <w:rPr>
                <w:rFonts w:ascii="Arial" w:hAnsi="Arial" w:cs="Arial"/>
                <w:b/>
                <w:bCs/>
                <w:sz w:val="22"/>
                <w:szCs w:val="22"/>
              </w:rPr>
            </w:pPr>
            <w:r w:rsidRPr="00586B5D">
              <w:rPr>
                <w:rFonts w:ascii="Arial" w:hAnsi="Arial" w:cs="Arial"/>
                <w:b/>
                <w:bCs/>
                <w:sz w:val="22"/>
                <w:szCs w:val="22"/>
                <w:u w:val="single"/>
              </w:rPr>
              <w:lastRenderedPageBreak/>
              <w:t>Company</w:t>
            </w:r>
            <w:r w:rsidRPr="00586B5D">
              <w:rPr>
                <w:rFonts w:ascii="Arial" w:hAnsi="Arial" w:cs="Arial"/>
                <w:b/>
                <w:bCs/>
                <w:sz w:val="22"/>
                <w:szCs w:val="22"/>
              </w:rPr>
              <w:t xml:space="preserve"> comments on </w:t>
            </w:r>
            <w:r w:rsidR="00F6548E" w:rsidRPr="00586B5D">
              <w:rPr>
                <w:rFonts w:ascii="Arial" w:hAnsi="Arial" w:cs="Arial"/>
                <w:b/>
                <w:bCs/>
                <w:sz w:val="22"/>
                <w:szCs w:val="22"/>
              </w:rPr>
              <w:t>HST checklist:</w:t>
            </w:r>
          </w:p>
          <w:p w14:paraId="2A2E9EEB"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lastRenderedPageBreak/>
              <w:t>“All patients with CDD experience intellectual disability and severe global developmental impairment”.</w:t>
            </w:r>
          </w:p>
          <w:p w14:paraId="5993642D"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“Daily seizures are reported in approximately 80% of patients, with 20% experiencing weekly to monthly seizures”.</w:t>
            </w:r>
          </w:p>
          <w:p w14:paraId="06770524"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“Approximately 84% of patients with CDD will ultimately experience treatment-resistant, refractory seizures”.</w:t>
            </w:r>
          </w:p>
          <w:p w14:paraId="1F0CF40C"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“High seizure burden in severe epilepsy can have a direct adverse effect on cognition and could potentially have further negative contribution to the child´s overall development”.</w:t>
            </w:r>
          </w:p>
          <w:p w14:paraId="4EFB2C27"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“Beyond the seizures, the vast majority of patients also experience generalized hypotonia, cortical vision disorders, hand stereotypies and sleep-related disorders, spreading the entire sleep spectrum”.</w:t>
            </w:r>
          </w:p>
          <w:p w14:paraId="14D9AC10" w14:textId="77777777" w:rsidR="00F6548E" w:rsidRPr="0044238C" w:rsidRDefault="00F6548E">
            <w:pPr>
              <w:ind w:left="360"/>
              <w:rPr>
                <w:rFonts w:ascii="Arial" w:hAnsi="Arial" w:cs="Arial"/>
                <w:sz w:val="22"/>
                <w:szCs w:val="22"/>
              </w:rPr>
            </w:pPr>
          </w:p>
          <w:p w14:paraId="7DAA97C2" w14:textId="77777777" w:rsidR="00F6548E" w:rsidRPr="00586B5D" w:rsidRDefault="00F6548E" w:rsidP="00586B5D">
            <w:pPr>
              <w:rPr>
                <w:rFonts w:ascii="Arial" w:hAnsi="Arial" w:cs="Arial"/>
                <w:b/>
                <w:bCs/>
                <w:sz w:val="22"/>
                <w:szCs w:val="22"/>
              </w:rPr>
            </w:pPr>
            <w:r w:rsidRPr="00586B5D">
              <w:rPr>
                <w:rFonts w:ascii="Arial" w:hAnsi="Arial" w:cs="Arial"/>
                <w:b/>
                <w:bCs/>
                <w:sz w:val="22"/>
                <w:szCs w:val="22"/>
              </w:rPr>
              <w:t>Scoping workshop and consultation comments:</w:t>
            </w:r>
          </w:p>
          <w:p w14:paraId="148CE54A"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 xml:space="preserve">Patient/carer groups stated how severe and frequent the seizures experienced by people with CDD can be as well as how anticipating the seizures can impact families. </w:t>
            </w:r>
          </w:p>
          <w:p w14:paraId="7C450C70"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 xml:space="preserve">The patient expert explained that there are some people with mild to moderate CDD who are in mainstream education and that they often experience less severe seizures but can experience other symptoms related to CDD. </w:t>
            </w:r>
          </w:p>
          <w:p w14:paraId="7FFB2C9B"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However, the clinical experts explained that mild CDD is uncommon and that at least 90% of people with CDD could be classed as severe or profound.</w:t>
            </w:r>
          </w:p>
          <w:p w14:paraId="61EB2354" w14:textId="77777777" w:rsidR="00F6548E" w:rsidRPr="0044238C" w:rsidRDefault="00F6548E" w:rsidP="00F6548E">
            <w:pPr>
              <w:pStyle w:val="ListParagraph"/>
              <w:numPr>
                <w:ilvl w:val="0"/>
                <w:numId w:val="34"/>
              </w:numPr>
              <w:rPr>
                <w:rFonts w:ascii="Arial" w:hAnsi="Arial" w:cs="Arial"/>
              </w:rPr>
            </w:pPr>
            <w:r w:rsidRPr="0044238C">
              <w:rPr>
                <w:rFonts w:ascii="Arial" w:hAnsi="Arial" w:cs="Arial"/>
              </w:rPr>
              <w:t>The clinical experts explained that given the heterogeneity, rarity, and recent discovery of CDD it is currently very difficult to quantity average life expectancy.</w:t>
            </w:r>
          </w:p>
          <w:p w14:paraId="7B96549B" w14:textId="77777777" w:rsidR="00D55724" w:rsidRPr="0044238C" w:rsidRDefault="00D55724">
            <w:pPr>
              <w:rPr>
                <w:rFonts w:ascii="Arial" w:hAnsi="Arial" w:cs="Arial"/>
                <w:b/>
                <w:bCs/>
                <w:sz w:val="22"/>
                <w:szCs w:val="22"/>
              </w:rPr>
            </w:pPr>
          </w:p>
          <w:p w14:paraId="14B73272" w14:textId="4955CC95" w:rsidR="00F6548E" w:rsidRPr="0044238C" w:rsidRDefault="00D55724">
            <w:pPr>
              <w:rPr>
                <w:rFonts w:ascii="Arial" w:hAnsi="Arial" w:cs="Arial"/>
                <w:b/>
                <w:bCs/>
                <w:sz w:val="22"/>
                <w:szCs w:val="22"/>
              </w:rPr>
            </w:pPr>
            <w:r w:rsidRPr="0044238C">
              <w:rPr>
                <w:rFonts w:ascii="Arial" w:hAnsi="Arial" w:cs="Arial"/>
                <w:b/>
                <w:bCs/>
                <w:sz w:val="22"/>
                <w:szCs w:val="22"/>
              </w:rPr>
              <w:t xml:space="preserve">Summary </w:t>
            </w:r>
          </w:p>
          <w:p w14:paraId="70012947" w14:textId="77777777" w:rsidR="00D55724" w:rsidRPr="0044238C" w:rsidRDefault="00D55724">
            <w:pPr>
              <w:rPr>
                <w:rFonts w:ascii="Arial" w:hAnsi="Arial" w:cs="Arial"/>
                <w:sz w:val="22"/>
                <w:szCs w:val="22"/>
              </w:rPr>
            </w:pPr>
          </w:p>
          <w:p w14:paraId="364ADA24" w14:textId="0E07FC14" w:rsidR="00F6548E" w:rsidRPr="0044238C" w:rsidRDefault="00F6548E" w:rsidP="00D55724">
            <w:pPr>
              <w:rPr>
                <w:rFonts w:ascii="Arial" w:hAnsi="Arial" w:cs="Arial"/>
                <w:sz w:val="22"/>
                <w:szCs w:val="22"/>
              </w:rPr>
            </w:pPr>
            <w:r w:rsidRPr="0044238C">
              <w:rPr>
                <w:rFonts w:ascii="Arial" w:hAnsi="Arial" w:cs="Arial"/>
                <w:sz w:val="22"/>
                <w:szCs w:val="22"/>
              </w:rPr>
              <w:t xml:space="preserve">From the data above it is not possible to make a judgement on the impact of the disease on length of life. However, CDD does severely impact quality of life. </w:t>
            </w:r>
          </w:p>
        </w:tc>
        <w:tc>
          <w:tcPr>
            <w:tcW w:w="630" w:type="pct"/>
            <w:tcBorders>
              <w:top w:val="nil"/>
              <w:left w:val="single" w:sz="8" w:space="0" w:color="auto"/>
              <w:bottom w:val="single" w:sz="8" w:space="0" w:color="auto"/>
              <w:right w:val="single" w:sz="8" w:space="0" w:color="auto"/>
            </w:tcBorders>
            <w:shd w:val="clear" w:color="auto" w:fill="9BBB59" w:themeFill="accent3"/>
            <w:vAlign w:val="center"/>
          </w:tcPr>
          <w:p w14:paraId="709F7662" w14:textId="77777777" w:rsidR="00F6548E" w:rsidRPr="0044238C" w:rsidRDefault="00F6548E">
            <w:pPr>
              <w:ind w:left="288" w:right="188"/>
              <w:jc w:val="center"/>
              <w:rPr>
                <w:rFonts w:ascii="Arial" w:hAnsi="Arial" w:cs="Arial"/>
                <w:b/>
                <w:bCs/>
                <w:sz w:val="22"/>
                <w:szCs w:val="22"/>
              </w:rPr>
            </w:pPr>
            <w:r w:rsidRPr="0044238C">
              <w:rPr>
                <w:rFonts w:ascii="Arial" w:hAnsi="Arial" w:cs="Arial"/>
                <w:b/>
                <w:bCs/>
                <w:sz w:val="22"/>
                <w:szCs w:val="22"/>
              </w:rPr>
              <w:lastRenderedPageBreak/>
              <w:t>Met</w:t>
            </w:r>
          </w:p>
          <w:p w14:paraId="308D8F9A" w14:textId="77777777" w:rsidR="00F6548E" w:rsidRPr="0044238C" w:rsidRDefault="00F6548E">
            <w:pPr>
              <w:ind w:left="288" w:right="188"/>
              <w:rPr>
                <w:rFonts w:ascii="Arial" w:hAnsi="Arial" w:cs="Arial"/>
                <w:sz w:val="22"/>
                <w:szCs w:val="22"/>
              </w:rPr>
            </w:pPr>
          </w:p>
          <w:p w14:paraId="41CAE67B" w14:textId="77777777" w:rsidR="00F6548E" w:rsidRPr="0044238C" w:rsidRDefault="00F6548E">
            <w:pPr>
              <w:ind w:left="288" w:right="188"/>
              <w:rPr>
                <w:rFonts w:ascii="Arial" w:hAnsi="Arial" w:cs="Arial"/>
                <w:b/>
                <w:bCs/>
                <w:sz w:val="22"/>
                <w:szCs w:val="22"/>
              </w:rPr>
            </w:pPr>
          </w:p>
        </w:tc>
      </w:tr>
      <w:tr w:rsidR="00F6548E" w:rsidRPr="0044238C" w14:paraId="6A5C347B" w14:textId="77777777" w:rsidTr="001C41A8">
        <w:trPr>
          <w:jc w:val="center"/>
        </w:trPr>
        <w:tc>
          <w:tcPr>
            <w:tcW w:w="403" w:type="pct"/>
            <w:tcBorders>
              <w:top w:val="nil"/>
              <w:left w:val="single" w:sz="8" w:space="0" w:color="auto"/>
              <w:bottom w:val="single" w:sz="8" w:space="0" w:color="auto"/>
              <w:right w:val="single" w:sz="8" w:space="0" w:color="auto"/>
            </w:tcBorders>
          </w:tcPr>
          <w:p w14:paraId="25F1DF62" w14:textId="77777777" w:rsidR="00F6548E" w:rsidRPr="0044238C" w:rsidRDefault="00F6548E" w:rsidP="00F6548E">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1376F0" w14:textId="77777777" w:rsidR="00F6548E" w:rsidRPr="0044238C" w:rsidRDefault="00F6548E">
            <w:pPr>
              <w:rPr>
                <w:rFonts w:ascii="Arial" w:hAnsi="Arial" w:cs="Arial"/>
                <w:sz w:val="22"/>
                <w:szCs w:val="22"/>
              </w:rPr>
            </w:pPr>
            <w:bookmarkStart w:id="0" w:name="_Hlk106279376"/>
            <w:r w:rsidRPr="0044238C">
              <w:rPr>
                <w:rFonts w:ascii="Arial" w:hAnsi="Arial" w:cs="Arial"/>
                <w:sz w:val="22"/>
                <w:szCs w:val="22"/>
              </w:rPr>
              <w:t>There are no other satisfactory treatment options, or the technology is likely to offer significant additional benefit over existing treatment options.</w:t>
            </w:r>
            <w:bookmarkEnd w:id="0"/>
          </w:p>
          <w:p w14:paraId="44C6A1D7" w14:textId="77777777" w:rsidR="00F6548E" w:rsidRPr="0044238C" w:rsidRDefault="00F6548E">
            <w:pPr>
              <w:rPr>
                <w:rFonts w:ascii="Arial" w:hAnsi="Arial" w:cs="Arial"/>
                <w:sz w:val="22"/>
                <w:szCs w:val="22"/>
              </w:rPr>
            </w:pPr>
          </w:p>
        </w:tc>
        <w:tc>
          <w:tcPr>
            <w:tcW w:w="2689" w:type="pct"/>
            <w:tcBorders>
              <w:top w:val="nil"/>
              <w:left w:val="single" w:sz="8" w:space="0" w:color="auto"/>
              <w:bottom w:val="single" w:sz="8" w:space="0" w:color="auto"/>
              <w:right w:val="single" w:sz="8" w:space="0" w:color="auto"/>
            </w:tcBorders>
          </w:tcPr>
          <w:p w14:paraId="133B87FB" w14:textId="77777777" w:rsidR="00F6548E" w:rsidRPr="00586B5D" w:rsidRDefault="00F6548E" w:rsidP="00586B5D">
            <w:pPr>
              <w:rPr>
                <w:rFonts w:ascii="Arial" w:hAnsi="Arial" w:cs="Arial"/>
                <w:b/>
                <w:bCs/>
                <w:sz w:val="22"/>
                <w:szCs w:val="22"/>
              </w:rPr>
            </w:pPr>
            <w:r w:rsidRPr="00586B5D">
              <w:rPr>
                <w:rFonts w:ascii="Arial" w:hAnsi="Arial" w:cs="Arial"/>
                <w:b/>
                <w:bCs/>
                <w:sz w:val="22"/>
                <w:szCs w:val="22"/>
              </w:rPr>
              <w:t>Top-line MARIGOLD trial results:</w:t>
            </w:r>
          </w:p>
          <w:p w14:paraId="6DDC579C" w14:textId="3EB6D3EA" w:rsidR="00F6548E" w:rsidRPr="0044238C" w:rsidRDefault="00F6548E" w:rsidP="00F6548E">
            <w:pPr>
              <w:pStyle w:val="ListParagraph"/>
              <w:numPr>
                <w:ilvl w:val="0"/>
                <w:numId w:val="35"/>
              </w:numPr>
              <w:rPr>
                <w:rFonts w:ascii="Arial" w:hAnsi="Arial" w:cs="Arial"/>
              </w:rPr>
            </w:pPr>
            <w:proofErr w:type="spellStart"/>
            <w:r w:rsidRPr="0044238C">
              <w:rPr>
                <w:rFonts w:ascii="Arial" w:hAnsi="Arial" w:cs="Arial"/>
              </w:rPr>
              <w:t>Ganaxolone</w:t>
            </w:r>
            <w:proofErr w:type="spellEnd"/>
            <w:r w:rsidRPr="0044238C">
              <w:rPr>
                <w:rFonts w:ascii="Arial" w:hAnsi="Arial" w:cs="Arial"/>
              </w:rPr>
              <w:t xml:space="preserve"> showed a median reduction of 30.7% in 28-day major motor seizure frequency compared with 6.9% for placebo, which achieved the primary end point (P = .0036)”. </w:t>
            </w:r>
          </w:p>
          <w:p w14:paraId="3919FB0D" w14:textId="77777777" w:rsidR="00F6548E" w:rsidRPr="0044238C" w:rsidRDefault="00F6548E">
            <w:pPr>
              <w:rPr>
                <w:rFonts w:ascii="Arial" w:hAnsi="Arial" w:cs="Arial"/>
                <w:b/>
                <w:bCs/>
                <w:sz w:val="22"/>
                <w:szCs w:val="22"/>
              </w:rPr>
            </w:pPr>
          </w:p>
          <w:p w14:paraId="3D70B12B" w14:textId="77777777" w:rsidR="0044238C" w:rsidRPr="00586B5D" w:rsidRDefault="0044238C" w:rsidP="00586B5D">
            <w:pPr>
              <w:rPr>
                <w:rFonts w:ascii="Arial" w:hAnsi="Arial" w:cs="Arial"/>
                <w:b/>
                <w:bCs/>
                <w:sz w:val="22"/>
                <w:szCs w:val="22"/>
              </w:rPr>
            </w:pPr>
            <w:r w:rsidRPr="00586B5D">
              <w:rPr>
                <w:rFonts w:ascii="Arial" w:hAnsi="Arial" w:cs="Arial"/>
                <w:b/>
                <w:bCs/>
                <w:sz w:val="22"/>
                <w:szCs w:val="22"/>
                <w:u w:val="single"/>
              </w:rPr>
              <w:t>Company</w:t>
            </w:r>
            <w:r w:rsidRPr="00586B5D">
              <w:rPr>
                <w:rFonts w:ascii="Arial" w:hAnsi="Arial" w:cs="Arial"/>
                <w:b/>
                <w:bCs/>
                <w:sz w:val="22"/>
                <w:szCs w:val="22"/>
              </w:rPr>
              <w:t xml:space="preserve"> comments on HST checklist:</w:t>
            </w:r>
          </w:p>
          <w:p w14:paraId="694922F3"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“Currently, there is no cure, nor any specifically approved treatments for patients with CDD.</w:t>
            </w:r>
            <w:r w:rsidRPr="0044238C">
              <w:t xml:space="preserve"> </w:t>
            </w:r>
            <w:proofErr w:type="spellStart"/>
            <w:r w:rsidRPr="0044238C">
              <w:rPr>
                <w:rFonts w:ascii="Arial" w:hAnsi="Arial" w:cs="Arial"/>
              </w:rPr>
              <w:t>Ganaxolone</w:t>
            </w:r>
            <w:proofErr w:type="spellEnd"/>
            <w:r w:rsidRPr="0044238C">
              <w:rPr>
                <w:rFonts w:ascii="Arial" w:hAnsi="Arial" w:cs="Arial"/>
              </w:rPr>
              <w:t xml:space="preserve"> will represent the first treatment specifically indicated for use in this patient group”.</w:t>
            </w:r>
          </w:p>
          <w:p w14:paraId="35CEB4BF"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“Currently available anti-epileptic drugs (AEDs) at best work only for a short time and yield only partial benefits, often at a cost of making some of the child’s other symptoms worse and decreasing engagement and skill acquisition”.  </w:t>
            </w:r>
          </w:p>
          <w:p w14:paraId="55F8CF83"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“Frequent seizures are reported by caregivers to be among the most burdensome issues in caring for their child”.</w:t>
            </w:r>
          </w:p>
          <w:p w14:paraId="453DC369" w14:textId="490EEDFE"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“Improvement in seizure control with the currently available therapies may be short lived, and already within 6-12 months patients report diminished efficacy of </w:t>
            </w:r>
            <w:r w:rsidR="00AC3588" w:rsidRPr="0044238C">
              <w:rPr>
                <w:rFonts w:ascii="Arial" w:hAnsi="Arial" w:cs="Arial"/>
              </w:rPr>
              <w:t>anti-seizure</w:t>
            </w:r>
            <w:r w:rsidRPr="0044238C">
              <w:rPr>
                <w:rFonts w:ascii="Arial" w:hAnsi="Arial" w:cs="Arial"/>
              </w:rPr>
              <w:t xml:space="preserve"> medications”.</w:t>
            </w:r>
          </w:p>
          <w:p w14:paraId="6D7E5F6B"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“Approximately 84% of patients experience treatment-resistant, refractory seizures”</w:t>
            </w:r>
          </w:p>
          <w:p w14:paraId="241F88A1"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w:t>
            </w:r>
            <w:proofErr w:type="spellStart"/>
            <w:r w:rsidRPr="0044238C">
              <w:rPr>
                <w:rFonts w:ascii="Arial" w:hAnsi="Arial" w:cs="Arial"/>
              </w:rPr>
              <w:t>Ganaxolone</w:t>
            </w:r>
            <w:proofErr w:type="spellEnd"/>
            <w:r w:rsidRPr="0044238C">
              <w:rPr>
                <w:rFonts w:ascii="Arial" w:hAnsi="Arial" w:cs="Arial"/>
              </w:rPr>
              <w:t xml:space="preserve"> has been shown to have a significant and clinically meaningful impact by reducing the monthly major motor seizure frequency in people with CDD (Marigold Study), with little additional side effect burden. It also appears to provide prolonged maintenance of the effect, if comparing the Marigold open-label extension data to the literature”. </w:t>
            </w:r>
          </w:p>
          <w:p w14:paraId="68C94C99" w14:textId="77777777" w:rsidR="00F6548E" w:rsidRPr="0044238C" w:rsidRDefault="00F6548E">
            <w:pPr>
              <w:pStyle w:val="ListParagraph"/>
              <w:rPr>
                <w:rFonts w:ascii="Arial" w:hAnsi="Arial" w:cs="Arial"/>
              </w:rPr>
            </w:pPr>
          </w:p>
          <w:p w14:paraId="0D8C67B2" w14:textId="77777777" w:rsidR="00F6548E" w:rsidRPr="00586B5D" w:rsidRDefault="00F6548E" w:rsidP="00586B5D">
            <w:pPr>
              <w:rPr>
                <w:rFonts w:ascii="Arial" w:hAnsi="Arial" w:cs="Arial"/>
                <w:b/>
                <w:bCs/>
                <w:sz w:val="22"/>
                <w:szCs w:val="22"/>
              </w:rPr>
            </w:pPr>
            <w:r w:rsidRPr="00586B5D">
              <w:rPr>
                <w:rFonts w:ascii="Arial" w:hAnsi="Arial" w:cs="Arial"/>
                <w:b/>
                <w:bCs/>
                <w:sz w:val="22"/>
                <w:szCs w:val="22"/>
              </w:rPr>
              <w:t>Scoping workshop and consultation comments:</w:t>
            </w:r>
          </w:p>
          <w:p w14:paraId="5E72D088"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Consultation comments from patient/carer group suggested </w:t>
            </w:r>
            <w:proofErr w:type="spellStart"/>
            <w:r w:rsidRPr="0044238C">
              <w:rPr>
                <w:rFonts w:ascii="Arial" w:hAnsi="Arial" w:cs="Arial"/>
              </w:rPr>
              <w:t>ganaxolone</w:t>
            </w:r>
            <w:proofErr w:type="spellEnd"/>
            <w:r w:rsidRPr="0044238C">
              <w:rPr>
                <w:rFonts w:ascii="Arial" w:hAnsi="Arial" w:cs="Arial"/>
              </w:rPr>
              <w:t xml:space="preserve"> could be innovative. CDKL5 UK “As discussed currently there are no CDD specific pathways to control epilepsy in these patients.  </w:t>
            </w:r>
            <w:proofErr w:type="spellStart"/>
            <w:r w:rsidRPr="0044238C">
              <w:rPr>
                <w:rFonts w:ascii="Arial" w:hAnsi="Arial" w:cs="Arial"/>
              </w:rPr>
              <w:t>Ganaxolone</w:t>
            </w:r>
            <w:proofErr w:type="spellEnd"/>
            <w:r w:rsidRPr="0044238C">
              <w:rPr>
                <w:rFonts w:ascii="Arial" w:hAnsi="Arial" w:cs="Arial"/>
              </w:rPr>
              <w:t xml:space="preserve"> has the potential to substantially impact on health-related benefits provided patients </w:t>
            </w:r>
            <w:proofErr w:type="gramStart"/>
            <w:r w:rsidRPr="0044238C">
              <w:rPr>
                <w:rFonts w:ascii="Arial" w:hAnsi="Arial" w:cs="Arial"/>
              </w:rPr>
              <w:t>are able to</w:t>
            </w:r>
            <w:proofErr w:type="gramEnd"/>
            <w:r w:rsidRPr="0044238C">
              <w:rPr>
                <w:rFonts w:ascii="Arial" w:hAnsi="Arial" w:cs="Arial"/>
              </w:rPr>
              <w:t xml:space="preserve"> reduce the amount of concurrent seizure medications that they take.”</w:t>
            </w:r>
          </w:p>
          <w:p w14:paraId="75B6EC70"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CDKL5 UK “Concurrent use of AED’s can impact significantly on patients, </w:t>
            </w:r>
            <w:proofErr w:type="gramStart"/>
            <w:r w:rsidRPr="0044238C">
              <w:rPr>
                <w:rFonts w:ascii="Arial" w:hAnsi="Arial" w:cs="Arial"/>
              </w:rPr>
              <w:t>particular where</w:t>
            </w:r>
            <w:proofErr w:type="gramEnd"/>
            <w:r w:rsidRPr="0044238C">
              <w:rPr>
                <w:rFonts w:ascii="Arial" w:hAnsi="Arial" w:cs="Arial"/>
              </w:rPr>
              <w:t xml:space="preserve"> they may also suffer with respiratory problems, as some AED’s increase secretions and increase the risk of aspiration and pneumonia.  </w:t>
            </w:r>
            <w:proofErr w:type="spellStart"/>
            <w:r w:rsidRPr="0044238C">
              <w:rPr>
                <w:rFonts w:ascii="Arial" w:hAnsi="Arial" w:cs="Arial"/>
              </w:rPr>
              <w:t>Ganaxolone</w:t>
            </w:r>
            <w:proofErr w:type="spellEnd"/>
            <w:r w:rsidRPr="0044238C">
              <w:rPr>
                <w:rFonts w:ascii="Arial" w:hAnsi="Arial" w:cs="Arial"/>
              </w:rPr>
              <w:t xml:space="preserve"> has the potential to reduce the number of AED’s being prescribed in some patients which could improve overall health, and morbidity”</w:t>
            </w:r>
          </w:p>
          <w:p w14:paraId="05996845" w14:textId="77777777"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The impact of </w:t>
            </w:r>
            <w:proofErr w:type="spellStart"/>
            <w:r w:rsidRPr="0044238C">
              <w:rPr>
                <w:rFonts w:ascii="Arial" w:hAnsi="Arial" w:cs="Arial"/>
              </w:rPr>
              <w:t>ganaxolone</w:t>
            </w:r>
            <w:proofErr w:type="spellEnd"/>
            <w:r w:rsidRPr="0044238C">
              <w:rPr>
                <w:rFonts w:ascii="Arial" w:hAnsi="Arial" w:cs="Arial"/>
              </w:rPr>
              <w:t xml:space="preserve"> on the use of other anti-seizure therapies is uncertain.</w:t>
            </w:r>
          </w:p>
          <w:p w14:paraId="6941E1FA" w14:textId="3EACF057" w:rsidR="00F6548E" w:rsidRPr="0044238C" w:rsidRDefault="00F6548E" w:rsidP="00F6548E">
            <w:pPr>
              <w:pStyle w:val="ListParagraph"/>
              <w:numPr>
                <w:ilvl w:val="0"/>
                <w:numId w:val="35"/>
              </w:numPr>
              <w:rPr>
                <w:rFonts w:ascii="Arial" w:hAnsi="Arial" w:cs="Arial"/>
              </w:rPr>
            </w:pPr>
            <w:r w:rsidRPr="0044238C">
              <w:rPr>
                <w:rFonts w:ascii="Arial" w:hAnsi="Arial" w:cs="Arial"/>
              </w:rPr>
              <w:t xml:space="preserve">The </w:t>
            </w:r>
            <w:r w:rsidR="00AC3588" w:rsidRPr="0044238C">
              <w:rPr>
                <w:rFonts w:ascii="Arial" w:hAnsi="Arial" w:cs="Arial"/>
              </w:rPr>
              <w:t>long-term</w:t>
            </w:r>
            <w:r w:rsidRPr="0044238C">
              <w:rPr>
                <w:rFonts w:ascii="Arial" w:hAnsi="Arial" w:cs="Arial"/>
              </w:rPr>
              <w:t xml:space="preserve"> impact of improved infantile seizure management is uncertain but clinical experts assume it would improve lifetime neurodevelopment.  </w:t>
            </w:r>
          </w:p>
          <w:p w14:paraId="1F871587" w14:textId="77777777" w:rsidR="00F6548E" w:rsidRPr="0044238C" w:rsidRDefault="00F6548E">
            <w:pPr>
              <w:rPr>
                <w:rFonts w:ascii="Arial" w:hAnsi="Arial" w:cs="Arial"/>
                <w:sz w:val="22"/>
                <w:szCs w:val="22"/>
              </w:rPr>
            </w:pPr>
          </w:p>
          <w:p w14:paraId="1C51B07D" w14:textId="77777777" w:rsidR="00F6548E" w:rsidRPr="0044238C" w:rsidRDefault="00F6548E">
            <w:pPr>
              <w:rPr>
                <w:rFonts w:ascii="Arial" w:hAnsi="Arial" w:cs="Arial"/>
                <w:b/>
                <w:bCs/>
                <w:sz w:val="22"/>
                <w:szCs w:val="22"/>
              </w:rPr>
            </w:pPr>
            <w:r w:rsidRPr="0044238C">
              <w:rPr>
                <w:rFonts w:ascii="Arial" w:hAnsi="Arial" w:cs="Arial"/>
                <w:b/>
                <w:bCs/>
                <w:sz w:val="22"/>
                <w:szCs w:val="22"/>
              </w:rPr>
              <w:t xml:space="preserve">Summary </w:t>
            </w:r>
          </w:p>
          <w:p w14:paraId="7264188F" w14:textId="5DF38541" w:rsidR="00424E45" w:rsidRPr="0044238C" w:rsidRDefault="001C41A8" w:rsidP="00D5753E">
            <w:pPr>
              <w:rPr>
                <w:rFonts w:ascii="Arial" w:hAnsi="Arial" w:cs="Arial"/>
                <w:sz w:val="22"/>
                <w:szCs w:val="22"/>
              </w:rPr>
            </w:pPr>
            <w:r w:rsidRPr="0044238C">
              <w:rPr>
                <w:rFonts w:ascii="Arial" w:hAnsi="Arial" w:cs="Arial"/>
                <w:sz w:val="22"/>
                <w:szCs w:val="22"/>
              </w:rPr>
              <w:t xml:space="preserve">The </w:t>
            </w:r>
            <w:r w:rsidR="0044238C">
              <w:rPr>
                <w:rFonts w:ascii="Arial" w:hAnsi="Arial" w:cs="Arial"/>
                <w:sz w:val="22"/>
                <w:szCs w:val="22"/>
              </w:rPr>
              <w:t>large</w:t>
            </w:r>
            <w:r w:rsidRPr="0044238C">
              <w:rPr>
                <w:rFonts w:ascii="Arial" w:hAnsi="Arial" w:cs="Arial"/>
                <w:sz w:val="22"/>
                <w:szCs w:val="22"/>
              </w:rPr>
              <w:t xml:space="preserve"> range of</w:t>
            </w:r>
            <w:r w:rsidR="00D5753E">
              <w:rPr>
                <w:rFonts w:ascii="Arial" w:hAnsi="Arial" w:cs="Arial"/>
                <w:sz w:val="22"/>
                <w:szCs w:val="22"/>
              </w:rPr>
              <w:t xml:space="preserve"> antiseizure</w:t>
            </w:r>
            <w:r w:rsidRPr="0044238C">
              <w:rPr>
                <w:rFonts w:ascii="Arial" w:hAnsi="Arial" w:cs="Arial"/>
                <w:sz w:val="22"/>
                <w:szCs w:val="22"/>
              </w:rPr>
              <w:t xml:space="preserve"> treatments</w:t>
            </w:r>
            <w:r w:rsidR="009F2540">
              <w:rPr>
                <w:rFonts w:ascii="Arial" w:hAnsi="Arial" w:cs="Arial"/>
                <w:sz w:val="22"/>
                <w:szCs w:val="22"/>
              </w:rPr>
              <w:t xml:space="preserve"> available and actively used in this population</w:t>
            </w:r>
            <w:r w:rsidRPr="0044238C">
              <w:rPr>
                <w:rFonts w:ascii="Arial" w:hAnsi="Arial" w:cs="Arial"/>
                <w:sz w:val="22"/>
                <w:szCs w:val="22"/>
              </w:rPr>
              <w:t xml:space="preserve"> </w:t>
            </w:r>
            <w:r w:rsidR="007F604D">
              <w:rPr>
                <w:rFonts w:ascii="Arial" w:hAnsi="Arial" w:cs="Arial"/>
                <w:sz w:val="22"/>
                <w:szCs w:val="22"/>
              </w:rPr>
              <w:t>suggests that</w:t>
            </w:r>
            <w:r w:rsidRPr="0044238C">
              <w:rPr>
                <w:rFonts w:ascii="Arial" w:hAnsi="Arial" w:cs="Arial"/>
                <w:sz w:val="22"/>
                <w:szCs w:val="22"/>
              </w:rPr>
              <w:t xml:space="preserve"> </w:t>
            </w:r>
            <w:proofErr w:type="spellStart"/>
            <w:r w:rsidRPr="0044238C">
              <w:rPr>
                <w:rFonts w:ascii="Arial" w:hAnsi="Arial" w:cs="Arial"/>
                <w:sz w:val="22"/>
                <w:szCs w:val="22"/>
              </w:rPr>
              <w:t>ganaxolone</w:t>
            </w:r>
            <w:proofErr w:type="spellEnd"/>
            <w:r w:rsidRPr="0044238C">
              <w:rPr>
                <w:rFonts w:ascii="Arial" w:hAnsi="Arial" w:cs="Arial"/>
                <w:sz w:val="22"/>
                <w:szCs w:val="22"/>
              </w:rPr>
              <w:t xml:space="preserve"> </w:t>
            </w:r>
            <w:r w:rsidR="007F604D">
              <w:rPr>
                <w:rFonts w:ascii="Arial" w:hAnsi="Arial" w:cs="Arial"/>
                <w:sz w:val="22"/>
                <w:szCs w:val="22"/>
              </w:rPr>
              <w:t>does not meet</w:t>
            </w:r>
            <w:r w:rsidR="00224068" w:rsidRPr="0044238C">
              <w:rPr>
                <w:rFonts w:ascii="Arial" w:hAnsi="Arial" w:cs="Arial"/>
                <w:sz w:val="22"/>
                <w:szCs w:val="22"/>
              </w:rPr>
              <w:t xml:space="preserve"> </w:t>
            </w:r>
            <w:r w:rsidRPr="0044238C">
              <w:rPr>
                <w:rFonts w:ascii="Arial" w:hAnsi="Arial" w:cs="Arial"/>
                <w:sz w:val="22"/>
                <w:szCs w:val="22"/>
              </w:rPr>
              <w:t>this criterion.</w:t>
            </w:r>
            <w:r w:rsidR="007F604D">
              <w:rPr>
                <w:rFonts w:ascii="Arial" w:hAnsi="Arial" w:cs="Arial"/>
                <w:sz w:val="22"/>
                <w:szCs w:val="22"/>
              </w:rPr>
              <w:t xml:space="preserve"> </w:t>
            </w:r>
            <w:r w:rsidRPr="0044238C">
              <w:rPr>
                <w:rFonts w:ascii="Arial" w:hAnsi="Arial" w:cs="Arial"/>
                <w:sz w:val="22"/>
                <w:szCs w:val="22"/>
              </w:rPr>
              <w:t xml:space="preserve"> </w:t>
            </w:r>
            <w:r w:rsidR="00D5753E">
              <w:rPr>
                <w:rFonts w:ascii="Arial" w:hAnsi="Arial" w:cs="Arial"/>
                <w:sz w:val="22"/>
                <w:szCs w:val="22"/>
              </w:rPr>
              <w:t>Although the company state that current treatments are n</w:t>
            </w:r>
            <w:r w:rsidRPr="0044238C">
              <w:rPr>
                <w:rFonts w:ascii="Arial" w:hAnsi="Arial" w:cs="Arial"/>
                <w:sz w:val="22"/>
                <w:szCs w:val="22"/>
              </w:rPr>
              <w:t>ot satisfactory</w:t>
            </w:r>
            <w:r w:rsidR="00D5753E">
              <w:rPr>
                <w:rFonts w:ascii="Arial" w:hAnsi="Arial" w:cs="Arial"/>
                <w:sz w:val="22"/>
                <w:szCs w:val="22"/>
              </w:rPr>
              <w:t xml:space="preserve">, the company has not clearly demonstrated that </w:t>
            </w:r>
            <w:proofErr w:type="spellStart"/>
            <w:r w:rsidR="00D5753E">
              <w:rPr>
                <w:rFonts w:ascii="Arial" w:hAnsi="Arial" w:cs="Arial"/>
                <w:sz w:val="22"/>
                <w:szCs w:val="22"/>
              </w:rPr>
              <w:t>ganaxolone</w:t>
            </w:r>
            <w:proofErr w:type="spellEnd"/>
            <w:r w:rsidR="00D5753E">
              <w:rPr>
                <w:rFonts w:ascii="Arial" w:hAnsi="Arial" w:cs="Arial"/>
                <w:sz w:val="22"/>
                <w:szCs w:val="22"/>
              </w:rPr>
              <w:t xml:space="preserve"> would offer </w:t>
            </w:r>
            <w:r w:rsidR="009F2540">
              <w:rPr>
                <w:rFonts w:ascii="Arial" w:hAnsi="Arial" w:cs="Arial"/>
                <w:sz w:val="22"/>
                <w:szCs w:val="22"/>
              </w:rPr>
              <w:t xml:space="preserve">significant additional </w:t>
            </w:r>
            <w:r w:rsidR="00D5753E">
              <w:rPr>
                <w:rFonts w:ascii="Arial" w:hAnsi="Arial" w:cs="Arial"/>
                <w:sz w:val="22"/>
                <w:szCs w:val="22"/>
              </w:rPr>
              <w:t xml:space="preserve">benefit </w:t>
            </w:r>
            <w:r w:rsidR="009F2540">
              <w:rPr>
                <w:rFonts w:ascii="Arial" w:hAnsi="Arial" w:cs="Arial"/>
                <w:sz w:val="22"/>
                <w:szCs w:val="22"/>
              </w:rPr>
              <w:t>compared with</w:t>
            </w:r>
            <w:r w:rsidR="009D255C">
              <w:rPr>
                <w:rFonts w:ascii="Arial" w:hAnsi="Arial" w:cs="Arial"/>
                <w:sz w:val="22"/>
                <w:szCs w:val="22"/>
              </w:rPr>
              <w:t xml:space="preserve"> these many</w:t>
            </w:r>
            <w:r w:rsidR="00D5753E">
              <w:rPr>
                <w:rFonts w:ascii="Arial" w:hAnsi="Arial" w:cs="Arial"/>
                <w:sz w:val="22"/>
                <w:szCs w:val="22"/>
              </w:rPr>
              <w:t xml:space="preserve"> existing treatments. </w:t>
            </w:r>
            <w:r w:rsidR="00176B00">
              <w:rPr>
                <w:rFonts w:ascii="Arial" w:hAnsi="Arial" w:cs="Arial"/>
                <w:sz w:val="22"/>
                <w:szCs w:val="22"/>
              </w:rPr>
              <w:t>The HST checklist categorises a criterion as “not met” if there is “no evidence or limited evidence that this criterion is met”.</w:t>
            </w:r>
          </w:p>
          <w:p w14:paraId="31F52F61" w14:textId="4D40BCA5" w:rsidR="00424E45" w:rsidRPr="0044238C" w:rsidRDefault="00424E45">
            <w:pPr>
              <w:rPr>
                <w:rFonts w:ascii="Arial" w:hAnsi="Arial" w:cs="Arial"/>
                <w:sz w:val="22"/>
                <w:szCs w:val="22"/>
              </w:rPr>
            </w:pPr>
          </w:p>
          <w:p w14:paraId="5A4940FA" w14:textId="670C5693" w:rsidR="000E57D3" w:rsidRDefault="00B47D52" w:rsidP="00BF0D16">
            <w:pPr>
              <w:rPr>
                <w:rFonts w:ascii="Arial" w:hAnsi="Arial" w:cs="Arial"/>
                <w:sz w:val="22"/>
                <w:szCs w:val="22"/>
              </w:rPr>
            </w:pPr>
            <w:r w:rsidRPr="0044238C">
              <w:rPr>
                <w:rFonts w:ascii="Arial" w:hAnsi="Arial" w:cs="Arial"/>
                <w:sz w:val="22"/>
                <w:szCs w:val="22"/>
              </w:rPr>
              <w:lastRenderedPageBreak/>
              <w:t xml:space="preserve">The MARIGOLD trial shows a benefit in the primary outcome for </w:t>
            </w:r>
            <w:proofErr w:type="spellStart"/>
            <w:r w:rsidRPr="0044238C">
              <w:rPr>
                <w:rFonts w:ascii="Arial" w:hAnsi="Arial" w:cs="Arial"/>
                <w:sz w:val="22"/>
                <w:szCs w:val="22"/>
              </w:rPr>
              <w:t>ganaxolone</w:t>
            </w:r>
            <w:proofErr w:type="spellEnd"/>
            <w:r w:rsidRPr="0044238C">
              <w:rPr>
                <w:rFonts w:ascii="Arial" w:hAnsi="Arial" w:cs="Arial"/>
                <w:sz w:val="22"/>
                <w:szCs w:val="22"/>
              </w:rPr>
              <w:t xml:space="preserve"> (plus background therapy) compared with placebo (plus background therapy). </w:t>
            </w:r>
            <w:r w:rsidR="00224068">
              <w:rPr>
                <w:rFonts w:ascii="Arial" w:hAnsi="Arial" w:cs="Arial"/>
                <w:sz w:val="22"/>
                <w:szCs w:val="22"/>
              </w:rPr>
              <w:t xml:space="preserve">Placebo plus background therapy is not a relevant </w:t>
            </w:r>
            <w:r w:rsidR="00224068" w:rsidRPr="0044238C">
              <w:rPr>
                <w:rFonts w:ascii="Arial" w:hAnsi="Arial" w:cs="Arial"/>
                <w:sz w:val="22"/>
                <w:szCs w:val="22"/>
              </w:rPr>
              <w:t>existing treatment option</w:t>
            </w:r>
            <w:r w:rsidR="00224068">
              <w:rPr>
                <w:rFonts w:ascii="Arial" w:hAnsi="Arial" w:cs="Arial"/>
                <w:sz w:val="22"/>
                <w:szCs w:val="22"/>
              </w:rPr>
              <w:t xml:space="preserve"> within the </w:t>
            </w:r>
            <w:r w:rsidR="00BE0A80">
              <w:rPr>
                <w:rFonts w:ascii="Arial" w:hAnsi="Arial" w:cs="Arial"/>
                <w:sz w:val="22"/>
                <w:szCs w:val="22"/>
              </w:rPr>
              <w:t xml:space="preserve">NHS. </w:t>
            </w:r>
            <w:r w:rsidR="00224068" w:rsidRPr="0044238C">
              <w:rPr>
                <w:rFonts w:ascii="Arial" w:hAnsi="Arial" w:cs="Arial"/>
                <w:sz w:val="22"/>
                <w:szCs w:val="22"/>
              </w:rPr>
              <w:t xml:space="preserve"> </w:t>
            </w:r>
            <w:r w:rsidR="00BE0A80">
              <w:rPr>
                <w:rFonts w:ascii="Arial" w:hAnsi="Arial" w:cs="Arial"/>
                <w:sz w:val="22"/>
                <w:szCs w:val="22"/>
              </w:rPr>
              <w:t xml:space="preserve">Relevant existing treatments in this context are </w:t>
            </w:r>
            <w:r w:rsidRPr="0044238C">
              <w:rPr>
                <w:rFonts w:ascii="Arial" w:hAnsi="Arial" w:cs="Arial"/>
                <w:sz w:val="22"/>
                <w:szCs w:val="22"/>
              </w:rPr>
              <w:t>active anti-seizure medication</w:t>
            </w:r>
            <w:r w:rsidR="00BE0A80">
              <w:rPr>
                <w:rFonts w:ascii="Arial" w:hAnsi="Arial" w:cs="Arial"/>
                <w:sz w:val="22"/>
                <w:szCs w:val="22"/>
              </w:rPr>
              <w:t xml:space="preserve">s. Had there been a comparison </w:t>
            </w:r>
            <w:r w:rsidR="00E97117">
              <w:rPr>
                <w:rFonts w:ascii="Arial" w:hAnsi="Arial" w:cs="Arial"/>
                <w:sz w:val="22"/>
                <w:szCs w:val="22"/>
              </w:rPr>
              <w:t xml:space="preserve">with </w:t>
            </w:r>
            <w:r w:rsidR="00BE0A80">
              <w:rPr>
                <w:rFonts w:ascii="Arial" w:hAnsi="Arial" w:cs="Arial"/>
                <w:sz w:val="22"/>
                <w:szCs w:val="22"/>
              </w:rPr>
              <w:t xml:space="preserve">an active anti-seizure medication included as </w:t>
            </w:r>
            <w:r w:rsidRPr="0044238C">
              <w:rPr>
                <w:rFonts w:ascii="Arial" w:hAnsi="Arial" w:cs="Arial"/>
                <w:sz w:val="22"/>
                <w:szCs w:val="22"/>
              </w:rPr>
              <w:t xml:space="preserve">comparator instead of placebo, </w:t>
            </w:r>
            <w:r w:rsidR="00BE0A80">
              <w:rPr>
                <w:rFonts w:ascii="Arial" w:hAnsi="Arial" w:cs="Arial"/>
                <w:sz w:val="22"/>
                <w:szCs w:val="22"/>
              </w:rPr>
              <w:t xml:space="preserve">clear additional benefit could have been established. </w:t>
            </w:r>
            <w:r w:rsidR="007A5E76">
              <w:rPr>
                <w:rFonts w:ascii="Arial" w:hAnsi="Arial" w:cs="Arial"/>
                <w:sz w:val="22"/>
                <w:szCs w:val="22"/>
              </w:rPr>
              <w:t>Furthermore, considering that</w:t>
            </w:r>
            <w:r w:rsidR="00BE0A80">
              <w:rPr>
                <w:rFonts w:ascii="Arial" w:hAnsi="Arial" w:cs="Arial"/>
                <w:sz w:val="22"/>
                <w:szCs w:val="22"/>
              </w:rPr>
              <w:t xml:space="preserve"> the comparison in MARIGOLD resulted in an </w:t>
            </w:r>
            <w:r w:rsidRPr="0044238C">
              <w:rPr>
                <w:rFonts w:ascii="Arial" w:hAnsi="Arial" w:cs="Arial"/>
                <w:sz w:val="22"/>
                <w:szCs w:val="22"/>
              </w:rPr>
              <w:t xml:space="preserve">improvement </w:t>
            </w:r>
            <w:r w:rsidR="00BE0A80">
              <w:rPr>
                <w:rFonts w:ascii="Arial" w:hAnsi="Arial" w:cs="Arial"/>
                <w:sz w:val="22"/>
                <w:szCs w:val="22"/>
              </w:rPr>
              <w:t xml:space="preserve">of </w:t>
            </w:r>
            <w:r w:rsidR="007625E8">
              <w:rPr>
                <w:rFonts w:ascii="Arial" w:hAnsi="Arial" w:cs="Arial"/>
                <w:sz w:val="22"/>
                <w:szCs w:val="22"/>
              </w:rPr>
              <w:t>-27.1% vs placebo</w:t>
            </w:r>
            <w:r w:rsidR="008512F4">
              <w:rPr>
                <w:rFonts w:ascii="Arial" w:hAnsi="Arial" w:cs="Arial"/>
                <w:sz w:val="22"/>
                <w:szCs w:val="22"/>
              </w:rPr>
              <w:t xml:space="preserve"> in reduction in </w:t>
            </w:r>
            <w:proofErr w:type="gramStart"/>
            <w:r w:rsidR="008512F4">
              <w:rPr>
                <w:rFonts w:ascii="Arial" w:hAnsi="Arial" w:cs="Arial"/>
                <w:sz w:val="22"/>
                <w:szCs w:val="22"/>
              </w:rPr>
              <w:t>28 day</w:t>
            </w:r>
            <w:proofErr w:type="gramEnd"/>
            <w:r w:rsidR="008512F4">
              <w:rPr>
                <w:rFonts w:ascii="Arial" w:hAnsi="Arial" w:cs="Arial"/>
                <w:sz w:val="22"/>
                <w:szCs w:val="22"/>
              </w:rPr>
              <w:t xml:space="preserve"> seizure frequency</w:t>
            </w:r>
            <w:r w:rsidR="00BE0A80">
              <w:rPr>
                <w:rFonts w:ascii="Arial" w:hAnsi="Arial" w:cs="Arial"/>
                <w:sz w:val="22"/>
                <w:szCs w:val="22"/>
              </w:rPr>
              <w:t xml:space="preserve">, it is likely that the difference </w:t>
            </w:r>
            <w:r w:rsidR="007A5E76">
              <w:rPr>
                <w:rFonts w:ascii="Arial" w:hAnsi="Arial" w:cs="Arial"/>
                <w:sz w:val="22"/>
                <w:szCs w:val="22"/>
              </w:rPr>
              <w:t xml:space="preserve">in 28-day seizure frequency would </w:t>
            </w:r>
            <w:r w:rsidR="00314FCE">
              <w:rPr>
                <w:rFonts w:ascii="Arial" w:hAnsi="Arial" w:cs="Arial"/>
                <w:sz w:val="22"/>
                <w:szCs w:val="22"/>
              </w:rPr>
              <w:t>be less</w:t>
            </w:r>
            <w:r w:rsidR="007A5E76">
              <w:rPr>
                <w:rFonts w:ascii="Arial" w:hAnsi="Arial" w:cs="Arial"/>
                <w:sz w:val="22"/>
                <w:szCs w:val="22"/>
              </w:rPr>
              <w:t xml:space="preserve"> if an active comparator had been included</w:t>
            </w:r>
            <w:r w:rsidR="008F3440">
              <w:rPr>
                <w:rFonts w:ascii="Arial" w:hAnsi="Arial" w:cs="Arial"/>
                <w:sz w:val="22"/>
                <w:szCs w:val="22"/>
              </w:rPr>
              <w:t xml:space="preserve">. </w:t>
            </w:r>
          </w:p>
          <w:p w14:paraId="2C5851D6" w14:textId="7B633165" w:rsidR="000E57D3" w:rsidRDefault="000E57D3" w:rsidP="00BF0D16">
            <w:pPr>
              <w:rPr>
                <w:rFonts w:ascii="Arial" w:hAnsi="Arial" w:cs="Arial"/>
                <w:sz w:val="22"/>
                <w:szCs w:val="22"/>
              </w:rPr>
            </w:pPr>
          </w:p>
          <w:p w14:paraId="6282760C" w14:textId="7A7F9FCF" w:rsidR="006078E1" w:rsidRDefault="00314FCE" w:rsidP="00BF0D16">
            <w:pPr>
              <w:rPr>
                <w:rFonts w:ascii="Arial" w:hAnsi="Arial" w:cs="Arial"/>
                <w:sz w:val="22"/>
                <w:szCs w:val="22"/>
              </w:rPr>
            </w:pPr>
            <w:r>
              <w:rPr>
                <w:rFonts w:ascii="Arial" w:hAnsi="Arial" w:cs="Arial"/>
                <w:sz w:val="22"/>
                <w:szCs w:val="22"/>
              </w:rPr>
              <w:t>T</w:t>
            </w:r>
            <w:r w:rsidR="006078E1">
              <w:rPr>
                <w:rFonts w:ascii="Arial" w:hAnsi="Arial" w:cs="Arial"/>
                <w:sz w:val="22"/>
                <w:szCs w:val="22"/>
              </w:rPr>
              <w:t xml:space="preserve">here are other antiseizure treatments that </w:t>
            </w:r>
            <w:r w:rsidR="00155735">
              <w:rPr>
                <w:rFonts w:ascii="Arial" w:hAnsi="Arial" w:cs="Arial"/>
                <w:sz w:val="22"/>
                <w:szCs w:val="22"/>
              </w:rPr>
              <w:t>have</w:t>
            </w:r>
            <w:r w:rsidR="006078E1">
              <w:rPr>
                <w:rFonts w:ascii="Arial" w:hAnsi="Arial" w:cs="Arial"/>
                <w:sz w:val="22"/>
                <w:szCs w:val="22"/>
              </w:rPr>
              <w:t xml:space="preserve"> a similar mechanism of action to </w:t>
            </w:r>
            <w:proofErr w:type="spellStart"/>
            <w:r w:rsidR="006078E1">
              <w:rPr>
                <w:rFonts w:ascii="Arial" w:hAnsi="Arial" w:cs="Arial"/>
                <w:sz w:val="22"/>
                <w:szCs w:val="22"/>
              </w:rPr>
              <w:t>ganaxolone</w:t>
            </w:r>
            <w:proofErr w:type="spellEnd"/>
            <w:r w:rsidR="00155735">
              <w:rPr>
                <w:rFonts w:ascii="Arial" w:hAnsi="Arial" w:cs="Arial"/>
                <w:sz w:val="22"/>
                <w:szCs w:val="22"/>
              </w:rPr>
              <w:t xml:space="preserve">. </w:t>
            </w:r>
            <w:r w:rsidR="00820E55">
              <w:rPr>
                <w:rFonts w:ascii="Arial" w:hAnsi="Arial" w:cs="Arial"/>
                <w:sz w:val="22"/>
                <w:szCs w:val="22"/>
              </w:rPr>
              <w:t xml:space="preserve">Like other antiseizure treatments, </w:t>
            </w:r>
            <w:proofErr w:type="spellStart"/>
            <w:r w:rsidR="00820E55">
              <w:rPr>
                <w:rFonts w:ascii="Arial" w:hAnsi="Arial" w:cs="Arial"/>
                <w:sz w:val="22"/>
                <w:szCs w:val="22"/>
              </w:rPr>
              <w:t>ganaxolone</w:t>
            </w:r>
            <w:proofErr w:type="spellEnd"/>
            <w:r w:rsidR="00820E55">
              <w:rPr>
                <w:rFonts w:ascii="Arial" w:hAnsi="Arial" w:cs="Arial"/>
                <w:sz w:val="22"/>
                <w:szCs w:val="22"/>
              </w:rPr>
              <w:t xml:space="preserve"> modulates the GABAA receptor complex (albeit using a distinct recognition site). This </w:t>
            </w:r>
            <w:r w:rsidR="00155735">
              <w:rPr>
                <w:rFonts w:ascii="Arial" w:hAnsi="Arial" w:cs="Arial"/>
                <w:sz w:val="22"/>
                <w:szCs w:val="22"/>
              </w:rPr>
              <w:t xml:space="preserve">suggests that </w:t>
            </w:r>
            <w:proofErr w:type="spellStart"/>
            <w:r w:rsidR="00155735">
              <w:rPr>
                <w:rFonts w:ascii="Arial" w:hAnsi="Arial" w:cs="Arial"/>
                <w:sz w:val="22"/>
                <w:szCs w:val="22"/>
              </w:rPr>
              <w:t>ganaxolone</w:t>
            </w:r>
            <w:proofErr w:type="spellEnd"/>
            <w:r w:rsidR="00155735">
              <w:rPr>
                <w:rFonts w:ascii="Arial" w:hAnsi="Arial" w:cs="Arial"/>
                <w:sz w:val="22"/>
                <w:szCs w:val="22"/>
              </w:rPr>
              <w:t xml:space="preserve"> is not </w:t>
            </w:r>
            <w:r w:rsidR="00820E55">
              <w:rPr>
                <w:rFonts w:ascii="Arial" w:hAnsi="Arial" w:cs="Arial"/>
                <w:sz w:val="22"/>
                <w:szCs w:val="22"/>
              </w:rPr>
              <w:t xml:space="preserve">necessarily </w:t>
            </w:r>
            <w:r w:rsidR="00155735">
              <w:rPr>
                <w:rFonts w:ascii="Arial" w:hAnsi="Arial" w:cs="Arial"/>
                <w:sz w:val="22"/>
                <w:szCs w:val="22"/>
              </w:rPr>
              <w:t xml:space="preserve">offering a unique or innovative mechanism of action specifically for CDD.  </w:t>
            </w:r>
          </w:p>
          <w:p w14:paraId="1F3B27A4" w14:textId="605691B7" w:rsidR="00760B14" w:rsidRPr="0044238C" w:rsidRDefault="00760B14" w:rsidP="007625E8">
            <w:pPr>
              <w:rPr>
                <w:rFonts w:ascii="Arial" w:hAnsi="Arial" w:cs="Arial"/>
                <w:sz w:val="22"/>
                <w:szCs w:val="22"/>
              </w:rPr>
            </w:pPr>
          </w:p>
        </w:tc>
        <w:tc>
          <w:tcPr>
            <w:tcW w:w="630" w:type="pct"/>
            <w:tcBorders>
              <w:top w:val="single" w:sz="8" w:space="0" w:color="auto"/>
              <w:left w:val="single" w:sz="8" w:space="0" w:color="auto"/>
              <w:bottom w:val="single" w:sz="8" w:space="0" w:color="auto"/>
              <w:right w:val="single" w:sz="8" w:space="0" w:color="auto"/>
            </w:tcBorders>
            <w:shd w:val="clear" w:color="auto" w:fill="FF0000"/>
            <w:vAlign w:val="center"/>
          </w:tcPr>
          <w:p w14:paraId="3B6C7DF8" w14:textId="77777777" w:rsidR="00F6548E" w:rsidRPr="0044238C" w:rsidRDefault="00F6548E">
            <w:pPr>
              <w:ind w:left="288" w:right="188"/>
              <w:jc w:val="center"/>
              <w:rPr>
                <w:rFonts w:ascii="Arial" w:hAnsi="Arial" w:cs="Arial"/>
                <w:b/>
                <w:bCs/>
                <w:sz w:val="22"/>
                <w:szCs w:val="22"/>
              </w:rPr>
            </w:pPr>
            <w:r w:rsidRPr="0044238C">
              <w:rPr>
                <w:rFonts w:ascii="Arial" w:hAnsi="Arial" w:cs="Arial"/>
                <w:b/>
                <w:bCs/>
                <w:sz w:val="22"/>
                <w:szCs w:val="22"/>
              </w:rPr>
              <w:lastRenderedPageBreak/>
              <w:t>Not met</w:t>
            </w:r>
          </w:p>
          <w:p w14:paraId="4C296032" w14:textId="77777777" w:rsidR="00F6548E" w:rsidRPr="0044238C" w:rsidRDefault="00F6548E">
            <w:pPr>
              <w:ind w:left="288" w:right="188"/>
              <w:rPr>
                <w:rFonts w:ascii="Arial" w:hAnsi="Arial" w:cs="Arial"/>
                <w:b/>
                <w:bCs/>
                <w:sz w:val="22"/>
                <w:szCs w:val="22"/>
              </w:rPr>
            </w:pPr>
          </w:p>
        </w:tc>
      </w:tr>
    </w:tbl>
    <w:p w14:paraId="09A0F87B" w14:textId="77777777" w:rsidR="00F6548E" w:rsidRPr="0044238C" w:rsidRDefault="00F6548E" w:rsidP="0032267A">
      <w:pPr>
        <w:pStyle w:val="Paragraphnonumbers"/>
        <w:rPr>
          <w:sz w:val="22"/>
          <w:szCs w:val="22"/>
          <w:lang w:val="en-US"/>
        </w:rPr>
      </w:pPr>
    </w:p>
    <w:sectPr w:rsidR="00F6548E" w:rsidRPr="0044238C" w:rsidSect="00256B19">
      <w:headerReference w:type="default" r:id="rId9"/>
      <w:footerReference w:type="default" r:id="rId10"/>
      <w:pgSz w:w="16838" w:h="11906" w:orient="landscape"/>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49D9" w14:textId="77777777" w:rsidR="001412C0" w:rsidRDefault="001412C0" w:rsidP="00446BEE">
      <w:r>
        <w:separator/>
      </w:r>
    </w:p>
  </w:endnote>
  <w:endnote w:type="continuationSeparator" w:id="0">
    <w:p w14:paraId="018FAEE3" w14:textId="77777777" w:rsidR="001412C0" w:rsidRDefault="001412C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BDCA" w14:textId="6D84F634" w:rsidR="00446BEE" w:rsidRDefault="00D63841" w:rsidP="00D63841">
    <w:pPr>
      <w:pStyle w:val="Footer"/>
    </w:pPr>
    <w:r>
      <w:t>June 2022</w:t>
    </w:r>
    <w:r w:rsidR="00446BEE">
      <w:tab/>
    </w:r>
    <w:r>
      <w:tab/>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927C" w14:textId="77777777" w:rsidR="001412C0" w:rsidRDefault="001412C0" w:rsidP="00446BEE">
      <w:r>
        <w:separator/>
      </w:r>
    </w:p>
  </w:footnote>
  <w:footnote w:type="continuationSeparator" w:id="0">
    <w:p w14:paraId="3B4F26D3" w14:textId="77777777" w:rsidR="001412C0" w:rsidRDefault="001412C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6CB7" w14:textId="0E203FC2" w:rsidR="0032267A" w:rsidRDefault="00B43ECC" w:rsidP="00174AAF">
    <w:pPr>
      <w:pStyle w:val="Header"/>
      <w:ind w:left="-964"/>
      <w:jc w:val="both"/>
    </w:pPr>
    <w:r>
      <w:rPr>
        <w:noProof/>
      </w:rPr>
      <mc:AlternateContent>
        <mc:Choice Requires="wps">
          <w:drawing>
            <wp:anchor distT="45720" distB="45720" distL="114300" distR="114300" simplePos="0" relativeHeight="251659264" behindDoc="0" locked="0" layoutInCell="1" allowOverlap="1" wp14:anchorId="09BC05E2" wp14:editId="6FC25ABF">
              <wp:simplePos x="0" y="0"/>
              <wp:positionH relativeFrom="column">
                <wp:posOffset>5303520</wp:posOffset>
              </wp:positionH>
              <wp:positionV relativeFrom="paragraph">
                <wp:posOffset>10160</wp:posOffset>
              </wp:positionV>
              <wp:extent cx="1155700" cy="452755"/>
              <wp:effectExtent l="0" t="0" r="635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2755"/>
                      </a:xfrm>
                      <a:prstGeom prst="rect">
                        <a:avLst/>
                      </a:prstGeom>
                      <a:solidFill>
                        <a:srgbClr val="FFFFFF"/>
                      </a:solidFill>
                      <a:ln w="9525">
                        <a:solidFill>
                          <a:schemeClr val="bg1"/>
                        </a:solidFill>
                        <a:miter lim="800000"/>
                        <a:headEnd/>
                        <a:tailEnd/>
                      </a:ln>
                    </wps:spPr>
                    <wps:txbx>
                      <w:txbxContent>
                        <w:p w14:paraId="490CDE6D" w14:textId="3670166B" w:rsidR="00174AAF" w:rsidRPr="00174AAF" w:rsidRDefault="00174AAF" w:rsidP="00174AAF">
                          <w:pPr>
                            <w:jc w:val="right"/>
                            <w:rPr>
                              <w:rFonts w:ascii="Arial" w:hAnsi="Arial" w:cs="Arial"/>
                              <w:sz w:val="22"/>
                              <w:szCs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C05E2" id="_x0000_t202" coordsize="21600,21600" o:spt="202" path="m,l,21600r21600,l21600,xe">
              <v:stroke joinstyle="miter"/>
              <v:path gradientshapeok="t" o:connecttype="rect"/>
            </v:shapetype>
            <v:shape id="Text Box 2" o:spid="_x0000_s1026" type="#_x0000_t202" style="position:absolute;left:0;text-align:left;margin-left:417.6pt;margin-top:.8pt;width:91pt;height:3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" strokecolor="white [3212]">
              <v:textbox>
                <w:txbxContent>
                  <w:p w14:paraId="490CDE6D" w14:textId="3670166B" w:rsidR="00174AAF" w:rsidRPr="00174AAF" w:rsidRDefault="00174AAF" w:rsidP="00174AAF">
                    <w:pPr>
                      <w:jc w:val="right"/>
                      <w:rPr>
                        <w:rFonts w:ascii="Arial" w:hAnsi="Arial" w:cs="Arial"/>
                        <w:sz w:val="22"/>
                        <w:szCs w:val="22"/>
                        <w:lang w:val="en-US"/>
                      </w:rPr>
                    </w:pPr>
                  </w:p>
                </w:txbxContent>
              </v:textbox>
              <w10:wrap type="square"/>
            </v:shape>
          </w:pict>
        </mc:Fallback>
      </mc:AlternateContent>
    </w:r>
    <w:r w:rsidR="0032267A">
      <w:rPr>
        <w:noProof/>
      </w:rPr>
      <w:drawing>
        <wp:inline distT="0" distB="0" distL="0" distR="0" wp14:anchorId="7497FEC5" wp14:editId="1FB95EC3">
          <wp:extent cx="2711395" cy="481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34" cy="543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D7F73"/>
    <w:multiLevelType w:val="hybridMultilevel"/>
    <w:tmpl w:val="5F20A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6040048"/>
    <w:multiLevelType w:val="hybridMultilevel"/>
    <w:tmpl w:val="5B6216B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2907EC"/>
    <w:multiLevelType w:val="hybridMultilevel"/>
    <w:tmpl w:val="053E9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40363C"/>
    <w:multiLevelType w:val="hybridMultilevel"/>
    <w:tmpl w:val="1906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09618F"/>
    <w:multiLevelType w:val="hybridMultilevel"/>
    <w:tmpl w:val="8806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A147CF"/>
    <w:multiLevelType w:val="hybridMultilevel"/>
    <w:tmpl w:val="327AEBE8"/>
    <w:lvl w:ilvl="0" w:tplc="08090001">
      <w:numFmt w:val="decimal"/>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1F261974"/>
    <w:multiLevelType w:val="hybridMultilevel"/>
    <w:tmpl w:val="79A8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C3584"/>
    <w:multiLevelType w:val="multilevel"/>
    <w:tmpl w:val="AD6A4BF6"/>
    <w:lvl w:ilvl="0">
      <w:start w:val="1"/>
      <w:numFmt w:val="decimal"/>
      <w:pStyle w:val="Numberedheading1"/>
      <w:lvlText w:val="%1"/>
      <w:lvlJc w:val="left"/>
      <w:pPr>
        <w:tabs>
          <w:tab w:val="num" w:pos="3970"/>
        </w:tabs>
        <w:ind w:left="3970" w:hanging="1134"/>
      </w:pPr>
      <w:rPr>
        <w:rFonts w:hint="default"/>
      </w:rPr>
    </w:lvl>
    <w:lvl w:ilvl="1">
      <w:start w:val="1"/>
      <w:numFmt w:val="decimal"/>
      <w:pStyle w:val="Numberedheading2"/>
      <w:lvlText w:val="%1.%2"/>
      <w:lvlJc w:val="left"/>
      <w:pPr>
        <w:tabs>
          <w:tab w:val="num" w:pos="3545"/>
        </w:tabs>
        <w:ind w:left="3545"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2A2E717E"/>
    <w:multiLevelType w:val="hybridMultilevel"/>
    <w:tmpl w:val="57BC2540"/>
    <w:lvl w:ilvl="0" w:tplc="7BCE2B58">
      <w:start w:val="1"/>
      <w:numFmt w:val="decimal"/>
      <w:lvlText w:val="%1."/>
      <w:lvlJc w:val="left"/>
      <w:pPr>
        <w:ind w:left="1085" w:hanging="360"/>
      </w:pPr>
      <w:rPr>
        <w:rFonts w:hint="default"/>
        <w:b w:val="0"/>
        <w:bCs w:val="0"/>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21" w15:restartNumberingAfterBreak="0">
    <w:nsid w:val="550A1881"/>
    <w:multiLevelType w:val="hybridMultilevel"/>
    <w:tmpl w:val="F696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B67B3D"/>
    <w:multiLevelType w:val="hybridMultilevel"/>
    <w:tmpl w:val="B52A7B60"/>
    <w:lvl w:ilvl="0" w:tplc="7BCE2B5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42B52"/>
    <w:multiLevelType w:val="hybridMultilevel"/>
    <w:tmpl w:val="54A0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56E7D"/>
    <w:multiLevelType w:val="hybridMultilevel"/>
    <w:tmpl w:val="CE34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E5B8C"/>
    <w:multiLevelType w:val="hybridMultilevel"/>
    <w:tmpl w:val="47E2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573185"/>
    <w:multiLevelType w:val="multilevel"/>
    <w:tmpl w:val="23BC3F10"/>
    <w:lvl w:ilvl="0">
      <w:start w:val="1"/>
      <w:numFmt w:val="decimal"/>
      <w:lvlText w:val="%1."/>
      <w:lvlJc w:val="left"/>
      <w:pPr>
        <w:ind w:left="720" w:hanging="360"/>
      </w:pPr>
    </w:lvl>
    <w:lvl w:ilvl="1">
      <w:start w:val="77"/>
      <w:numFmt w:val="decimal"/>
      <w:isLgl/>
      <w:lvlText w:val="%1.%2"/>
      <w:lvlJc w:val="left"/>
      <w:pPr>
        <w:ind w:left="855" w:hanging="495"/>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num w:numId="1" w16cid:durableId="539978043">
    <w:abstractNumId w:val="23"/>
  </w:num>
  <w:num w:numId="2" w16cid:durableId="2090540381">
    <w:abstractNumId w:val="24"/>
  </w:num>
  <w:num w:numId="3" w16cid:durableId="419497021">
    <w:abstractNumId w:val="24"/>
    <w:lvlOverride w:ilvl="0">
      <w:startOverride w:val="1"/>
    </w:lvlOverride>
  </w:num>
  <w:num w:numId="4" w16cid:durableId="1876774703">
    <w:abstractNumId w:val="24"/>
    <w:lvlOverride w:ilvl="0">
      <w:startOverride w:val="1"/>
    </w:lvlOverride>
  </w:num>
  <w:num w:numId="5" w16cid:durableId="1113288212">
    <w:abstractNumId w:val="24"/>
    <w:lvlOverride w:ilvl="0">
      <w:startOverride w:val="1"/>
    </w:lvlOverride>
  </w:num>
  <w:num w:numId="6" w16cid:durableId="1098015224">
    <w:abstractNumId w:val="24"/>
    <w:lvlOverride w:ilvl="0">
      <w:startOverride w:val="1"/>
    </w:lvlOverride>
  </w:num>
  <w:num w:numId="7" w16cid:durableId="369191474">
    <w:abstractNumId w:val="24"/>
    <w:lvlOverride w:ilvl="0">
      <w:startOverride w:val="1"/>
    </w:lvlOverride>
  </w:num>
  <w:num w:numId="8" w16cid:durableId="1870147325">
    <w:abstractNumId w:val="9"/>
  </w:num>
  <w:num w:numId="9" w16cid:durableId="804540728">
    <w:abstractNumId w:val="7"/>
  </w:num>
  <w:num w:numId="10" w16cid:durableId="1941571969">
    <w:abstractNumId w:val="6"/>
  </w:num>
  <w:num w:numId="11" w16cid:durableId="1783920513">
    <w:abstractNumId w:val="5"/>
  </w:num>
  <w:num w:numId="12" w16cid:durableId="260992771">
    <w:abstractNumId w:val="4"/>
  </w:num>
  <w:num w:numId="13" w16cid:durableId="1034619250">
    <w:abstractNumId w:val="8"/>
  </w:num>
  <w:num w:numId="14" w16cid:durableId="747967094">
    <w:abstractNumId w:val="3"/>
  </w:num>
  <w:num w:numId="15" w16cid:durableId="1476138693">
    <w:abstractNumId w:val="2"/>
  </w:num>
  <w:num w:numId="16" w16cid:durableId="1346900617">
    <w:abstractNumId w:val="1"/>
  </w:num>
  <w:num w:numId="17" w16cid:durableId="180748753">
    <w:abstractNumId w:val="0"/>
  </w:num>
  <w:num w:numId="18" w16cid:durableId="1378359392">
    <w:abstractNumId w:val="18"/>
  </w:num>
  <w:num w:numId="19" w16cid:durableId="250625366">
    <w:abstractNumId w:val="18"/>
    <w:lvlOverride w:ilvl="0">
      <w:startOverride w:val="1"/>
    </w:lvlOverride>
  </w:num>
  <w:num w:numId="20" w16cid:durableId="1447506452">
    <w:abstractNumId w:val="15"/>
  </w:num>
  <w:num w:numId="21" w16cid:durableId="18355277">
    <w:abstractNumId w:val="17"/>
  </w:num>
  <w:num w:numId="22" w16cid:durableId="1853572758">
    <w:abstractNumId w:val="19"/>
  </w:num>
  <w:num w:numId="23" w16cid:durableId="661733655">
    <w:abstractNumId w:val="14"/>
  </w:num>
  <w:num w:numId="24" w16cid:durableId="360404564">
    <w:abstractNumId w:val="25"/>
  </w:num>
  <w:num w:numId="25" w16cid:durableId="738208205">
    <w:abstractNumId w:val="16"/>
  </w:num>
  <w:num w:numId="26" w16cid:durableId="901717762">
    <w:abstractNumId w:val="11"/>
  </w:num>
  <w:num w:numId="27" w16cid:durableId="1064062048">
    <w:abstractNumId w:val="26"/>
  </w:num>
  <w:num w:numId="28" w16cid:durableId="1104688807">
    <w:abstractNumId w:val="22"/>
  </w:num>
  <w:num w:numId="29" w16cid:durableId="192501589">
    <w:abstractNumId w:val="20"/>
  </w:num>
  <w:num w:numId="30" w16cid:durableId="1059673049">
    <w:abstractNumId w:val="28"/>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4226268">
    <w:abstractNumId w:val="12"/>
  </w:num>
  <w:num w:numId="32" w16cid:durableId="1242567612">
    <w:abstractNumId w:val="10"/>
  </w:num>
  <w:num w:numId="33" w16cid:durableId="781732027">
    <w:abstractNumId w:val="27"/>
  </w:num>
  <w:num w:numId="34" w16cid:durableId="1671062017">
    <w:abstractNumId w:val="13"/>
  </w:num>
  <w:num w:numId="35" w16cid:durableId="394203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7A"/>
    <w:rsid w:val="000053F8"/>
    <w:rsid w:val="00013CD3"/>
    <w:rsid w:val="00017830"/>
    <w:rsid w:val="00024D0A"/>
    <w:rsid w:val="00030EF5"/>
    <w:rsid w:val="000472DC"/>
    <w:rsid w:val="00066D54"/>
    <w:rsid w:val="00070065"/>
    <w:rsid w:val="00090747"/>
    <w:rsid w:val="00095FD5"/>
    <w:rsid w:val="000A4FEE"/>
    <w:rsid w:val="000A5370"/>
    <w:rsid w:val="000B5939"/>
    <w:rsid w:val="000E57D3"/>
    <w:rsid w:val="001075BC"/>
    <w:rsid w:val="0011156C"/>
    <w:rsid w:val="00111CCE"/>
    <w:rsid w:val="001134E7"/>
    <w:rsid w:val="001246BF"/>
    <w:rsid w:val="00130F02"/>
    <w:rsid w:val="001412C0"/>
    <w:rsid w:val="0015511E"/>
    <w:rsid w:val="00155735"/>
    <w:rsid w:val="0016552C"/>
    <w:rsid w:val="0017149E"/>
    <w:rsid w:val="0017169E"/>
    <w:rsid w:val="00174AAF"/>
    <w:rsid w:val="00176B00"/>
    <w:rsid w:val="00181A4A"/>
    <w:rsid w:val="001976A4"/>
    <w:rsid w:val="001B0EE9"/>
    <w:rsid w:val="001B65B3"/>
    <w:rsid w:val="001C41A8"/>
    <w:rsid w:val="001D562B"/>
    <w:rsid w:val="001E6E14"/>
    <w:rsid w:val="001E797C"/>
    <w:rsid w:val="002029A6"/>
    <w:rsid w:val="00211BB7"/>
    <w:rsid w:val="00224068"/>
    <w:rsid w:val="002408EA"/>
    <w:rsid w:val="00253D5B"/>
    <w:rsid w:val="00256B19"/>
    <w:rsid w:val="00276E98"/>
    <w:rsid w:val="002819D7"/>
    <w:rsid w:val="00297D81"/>
    <w:rsid w:val="002C1A7E"/>
    <w:rsid w:val="002D3376"/>
    <w:rsid w:val="00300F5E"/>
    <w:rsid w:val="00311ED0"/>
    <w:rsid w:val="00314FCE"/>
    <w:rsid w:val="0032267A"/>
    <w:rsid w:val="003648C5"/>
    <w:rsid w:val="003722FA"/>
    <w:rsid w:val="00375BB7"/>
    <w:rsid w:val="003A68BE"/>
    <w:rsid w:val="003C7AAF"/>
    <w:rsid w:val="003E5A0E"/>
    <w:rsid w:val="003F26FE"/>
    <w:rsid w:val="004075B6"/>
    <w:rsid w:val="00415290"/>
    <w:rsid w:val="00420952"/>
    <w:rsid w:val="00421C91"/>
    <w:rsid w:val="00424E45"/>
    <w:rsid w:val="00433EFF"/>
    <w:rsid w:val="0044238C"/>
    <w:rsid w:val="00443081"/>
    <w:rsid w:val="00446BEE"/>
    <w:rsid w:val="0045749A"/>
    <w:rsid w:val="004815CE"/>
    <w:rsid w:val="0049693D"/>
    <w:rsid w:val="004A306C"/>
    <w:rsid w:val="004E6EC1"/>
    <w:rsid w:val="004F0A91"/>
    <w:rsid w:val="005025A1"/>
    <w:rsid w:val="0050690C"/>
    <w:rsid w:val="005353D5"/>
    <w:rsid w:val="005430DA"/>
    <w:rsid w:val="00544BE4"/>
    <w:rsid w:val="005507C3"/>
    <w:rsid w:val="005513ED"/>
    <w:rsid w:val="005704EC"/>
    <w:rsid w:val="00586B5D"/>
    <w:rsid w:val="005F591E"/>
    <w:rsid w:val="005F5BE3"/>
    <w:rsid w:val="00602B83"/>
    <w:rsid w:val="006078E1"/>
    <w:rsid w:val="00616B6B"/>
    <w:rsid w:val="00633D23"/>
    <w:rsid w:val="00635A99"/>
    <w:rsid w:val="006449D0"/>
    <w:rsid w:val="00675C25"/>
    <w:rsid w:val="006921E1"/>
    <w:rsid w:val="006A4C4F"/>
    <w:rsid w:val="006B2B49"/>
    <w:rsid w:val="006E28FA"/>
    <w:rsid w:val="006F3DA8"/>
    <w:rsid w:val="006F4B25"/>
    <w:rsid w:val="006F6496"/>
    <w:rsid w:val="00714EA6"/>
    <w:rsid w:val="00736348"/>
    <w:rsid w:val="007467D3"/>
    <w:rsid w:val="0075165C"/>
    <w:rsid w:val="007537A4"/>
    <w:rsid w:val="00760908"/>
    <w:rsid w:val="00760B14"/>
    <w:rsid w:val="007625E8"/>
    <w:rsid w:val="007630F5"/>
    <w:rsid w:val="007A5E76"/>
    <w:rsid w:val="007F238D"/>
    <w:rsid w:val="007F604D"/>
    <w:rsid w:val="00820E55"/>
    <w:rsid w:val="0083106F"/>
    <w:rsid w:val="00834DAD"/>
    <w:rsid w:val="00850B02"/>
    <w:rsid w:val="008512F4"/>
    <w:rsid w:val="0085409B"/>
    <w:rsid w:val="00861B92"/>
    <w:rsid w:val="00871037"/>
    <w:rsid w:val="008814FB"/>
    <w:rsid w:val="00884D07"/>
    <w:rsid w:val="008D084F"/>
    <w:rsid w:val="008F097A"/>
    <w:rsid w:val="008F3440"/>
    <w:rsid w:val="008F5E30"/>
    <w:rsid w:val="00913146"/>
    <w:rsid w:val="0091336B"/>
    <w:rsid w:val="00914D7F"/>
    <w:rsid w:val="00927DF8"/>
    <w:rsid w:val="00934509"/>
    <w:rsid w:val="00935A75"/>
    <w:rsid w:val="00951969"/>
    <w:rsid w:val="009604CF"/>
    <w:rsid w:val="00963312"/>
    <w:rsid w:val="00972A85"/>
    <w:rsid w:val="009C40A7"/>
    <w:rsid w:val="009C7B0E"/>
    <w:rsid w:val="009D255C"/>
    <w:rsid w:val="009E5534"/>
    <w:rsid w:val="009E680B"/>
    <w:rsid w:val="009F2540"/>
    <w:rsid w:val="00A069B9"/>
    <w:rsid w:val="00A15A1F"/>
    <w:rsid w:val="00A16A03"/>
    <w:rsid w:val="00A20C1F"/>
    <w:rsid w:val="00A32EB5"/>
    <w:rsid w:val="00A3325A"/>
    <w:rsid w:val="00A40361"/>
    <w:rsid w:val="00A43013"/>
    <w:rsid w:val="00A4596B"/>
    <w:rsid w:val="00A57AAB"/>
    <w:rsid w:val="00A6339C"/>
    <w:rsid w:val="00A759FD"/>
    <w:rsid w:val="00A85943"/>
    <w:rsid w:val="00A859BC"/>
    <w:rsid w:val="00A8661F"/>
    <w:rsid w:val="00A93173"/>
    <w:rsid w:val="00AC3588"/>
    <w:rsid w:val="00AF108A"/>
    <w:rsid w:val="00AF6B57"/>
    <w:rsid w:val="00B02E55"/>
    <w:rsid w:val="00B036C1"/>
    <w:rsid w:val="00B044B8"/>
    <w:rsid w:val="00B16E2D"/>
    <w:rsid w:val="00B21262"/>
    <w:rsid w:val="00B21C37"/>
    <w:rsid w:val="00B24816"/>
    <w:rsid w:val="00B34926"/>
    <w:rsid w:val="00B43ECC"/>
    <w:rsid w:val="00B47D52"/>
    <w:rsid w:val="00B5431F"/>
    <w:rsid w:val="00B923E6"/>
    <w:rsid w:val="00BA6EB7"/>
    <w:rsid w:val="00BB7FBB"/>
    <w:rsid w:val="00BC3534"/>
    <w:rsid w:val="00BC486D"/>
    <w:rsid w:val="00BD0CD0"/>
    <w:rsid w:val="00BD1AA6"/>
    <w:rsid w:val="00BD2D14"/>
    <w:rsid w:val="00BE0A80"/>
    <w:rsid w:val="00BF0D16"/>
    <w:rsid w:val="00BF22AD"/>
    <w:rsid w:val="00BF7FE0"/>
    <w:rsid w:val="00C04913"/>
    <w:rsid w:val="00C112DF"/>
    <w:rsid w:val="00C60412"/>
    <w:rsid w:val="00C750DE"/>
    <w:rsid w:val="00C7711E"/>
    <w:rsid w:val="00C81104"/>
    <w:rsid w:val="00C96411"/>
    <w:rsid w:val="00CA0AC5"/>
    <w:rsid w:val="00CB5671"/>
    <w:rsid w:val="00CD2AF9"/>
    <w:rsid w:val="00CF58B7"/>
    <w:rsid w:val="00D159CD"/>
    <w:rsid w:val="00D20340"/>
    <w:rsid w:val="00D32150"/>
    <w:rsid w:val="00D351C1"/>
    <w:rsid w:val="00D35EFB"/>
    <w:rsid w:val="00D504B3"/>
    <w:rsid w:val="00D55724"/>
    <w:rsid w:val="00D5753E"/>
    <w:rsid w:val="00D63841"/>
    <w:rsid w:val="00D86BF0"/>
    <w:rsid w:val="00D91B5C"/>
    <w:rsid w:val="00DA0215"/>
    <w:rsid w:val="00DD56D5"/>
    <w:rsid w:val="00DD6CF7"/>
    <w:rsid w:val="00DE29E3"/>
    <w:rsid w:val="00DF313B"/>
    <w:rsid w:val="00E143F6"/>
    <w:rsid w:val="00E2182B"/>
    <w:rsid w:val="00E51920"/>
    <w:rsid w:val="00E55D1F"/>
    <w:rsid w:val="00E64120"/>
    <w:rsid w:val="00E660A1"/>
    <w:rsid w:val="00E84042"/>
    <w:rsid w:val="00E8536B"/>
    <w:rsid w:val="00E97117"/>
    <w:rsid w:val="00E975D5"/>
    <w:rsid w:val="00EA3CCF"/>
    <w:rsid w:val="00EC332D"/>
    <w:rsid w:val="00EE28CF"/>
    <w:rsid w:val="00F055F1"/>
    <w:rsid w:val="00F610AF"/>
    <w:rsid w:val="00F6548E"/>
    <w:rsid w:val="00F705BD"/>
    <w:rsid w:val="00F77437"/>
    <w:rsid w:val="00F91442"/>
    <w:rsid w:val="00FA2C5A"/>
    <w:rsid w:val="00FC2D11"/>
    <w:rsid w:val="00FC6230"/>
    <w:rsid w:val="00FE0F30"/>
    <w:rsid w:val="00FF3431"/>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0923"/>
  <w15:docId w15:val="{82DFC5A3-E75E-451E-B1A1-B50A7401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32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02B83"/>
    <w:rPr>
      <w:sz w:val="16"/>
      <w:szCs w:val="16"/>
    </w:rPr>
  </w:style>
  <w:style w:type="paragraph" w:styleId="CommentText">
    <w:name w:val="annotation text"/>
    <w:basedOn w:val="Normal"/>
    <w:link w:val="CommentTextChar"/>
    <w:unhideWhenUsed/>
    <w:rsid w:val="00602B83"/>
    <w:rPr>
      <w:sz w:val="20"/>
      <w:szCs w:val="20"/>
    </w:rPr>
  </w:style>
  <w:style w:type="character" w:customStyle="1" w:styleId="CommentTextChar">
    <w:name w:val="Comment Text Char"/>
    <w:basedOn w:val="DefaultParagraphFont"/>
    <w:link w:val="CommentText"/>
    <w:rsid w:val="00602B83"/>
  </w:style>
  <w:style w:type="paragraph" w:styleId="CommentSubject">
    <w:name w:val="annotation subject"/>
    <w:basedOn w:val="CommentText"/>
    <w:next w:val="CommentText"/>
    <w:link w:val="CommentSubjectChar"/>
    <w:semiHidden/>
    <w:unhideWhenUsed/>
    <w:rsid w:val="00602B83"/>
    <w:rPr>
      <w:b/>
      <w:bCs/>
    </w:rPr>
  </w:style>
  <w:style w:type="character" w:customStyle="1" w:styleId="CommentSubjectChar">
    <w:name w:val="Comment Subject Char"/>
    <w:basedOn w:val="CommentTextChar"/>
    <w:link w:val="CommentSubject"/>
    <w:semiHidden/>
    <w:rsid w:val="00602B83"/>
    <w:rPr>
      <w:b/>
      <w:bCs/>
    </w:rPr>
  </w:style>
  <w:style w:type="character" w:styleId="Hyperlink">
    <w:name w:val="Hyperlink"/>
    <w:basedOn w:val="DefaultParagraphFont"/>
    <w:unhideWhenUsed/>
    <w:rsid w:val="00E8536B"/>
    <w:rPr>
      <w:color w:val="0000FF" w:themeColor="hyperlink"/>
      <w:u w:val="single"/>
    </w:rPr>
  </w:style>
  <w:style w:type="character" w:styleId="UnresolvedMention">
    <w:name w:val="Unresolved Mention"/>
    <w:basedOn w:val="DefaultParagraphFont"/>
    <w:uiPriority w:val="99"/>
    <w:semiHidden/>
    <w:unhideWhenUsed/>
    <w:rsid w:val="00E8536B"/>
    <w:rPr>
      <w:color w:val="605E5C"/>
      <w:shd w:val="clear" w:color="auto" w:fill="E1DFDD"/>
    </w:rPr>
  </w:style>
  <w:style w:type="paragraph" w:customStyle="1" w:styleId="Numberedheading1">
    <w:name w:val="Numbered heading 1"/>
    <w:basedOn w:val="Heading1"/>
    <w:next w:val="Normal"/>
    <w:rsid w:val="00A85943"/>
    <w:pPr>
      <w:numPr>
        <w:numId w:val="22"/>
      </w:numPr>
      <w:tabs>
        <w:tab w:val="num" w:pos="1134"/>
      </w:tabs>
      <w:spacing w:before="240" w:line="360" w:lineRule="auto"/>
      <w:ind w:left="1134"/>
    </w:pPr>
    <w:rPr>
      <w:rFonts w:cs="Arial"/>
      <w:sz w:val="32"/>
      <w:szCs w:val="24"/>
      <w:lang w:eastAsia="en-US"/>
    </w:rPr>
  </w:style>
  <w:style w:type="paragraph" w:customStyle="1" w:styleId="Numberedheading2">
    <w:name w:val="Numbered heading 2"/>
    <w:basedOn w:val="Heading2"/>
    <w:next w:val="Normal"/>
    <w:link w:val="Numberedheading2Char"/>
    <w:rsid w:val="00A85943"/>
    <w:pPr>
      <w:numPr>
        <w:ilvl w:val="1"/>
        <w:numId w:val="22"/>
      </w:numPr>
      <w:tabs>
        <w:tab w:val="clear" w:pos="3545"/>
      </w:tabs>
      <w:spacing w:before="240" w:after="60" w:line="360" w:lineRule="auto"/>
      <w:ind w:left="567" w:hanging="567"/>
    </w:pPr>
    <w:rPr>
      <w:rFonts w:cs="Arial"/>
      <w:i w:val="0"/>
      <w:iCs w:val="0"/>
      <w:sz w:val="28"/>
      <w:szCs w:val="28"/>
    </w:rPr>
  </w:style>
  <w:style w:type="character" w:customStyle="1" w:styleId="Numberedheading2Char">
    <w:name w:val="Numbered heading 2 Char"/>
    <w:basedOn w:val="Heading2Char"/>
    <w:link w:val="Numberedheading2"/>
    <w:rsid w:val="00A85943"/>
    <w:rPr>
      <w:rFonts w:ascii="Arial" w:hAnsi="Arial" w:cs="Arial"/>
      <w:b/>
      <w:bCs/>
      <w:i w:val="0"/>
      <w:iCs w:val="0"/>
      <w:sz w:val="28"/>
      <w:szCs w:val="28"/>
    </w:rPr>
  </w:style>
  <w:style w:type="paragraph" w:customStyle="1" w:styleId="Numberedlevel3text">
    <w:name w:val="Numbered level 3 text"/>
    <w:basedOn w:val="Normal"/>
    <w:rsid w:val="00A85943"/>
    <w:pPr>
      <w:keepNext/>
      <w:numPr>
        <w:ilvl w:val="2"/>
        <w:numId w:val="22"/>
      </w:numPr>
      <w:spacing w:after="240" w:line="360" w:lineRule="auto"/>
    </w:pPr>
    <w:rPr>
      <w:rFonts w:ascii="Arial" w:hAnsi="Arial" w:cs="Arial"/>
      <w:bCs/>
      <w:lang w:eastAsia="en-US"/>
    </w:rPr>
  </w:style>
  <w:style w:type="paragraph" w:customStyle="1" w:styleId="Numberedlevel4text">
    <w:name w:val="Numbered level 4 text"/>
    <w:basedOn w:val="Normal"/>
    <w:next w:val="Normal"/>
    <w:rsid w:val="00A85943"/>
    <w:pPr>
      <w:numPr>
        <w:ilvl w:val="3"/>
        <w:numId w:val="22"/>
      </w:numPr>
      <w:spacing w:after="240" w:line="360" w:lineRule="auto"/>
    </w:pPr>
    <w:rPr>
      <w:rFonts w:ascii="Arial" w:hAnsi="Arial"/>
      <w:lang w:eastAsia="en-US"/>
    </w:rPr>
  </w:style>
  <w:style w:type="paragraph" w:styleId="Revision">
    <w:name w:val="Revision"/>
    <w:hidden/>
    <w:uiPriority w:val="99"/>
    <w:semiHidden/>
    <w:rsid w:val="00884D07"/>
    <w:rPr>
      <w:sz w:val="24"/>
      <w:szCs w:val="24"/>
    </w:rPr>
  </w:style>
  <w:style w:type="paragraph" w:styleId="BodyText">
    <w:name w:val="Body Text"/>
    <w:basedOn w:val="Normal"/>
    <w:link w:val="BodyTextChar"/>
    <w:rsid w:val="009C7B0E"/>
    <w:pPr>
      <w:spacing w:after="240"/>
    </w:pPr>
    <w:rPr>
      <w:rFonts w:ascii="Arial" w:hAnsi="Arial"/>
      <w:szCs w:val="20"/>
      <w:lang w:val="x-none" w:eastAsia="en-US"/>
    </w:rPr>
  </w:style>
  <w:style w:type="character" w:customStyle="1" w:styleId="BodyTextChar">
    <w:name w:val="Body Text Char"/>
    <w:basedOn w:val="DefaultParagraphFont"/>
    <w:link w:val="BodyText"/>
    <w:rsid w:val="009C7B0E"/>
    <w:rPr>
      <w:rFonts w:ascii="Arial" w:hAnsi="Arial"/>
      <w:sz w:val="24"/>
      <w:lang w:val="x-none" w:eastAsia="en-US"/>
    </w:rPr>
  </w:style>
  <w:style w:type="character" w:styleId="FollowedHyperlink">
    <w:name w:val="FollowedHyperlink"/>
    <w:basedOn w:val="DefaultParagraphFont"/>
    <w:semiHidden/>
    <w:unhideWhenUsed/>
    <w:rsid w:val="00297D81"/>
    <w:rPr>
      <w:color w:val="800080" w:themeColor="followedHyperlink"/>
      <w:u w:val="single"/>
    </w:rPr>
  </w:style>
  <w:style w:type="paragraph" w:styleId="ListParagraph">
    <w:name w:val="List Paragraph"/>
    <w:basedOn w:val="Normal"/>
    <w:uiPriority w:val="34"/>
    <w:qFormat/>
    <w:rsid w:val="00F6548E"/>
    <w:pPr>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6015">
      <w:bodyDiv w:val="1"/>
      <w:marLeft w:val="0"/>
      <w:marRight w:val="0"/>
      <w:marTop w:val="0"/>
      <w:marBottom w:val="0"/>
      <w:divBdr>
        <w:top w:val="none" w:sz="0" w:space="0" w:color="auto"/>
        <w:left w:val="none" w:sz="0" w:space="0" w:color="auto"/>
        <w:bottom w:val="none" w:sz="0" w:space="0" w:color="auto"/>
        <w:right w:val="none" w:sz="0" w:space="0" w:color="auto"/>
      </w:divBdr>
    </w:div>
    <w:div w:id="985277393">
      <w:bodyDiv w:val="1"/>
      <w:marLeft w:val="0"/>
      <w:marRight w:val="0"/>
      <w:marTop w:val="0"/>
      <w:marBottom w:val="0"/>
      <w:divBdr>
        <w:top w:val="none" w:sz="0" w:space="0" w:color="auto"/>
        <w:left w:val="none" w:sz="0" w:space="0" w:color="auto"/>
        <w:bottom w:val="none" w:sz="0" w:space="0" w:color="auto"/>
        <w:right w:val="none" w:sz="0" w:space="0" w:color="auto"/>
      </w:divBdr>
    </w:div>
    <w:div w:id="1052776371">
      <w:bodyDiv w:val="1"/>
      <w:marLeft w:val="0"/>
      <w:marRight w:val="0"/>
      <w:marTop w:val="0"/>
      <w:marBottom w:val="0"/>
      <w:divBdr>
        <w:top w:val="none" w:sz="0" w:space="0" w:color="auto"/>
        <w:left w:val="none" w:sz="0" w:space="0" w:color="auto"/>
        <w:bottom w:val="none" w:sz="0" w:space="0" w:color="auto"/>
        <w:right w:val="none" w:sz="0" w:space="0" w:color="auto"/>
      </w:divBdr>
    </w:div>
    <w:div w:id="125023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7/chapter/highly-specialised-technolo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C50-550E-4980-A500-CA27F7CA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Lees</dc:creator>
  <cp:keywords/>
  <dc:description/>
  <cp:lastModifiedBy>Emily Richards</cp:lastModifiedBy>
  <cp:revision>3</cp:revision>
  <dcterms:created xsi:type="dcterms:W3CDTF">2022-11-14T11:50:00Z</dcterms:created>
  <dcterms:modified xsi:type="dcterms:W3CDTF">2022-11-14T11:54:00Z</dcterms:modified>
</cp:coreProperties>
</file>