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CDB63" w14:textId="77777777" w:rsidR="008956CE" w:rsidRDefault="00063531">
      <w:pPr>
        <w:pStyle w:val="BodyText"/>
        <w:spacing w:before="78" w:line="288" w:lineRule="auto"/>
        <w:ind w:left="10014" w:right="113" w:firstLine="714"/>
        <w:jc w:val="right"/>
      </w:pPr>
      <w:r>
        <w:rPr>
          <w:color w:val="0D0D0D"/>
        </w:rPr>
        <w:t>2</w:t>
      </w:r>
      <w:proofErr w:type="spellStart"/>
      <w:r>
        <w:rPr>
          <w:color w:val="0D0D0D"/>
          <w:position w:val="6"/>
          <w:sz w:val="13"/>
        </w:rPr>
        <w:t>nd</w:t>
      </w:r>
      <w:proofErr w:type="spellEnd"/>
      <w:r>
        <w:rPr>
          <w:color w:val="0D0D0D"/>
          <w:spacing w:val="1"/>
          <w:position w:val="6"/>
          <w:sz w:val="13"/>
        </w:rPr>
        <w:t xml:space="preserve"> </w:t>
      </w:r>
      <w:r>
        <w:rPr>
          <w:color w:val="0D0D0D"/>
        </w:rPr>
        <w:t>Floor 2</w:t>
      </w:r>
      <w:r>
        <w:rPr>
          <w:color w:val="0D0D0D"/>
          <w:spacing w:val="-6"/>
        </w:rPr>
        <w:t xml:space="preserve"> </w:t>
      </w:r>
      <w:r>
        <w:rPr>
          <w:color w:val="0D0D0D"/>
        </w:rPr>
        <w:t>Redman</w:t>
      </w:r>
      <w:r>
        <w:rPr>
          <w:color w:val="0D0D0D"/>
          <w:spacing w:val="-6"/>
        </w:rPr>
        <w:t xml:space="preserve"> </w:t>
      </w:r>
      <w:r>
        <w:rPr>
          <w:color w:val="0D0D0D"/>
          <w:spacing w:val="-2"/>
        </w:rPr>
        <w:t>Place</w:t>
      </w:r>
    </w:p>
    <w:p w14:paraId="150CDB64" w14:textId="77777777" w:rsidR="008956CE" w:rsidRDefault="00063531">
      <w:pPr>
        <w:pStyle w:val="BodyText"/>
        <w:spacing w:line="288" w:lineRule="auto"/>
        <w:ind w:left="10714" w:right="113" w:firstLine="115"/>
        <w:jc w:val="right"/>
      </w:pPr>
      <w:r>
        <w:rPr>
          <w:noProof/>
        </w:rPr>
        <w:drawing>
          <wp:anchor distT="0" distB="0" distL="0" distR="0" simplePos="0" relativeHeight="15728640" behindDoc="0" locked="0" layoutInCell="1" allowOverlap="1" wp14:anchorId="150CDBEC" wp14:editId="150CDBED">
            <wp:simplePos x="0" y="0"/>
            <wp:positionH relativeFrom="page">
              <wp:posOffset>459914</wp:posOffset>
            </wp:positionH>
            <wp:positionV relativeFrom="paragraph">
              <wp:posOffset>301493</wp:posOffset>
            </wp:positionV>
            <wp:extent cx="2538381" cy="2482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538381" cy="248284"/>
                    </a:xfrm>
                    <a:prstGeom prst="rect">
                      <a:avLst/>
                    </a:prstGeom>
                  </pic:spPr>
                </pic:pic>
              </a:graphicData>
            </a:graphic>
          </wp:anchor>
        </w:drawing>
      </w:r>
      <w:r>
        <w:rPr>
          <w:color w:val="0D0D0D"/>
          <w:spacing w:val="-2"/>
        </w:rPr>
        <w:t xml:space="preserve">London </w:t>
      </w:r>
      <w:r>
        <w:rPr>
          <w:color w:val="0D0D0D"/>
        </w:rPr>
        <w:t>E20</w:t>
      </w:r>
      <w:r>
        <w:rPr>
          <w:color w:val="0D0D0D"/>
          <w:spacing w:val="-7"/>
        </w:rPr>
        <w:t xml:space="preserve"> </w:t>
      </w:r>
      <w:r>
        <w:rPr>
          <w:color w:val="0D0D0D"/>
          <w:spacing w:val="-5"/>
        </w:rPr>
        <w:t>1JQ</w:t>
      </w:r>
    </w:p>
    <w:p w14:paraId="150CDB65" w14:textId="77777777" w:rsidR="008956CE" w:rsidRDefault="00063531">
      <w:pPr>
        <w:pStyle w:val="BodyText"/>
        <w:spacing w:before="1"/>
        <w:ind w:right="112"/>
        <w:jc w:val="right"/>
      </w:pPr>
      <w:r>
        <w:rPr>
          <w:color w:val="0D0D0D"/>
        </w:rPr>
        <w:t>United</w:t>
      </w:r>
      <w:r>
        <w:rPr>
          <w:color w:val="0D0D0D"/>
          <w:spacing w:val="-10"/>
        </w:rPr>
        <w:t xml:space="preserve"> </w:t>
      </w:r>
      <w:r>
        <w:rPr>
          <w:color w:val="0D0D0D"/>
          <w:spacing w:val="-2"/>
        </w:rPr>
        <w:t>Kingdom</w:t>
      </w:r>
    </w:p>
    <w:p w14:paraId="150CDB66" w14:textId="77777777" w:rsidR="008956CE" w:rsidRDefault="008956CE">
      <w:pPr>
        <w:pStyle w:val="BodyText"/>
        <w:spacing w:before="83"/>
      </w:pPr>
    </w:p>
    <w:p w14:paraId="150CDB67" w14:textId="77777777" w:rsidR="008956CE" w:rsidRDefault="00063531">
      <w:pPr>
        <w:pStyle w:val="BodyText"/>
        <w:ind w:right="113"/>
        <w:jc w:val="right"/>
        <w:rPr>
          <w:rFonts w:ascii="Tahoma"/>
        </w:rPr>
      </w:pPr>
      <w:r>
        <w:rPr>
          <w:rFonts w:ascii="Tahoma"/>
          <w:spacing w:val="-2"/>
        </w:rPr>
        <w:t>+44</w:t>
      </w:r>
      <w:r>
        <w:rPr>
          <w:rFonts w:ascii="Tahoma"/>
          <w:spacing w:val="-13"/>
        </w:rPr>
        <w:t xml:space="preserve"> </w:t>
      </w:r>
      <w:r>
        <w:rPr>
          <w:rFonts w:ascii="Tahoma"/>
          <w:spacing w:val="-2"/>
        </w:rPr>
        <w:t>(0)300</w:t>
      </w:r>
      <w:r>
        <w:rPr>
          <w:rFonts w:ascii="Tahoma"/>
          <w:spacing w:val="-13"/>
        </w:rPr>
        <w:t xml:space="preserve"> </w:t>
      </w:r>
      <w:r>
        <w:rPr>
          <w:rFonts w:ascii="Tahoma"/>
          <w:spacing w:val="-2"/>
        </w:rPr>
        <w:t>323</w:t>
      </w:r>
      <w:r>
        <w:rPr>
          <w:rFonts w:ascii="Tahoma"/>
          <w:spacing w:val="-13"/>
        </w:rPr>
        <w:t xml:space="preserve"> </w:t>
      </w:r>
      <w:r>
        <w:rPr>
          <w:rFonts w:ascii="Tahoma"/>
          <w:spacing w:val="-4"/>
        </w:rPr>
        <w:t>0140</w:t>
      </w:r>
    </w:p>
    <w:p w14:paraId="150CDB68" w14:textId="77777777" w:rsidR="008956CE" w:rsidRDefault="008956CE">
      <w:pPr>
        <w:pStyle w:val="BodyText"/>
        <w:rPr>
          <w:rFonts w:ascii="Tahoma"/>
        </w:rPr>
      </w:pPr>
    </w:p>
    <w:p w14:paraId="150CDB69" w14:textId="77777777" w:rsidR="008956CE" w:rsidRDefault="008956CE">
      <w:pPr>
        <w:pStyle w:val="BodyText"/>
        <w:spacing w:before="48"/>
        <w:rPr>
          <w:rFonts w:ascii="Tahoma"/>
        </w:rPr>
      </w:pPr>
    </w:p>
    <w:p w14:paraId="150CDB6A" w14:textId="29CD9E24" w:rsidR="008956CE" w:rsidRDefault="00063531">
      <w:pPr>
        <w:pStyle w:val="BodyText"/>
        <w:ind w:left="1380"/>
      </w:pPr>
      <w:r>
        <w:t>Sent</w:t>
      </w:r>
      <w:r>
        <w:rPr>
          <w:spacing w:val="-5"/>
        </w:rPr>
        <w:t xml:space="preserve"> </w:t>
      </w:r>
      <w:r>
        <w:t>by</w:t>
      </w:r>
      <w:r>
        <w:rPr>
          <w:spacing w:val="-4"/>
        </w:rPr>
        <w:t xml:space="preserve"> </w:t>
      </w:r>
      <w:r>
        <w:t>e-mail</w:t>
      </w:r>
      <w:r>
        <w:rPr>
          <w:spacing w:val="-3"/>
        </w:rPr>
        <w:t xml:space="preserve"> </w:t>
      </w:r>
      <w:proofErr w:type="spellStart"/>
      <w:proofErr w:type="gramStart"/>
      <w:r>
        <w:t>only:</w:t>
      </w:r>
      <w:r w:rsidRPr="00063531">
        <w:rPr>
          <w:highlight w:val="black"/>
        </w:rPr>
        <w:t>XXXXXXXXXX</w:t>
      </w:r>
      <w:proofErr w:type="spellEnd"/>
      <w:proofErr w:type="gramEnd"/>
    </w:p>
    <w:p w14:paraId="150CDB6B" w14:textId="77777777" w:rsidR="008956CE" w:rsidRDefault="008956CE">
      <w:pPr>
        <w:pStyle w:val="BodyText"/>
        <w:spacing w:before="15"/>
      </w:pPr>
    </w:p>
    <w:p w14:paraId="150CDB6C" w14:textId="77777777" w:rsidR="008956CE" w:rsidRDefault="00063531">
      <w:pPr>
        <w:pStyle w:val="BodyText"/>
        <w:ind w:left="1380"/>
      </w:pPr>
      <w:proofErr w:type="spellStart"/>
      <w:r>
        <w:rPr>
          <w:spacing w:val="-2"/>
        </w:rPr>
        <w:t>S</w:t>
      </w:r>
      <w:r>
        <w:rPr>
          <w:spacing w:val="-2"/>
        </w:rPr>
        <w:t>a</w:t>
      </w:r>
      <w:r>
        <w:rPr>
          <w:spacing w:val="-2"/>
        </w:rPr>
        <w:t>n</w:t>
      </w:r>
      <w:r>
        <w:rPr>
          <w:spacing w:val="-2"/>
        </w:rPr>
        <w:t>o</w:t>
      </w:r>
      <w:r>
        <w:rPr>
          <w:spacing w:val="-2"/>
        </w:rPr>
        <w:t>f</w:t>
      </w:r>
      <w:r>
        <w:rPr>
          <w:spacing w:val="-2"/>
        </w:rPr>
        <w:t>i</w:t>
      </w:r>
      <w:proofErr w:type="spellEnd"/>
    </w:p>
    <w:p w14:paraId="150CDB6D" w14:textId="77777777" w:rsidR="008956CE" w:rsidRDefault="008956CE">
      <w:pPr>
        <w:pStyle w:val="BodyText"/>
        <w:spacing w:before="16"/>
      </w:pPr>
    </w:p>
    <w:p w14:paraId="150CDB6E" w14:textId="77777777" w:rsidR="008956CE" w:rsidRDefault="00063531">
      <w:pPr>
        <w:pStyle w:val="BodyText"/>
        <w:ind w:left="1380"/>
      </w:pPr>
      <w:r>
        <w:t>Friday</w:t>
      </w:r>
      <w:r>
        <w:rPr>
          <w:spacing w:val="-5"/>
        </w:rPr>
        <w:t xml:space="preserve"> </w:t>
      </w:r>
      <w:r>
        <w:t>12</w:t>
      </w:r>
      <w:r>
        <w:rPr>
          <w:spacing w:val="-6"/>
        </w:rPr>
        <w:t xml:space="preserve"> </w:t>
      </w:r>
      <w:r>
        <w:t>July</w:t>
      </w:r>
      <w:r>
        <w:rPr>
          <w:spacing w:val="-4"/>
        </w:rPr>
        <w:t xml:space="preserve"> 2024</w:t>
      </w:r>
    </w:p>
    <w:p w14:paraId="150CDB6F" w14:textId="77777777" w:rsidR="008956CE" w:rsidRDefault="008956CE">
      <w:pPr>
        <w:pStyle w:val="BodyText"/>
      </w:pPr>
    </w:p>
    <w:p w14:paraId="150CDB70" w14:textId="77777777" w:rsidR="008956CE" w:rsidRDefault="008956CE">
      <w:pPr>
        <w:pStyle w:val="BodyText"/>
      </w:pPr>
    </w:p>
    <w:p w14:paraId="150CDB71" w14:textId="77777777" w:rsidR="008956CE" w:rsidRDefault="008956CE">
      <w:pPr>
        <w:pStyle w:val="BodyText"/>
        <w:spacing w:before="35"/>
      </w:pPr>
    </w:p>
    <w:p w14:paraId="150CDB72" w14:textId="77777777" w:rsidR="008956CE" w:rsidRDefault="00063531">
      <w:pPr>
        <w:pStyle w:val="BodyText"/>
        <w:ind w:left="1380"/>
      </w:pPr>
      <w:r>
        <w:t>Dear</w:t>
      </w:r>
      <w:r>
        <w:rPr>
          <w:spacing w:val="-5"/>
        </w:rPr>
        <w:t xml:space="preserve"> </w:t>
      </w:r>
      <w:r>
        <w:t>Sir</w:t>
      </w:r>
      <w:r>
        <w:rPr>
          <w:spacing w:val="-3"/>
        </w:rPr>
        <w:t xml:space="preserve"> </w:t>
      </w:r>
      <w:r>
        <w:t xml:space="preserve">or </w:t>
      </w:r>
      <w:r>
        <w:rPr>
          <w:spacing w:val="-2"/>
        </w:rPr>
        <w:t>Madam,</w:t>
      </w:r>
    </w:p>
    <w:p w14:paraId="150CDB73" w14:textId="77777777" w:rsidR="008956CE" w:rsidRDefault="008956CE">
      <w:pPr>
        <w:pStyle w:val="BodyText"/>
        <w:spacing w:before="15"/>
      </w:pPr>
    </w:p>
    <w:p w14:paraId="150CDB74" w14:textId="77777777" w:rsidR="008956CE" w:rsidRDefault="00063531">
      <w:pPr>
        <w:spacing w:line="288" w:lineRule="auto"/>
        <w:ind w:left="1806" w:right="1124" w:hanging="426"/>
        <w:rPr>
          <w:b/>
          <w:sz w:val="20"/>
        </w:rPr>
      </w:pPr>
      <w:r>
        <w:rPr>
          <w:noProof/>
        </w:rPr>
        <mc:AlternateContent>
          <mc:Choice Requires="wps">
            <w:drawing>
              <wp:anchor distT="0" distB="0" distL="0" distR="0" simplePos="0" relativeHeight="15729152" behindDoc="0" locked="0" layoutInCell="1" allowOverlap="1" wp14:anchorId="150CDBEE" wp14:editId="150CDBEF">
                <wp:simplePos x="0" y="0"/>
                <wp:positionH relativeFrom="page">
                  <wp:posOffset>94613</wp:posOffset>
                </wp:positionH>
                <wp:positionV relativeFrom="paragraph">
                  <wp:posOffset>252037</wp:posOffset>
                </wp:positionV>
                <wp:extent cx="8191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270"/>
                        </a:xfrm>
                        <a:custGeom>
                          <a:avLst/>
                          <a:gdLst/>
                          <a:ahLst/>
                          <a:cxnLst/>
                          <a:rect l="l" t="t" r="r" b="b"/>
                          <a:pathLst>
                            <a:path w="81915">
                              <a:moveTo>
                                <a:pt x="0" y="0"/>
                              </a:moveTo>
                              <a:lnTo>
                                <a:pt x="81916" y="0"/>
                              </a:lnTo>
                            </a:path>
                          </a:pathLst>
                        </a:custGeom>
                        <a:ln w="3175">
                          <a:solidFill>
                            <a:srgbClr val="505050"/>
                          </a:solidFill>
                          <a:prstDash val="solid"/>
                        </a:ln>
                      </wps:spPr>
                      <wps:bodyPr wrap="square" lIns="0" tIns="0" rIns="0" bIns="0" rtlCol="0">
                        <a:prstTxWarp prst="textNoShape">
                          <a:avLst/>
                        </a:prstTxWarp>
                        <a:noAutofit/>
                      </wps:bodyPr>
                    </wps:wsp>
                  </a:graphicData>
                </a:graphic>
              </wp:anchor>
            </w:drawing>
          </mc:Choice>
          <mc:Fallback>
            <w:pict>
              <v:shape w14:anchorId="770B3ADE" id="Graphic 3" o:spid="_x0000_s1026" style="position:absolute;margin-left:7.45pt;margin-top:19.85pt;width:6.4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81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" path="m,l81916,e" filled="f" strokecolor="#505050" strokeweight=".25pt">
                <v:path arrowok="t"/>
                <w10:wrap anchorx="page"/>
              </v:shape>
            </w:pict>
          </mc:Fallback>
        </mc:AlternateContent>
      </w:r>
      <w:r>
        <w:rPr>
          <w:b/>
          <w:sz w:val="20"/>
        </w:rPr>
        <w:t>Re:</w:t>
      </w:r>
      <w:r>
        <w:rPr>
          <w:b/>
          <w:spacing w:val="-14"/>
          <w:sz w:val="20"/>
        </w:rPr>
        <w:t xml:space="preserve"> </w:t>
      </w:r>
      <w:r>
        <w:rPr>
          <w:b/>
          <w:sz w:val="20"/>
        </w:rPr>
        <w:t>Final</w:t>
      </w:r>
      <w:r>
        <w:rPr>
          <w:b/>
          <w:spacing w:val="-6"/>
          <w:sz w:val="20"/>
        </w:rPr>
        <w:t xml:space="preserve"> </w:t>
      </w:r>
      <w:r>
        <w:rPr>
          <w:b/>
          <w:sz w:val="20"/>
        </w:rPr>
        <w:t>Draft</w:t>
      </w:r>
      <w:r>
        <w:rPr>
          <w:b/>
          <w:spacing w:val="-6"/>
          <w:sz w:val="20"/>
        </w:rPr>
        <w:t xml:space="preserve"> </w:t>
      </w:r>
      <w:r>
        <w:rPr>
          <w:b/>
          <w:sz w:val="20"/>
        </w:rPr>
        <w:t>Guidance</w:t>
      </w:r>
      <w:r>
        <w:rPr>
          <w:b/>
          <w:spacing w:val="-10"/>
          <w:sz w:val="20"/>
        </w:rPr>
        <w:t xml:space="preserve"> </w:t>
      </w:r>
      <w:r>
        <w:rPr>
          <w:b/>
          <w:sz w:val="20"/>
        </w:rPr>
        <w:t>—</w:t>
      </w:r>
      <w:r>
        <w:rPr>
          <w:b/>
          <w:spacing w:val="-5"/>
          <w:sz w:val="20"/>
        </w:rPr>
        <w:t xml:space="preserve"> </w:t>
      </w:r>
      <w:proofErr w:type="spellStart"/>
      <w:r>
        <w:rPr>
          <w:b/>
          <w:sz w:val="20"/>
        </w:rPr>
        <w:t>Isatuximab</w:t>
      </w:r>
      <w:proofErr w:type="spellEnd"/>
      <w:r>
        <w:rPr>
          <w:b/>
          <w:spacing w:val="-12"/>
          <w:sz w:val="20"/>
        </w:rPr>
        <w:t xml:space="preserve"> </w:t>
      </w:r>
      <w:r>
        <w:rPr>
          <w:b/>
          <w:sz w:val="20"/>
        </w:rPr>
        <w:t>with</w:t>
      </w:r>
      <w:r>
        <w:rPr>
          <w:b/>
          <w:spacing w:val="-7"/>
          <w:sz w:val="20"/>
        </w:rPr>
        <w:t xml:space="preserve"> </w:t>
      </w:r>
      <w:r>
        <w:rPr>
          <w:b/>
          <w:sz w:val="20"/>
        </w:rPr>
        <w:t>pomalidomide</w:t>
      </w:r>
      <w:r>
        <w:rPr>
          <w:b/>
          <w:spacing w:val="-11"/>
          <w:sz w:val="20"/>
        </w:rPr>
        <w:t xml:space="preserve"> </w:t>
      </w:r>
      <w:r>
        <w:rPr>
          <w:b/>
          <w:sz w:val="20"/>
        </w:rPr>
        <w:t>and</w:t>
      </w:r>
      <w:r>
        <w:rPr>
          <w:b/>
          <w:spacing w:val="-7"/>
          <w:sz w:val="20"/>
        </w:rPr>
        <w:t xml:space="preserve"> </w:t>
      </w:r>
      <w:r>
        <w:rPr>
          <w:b/>
          <w:sz w:val="20"/>
        </w:rPr>
        <w:t>dexamethasone</w:t>
      </w:r>
      <w:r>
        <w:rPr>
          <w:b/>
          <w:spacing w:val="-6"/>
          <w:sz w:val="20"/>
        </w:rPr>
        <w:t xml:space="preserve"> </w:t>
      </w:r>
      <w:r>
        <w:rPr>
          <w:b/>
          <w:sz w:val="20"/>
        </w:rPr>
        <w:t>for</w:t>
      </w:r>
      <w:r>
        <w:rPr>
          <w:b/>
          <w:spacing w:val="-2"/>
          <w:sz w:val="20"/>
        </w:rPr>
        <w:t xml:space="preserve"> </w:t>
      </w:r>
      <w:r>
        <w:rPr>
          <w:b/>
          <w:sz w:val="20"/>
        </w:rPr>
        <w:t>treating relapsed and refractory multiple myeloma [ID4067]</w:t>
      </w:r>
    </w:p>
    <w:p w14:paraId="150CDB75" w14:textId="77777777" w:rsidR="008956CE" w:rsidRDefault="00063531">
      <w:pPr>
        <w:pStyle w:val="BodyText"/>
        <w:spacing w:before="198" w:line="288" w:lineRule="auto"/>
        <w:ind w:left="1380" w:right="1153"/>
        <w:jc w:val="both"/>
      </w:pPr>
      <w:r>
        <w:t>Thank you for your letter of 4 July 2024, lodging an appeal against the above Final Draft Guidance (FDG).</w:t>
      </w:r>
      <w:r>
        <w:rPr>
          <w:spacing w:val="40"/>
        </w:rPr>
        <w:t xml:space="preserve"> </w:t>
      </w:r>
      <w:r>
        <w:t>Dr Chakravarty is temporarily unavailable and so in accordance with paragraph 3.1 of NICE's Guide</w:t>
      </w:r>
      <w:r>
        <w:rPr>
          <w:spacing w:val="-9"/>
        </w:rPr>
        <w:t xml:space="preserve"> </w:t>
      </w:r>
      <w:r>
        <w:t>to</w:t>
      </w:r>
      <w:r>
        <w:rPr>
          <w:spacing w:val="-9"/>
        </w:rPr>
        <w:t xml:space="preserve"> </w:t>
      </w:r>
      <w:r>
        <w:t>the</w:t>
      </w:r>
      <w:r>
        <w:rPr>
          <w:spacing w:val="-4"/>
        </w:rPr>
        <w:t xml:space="preserve"> </w:t>
      </w:r>
      <w:r>
        <w:t>technology</w:t>
      </w:r>
      <w:r>
        <w:rPr>
          <w:spacing w:val="-3"/>
        </w:rPr>
        <w:t xml:space="preserve"> </w:t>
      </w:r>
      <w:r>
        <w:t>appraisal</w:t>
      </w:r>
      <w:r>
        <w:rPr>
          <w:spacing w:val="-2"/>
        </w:rPr>
        <w:t xml:space="preserve"> </w:t>
      </w:r>
      <w:r>
        <w:t>and</w:t>
      </w:r>
      <w:r>
        <w:rPr>
          <w:spacing w:val="-4"/>
        </w:rPr>
        <w:t xml:space="preserve"> </w:t>
      </w:r>
      <w:r>
        <w:t>highly</w:t>
      </w:r>
      <w:r>
        <w:rPr>
          <w:spacing w:val="-3"/>
        </w:rPr>
        <w:t xml:space="preserve"> </w:t>
      </w:r>
      <w:proofErr w:type="spellStart"/>
      <w:r>
        <w:t>specialised</w:t>
      </w:r>
      <w:proofErr w:type="spellEnd"/>
      <w:r>
        <w:rPr>
          <w:spacing w:val="-9"/>
        </w:rPr>
        <w:t xml:space="preserve"> </w:t>
      </w:r>
      <w:r>
        <w:t>technologies</w:t>
      </w:r>
      <w:r>
        <w:rPr>
          <w:spacing w:val="-3"/>
        </w:rPr>
        <w:t xml:space="preserve"> </w:t>
      </w:r>
      <w:r>
        <w:t>appeal</w:t>
      </w:r>
      <w:r>
        <w:rPr>
          <w:spacing w:val="-3"/>
        </w:rPr>
        <w:t xml:space="preserve"> </w:t>
      </w:r>
      <w:r>
        <w:t>process,</w:t>
      </w:r>
      <w:r>
        <w:rPr>
          <w:spacing w:val="-4"/>
        </w:rPr>
        <w:t xml:space="preserve"> </w:t>
      </w:r>
      <w:r>
        <w:t>I</w:t>
      </w:r>
      <w:r>
        <w:rPr>
          <w:spacing w:val="-9"/>
        </w:rPr>
        <w:t xml:space="preserve"> </w:t>
      </w:r>
      <w:r>
        <w:t>am</w:t>
      </w:r>
      <w:r>
        <w:rPr>
          <w:spacing w:val="-10"/>
        </w:rPr>
        <w:t xml:space="preserve"> </w:t>
      </w:r>
      <w:r>
        <w:t>conducting initial scrutiny on this occasion.</w:t>
      </w:r>
    </w:p>
    <w:p w14:paraId="150CDB76" w14:textId="77777777" w:rsidR="008956CE" w:rsidRDefault="00063531">
      <w:pPr>
        <w:pStyle w:val="BodyText"/>
        <w:spacing w:before="202"/>
        <w:ind w:left="1380"/>
      </w:pPr>
      <w:r>
        <w:rPr>
          <w:spacing w:val="-2"/>
          <w:u w:val="single"/>
        </w:rPr>
        <w:t>Introduction</w:t>
      </w:r>
    </w:p>
    <w:p w14:paraId="150CDB77" w14:textId="77777777" w:rsidR="008956CE" w:rsidRDefault="008956CE">
      <w:pPr>
        <w:pStyle w:val="BodyText"/>
        <w:spacing w:before="15"/>
      </w:pPr>
    </w:p>
    <w:p w14:paraId="150CDB78" w14:textId="77777777" w:rsidR="008956CE" w:rsidRDefault="00063531">
      <w:pPr>
        <w:pStyle w:val="BodyText"/>
        <w:spacing w:line="290" w:lineRule="auto"/>
        <w:ind w:left="1380" w:right="1152"/>
        <w:jc w:val="both"/>
      </w:pPr>
      <w:r>
        <w:t>The Institute's appeal procedures provide for an initial scrutiny of points that an appellant wishes to raise,</w:t>
      </w:r>
      <w:r>
        <w:rPr>
          <w:spacing w:val="-5"/>
        </w:rPr>
        <w:t xml:space="preserve"> </w:t>
      </w:r>
      <w:r>
        <w:t>to provide</w:t>
      </w:r>
      <w:r>
        <w:rPr>
          <w:spacing w:val="-5"/>
        </w:rPr>
        <w:t xml:space="preserve"> </w:t>
      </w:r>
      <w:r>
        <w:t>an</w:t>
      </w:r>
      <w:r>
        <w:rPr>
          <w:spacing w:val="-5"/>
        </w:rPr>
        <w:t xml:space="preserve"> </w:t>
      </w:r>
      <w:r>
        <w:t>initial</w:t>
      </w:r>
      <w:r>
        <w:rPr>
          <w:spacing w:val="-3"/>
        </w:rPr>
        <w:t xml:space="preserve"> </w:t>
      </w:r>
      <w:r>
        <w:t>view</w:t>
      </w:r>
      <w:r>
        <w:rPr>
          <w:spacing w:val="-3"/>
        </w:rPr>
        <w:t xml:space="preserve"> </w:t>
      </w:r>
      <w:r>
        <w:t>on</w:t>
      </w:r>
      <w:r>
        <w:rPr>
          <w:spacing w:val="-5"/>
        </w:rPr>
        <w:t xml:space="preserve"> </w:t>
      </w:r>
      <w:r>
        <w:t>whether</w:t>
      </w:r>
      <w:r>
        <w:rPr>
          <w:spacing w:val="-3"/>
        </w:rPr>
        <w:t xml:space="preserve"> </w:t>
      </w:r>
      <w:r>
        <w:t>they</w:t>
      </w:r>
      <w:r>
        <w:rPr>
          <w:spacing w:val="-4"/>
        </w:rPr>
        <w:t xml:space="preserve"> </w:t>
      </w:r>
      <w:r>
        <w:t>are within the</w:t>
      </w:r>
      <w:r>
        <w:rPr>
          <w:spacing w:val="-5"/>
        </w:rPr>
        <w:t xml:space="preserve"> </w:t>
      </w:r>
      <w:r>
        <w:t>permitted grounds of</w:t>
      </w:r>
      <w:r>
        <w:rPr>
          <w:spacing w:val="-5"/>
        </w:rPr>
        <w:t xml:space="preserve"> </w:t>
      </w:r>
      <w:r>
        <w:t>appeal</w:t>
      </w:r>
      <w:r>
        <w:rPr>
          <w:spacing w:val="-3"/>
        </w:rPr>
        <w:t xml:space="preserve"> </w:t>
      </w:r>
      <w:r>
        <w:t>("valid") and are at least arguable. The permitted grounds of appeal are:</w:t>
      </w:r>
    </w:p>
    <w:p w14:paraId="150CDB79" w14:textId="77777777" w:rsidR="008956CE" w:rsidRDefault="008956CE">
      <w:pPr>
        <w:pStyle w:val="BodyText"/>
        <w:spacing w:before="7"/>
      </w:pPr>
    </w:p>
    <w:p w14:paraId="150CDB7A" w14:textId="77777777" w:rsidR="008956CE" w:rsidRDefault="00063531">
      <w:pPr>
        <w:pStyle w:val="ListParagraph"/>
        <w:numPr>
          <w:ilvl w:val="0"/>
          <w:numId w:val="2"/>
        </w:numPr>
        <w:tabs>
          <w:tab w:val="left" w:pos="2100"/>
        </w:tabs>
        <w:ind w:left="2100" w:hanging="359"/>
        <w:rPr>
          <w:sz w:val="20"/>
        </w:rPr>
      </w:pPr>
      <w:r>
        <w:rPr>
          <w:sz w:val="20"/>
        </w:rPr>
        <w:t>1(a)</w:t>
      </w:r>
      <w:r>
        <w:rPr>
          <w:spacing w:val="-6"/>
          <w:sz w:val="20"/>
        </w:rPr>
        <w:t xml:space="preserve"> </w:t>
      </w:r>
      <w:r>
        <w:rPr>
          <w:sz w:val="20"/>
        </w:rPr>
        <w:t>NICE</w:t>
      </w:r>
      <w:r>
        <w:rPr>
          <w:spacing w:val="-3"/>
          <w:sz w:val="20"/>
        </w:rPr>
        <w:t xml:space="preserve"> </w:t>
      </w:r>
      <w:r>
        <w:rPr>
          <w:sz w:val="20"/>
        </w:rPr>
        <w:t>has failed</w:t>
      </w:r>
      <w:r>
        <w:rPr>
          <w:spacing w:val="-5"/>
          <w:sz w:val="20"/>
        </w:rPr>
        <w:t xml:space="preserve"> </w:t>
      </w:r>
      <w:r>
        <w:rPr>
          <w:sz w:val="20"/>
        </w:rPr>
        <w:t>to</w:t>
      </w:r>
      <w:r>
        <w:rPr>
          <w:spacing w:val="-5"/>
          <w:sz w:val="20"/>
        </w:rPr>
        <w:t xml:space="preserve"> </w:t>
      </w:r>
      <w:r>
        <w:rPr>
          <w:sz w:val="20"/>
        </w:rPr>
        <w:t>act</w:t>
      </w:r>
      <w:r>
        <w:rPr>
          <w:spacing w:val="-5"/>
          <w:sz w:val="20"/>
        </w:rPr>
        <w:t xml:space="preserve"> </w:t>
      </w:r>
      <w:r>
        <w:rPr>
          <w:sz w:val="20"/>
        </w:rPr>
        <w:t>fairly,</w:t>
      </w:r>
      <w:r>
        <w:rPr>
          <w:spacing w:val="-5"/>
          <w:sz w:val="20"/>
        </w:rPr>
        <w:t xml:space="preserve"> or</w:t>
      </w:r>
    </w:p>
    <w:p w14:paraId="150CDB7B" w14:textId="77777777" w:rsidR="008956CE" w:rsidRDefault="008956CE">
      <w:pPr>
        <w:pStyle w:val="BodyText"/>
        <w:spacing w:before="5"/>
      </w:pPr>
    </w:p>
    <w:p w14:paraId="150CDB7C" w14:textId="77777777" w:rsidR="008956CE" w:rsidRDefault="00063531">
      <w:pPr>
        <w:pStyle w:val="ListParagraph"/>
        <w:numPr>
          <w:ilvl w:val="0"/>
          <w:numId w:val="2"/>
        </w:numPr>
        <w:tabs>
          <w:tab w:val="left" w:pos="2100"/>
        </w:tabs>
        <w:ind w:left="2100" w:hanging="359"/>
        <w:rPr>
          <w:sz w:val="20"/>
        </w:rPr>
      </w:pPr>
      <w:r>
        <w:rPr>
          <w:sz w:val="20"/>
        </w:rPr>
        <w:t>1(b)</w:t>
      </w:r>
      <w:r>
        <w:rPr>
          <w:spacing w:val="-9"/>
          <w:sz w:val="20"/>
        </w:rPr>
        <w:t xml:space="preserve"> </w:t>
      </w:r>
      <w:r>
        <w:rPr>
          <w:sz w:val="20"/>
        </w:rPr>
        <w:t>NICE</w:t>
      </w:r>
      <w:r>
        <w:rPr>
          <w:spacing w:val="-5"/>
          <w:sz w:val="20"/>
        </w:rPr>
        <w:t xml:space="preserve"> </w:t>
      </w:r>
      <w:r>
        <w:rPr>
          <w:sz w:val="20"/>
        </w:rPr>
        <w:t>has</w:t>
      </w:r>
      <w:r>
        <w:rPr>
          <w:spacing w:val="-3"/>
          <w:sz w:val="20"/>
        </w:rPr>
        <w:t xml:space="preserve"> </w:t>
      </w:r>
      <w:r>
        <w:rPr>
          <w:sz w:val="20"/>
        </w:rPr>
        <w:t>exceeded</w:t>
      </w:r>
      <w:r>
        <w:rPr>
          <w:spacing w:val="-8"/>
          <w:sz w:val="20"/>
        </w:rPr>
        <w:t xml:space="preserve"> </w:t>
      </w:r>
      <w:proofErr w:type="gramStart"/>
      <w:r>
        <w:rPr>
          <w:spacing w:val="-2"/>
          <w:sz w:val="20"/>
        </w:rPr>
        <w:t>powers;</w:t>
      </w:r>
      <w:proofErr w:type="gramEnd"/>
    </w:p>
    <w:p w14:paraId="150CDB7D" w14:textId="77777777" w:rsidR="008956CE" w:rsidRDefault="008956CE">
      <w:pPr>
        <w:pStyle w:val="BodyText"/>
        <w:spacing w:before="10"/>
      </w:pPr>
    </w:p>
    <w:p w14:paraId="150CDB7E" w14:textId="77777777" w:rsidR="008956CE" w:rsidRDefault="00063531">
      <w:pPr>
        <w:pStyle w:val="ListParagraph"/>
        <w:numPr>
          <w:ilvl w:val="0"/>
          <w:numId w:val="2"/>
        </w:numPr>
        <w:tabs>
          <w:tab w:val="left" w:pos="2100"/>
        </w:tabs>
        <w:ind w:left="2100" w:hanging="359"/>
        <w:rPr>
          <w:sz w:val="20"/>
        </w:rPr>
      </w:pPr>
      <w:r>
        <w:rPr>
          <w:sz w:val="20"/>
        </w:rPr>
        <w:t>(2)</w:t>
      </w:r>
      <w:r>
        <w:rPr>
          <w:spacing w:val="-11"/>
          <w:sz w:val="20"/>
        </w:rPr>
        <w:t xml:space="preserve"> </w:t>
      </w:r>
      <w:r>
        <w:rPr>
          <w:sz w:val="20"/>
        </w:rPr>
        <w:t>the</w:t>
      </w:r>
      <w:r>
        <w:rPr>
          <w:spacing w:val="-10"/>
          <w:sz w:val="20"/>
        </w:rPr>
        <w:t xml:space="preserve"> </w:t>
      </w:r>
      <w:r>
        <w:rPr>
          <w:sz w:val="20"/>
        </w:rPr>
        <w:t>recommendation</w:t>
      </w:r>
      <w:r>
        <w:rPr>
          <w:spacing w:val="-10"/>
          <w:sz w:val="20"/>
        </w:rPr>
        <w:t xml:space="preserve"> </w:t>
      </w:r>
      <w:r>
        <w:rPr>
          <w:sz w:val="20"/>
        </w:rPr>
        <w:t>is</w:t>
      </w:r>
      <w:r>
        <w:rPr>
          <w:spacing w:val="-10"/>
          <w:sz w:val="20"/>
        </w:rPr>
        <w:t xml:space="preserve"> </w:t>
      </w:r>
      <w:r>
        <w:rPr>
          <w:sz w:val="20"/>
        </w:rPr>
        <w:t>unreasonable</w:t>
      </w:r>
      <w:r>
        <w:rPr>
          <w:spacing w:val="-9"/>
          <w:sz w:val="20"/>
        </w:rPr>
        <w:t xml:space="preserve"> </w:t>
      </w:r>
      <w:r>
        <w:rPr>
          <w:sz w:val="20"/>
        </w:rPr>
        <w:t>in</w:t>
      </w:r>
      <w:r>
        <w:rPr>
          <w:spacing w:val="-6"/>
          <w:sz w:val="20"/>
        </w:rPr>
        <w:t xml:space="preserve"> </w:t>
      </w:r>
      <w:r>
        <w:rPr>
          <w:sz w:val="20"/>
        </w:rPr>
        <w:t>the</w:t>
      </w:r>
      <w:r>
        <w:rPr>
          <w:spacing w:val="-10"/>
          <w:sz w:val="20"/>
        </w:rPr>
        <w:t xml:space="preserve"> </w:t>
      </w:r>
      <w:r>
        <w:rPr>
          <w:sz w:val="20"/>
        </w:rPr>
        <w:t>light</w:t>
      </w:r>
      <w:r>
        <w:rPr>
          <w:spacing w:val="-11"/>
          <w:sz w:val="20"/>
        </w:rPr>
        <w:t xml:space="preserve"> </w:t>
      </w:r>
      <w:r>
        <w:rPr>
          <w:sz w:val="20"/>
        </w:rPr>
        <w:t>of</w:t>
      </w:r>
      <w:r>
        <w:rPr>
          <w:spacing w:val="-10"/>
          <w:sz w:val="20"/>
        </w:rPr>
        <w:t xml:space="preserve"> </w:t>
      </w:r>
      <w:r>
        <w:rPr>
          <w:sz w:val="20"/>
        </w:rPr>
        <w:t>the</w:t>
      </w:r>
      <w:r>
        <w:rPr>
          <w:spacing w:val="-6"/>
          <w:sz w:val="20"/>
        </w:rPr>
        <w:t xml:space="preserve"> </w:t>
      </w:r>
      <w:r>
        <w:rPr>
          <w:sz w:val="20"/>
        </w:rPr>
        <w:t>evidence</w:t>
      </w:r>
      <w:r>
        <w:rPr>
          <w:spacing w:val="-6"/>
          <w:sz w:val="20"/>
        </w:rPr>
        <w:t xml:space="preserve"> </w:t>
      </w:r>
      <w:r>
        <w:rPr>
          <w:sz w:val="20"/>
        </w:rPr>
        <w:t>submitted</w:t>
      </w:r>
      <w:r>
        <w:rPr>
          <w:spacing w:val="-10"/>
          <w:sz w:val="20"/>
        </w:rPr>
        <w:t xml:space="preserve"> </w:t>
      </w:r>
      <w:r>
        <w:rPr>
          <w:sz w:val="20"/>
        </w:rPr>
        <w:t>to</w:t>
      </w:r>
      <w:r>
        <w:rPr>
          <w:spacing w:val="-11"/>
          <w:sz w:val="20"/>
        </w:rPr>
        <w:t xml:space="preserve"> </w:t>
      </w:r>
      <w:r>
        <w:rPr>
          <w:spacing w:val="-2"/>
          <w:sz w:val="20"/>
        </w:rPr>
        <w:t>NICE.</w:t>
      </w:r>
    </w:p>
    <w:p w14:paraId="150CDB7F" w14:textId="77777777" w:rsidR="008956CE" w:rsidRDefault="008956CE">
      <w:pPr>
        <w:pStyle w:val="BodyText"/>
        <w:spacing w:before="9"/>
      </w:pPr>
    </w:p>
    <w:p w14:paraId="150CDB80" w14:textId="77777777" w:rsidR="008956CE" w:rsidRDefault="00063531">
      <w:pPr>
        <w:pStyle w:val="BodyText"/>
        <w:spacing w:line="288" w:lineRule="auto"/>
        <w:ind w:left="1380" w:right="1154"/>
        <w:jc w:val="both"/>
      </w:pPr>
      <w:r>
        <w:t>This letter sets out my initial view of the points of appeal you have raised: principally whether they fall within</w:t>
      </w:r>
      <w:r>
        <w:rPr>
          <w:spacing w:val="-3"/>
        </w:rPr>
        <w:t xml:space="preserve"> </w:t>
      </w:r>
      <w:r>
        <w:t>any of</w:t>
      </w:r>
      <w:r>
        <w:rPr>
          <w:spacing w:val="-4"/>
        </w:rPr>
        <w:t xml:space="preserve"> </w:t>
      </w:r>
      <w:r>
        <w:t>the</w:t>
      </w:r>
      <w:r>
        <w:rPr>
          <w:spacing w:val="-4"/>
        </w:rPr>
        <w:t xml:space="preserve"> </w:t>
      </w:r>
      <w:r>
        <w:t>grounds</w:t>
      </w:r>
      <w:r>
        <w:rPr>
          <w:spacing w:val="-3"/>
        </w:rPr>
        <w:t xml:space="preserve"> </w:t>
      </w:r>
      <w:r>
        <w:t>of appeal, or</w:t>
      </w:r>
      <w:r>
        <w:rPr>
          <w:spacing w:val="-4"/>
        </w:rPr>
        <w:t xml:space="preserve"> </w:t>
      </w:r>
      <w:r>
        <w:t>whether further clarification</w:t>
      </w:r>
      <w:r>
        <w:rPr>
          <w:spacing w:val="-4"/>
        </w:rPr>
        <w:t xml:space="preserve"> </w:t>
      </w:r>
      <w:r>
        <w:t>is required of any</w:t>
      </w:r>
      <w:r>
        <w:rPr>
          <w:spacing w:val="-3"/>
        </w:rPr>
        <w:t xml:space="preserve"> </w:t>
      </w:r>
      <w:r>
        <w:t>point.</w:t>
      </w:r>
      <w:r>
        <w:rPr>
          <w:spacing w:val="-4"/>
        </w:rPr>
        <w:t xml:space="preserve"> </w:t>
      </w:r>
      <w:r>
        <w:t>Only</w:t>
      </w:r>
      <w:r>
        <w:rPr>
          <w:spacing w:val="-2"/>
        </w:rPr>
        <w:t xml:space="preserve"> </w:t>
      </w:r>
      <w:r>
        <w:t>if</w:t>
      </w:r>
      <w:r>
        <w:rPr>
          <w:spacing w:val="-3"/>
        </w:rPr>
        <w:t xml:space="preserve"> </w:t>
      </w:r>
      <w:r>
        <w:t>I am satisfied</w:t>
      </w:r>
      <w:r>
        <w:rPr>
          <w:spacing w:val="-5"/>
        </w:rPr>
        <w:t xml:space="preserve"> </w:t>
      </w:r>
      <w:r>
        <w:t>that</w:t>
      </w:r>
      <w:r>
        <w:rPr>
          <w:spacing w:val="-4"/>
        </w:rPr>
        <w:t xml:space="preserve"> </w:t>
      </w:r>
      <w:r>
        <w:t>your</w:t>
      </w:r>
      <w:r>
        <w:rPr>
          <w:spacing w:val="-5"/>
        </w:rPr>
        <w:t xml:space="preserve"> </w:t>
      </w:r>
      <w:r>
        <w:t>points</w:t>
      </w:r>
      <w:r>
        <w:rPr>
          <w:spacing w:val="-4"/>
        </w:rPr>
        <w:t xml:space="preserve"> </w:t>
      </w:r>
      <w:r>
        <w:t>contain</w:t>
      </w:r>
      <w:r>
        <w:rPr>
          <w:spacing w:val="-4"/>
        </w:rPr>
        <w:t xml:space="preserve"> </w:t>
      </w:r>
      <w:r>
        <w:t>the necessary</w:t>
      </w:r>
      <w:r>
        <w:rPr>
          <w:spacing w:val="-4"/>
        </w:rPr>
        <w:t xml:space="preserve"> </w:t>
      </w:r>
      <w:r>
        <w:t>information,</w:t>
      </w:r>
      <w:r>
        <w:rPr>
          <w:spacing w:val="-5"/>
        </w:rPr>
        <w:t xml:space="preserve"> </w:t>
      </w:r>
      <w:r>
        <w:t>are</w:t>
      </w:r>
      <w:r>
        <w:rPr>
          <w:spacing w:val="-5"/>
        </w:rPr>
        <w:t xml:space="preserve"> </w:t>
      </w:r>
      <w:r>
        <w:t>arguable,</w:t>
      </w:r>
      <w:r>
        <w:rPr>
          <w:spacing w:val="-5"/>
        </w:rPr>
        <w:t xml:space="preserve"> </w:t>
      </w:r>
      <w:r>
        <w:t>and</w:t>
      </w:r>
      <w:r>
        <w:rPr>
          <w:spacing w:val="-4"/>
        </w:rPr>
        <w:t xml:space="preserve"> </w:t>
      </w:r>
      <w:r>
        <w:t>fall</w:t>
      </w:r>
      <w:r>
        <w:rPr>
          <w:spacing w:val="-2"/>
        </w:rPr>
        <w:t xml:space="preserve"> </w:t>
      </w:r>
      <w:r>
        <w:t>within</w:t>
      </w:r>
      <w:r>
        <w:rPr>
          <w:spacing w:val="-4"/>
        </w:rPr>
        <w:t xml:space="preserve"> </w:t>
      </w:r>
      <w:r>
        <w:t>any one</w:t>
      </w:r>
      <w:r>
        <w:rPr>
          <w:spacing w:val="-5"/>
        </w:rPr>
        <w:t xml:space="preserve"> </w:t>
      </w:r>
      <w:r>
        <w:t>of</w:t>
      </w:r>
      <w:r>
        <w:rPr>
          <w:spacing w:val="-5"/>
        </w:rPr>
        <w:t xml:space="preserve"> </w:t>
      </w:r>
      <w:r>
        <w:t>the grounds will your appeal be referred to the Appeal Panel.</w:t>
      </w:r>
    </w:p>
    <w:p w14:paraId="150CDB81" w14:textId="77777777" w:rsidR="008956CE" w:rsidRDefault="00063531">
      <w:pPr>
        <w:pStyle w:val="BodyText"/>
        <w:spacing w:before="201" w:line="288" w:lineRule="auto"/>
        <w:ind w:left="1380" w:right="1159"/>
        <w:jc w:val="both"/>
      </w:pPr>
      <w:r>
        <w:t xml:space="preserve">You </w:t>
      </w:r>
      <w:proofErr w:type="gramStart"/>
      <w:r>
        <w:t>have the opportunity to</w:t>
      </w:r>
      <w:proofErr w:type="gramEnd"/>
      <w:r>
        <w:t xml:space="preserve"> comment on this letter in order to elaborate on or clarify any of the points raised</w:t>
      </w:r>
      <w:r>
        <w:rPr>
          <w:spacing w:val="-5"/>
        </w:rPr>
        <w:t xml:space="preserve"> </w:t>
      </w:r>
      <w:r>
        <w:t>before</w:t>
      </w:r>
      <w:r>
        <w:rPr>
          <w:spacing w:val="-5"/>
        </w:rPr>
        <w:t xml:space="preserve"> </w:t>
      </w:r>
      <w:r>
        <w:t>I</w:t>
      </w:r>
      <w:r>
        <w:rPr>
          <w:spacing w:val="-5"/>
        </w:rPr>
        <w:t xml:space="preserve"> </w:t>
      </w:r>
      <w:r>
        <w:t>will</w:t>
      </w:r>
      <w:r>
        <w:rPr>
          <w:spacing w:val="-2"/>
        </w:rPr>
        <w:t xml:space="preserve"> </w:t>
      </w:r>
      <w:r>
        <w:t>make my</w:t>
      </w:r>
      <w:r>
        <w:rPr>
          <w:spacing w:val="-4"/>
        </w:rPr>
        <w:t xml:space="preserve"> </w:t>
      </w:r>
      <w:r>
        <w:t>final</w:t>
      </w:r>
      <w:r>
        <w:rPr>
          <w:spacing w:val="-3"/>
        </w:rPr>
        <w:t xml:space="preserve"> </w:t>
      </w:r>
      <w:r>
        <w:t>decision</w:t>
      </w:r>
      <w:r>
        <w:rPr>
          <w:spacing w:val="-5"/>
        </w:rPr>
        <w:t xml:space="preserve"> </w:t>
      </w:r>
      <w:r>
        <w:t>as</w:t>
      </w:r>
      <w:r>
        <w:rPr>
          <w:spacing w:val="-4"/>
        </w:rPr>
        <w:t xml:space="preserve"> </w:t>
      </w:r>
      <w:r>
        <w:t>to</w:t>
      </w:r>
      <w:r>
        <w:rPr>
          <w:spacing w:val="-5"/>
        </w:rPr>
        <w:t xml:space="preserve"> </w:t>
      </w:r>
      <w:r>
        <w:t>whether</w:t>
      </w:r>
      <w:r>
        <w:rPr>
          <w:spacing w:val="-5"/>
        </w:rPr>
        <w:t xml:space="preserve"> </w:t>
      </w:r>
      <w:r>
        <w:t>each</w:t>
      </w:r>
      <w:r>
        <w:rPr>
          <w:spacing w:val="-5"/>
        </w:rPr>
        <w:t xml:space="preserve"> </w:t>
      </w:r>
      <w:r>
        <w:t>appeal</w:t>
      </w:r>
      <w:r>
        <w:rPr>
          <w:spacing w:val="-3"/>
        </w:rPr>
        <w:t xml:space="preserve"> </w:t>
      </w:r>
      <w:r>
        <w:t>point</w:t>
      </w:r>
      <w:r>
        <w:rPr>
          <w:spacing w:val="-5"/>
        </w:rPr>
        <w:t xml:space="preserve"> </w:t>
      </w:r>
      <w:r>
        <w:t>should</w:t>
      </w:r>
      <w:r>
        <w:rPr>
          <w:spacing w:val="-4"/>
        </w:rPr>
        <w:t xml:space="preserve"> </w:t>
      </w:r>
      <w:r>
        <w:t>be</w:t>
      </w:r>
      <w:r>
        <w:rPr>
          <w:spacing w:val="-5"/>
        </w:rPr>
        <w:t xml:space="preserve"> </w:t>
      </w:r>
      <w:r>
        <w:t>referred</w:t>
      </w:r>
      <w:r>
        <w:rPr>
          <w:spacing w:val="-5"/>
        </w:rPr>
        <w:t xml:space="preserve"> </w:t>
      </w:r>
      <w:r>
        <w:t>on</w:t>
      </w:r>
      <w:r>
        <w:rPr>
          <w:spacing w:val="-5"/>
        </w:rPr>
        <w:t xml:space="preserve"> </w:t>
      </w:r>
      <w:r>
        <w:t>to</w:t>
      </w:r>
      <w:r>
        <w:rPr>
          <w:spacing w:val="-5"/>
        </w:rPr>
        <w:t xml:space="preserve"> </w:t>
      </w:r>
      <w:r>
        <w:t>the Appeal Panel.</w:t>
      </w:r>
    </w:p>
    <w:p w14:paraId="150CDB82" w14:textId="77777777" w:rsidR="008956CE" w:rsidRDefault="00063531">
      <w:pPr>
        <w:pStyle w:val="BodyText"/>
        <w:spacing w:before="198"/>
        <w:ind w:left="1380"/>
        <w:jc w:val="both"/>
      </w:pPr>
      <w:r>
        <w:rPr>
          <w:u w:val="single"/>
        </w:rPr>
        <w:t>Initial</w:t>
      </w:r>
      <w:r>
        <w:rPr>
          <w:spacing w:val="-7"/>
          <w:u w:val="single"/>
        </w:rPr>
        <w:t xml:space="preserve"> </w:t>
      </w:r>
      <w:r>
        <w:rPr>
          <w:spacing w:val="-4"/>
          <w:u w:val="single"/>
        </w:rPr>
        <w:t>View</w:t>
      </w:r>
    </w:p>
    <w:p w14:paraId="150CDB83" w14:textId="77777777" w:rsidR="008956CE" w:rsidRDefault="008956CE">
      <w:pPr>
        <w:pStyle w:val="BodyText"/>
        <w:spacing w:before="15"/>
      </w:pPr>
    </w:p>
    <w:p w14:paraId="150CDB84" w14:textId="77777777" w:rsidR="008956CE" w:rsidRDefault="00063531">
      <w:pPr>
        <w:pStyle w:val="BodyText"/>
        <w:ind w:left="1380"/>
      </w:pPr>
      <w:r>
        <w:t>I</w:t>
      </w:r>
      <w:r>
        <w:rPr>
          <w:spacing w:val="-4"/>
        </w:rPr>
        <w:t xml:space="preserve"> </w:t>
      </w:r>
      <w:r>
        <w:t>assess</w:t>
      </w:r>
      <w:r>
        <w:rPr>
          <w:spacing w:val="-3"/>
        </w:rPr>
        <w:t xml:space="preserve"> </w:t>
      </w:r>
      <w:r>
        <w:t>each</w:t>
      </w:r>
      <w:r>
        <w:rPr>
          <w:spacing w:val="-3"/>
        </w:rPr>
        <w:t xml:space="preserve"> </w:t>
      </w:r>
      <w:r>
        <w:t>of</w:t>
      </w:r>
      <w:r>
        <w:rPr>
          <w:spacing w:val="-4"/>
        </w:rPr>
        <w:t xml:space="preserve"> </w:t>
      </w:r>
      <w:r>
        <w:t>your</w:t>
      </w:r>
      <w:r>
        <w:rPr>
          <w:spacing w:val="-3"/>
        </w:rPr>
        <w:t xml:space="preserve"> </w:t>
      </w:r>
      <w:r>
        <w:t>points</w:t>
      </w:r>
      <w:r>
        <w:rPr>
          <w:spacing w:val="-3"/>
        </w:rPr>
        <w:t xml:space="preserve"> </w:t>
      </w:r>
      <w:r>
        <w:t>in</w:t>
      </w:r>
      <w:r>
        <w:rPr>
          <w:spacing w:val="-3"/>
        </w:rPr>
        <w:t xml:space="preserve"> </w:t>
      </w:r>
      <w:r>
        <w:rPr>
          <w:spacing w:val="-2"/>
        </w:rPr>
        <w:t>turn.</w:t>
      </w:r>
    </w:p>
    <w:p w14:paraId="150CDB85" w14:textId="77777777" w:rsidR="008956CE" w:rsidRDefault="008956CE">
      <w:pPr>
        <w:pStyle w:val="BodyText"/>
        <w:spacing w:before="20"/>
      </w:pPr>
    </w:p>
    <w:p w14:paraId="150CDB86" w14:textId="77777777" w:rsidR="008956CE" w:rsidRDefault="00063531">
      <w:pPr>
        <w:ind w:left="1380" w:right="1124"/>
        <w:rPr>
          <w:b/>
          <w:i/>
          <w:sz w:val="20"/>
        </w:rPr>
      </w:pPr>
      <w:r>
        <w:rPr>
          <w:b/>
          <w:i/>
          <w:color w:val="333333"/>
          <w:sz w:val="20"/>
        </w:rPr>
        <w:t>Ground</w:t>
      </w:r>
      <w:r>
        <w:rPr>
          <w:b/>
          <w:i/>
          <w:color w:val="333333"/>
          <w:spacing w:val="-1"/>
          <w:sz w:val="20"/>
        </w:rPr>
        <w:t xml:space="preserve"> </w:t>
      </w:r>
      <w:r>
        <w:rPr>
          <w:b/>
          <w:i/>
          <w:color w:val="333333"/>
          <w:sz w:val="20"/>
        </w:rPr>
        <w:t>1(a):</w:t>
      </w:r>
      <w:r>
        <w:rPr>
          <w:b/>
          <w:i/>
          <w:color w:val="333333"/>
          <w:spacing w:val="-5"/>
          <w:sz w:val="20"/>
        </w:rPr>
        <w:t xml:space="preserve"> </w:t>
      </w:r>
      <w:r>
        <w:rPr>
          <w:b/>
          <w:i/>
          <w:color w:val="333333"/>
          <w:sz w:val="20"/>
        </w:rPr>
        <w:t>In</w:t>
      </w:r>
      <w:r>
        <w:rPr>
          <w:b/>
          <w:i/>
          <w:color w:val="333333"/>
          <w:spacing w:val="-6"/>
          <w:sz w:val="20"/>
        </w:rPr>
        <w:t xml:space="preserve"> </w:t>
      </w:r>
      <w:r>
        <w:rPr>
          <w:b/>
          <w:i/>
          <w:color w:val="333333"/>
          <w:sz w:val="20"/>
        </w:rPr>
        <w:t>making</w:t>
      </w:r>
      <w:r>
        <w:rPr>
          <w:b/>
          <w:i/>
          <w:color w:val="333333"/>
          <w:spacing w:val="-6"/>
          <w:sz w:val="20"/>
        </w:rPr>
        <w:t xml:space="preserve"> </w:t>
      </w:r>
      <w:r>
        <w:rPr>
          <w:b/>
          <w:i/>
          <w:color w:val="333333"/>
          <w:sz w:val="20"/>
        </w:rPr>
        <w:t>the</w:t>
      </w:r>
      <w:r>
        <w:rPr>
          <w:b/>
          <w:i/>
          <w:color w:val="333333"/>
          <w:spacing w:val="-5"/>
          <w:sz w:val="20"/>
        </w:rPr>
        <w:t xml:space="preserve"> </w:t>
      </w:r>
      <w:r>
        <w:rPr>
          <w:b/>
          <w:i/>
          <w:color w:val="333333"/>
          <w:sz w:val="20"/>
        </w:rPr>
        <w:t>assessment</w:t>
      </w:r>
      <w:r>
        <w:rPr>
          <w:b/>
          <w:i/>
          <w:color w:val="333333"/>
          <w:spacing w:val="-5"/>
          <w:sz w:val="20"/>
        </w:rPr>
        <w:t xml:space="preserve"> </w:t>
      </w:r>
      <w:r>
        <w:rPr>
          <w:b/>
          <w:i/>
          <w:color w:val="333333"/>
          <w:sz w:val="20"/>
        </w:rPr>
        <w:t>that preceded</w:t>
      </w:r>
      <w:r>
        <w:rPr>
          <w:b/>
          <w:i/>
          <w:color w:val="333333"/>
          <w:spacing w:val="-1"/>
          <w:sz w:val="20"/>
        </w:rPr>
        <w:t xml:space="preserve"> </w:t>
      </w:r>
      <w:r>
        <w:rPr>
          <w:b/>
          <w:i/>
          <w:color w:val="333333"/>
          <w:sz w:val="20"/>
        </w:rPr>
        <w:t>the</w:t>
      </w:r>
      <w:r>
        <w:rPr>
          <w:b/>
          <w:i/>
          <w:color w:val="333333"/>
          <w:spacing w:val="-5"/>
          <w:sz w:val="20"/>
        </w:rPr>
        <w:t xml:space="preserve"> </w:t>
      </w:r>
      <w:r>
        <w:rPr>
          <w:b/>
          <w:i/>
          <w:color w:val="333333"/>
          <w:sz w:val="20"/>
        </w:rPr>
        <w:t>recommendation,</w:t>
      </w:r>
      <w:r>
        <w:rPr>
          <w:b/>
          <w:i/>
          <w:color w:val="333333"/>
          <w:spacing w:val="-5"/>
          <w:sz w:val="20"/>
        </w:rPr>
        <w:t xml:space="preserve"> </w:t>
      </w:r>
      <w:r>
        <w:rPr>
          <w:b/>
          <w:i/>
          <w:color w:val="333333"/>
          <w:sz w:val="20"/>
        </w:rPr>
        <w:t>NICE</w:t>
      </w:r>
      <w:r>
        <w:rPr>
          <w:b/>
          <w:i/>
          <w:color w:val="333333"/>
          <w:spacing w:val="-2"/>
          <w:sz w:val="20"/>
        </w:rPr>
        <w:t xml:space="preserve"> </w:t>
      </w:r>
      <w:r>
        <w:rPr>
          <w:b/>
          <w:i/>
          <w:color w:val="333333"/>
          <w:sz w:val="20"/>
        </w:rPr>
        <w:t>has failed</w:t>
      </w:r>
      <w:r>
        <w:rPr>
          <w:b/>
          <w:i/>
          <w:color w:val="333333"/>
          <w:spacing w:val="-6"/>
          <w:sz w:val="20"/>
        </w:rPr>
        <w:t xml:space="preserve"> </w:t>
      </w:r>
      <w:r>
        <w:rPr>
          <w:b/>
          <w:i/>
          <w:color w:val="333333"/>
          <w:sz w:val="20"/>
        </w:rPr>
        <w:t>to</w:t>
      </w:r>
      <w:r>
        <w:rPr>
          <w:b/>
          <w:i/>
          <w:color w:val="333333"/>
          <w:sz w:val="20"/>
        </w:rPr>
        <w:t xml:space="preserve"> act fairly</w:t>
      </w:r>
    </w:p>
    <w:p w14:paraId="150CDB87" w14:textId="77777777" w:rsidR="008956CE" w:rsidRDefault="008956CE">
      <w:pPr>
        <w:rPr>
          <w:sz w:val="20"/>
        </w:rPr>
        <w:sectPr w:rsidR="008956CE">
          <w:footerReference w:type="default" r:id="rId11"/>
          <w:type w:val="continuous"/>
          <w:pgSz w:w="11910" w:h="16840"/>
          <w:pgMar w:top="1060" w:right="260" w:bottom="1100" w:left="40" w:header="0" w:footer="913" w:gutter="0"/>
          <w:pgNumType w:start="1"/>
          <w:cols w:space="720"/>
        </w:sectPr>
      </w:pPr>
    </w:p>
    <w:p w14:paraId="150CDB88" w14:textId="77777777" w:rsidR="008956CE" w:rsidRDefault="00063531">
      <w:pPr>
        <w:pStyle w:val="Heading1"/>
        <w:spacing w:before="73" w:line="273" w:lineRule="auto"/>
        <w:ind w:right="1161"/>
        <w:rPr>
          <w:u w:val="none"/>
        </w:rPr>
      </w:pPr>
      <w:r>
        <w:lastRenderedPageBreak/>
        <w:t xml:space="preserve">Appeal </w:t>
      </w:r>
      <w:proofErr w:type="gramStart"/>
      <w:r>
        <w:t>point</w:t>
      </w:r>
      <w:proofErr w:type="gramEnd"/>
      <w:r>
        <w:t xml:space="preserve"> 1(a).1: There is no indication that the Appraisal Committee understood that</w:t>
      </w:r>
      <w:r>
        <w:rPr>
          <w:u w:val="none"/>
        </w:rPr>
        <w:t xml:space="preserve"> </w:t>
      </w:r>
      <w:r>
        <w:t xml:space="preserve">applying NICE’s standard methodology means that </w:t>
      </w:r>
      <w:proofErr w:type="spellStart"/>
      <w:r>
        <w:t>isatuximab</w:t>
      </w:r>
      <w:proofErr w:type="spellEnd"/>
      <w:r>
        <w:t xml:space="preserve"> cannot be cost effective even at</w:t>
      </w:r>
      <w:r>
        <w:rPr>
          <w:u w:val="none"/>
        </w:rPr>
        <w:t xml:space="preserve"> </w:t>
      </w:r>
      <w:r>
        <w:t>zero price</w:t>
      </w:r>
    </w:p>
    <w:p w14:paraId="150CDB89" w14:textId="77777777" w:rsidR="008956CE" w:rsidRDefault="008956CE">
      <w:pPr>
        <w:pStyle w:val="BodyText"/>
        <w:spacing w:before="13"/>
        <w:rPr>
          <w:b/>
        </w:rPr>
      </w:pPr>
    </w:p>
    <w:p w14:paraId="150CDB8A" w14:textId="77777777" w:rsidR="008956CE" w:rsidRDefault="00063531">
      <w:pPr>
        <w:pStyle w:val="BodyText"/>
        <w:spacing w:before="1"/>
        <w:ind w:left="1380"/>
        <w:jc w:val="both"/>
      </w:pPr>
      <w:r>
        <w:t>I</w:t>
      </w:r>
      <w:r>
        <w:rPr>
          <w:spacing w:val="-7"/>
        </w:rPr>
        <w:t xml:space="preserve"> </w:t>
      </w:r>
      <w:r>
        <w:t>am</w:t>
      </w:r>
      <w:r>
        <w:rPr>
          <w:spacing w:val="-4"/>
        </w:rPr>
        <w:t xml:space="preserve"> </w:t>
      </w:r>
      <w:r>
        <w:t>not</w:t>
      </w:r>
      <w:r>
        <w:rPr>
          <w:spacing w:val="-3"/>
        </w:rPr>
        <w:t xml:space="preserve"> </w:t>
      </w:r>
      <w:r>
        <w:t>minded</w:t>
      </w:r>
      <w:r>
        <w:rPr>
          <w:spacing w:val="-3"/>
        </w:rPr>
        <w:t xml:space="preserve"> </w:t>
      </w:r>
      <w:proofErr w:type="gramStart"/>
      <w:r>
        <w:t>to refer</w:t>
      </w:r>
      <w:proofErr w:type="gramEnd"/>
      <w:r>
        <w:rPr>
          <w:spacing w:val="-4"/>
        </w:rPr>
        <w:t xml:space="preserve"> </w:t>
      </w:r>
      <w:r>
        <w:t>this</w:t>
      </w:r>
      <w:r>
        <w:rPr>
          <w:spacing w:val="-3"/>
        </w:rPr>
        <w:t xml:space="preserve"> </w:t>
      </w:r>
      <w:r>
        <w:t>appeal</w:t>
      </w:r>
      <w:r>
        <w:rPr>
          <w:spacing w:val="2"/>
        </w:rPr>
        <w:t xml:space="preserve"> </w:t>
      </w:r>
      <w:r>
        <w:t>point</w:t>
      </w:r>
      <w:r>
        <w:rPr>
          <w:spacing w:val="-4"/>
        </w:rPr>
        <w:t xml:space="preserve"> </w:t>
      </w:r>
      <w:r>
        <w:t>to</w:t>
      </w:r>
      <w:r>
        <w:rPr>
          <w:spacing w:val="-2"/>
        </w:rPr>
        <w:t xml:space="preserve"> </w:t>
      </w:r>
      <w:r>
        <w:t>the</w:t>
      </w:r>
      <w:r>
        <w:rPr>
          <w:spacing w:val="-4"/>
        </w:rPr>
        <w:t xml:space="preserve"> </w:t>
      </w:r>
      <w:r>
        <w:t>Appeal</w:t>
      </w:r>
      <w:r>
        <w:rPr>
          <w:spacing w:val="-2"/>
        </w:rPr>
        <w:t xml:space="preserve"> Panel.</w:t>
      </w:r>
    </w:p>
    <w:p w14:paraId="150CDB8B" w14:textId="77777777" w:rsidR="008956CE" w:rsidRDefault="008956CE">
      <w:pPr>
        <w:pStyle w:val="BodyText"/>
        <w:spacing w:before="14"/>
      </w:pPr>
    </w:p>
    <w:p w14:paraId="150CDB8C" w14:textId="77777777" w:rsidR="008956CE" w:rsidRDefault="00063531">
      <w:pPr>
        <w:spacing w:before="1" w:line="288" w:lineRule="auto"/>
        <w:ind w:left="1380" w:right="1150"/>
        <w:jc w:val="both"/>
        <w:rPr>
          <w:sz w:val="20"/>
        </w:rPr>
      </w:pPr>
      <w:r>
        <w:rPr>
          <w:sz w:val="20"/>
        </w:rPr>
        <w:t xml:space="preserve">It is my initial view that the Committee did understand that applying the standard methodology would lead to a negative recommendation, even at zero price for </w:t>
      </w:r>
      <w:proofErr w:type="spellStart"/>
      <w:r>
        <w:rPr>
          <w:sz w:val="20"/>
        </w:rPr>
        <w:t>isatuximab</w:t>
      </w:r>
      <w:proofErr w:type="spellEnd"/>
      <w:r>
        <w:rPr>
          <w:sz w:val="20"/>
        </w:rPr>
        <w:t>.</w:t>
      </w:r>
      <w:r>
        <w:rPr>
          <w:spacing w:val="80"/>
          <w:sz w:val="20"/>
        </w:rPr>
        <w:t xml:space="preserve"> </w:t>
      </w:r>
      <w:r>
        <w:rPr>
          <w:sz w:val="20"/>
        </w:rPr>
        <w:t xml:space="preserve">In paragraph 3.17 of the FDG the Committee acknowledges your concerns that </w:t>
      </w:r>
      <w:proofErr w:type="spellStart"/>
      <w:r>
        <w:rPr>
          <w:sz w:val="20"/>
        </w:rPr>
        <w:t>isatuximab</w:t>
      </w:r>
      <w:proofErr w:type="spellEnd"/>
      <w:r>
        <w:rPr>
          <w:sz w:val="20"/>
        </w:rPr>
        <w:t xml:space="preserve"> plus pomalidomide and dexamethasone </w:t>
      </w:r>
      <w:r>
        <w:rPr>
          <w:i/>
          <w:sz w:val="20"/>
        </w:rPr>
        <w:t xml:space="preserve">"was unlikely to be cost effective even if it was offered for free" </w:t>
      </w:r>
      <w:r>
        <w:rPr>
          <w:sz w:val="20"/>
        </w:rPr>
        <w:t>and your request for the Committee to take a flexible approach.</w:t>
      </w:r>
      <w:r>
        <w:rPr>
          <w:spacing w:val="40"/>
          <w:sz w:val="20"/>
        </w:rPr>
        <w:t xml:space="preserve"> </w:t>
      </w:r>
      <w:r>
        <w:rPr>
          <w:sz w:val="20"/>
        </w:rPr>
        <w:t>The committee refers to paragraph 4.4.16 of the Manual noting that it "</w:t>
      </w:r>
      <w:r>
        <w:rPr>
          <w:i/>
          <w:sz w:val="20"/>
        </w:rPr>
        <w:t>may consider</w:t>
      </w:r>
      <w:r>
        <w:rPr>
          <w:i/>
          <w:spacing w:val="-5"/>
          <w:sz w:val="20"/>
        </w:rPr>
        <w:t xml:space="preserve"> </w:t>
      </w:r>
      <w:r>
        <w:rPr>
          <w:i/>
          <w:sz w:val="20"/>
        </w:rPr>
        <w:t>a</w:t>
      </w:r>
      <w:r>
        <w:rPr>
          <w:i/>
          <w:spacing w:val="-9"/>
          <w:sz w:val="20"/>
        </w:rPr>
        <w:t xml:space="preserve"> </w:t>
      </w:r>
      <w:r>
        <w:rPr>
          <w:i/>
          <w:sz w:val="20"/>
        </w:rPr>
        <w:t>non-reference-case</w:t>
      </w:r>
      <w:r>
        <w:rPr>
          <w:i/>
          <w:spacing w:val="-4"/>
          <w:sz w:val="20"/>
        </w:rPr>
        <w:t xml:space="preserve"> </w:t>
      </w:r>
      <w:r>
        <w:rPr>
          <w:i/>
          <w:sz w:val="20"/>
        </w:rPr>
        <w:t>analysis</w:t>
      </w:r>
      <w:r>
        <w:rPr>
          <w:i/>
          <w:spacing w:val="-8"/>
          <w:sz w:val="20"/>
        </w:rPr>
        <w:t xml:space="preserve"> </w:t>
      </w:r>
      <w:r>
        <w:rPr>
          <w:i/>
          <w:sz w:val="20"/>
        </w:rPr>
        <w:t>with</w:t>
      </w:r>
      <w:r>
        <w:rPr>
          <w:i/>
          <w:spacing w:val="-4"/>
          <w:sz w:val="20"/>
        </w:rPr>
        <w:t xml:space="preserve"> </w:t>
      </w:r>
      <w:r>
        <w:rPr>
          <w:i/>
          <w:sz w:val="20"/>
        </w:rPr>
        <w:t>the</w:t>
      </w:r>
      <w:r>
        <w:rPr>
          <w:i/>
          <w:spacing w:val="-4"/>
          <w:sz w:val="20"/>
        </w:rPr>
        <w:t xml:space="preserve"> </w:t>
      </w:r>
      <w:r>
        <w:rPr>
          <w:i/>
          <w:sz w:val="20"/>
        </w:rPr>
        <w:t>background</w:t>
      </w:r>
      <w:r>
        <w:rPr>
          <w:i/>
          <w:spacing w:val="-9"/>
          <w:sz w:val="20"/>
        </w:rPr>
        <w:t xml:space="preserve"> </w:t>
      </w:r>
      <w:r>
        <w:rPr>
          <w:i/>
          <w:sz w:val="20"/>
        </w:rPr>
        <w:t>care</w:t>
      </w:r>
      <w:r>
        <w:rPr>
          <w:i/>
          <w:spacing w:val="-9"/>
          <w:sz w:val="20"/>
        </w:rPr>
        <w:t xml:space="preserve"> </w:t>
      </w:r>
      <w:r>
        <w:rPr>
          <w:i/>
          <w:sz w:val="20"/>
        </w:rPr>
        <w:t>costs</w:t>
      </w:r>
      <w:r>
        <w:rPr>
          <w:i/>
          <w:spacing w:val="-3"/>
          <w:sz w:val="20"/>
        </w:rPr>
        <w:t xml:space="preserve"> </w:t>
      </w:r>
      <w:r>
        <w:rPr>
          <w:i/>
          <w:sz w:val="20"/>
        </w:rPr>
        <w:t>removed</w:t>
      </w:r>
      <w:r>
        <w:rPr>
          <w:i/>
          <w:spacing w:val="-4"/>
          <w:sz w:val="20"/>
        </w:rPr>
        <w:t xml:space="preserve"> </w:t>
      </w:r>
      <w:r>
        <w:rPr>
          <w:i/>
          <w:sz w:val="20"/>
        </w:rPr>
        <w:t>if</w:t>
      </w:r>
      <w:r>
        <w:rPr>
          <w:i/>
          <w:spacing w:val="-8"/>
          <w:sz w:val="20"/>
        </w:rPr>
        <w:t xml:space="preserve"> </w:t>
      </w:r>
      <w:r>
        <w:rPr>
          <w:i/>
          <w:sz w:val="20"/>
        </w:rPr>
        <w:t>the</w:t>
      </w:r>
      <w:r>
        <w:rPr>
          <w:i/>
          <w:spacing w:val="-9"/>
          <w:sz w:val="20"/>
        </w:rPr>
        <w:t xml:space="preserve"> </w:t>
      </w:r>
      <w:r>
        <w:rPr>
          <w:i/>
          <w:sz w:val="20"/>
        </w:rPr>
        <w:t>NHS</w:t>
      </w:r>
      <w:r>
        <w:rPr>
          <w:i/>
          <w:spacing w:val="-7"/>
          <w:sz w:val="20"/>
        </w:rPr>
        <w:t xml:space="preserve"> </w:t>
      </w:r>
      <w:r>
        <w:rPr>
          <w:i/>
          <w:sz w:val="20"/>
        </w:rPr>
        <w:t>is</w:t>
      </w:r>
      <w:r>
        <w:rPr>
          <w:i/>
          <w:spacing w:val="-8"/>
          <w:sz w:val="20"/>
        </w:rPr>
        <w:t xml:space="preserve"> </w:t>
      </w:r>
      <w:r>
        <w:rPr>
          <w:i/>
          <w:sz w:val="20"/>
        </w:rPr>
        <w:t xml:space="preserve">currently providing care that is expensive or would not be considered cost effective" </w:t>
      </w:r>
      <w:r>
        <w:rPr>
          <w:sz w:val="20"/>
        </w:rPr>
        <w:t>and a</w:t>
      </w:r>
      <w:r>
        <w:rPr>
          <w:sz w:val="20"/>
        </w:rPr>
        <w:t>greed to consider the analyses that were presented. This would suggest that the committee were aware of the challenges to cost-effectiveness and the consequences of applying the standard methodology.</w:t>
      </w:r>
    </w:p>
    <w:p w14:paraId="150CDB8D" w14:textId="77777777" w:rsidR="008956CE" w:rsidRDefault="00063531">
      <w:pPr>
        <w:pStyle w:val="BodyText"/>
        <w:spacing w:before="202" w:line="288" w:lineRule="auto"/>
        <w:ind w:left="1380" w:right="1161"/>
        <w:jc w:val="both"/>
      </w:pPr>
      <w:r>
        <w:t>I</w:t>
      </w:r>
      <w:r>
        <w:rPr>
          <w:spacing w:val="-4"/>
        </w:rPr>
        <w:t xml:space="preserve"> </w:t>
      </w:r>
      <w:r>
        <w:t>note that</w:t>
      </w:r>
      <w:r>
        <w:rPr>
          <w:spacing w:val="-4"/>
        </w:rPr>
        <w:t xml:space="preserve"> </w:t>
      </w:r>
      <w:r>
        <w:t>the</w:t>
      </w:r>
      <w:r>
        <w:rPr>
          <w:spacing w:val="-4"/>
        </w:rPr>
        <w:t xml:space="preserve"> </w:t>
      </w:r>
      <w:r>
        <w:t>Committee's approach to flexibility</w:t>
      </w:r>
      <w:r>
        <w:rPr>
          <w:spacing w:val="-3"/>
        </w:rPr>
        <w:t xml:space="preserve"> </w:t>
      </w:r>
      <w:r>
        <w:t>is</w:t>
      </w:r>
      <w:r>
        <w:rPr>
          <w:spacing w:val="-2"/>
        </w:rPr>
        <w:t xml:space="preserve"> </w:t>
      </w:r>
      <w:r>
        <w:t>covered</w:t>
      </w:r>
      <w:r>
        <w:rPr>
          <w:spacing w:val="-4"/>
        </w:rPr>
        <w:t xml:space="preserve"> </w:t>
      </w:r>
      <w:r>
        <w:t>by appeal</w:t>
      </w:r>
      <w:r>
        <w:rPr>
          <w:spacing w:val="-2"/>
        </w:rPr>
        <w:t xml:space="preserve"> </w:t>
      </w:r>
      <w:r>
        <w:t>point 1(a).3,</w:t>
      </w:r>
      <w:r>
        <w:rPr>
          <w:spacing w:val="-4"/>
        </w:rPr>
        <w:t xml:space="preserve"> </w:t>
      </w:r>
      <w:r>
        <w:t>which</w:t>
      </w:r>
      <w:r>
        <w:rPr>
          <w:spacing w:val="-4"/>
        </w:rPr>
        <w:t xml:space="preserve"> </w:t>
      </w:r>
      <w:r>
        <w:t xml:space="preserve">I am minded </w:t>
      </w:r>
      <w:proofErr w:type="gramStart"/>
      <w:r>
        <w:t>to refer</w:t>
      </w:r>
      <w:proofErr w:type="gramEnd"/>
      <w:r>
        <w:t xml:space="preserve"> to the Appeal Panel.</w:t>
      </w:r>
    </w:p>
    <w:p w14:paraId="150CDB8E" w14:textId="77777777" w:rsidR="008956CE" w:rsidRDefault="00063531">
      <w:pPr>
        <w:pStyle w:val="Heading1"/>
        <w:spacing w:before="203" w:line="288" w:lineRule="auto"/>
        <w:ind w:right="1158"/>
        <w:rPr>
          <w:u w:val="none"/>
        </w:rPr>
      </w:pPr>
      <w:r>
        <w:t xml:space="preserve">Appeal </w:t>
      </w:r>
      <w:proofErr w:type="gramStart"/>
      <w:r>
        <w:t>point</w:t>
      </w:r>
      <w:proofErr w:type="gramEnd"/>
      <w:r>
        <w:t xml:space="preserve"> 1(a).2: NICE and the Appraisal Committee have not explained how, if at all, they</w:t>
      </w:r>
      <w:r>
        <w:rPr>
          <w:u w:val="none"/>
        </w:rPr>
        <w:t xml:space="preserve"> </w:t>
      </w:r>
      <w:r>
        <w:t>have taken into account the fact that elements of the combination and comparators were</w:t>
      </w:r>
      <w:r>
        <w:rPr>
          <w:u w:val="none"/>
        </w:rPr>
        <w:t xml:space="preserve"> </w:t>
      </w:r>
      <w:r>
        <w:t>appraised under NICE’s previous methodology, subject to a higher ICER threshold</w:t>
      </w:r>
    </w:p>
    <w:p w14:paraId="150CDB8F" w14:textId="77777777" w:rsidR="008956CE" w:rsidRDefault="00063531">
      <w:pPr>
        <w:pStyle w:val="BodyText"/>
        <w:spacing w:before="197"/>
        <w:ind w:left="1380"/>
        <w:jc w:val="both"/>
      </w:pPr>
      <w:r>
        <w:t>I</w:t>
      </w:r>
      <w:r>
        <w:rPr>
          <w:spacing w:val="-5"/>
        </w:rPr>
        <w:t xml:space="preserve"> </w:t>
      </w:r>
      <w:r>
        <w:t>am</w:t>
      </w:r>
      <w:r>
        <w:rPr>
          <w:spacing w:val="-5"/>
        </w:rPr>
        <w:t xml:space="preserve"> </w:t>
      </w:r>
      <w:r>
        <w:t>minded</w:t>
      </w:r>
      <w:r>
        <w:rPr>
          <w:spacing w:val="-4"/>
        </w:rPr>
        <w:t xml:space="preserve"> </w:t>
      </w:r>
      <w:proofErr w:type="gramStart"/>
      <w:r>
        <w:t>to</w:t>
      </w:r>
      <w:r>
        <w:rPr>
          <w:spacing w:val="-5"/>
        </w:rPr>
        <w:t xml:space="preserve"> </w:t>
      </w:r>
      <w:r>
        <w:t>refer</w:t>
      </w:r>
      <w:proofErr w:type="gramEnd"/>
      <w:r>
        <w:rPr>
          <w:spacing w:val="-4"/>
        </w:rPr>
        <w:t xml:space="preserve"> </w:t>
      </w:r>
      <w:r>
        <w:t>this</w:t>
      </w:r>
      <w:r>
        <w:rPr>
          <w:spacing w:val="1"/>
        </w:rPr>
        <w:t xml:space="preserve"> </w:t>
      </w:r>
      <w:r>
        <w:t>appeal</w:t>
      </w:r>
      <w:r>
        <w:rPr>
          <w:spacing w:val="-3"/>
        </w:rPr>
        <w:t xml:space="preserve"> </w:t>
      </w:r>
      <w:r>
        <w:t>point to</w:t>
      </w:r>
      <w:r>
        <w:rPr>
          <w:spacing w:val="-2"/>
        </w:rPr>
        <w:t xml:space="preserve"> </w:t>
      </w:r>
      <w:r>
        <w:t>the</w:t>
      </w:r>
      <w:r>
        <w:rPr>
          <w:spacing w:val="-5"/>
        </w:rPr>
        <w:t xml:space="preserve"> </w:t>
      </w:r>
      <w:r>
        <w:t>Appeal</w:t>
      </w:r>
      <w:r>
        <w:rPr>
          <w:spacing w:val="-2"/>
        </w:rPr>
        <w:t xml:space="preserve"> Panel.</w:t>
      </w:r>
    </w:p>
    <w:p w14:paraId="150CDB90" w14:textId="77777777" w:rsidR="008956CE" w:rsidRDefault="008956CE">
      <w:pPr>
        <w:pStyle w:val="BodyText"/>
        <w:spacing w:before="15"/>
      </w:pPr>
    </w:p>
    <w:p w14:paraId="150CDB91" w14:textId="77777777" w:rsidR="008956CE" w:rsidRDefault="00063531">
      <w:pPr>
        <w:pStyle w:val="BodyText"/>
        <w:spacing w:line="290" w:lineRule="auto"/>
        <w:ind w:left="1380" w:right="1160"/>
        <w:jc w:val="both"/>
      </w:pPr>
      <w:r>
        <w:t>In reaching this view I consider it an arguable point as to whether the Committee has adequately explained how it took account of the different appraisal methodology applicable to elements of the combination and comparators.</w:t>
      </w:r>
    </w:p>
    <w:p w14:paraId="150CDB92" w14:textId="77777777" w:rsidR="008956CE" w:rsidRDefault="008956CE">
      <w:pPr>
        <w:pStyle w:val="BodyText"/>
        <w:spacing w:before="6"/>
      </w:pPr>
    </w:p>
    <w:p w14:paraId="150CDB93" w14:textId="77777777" w:rsidR="008956CE" w:rsidRDefault="00063531">
      <w:pPr>
        <w:pStyle w:val="Heading1"/>
        <w:spacing w:line="276" w:lineRule="auto"/>
        <w:ind w:right="1154"/>
        <w:rPr>
          <w:u w:val="none"/>
        </w:rPr>
      </w:pPr>
      <w:r>
        <w:t xml:space="preserve">Appeal </w:t>
      </w:r>
      <w:proofErr w:type="gramStart"/>
      <w:r>
        <w:t>point</w:t>
      </w:r>
      <w:proofErr w:type="gramEnd"/>
      <w:r>
        <w:rPr>
          <w:spacing w:val="-2"/>
        </w:rPr>
        <w:t xml:space="preserve"> </w:t>
      </w:r>
      <w:r>
        <w:t>1(a).3:</w:t>
      </w:r>
      <w:r>
        <w:rPr>
          <w:spacing w:val="-5"/>
        </w:rPr>
        <w:t xml:space="preserve"> </w:t>
      </w:r>
      <w:r>
        <w:t>NICE’s</w:t>
      </w:r>
      <w:r>
        <w:rPr>
          <w:spacing w:val="-2"/>
        </w:rPr>
        <w:t xml:space="preserve"> </w:t>
      </w:r>
      <w:r>
        <w:t>proposed</w:t>
      </w:r>
      <w:r>
        <w:rPr>
          <w:spacing w:val="-7"/>
        </w:rPr>
        <w:t xml:space="preserve"> </w:t>
      </w:r>
      <w:r>
        <w:t>discontinuation</w:t>
      </w:r>
      <w:r>
        <w:rPr>
          <w:spacing w:val="-2"/>
        </w:rPr>
        <w:t xml:space="preserve"> </w:t>
      </w:r>
      <w:r>
        <w:t>of</w:t>
      </w:r>
      <w:r>
        <w:rPr>
          <w:spacing w:val="-6"/>
        </w:rPr>
        <w:t xml:space="preserve"> </w:t>
      </w:r>
      <w:r>
        <w:t>the</w:t>
      </w:r>
      <w:r>
        <w:rPr>
          <w:spacing w:val="-2"/>
        </w:rPr>
        <w:t xml:space="preserve"> </w:t>
      </w:r>
      <w:r>
        <w:t>appraisal</w:t>
      </w:r>
      <w:r>
        <w:rPr>
          <w:spacing w:val="-6"/>
        </w:rPr>
        <w:t xml:space="preserve"> </w:t>
      </w:r>
      <w:r>
        <w:t>rather</w:t>
      </w:r>
      <w:r>
        <w:rPr>
          <w:spacing w:val="-2"/>
        </w:rPr>
        <w:t xml:space="preserve"> </w:t>
      </w:r>
      <w:r>
        <w:t>than</w:t>
      </w:r>
      <w:r>
        <w:rPr>
          <w:spacing w:val="-2"/>
        </w:rPr>
        <w:t xml:space="preserve"> </w:t>
      </w:r>
      <w:r>
        <w:t>consideration</w:t>
      </w:r>
      <w:r>
        <w:rPr>
          <w:u w:val="none"/>
        </w:rPr>
        <w:t xml:space="preserve"> </w:t>
      </w:r>
      <w:r>
        <w:t>of a flexible approach to its standard methodology was unfair</w:t>
      </w:r>
    </w:p>
    <w:p w14:paraId="150CDB94" w14:textId="77777777" w:rsidR="008956CE" w:rsidRDefault="008956CE">
      <w:pPr>
        <w:pStyle w:val="BodyText"/>
        <w:spacing w:before="11"/>
        <w:rPr>
          <w:b/>
        </w:rPr>
      </w:pPr>
    </w:p>
    <w:p w14:paraId="150CDB95" w14:textId="77777777" w:rsidR="008956CE" w:rsidRDefault="00063531">
      <w:pPr>
        <w:pStyle w:val="BodyText"/>
        <w:ind w:left="1380"/>
        <w:jc w:val="both"/>
      </w:pPr>
      <w:r>
        <w:t>I</w:t>
      </w:r>
      <w:r>
        <w:rPr>
          <w:spacing w:val="-5"/>
        </w:rPr>
        <w:t xml:space="preserve"> </w:t>
      </w:r>
      <w:r>
        <w:t>am</w:t>
      </w:r>
      <w:r>
        <w:rPr>
          <w:spacing w:val="-5"/>
        </w:rPr>
        <w:t xml:space="preserve"> </w:t>
      </w:r>
      <w:r>
        <w:t>minded</w:t>
      </w:r>
      <w:r>
        <w:rPr>
          <w:spacing w:val="-4"/>
        </w:rPr>
        <w:t xml:space="preserve"> </w:t>
      </w:r>
      <w:proofErr w:type="gramStart"/>
      <w:r>
        <w:t>to</w:t>
      </w:r>
      <w:r>
        <w:rPr>
          <w:spacing w:val="-5"/>
        </w:rPr>
        <w:t xml:space="preserve"> </w:t>
      </w:r>
      <w:r>
        <w:t>refer</w:t>
      </w:r>
      <w:proofErr w:type="gramEnd"/>
      <w:r>
        <w:rPr>
          <w:spacing w:val="-4"/>
        </w:rPr>
        <w:t xml:space="preserve"> </w:t>
      </w:r>
      <w:r>
        <w:t>this</w:t>
      </w:r>
      <w:r>
        <w:rPr>
          <w:spacing w:val="1"/>
        </w:rPr>
        <w:t xml:space="preserve"> </w:t>
      </w:r>
      <w:r>
        <w:t>appeal</w:t>
      </w:r>
      <w:r>
        <w:rPr>
          <w:spacing w:val="-3"/>
        </w:rPr>
        <w:t xml:space="preserve"> </w:t>
      </w:r>
      <w:r>
        <w:t>point to</w:t>
      </w:r>
      <w:r>
        <w:rPr>
          <w:spacing w:val="-2"/>
        </w:rPr>
        <w:t xml:space="preserve"> </w:t>
      </w:r>
      <w:r>
        <w:t>the</w:t>
      </w:r>
      <w:r>
        <w:rPr>
          <w:spacing w:val="-5"/>
        </w:rPr>
        <w:t xml:space="preserve"> </w:t>
      </w:r>
      <w:r>
        <w:t>Appeal</w:t>
      </w:r>
      <w:r>
        <w:rPr>
          <w:spacing w:val="-2"/>
        </w:rPr>
        <w:t xml:space="preserve"> Panel.</w:t>
      </w:r>
    </w:p>
    <w:p w14:paraId="150CDB96" w14:textId="77777777" w:rsidR="008956CE" w:rsidRDefault="008956CE">
      <w:pPr>
        <w:pStyle w:val="BodyText"/>
        <w:spacing w:before="15"/>
      </w:pPr>
    </w:p>
    <w:p w14:paraId="150CDB97" w14:textId="77777777" w:rsidR="008956CE" w:rsidRDefault="00063531">
      <w:pPr>
        <w:pStyle w:val="BodyText"/>
        <w:spacing w:line="288" w:lineRule="auto"/>
        <w:ind w:left="1380" w:right="1154"/>
        <w:jc w:val="both"/>
      </w:pPr>
      <w:r>
        <w:t>In reaching this view I agree that there is an arguable point as to whether the Committee has fairly considered the application of flexibility to the standard appraisal methodology, in circumstances where elements of the combination and comparators were appraised under NICE's previous methodology. Whilst</w:t>
      </w:r>
      <w:r>
        <w:rPr>
          <w:spacing w:val="-5"/>
        </w:rPr>
        <w:t xml:space="preserve"> </w:t>
      </w:r>
      <w:r>
        <w:t>there</w:t>
      </w:r>
      <w:r>
        <w:rPr>
          <w:spacing w:val="-5"/>
        </w:rPr>
        <w:t xml:space="preserve"> </w:t>
      </w:r>
      <w:r>
        <w:t>is</w:t>
      </w:r>
      <w:r>
        <w:rPr>
          <w:spacing w:val="-4"/>
        </w:rPr>
        <w:t xml:space="preserve"> </w:t>
      </w:r>
      <w:r>
        <w:t>potential</w:t>
      </w:r>
      <w:r>
        <w:rPr>
          <w:spacing w:val="-4"/>
        </w:rPr>
        <w:t xml:space="preserve"> </w:t>
      </w:r>
      <w:r>
        <w:t>overlap</w:t>
      </w:r>
      <w:r>
        <w:rPr>
          <w:spacing w:val="-5"/>
        </w:rPr>
        <w:t xml:space="preserve"> </w:t>
      </w:r>
      <w:r>
        <w:t>between</w:t>
      </w:r>
      <w:r>
        <w:rPr>
          <w:spacing w:val="-5"/>
        </w:rPr>
        <w:t xml:space="preserve"> </w:t>
      </w:r>
      <w:r>
        <w:t>this</w:t>
      </w:r>
      <w:r>
        <w:rPr>
          <w:spacing w:val="-4"/>
        </w:rPr>
        <w:t xml:space="preserve"> </w:t>
      </w:r>
      <w:r>
        <w:t>appeal</w:t>
      </w:r>
      <w:r>
        <w:rPr>
          <w:spacing w:val="-4"/>
        </w:rPr>
        <w:t xml:space="preserve"> </w:t>
      </w:r>
      <w:r>
        <w:t>point and</w:t>
      </w:r>
      <w:r>
        <w:rPr>
          <w:spacing w:val="-5"/>
        </w:rPr>
        <w:t xml:space="preserve"> </w:t>
      </w:r>
      <w:r>
        <w:t>appeal</w:t>
      </w:r>
      <w:r>
        <w:rPr>
          <w:spacing w:val="-4"/>
        </w:rPr>
        <w:t xml:space="preserve"> </w:t>
      </w:r>
      <w:r>
        <w:t>point</w:t>
      </w:r>
      <w:r>
        <w:rPr>
          <w:spacing w:val="-5"/>
        </w:rPr>
        <w:t xml:space="preserve"> </w:t>
      </w:r>
      <w:r>
        <w:t>1(a)2,</w:t>
      </w:r>
      <w:r>
        <w:rPr>
          <w:spacing w:val="-1"/>
        </w:rPr>
        <w:t xml:space="preserve"> </w:t>
      </w:r>
      <w:r>
        <w:t>my</w:t>
      </w:r>
      <w:r>
        <w:rPr>
          <w:spacing w:val="-5"/>
        </w:rPr>
        <w:t xml:space="preserve"> </w:t>
      </w:r>
      <w:r>
        <w:t>initial</w:t>
      </w:r>
      <w:r>
        <w:rPr>
          <w:spacing w:val="-4"/>
        </w:rPr>
        <w:t xml:space="preserve"> </w:t>
      </w:r>
      <w:r>
        <w:t>view</w:t>
      </w:r>
      <w:r>
        <w:rPr>
          <w:spacing w:val="-4"/>
        </w:rPr>
        <w:t xml:space="preserve"> </w:t>
      </w:r>
      <w:r>
        <w:t>is</w:t>
      </w:r>
      <w:r>
        <w:rPr>
          <w:spacing w:val="-5"/>
        </w:rPr>
        <w:t xml:space="preserve"> </w:t>
      </w:r>
      <w:r>
        <w:t>that they</w:t>
      </w:r>
      <w:r>
        <w:rPr>
          <w:spacing w:val="-4"/>
        </w:rPr>
        <w:t xml:space="preserve"> </w:t>
      </w:r>
      <w:r>
        <w:t>amount</w:t>
      </w:r>
      <w:r>
        <w:rPr>
          <w:spacing w:val="-5"/>
        </w:rPr>
        <w:t xml:space="preserve"> </w:t>
      </w:r>
      <w:r>
        <w:t>to</w:t>
      </w:r>
      <w:r>
        <w:rPr>
          <w:spacing w:val="-5"/>
        </w:rPr>
        <w:t xml:space="preserve"> </w:t>
      </w:r>
      <w:r>
        <w:t>discrete</w:t>
      </w:r>
      <w:r>
        <w:rPr>
          <w:spacing w:val="-5"/>
        </w:rPr>
        <w:t xml:space="preserve"> </w:t>
      </w:r>
      <w:r>
        <w:t>points</w:t>
      </w:r>
      <w:r>
        <w:rPr>
          <w:spacing w:val="-4"/>
        </w:rPr>
        <w:t xml:space="preserve"> </w:t>
      </w:r>
      <w:r>
        <w:t>that</w:t>
      </w:r>
      <w:r>
        <w:rPr>
          <w:spacing w:val="-5"/>
        </w:rPr>
        <w:t xml:space="preserve"> </w:t>
      </w:r>
      <w:r>
        <w:t>should</w:t>
      </w:r>
      <w:r>
        <w:rPr>
          <w:spacing w:val="-4"/>
        </w:rPr>
        <w:t xml:space="preserve"> </w:t>
      </w:r>
      <w:r>
        <w:t>both</w:t>
      </w:r>
      <w:r>
        <w:rPr>
          <w:spacing w:val="-5"/>
        </w:rPr>
        <w:t xml:space="preserve"> </w:t>
      </w:r>
      <w:r>
        <w:t>be</w:t>
      </w:r>
      <w:r>
        <w:rPr>
          <w:spacing w:val="-5"/>
        </w:rPr>
        <w:t xml:space="preserve"> </w:t>
      </w:r>
      <w:r>
        <w:t>considered</w:t>
      </w:r>
      <w:r>
        <w:rPr>
          <w:spacing w:val="-5"/>
        </w:rPr>
        <w:t xml:space="preserve"> </w:t>
      </w:r>
      <w:r>
        <w:t>by</w:t>
      </w:r>
      <w:r>
        <w:rPr>
          <w:spacing w:val="-4"/>
        </w:rPr>
        <w:t xml:space="preserve"> </w:t>
      </w:r>
      <w:r>
        <w:t>the</w:t>
      </w:r>
      <w:r>
        <w:rPr>
          <w:spacing w:val="-5"/>
        </w:rPr>
        <w:t xml:space="preserve"> </w:t>
      </w:r>
      <w:r>
        <w:t>Appeal</w:t>
      </w:r>
      <w:r>
        <w:rPr>
          <w:spacing w:val="-3"/>
        </w:rPr>
        <w:t xml:space="preserve"> </w:t>
      </w:r>
      <w:r>
        <w:t>Panel,</w:t>
      </w:r>
      <w:r>
        <w:rPr>
          <w:spacing w:val="-4"/>
        </w:rPr>
        <w:t xml:space="preserve"> </w:t>
      </w:r>
      <w:r>
        <w:t>with</w:t>
      </w:r>
      <w:r>
        <w:rPr>
          <w:spacing w:val="-5"/>
        </w:rPr>
        <w:t xml:space="preserve"> </w:t>
      </w:r>
      <w:r>
        <w:t>1(a)2</w:t>
      </w:r>
      <w:r>
        <w:rPr>
          <w:spacing w:val="-5"/>
        </w:rPr>
        <w:t xml:space="preserve"> </w:t>
      </w:r>
      <w:r>
        <w:t>covering the</w:t>
      </w:r>
      <w:r>
        <w:rPr>
          <w:spacing w:val="-14"/>
        </w:rPr>
        <w:t xml:space="preserve"> </w:t>
      </w:r>
      <w:r>
        <w:t>Committee's</w:t>
      </w:r>
      <w:r>
        <w:rPr>
          <w:spacing w:val="-14"/>
        </w:rPr>
        <w:t xml:space="preserve"> </w:t>
      </w:r>
      <w:r>
        <w:t>explanation</w:t>
      </w:r>
      <w:r>
        <w:rPr>
          <w:spacing w:val="-14"/>
        </w:rPr>
        <w:t xml:space="preserve"> </w:t>
      </w:r>
      <w:r>
        <w:t>of</w:t>
      </w:r>
      <w:r>
        <w:rPr>
          <w:spacing w:val="-14"/>
        </w:rPr>
        <w:t xml:space="preserve"> </w:t>
      </w:r>
      <w:r>
        <w:t>how</w:t>
      </w:r>
      <w:r>
        <w:rPr>
          <w:spacing w:val="-14"/>
        </w:rPr>
        <w:t xml:space="preserve"> </w:t>
      </w:r>
      <w:r>
        <w:t>it</w:t>
      </w:r>
      <w:r>
        <w:rPr>
          <w:spacing w:val="-14"/>
        </w:rPr>
        <w:t xml:space="preserve"> </w:t>
      </w:r>
      <w:r>
        <w:t>took</w:t>
      </w:r>
      <w:r>
        <w:rPr>
          <w:spacing w:val="-14"/>
        </w:rPr>
        <w:t xml:space="preserve"> </w:t>
      </w:r>
      <w:r>
        <w:t>into</w:t>
      </w:r>
      <w:r>
        <w:rPr>
          <w:spacing w:val="-14"/>
        </w:rPr>
        <w:t xml:space="preserve"> </w:t>
      </w:r>
      <w:r>
        <w:t>account</w:t>
      </w:r>
      <w:r>
        <w:rPr>
          <w:spacing w:val="-14"/>
        </w:rPr>
        <w:t xml:space="preserve"> </w:t>
      </w:r>
      <w:r>
        <w:t>the</w:t>
      </w:r>
      <w:r>
        <w:rPr>
          <w:spacing w:val="-13"/>
        </w:rPr>
        <w:t xml:space="preserve"> </w:t>
      </w:r>
      <w:r>
        <w:t>different</w:t>
      </w:r>
      <w:r>
        <w:rPr>
          <w:spacing w:val="-14"/>
        </w:rPr>
        <w:t xml:space="preserve"> </w:t>
      </w:r>
      <w:r>
        <w:t>applicable</w:t>
      </w:r>
      <w:r>
        <w:rPr>
          <w:spacing w:val="-14"/>
        </w:rPr>
        <w:t xml:space="preserve"> </w:t>
      </w:r>
      <w:r>
        <w:t>appraisal</w:t>
      </w:r>
      <w:r>
        <w:rPr>
          <w:spacing w:val="-14"/>
        </w:rPr>
        <w:t xml:space="preserve"> </w:t>
      </w:r>
      <w:r>
        <w:t xml:space="preserve">methodologies, and 1(a)3 covering the Committee's consideration of the application of flexibility to its own appraisal </w:t>
      </w:r>
      <w:r>
        <w:rPr>
          <w:spacing w:val="-2"/>
        </w:rPr>
        <w:t>methodology.</w:t>
      </w:r>
    </w:p>
    <w:p w14:paraId="150CDB98" w14:textId="77777777" w:rsidR="008956CE" w:rsidRDefault="00063531">
      <w:pPr>
        <w:pStyle w:val="BodyText"/>
        <w:spacing w:before="203" w:line="288" w:lineRule="auto"/>
        <w:ind w:left="1380" w:right="1153"/>
        <w:jc w:val="both"/>
      </w:pPr>
      <w:r>
        <w:t>I am of the initial view that the Committee's proposal to discontinue the appraisal does not, of itself, present an arguable point. Discontinuation was proposed rather than imposed, and in the absence of agreement from the Company, the evaluation proceeded.</w:t>
      </w:r>
      <w:r>
        <w:rPr>
          <w:spacing w:val="40"/>
        </w:rPr>
        <w:t xml:space="preserve"> </w:t>
      </w:r>
      <w:r>
        <w:t>In the circumstances I cannot currently see any arguable basis for appeal on this point</w:t>
      </w:r>
    </w:p>
    <w:p w14:paraId="150CDB99" w14:textId="77777777" w:rsidR="008956CE" w:rsidRDefault="008956CE">
      <w:pPr>
        <w:pStyle w:val="BodyText"/>
        <w:spacing w:before="7"/>
      </w:pPr>
    </w:p>
    <w:p w14:paraId="150CDB9A" w14:textId="77777777" w:rsidR="008956CE" w:rsidRDefault="00063531">
      <w:pPr>
        <w:pStyle w:val="Heading1"/>
        <w:spacing w:line="276" w:lineRule="auto"/>
        <w:ind w:right="1156"/>
        <w:rPr>
          <w:u w:val="none"/>
        </w:rPr>
      </w:pPr>
      <w:r>
        <w:t xml:space="preserve">Appeal </w:t>
      </w:r>
      <w:proofErr w:type="gramStart"/>
      <w:r>
        <w:t>point</w:t>
      </w:r>
      <w:proofErr w:type="gramEnd"/>
      <w:r>
        <w:t xml:space="preserve"> 1(a).4: NICE’s refusal to refer </w:t>
      </w:r>
      <w:proofErr w:type="spellStart"/>
      <w:r>
        <w:t>isatuximab</w:t>
      </w:r>
      <w:proofErr w:type="spellEnd"/>
      <w:r>
        <w:t xml:space="preserve"> for commercial negotiation was</w:t>
      </w:r>
      <w:r>
        <w:rPr>
          <w:u w:val="none"/>
        </w:rPr>
        <w:t xml:space="preserve"> </w:t>
      </w:r>
      <w:r>
        <w:t>inadequately</w:t>
      </w:r>
      <w:r>
        <w:rPr>
          <w:spacing w:val="-9"/>
        </w:rPr>
        <w:t xml:space="preserve"> </w:t>
      </w:r>
      <w:r>
        <w:t>explained</w:t>
      </w:r>
      <w:r>
        <w:rPr>
          <w:spacing w:val="-5"/>
        </w:rPr>
        <w:t xml:space="preserve"> </w:t>
      </w:r>
      <w:r>
        <w:t>and</w:t>
      </w:r>
      <w:r>
        <w:rPr>
          <w:spacing w:val="-10"/>
        </w:rPr>
        <w:t xml:space="preserve"> </w:t>
      </w:r>
      <w:r>
        <w:t>deprived</w:t>
      </w:r>
      <w:r>
        <w:rPr>
          <w:spacing w:val="-10"/>
        </w:rPr>
        <w:t xml:space="preserve"> </w:t>
      </w:r>
      <w:r>
        <w:t>Sanofi</w:t>
      </w:r>
      <w:r>
        <w:rPr>
          <w:spacing w:val="-4"/>
        </w:rPr>
        <w:t xml:space="preserve"> </w:t>
      </w:r>
      <w:r>
        <w:t>of</w:t>
      </w:r>
      <w:r>
        <w:rPr>
          <w:spacing w:val="-5"/>
        </w:rPr>
        <w:t xml:space="preserve"> </w:t>
      </w:r>
      <w:r>
        <w:t>the</w:t>
      </w:r>
      <w:r>
        <w:rPr>
          <w:spacing w:val="-9"/>
        </w:rPr>
        <w:t xml:space="preserve"> </w:t>
      </w:r>
      <w:r>
        <w:t>possibility</w:t>
      </w:r>
      <w:r>
        <w:rPr>
          <w:spacing w:val="-4"/>
        </w:rPr>
        <w:t xml:space="preserve"> </w:t>
      </w:r>
      <w:r>
        <w:t>to</w:t>
      </w:r>
      <w:r>
        <w:rPr>
          <w:spacing w:val="-10"/>
        </w:rPr>
        <w:t xml:space="preserve"> </w:t>
      </w:r>
      <w:r>
        <w:t>reach</w:t>
      </w:r>
      <w:r>
        <w:rPr>
          <w:spacing w:val="-5"/>
        </w:rPr>
        <w:t xml:space="preserve"> </w:t>
      </w:r>
      <w:r>
        <w:t>a</w:t>
      </w:r>
      <w:r>
        <w:rPr>
          <w:spacing w:val="-10"/>
        </w:rPr>
        <w:t xml:space="preserve"> </w:t>
      </w:r>
      <w:r>
        <w:t>satisfactory</w:t>
      </w:r>
      <w:r>
        <w:rPr>
          <w:spacing w:val="-9"/>
        </w:rPr>
        <w:t xml:space="preserve"> </w:t>
      </w:r>
      <w:r>
        <w:t>outcome</w:t>
      </w:r>
      <w:r>
        <w:rPr>
          <w:spacing w:val="-9"/>
        </w:rPr>
        <w:t xml:space="preserve"> </w:t>
      </w:r>
      <w:r>
        <w:t>to</w:t>
      </w:r>
      <w:r>
        <w:rPr>
          <w:u w:val="none"/>
        </w:rPr>
        <w:t xml:space="preserve"> </w:t>
      </w:r>
      <w:r>
        <w:t>this appraisal</w:t>
      </w:r>
    </w:p>
    <w:p w14:paraId="150CDB9B" w14:textId="77777777" w:rsidR="008956CE" w:rsidRDefault="008956CE">
      <w:pPr>
        <w:spacing w:line="276" w:lineRule="auto"/>
        <w:sectPr w:rsidR="008956CE">
          <w:pgSz w:w="11910" w:h="16840"/>
          <w:pgMar w:top="1780" w:right="260" w:bottom="1100" w:left="40" w:header="0" w:footer="913" w:gutter="0"/>
          <w:cols w:space="720"/>
        </w:sectPr>
      </w:pPr>
    </w:p>
    <w:p w14:paraId="150CDB9C" w14:textId="77777777" w:rsidR="008956CE" w:rsidRDefault="00063531">
      <w:pPr>
        <w:pStyle w:val="BodyText"/>
        <w:spacing w:before="73"/>
        <w:ind w:left="1380"/>
      </w:pPr>
      <w:r>
        <w:lastRenderedPageBreak/>
        <w:t>I</w:t>
      </w:r>
      <w:r>
        <w:rPr>
          <w:spacing w:val="-5"/>
        </w:rPr>
        <w:t xml:space="preserve"> </w:t>
      </w:r>
      <w:r>
        <w:t>am</w:t>
      </w:r>
      <w:r>
        <w:rPr>
          <w:spacing w:val="-5"/>
        </w:rPr>
        <w:t xml:space="preserve"> </w:t>
      </w:r>
      <w:r>
        <w:t>minded</w:t>
      </w:r>
      <w:r>
        <w:rPr>
          <w:spacing w:val="-4"/>
        </w:rPr>
        <w:t xml:space="preserve"> </w:t>
      </w:r>
      <w:proofErr w:type="gramStart"/>
      <w:r>
        <w:t>to</w:t>
      </w:r>
      <w:r>
        <w:rPr>
          <w:spacing w:val="-5"/>
        </w:rPr>
        <w:t xml:space="preserve"> </w:t>
      </w:r>
      <w:r>
        <w:t>refer</w:t>
      </w:r>
      <w:proofErr w:type="gramEnd"/>
      <w:r>
        <w:rPr>
          <w:spacing w:val="-4"/>
        </w:rPr>
        <w:t xml:space="preserve"> </w:t>
      </w:r>
      <w:r>
        <w:t>this</w:t>
      </w:r>
      <w:r>
        <w:rPr>
          <w:spacing w:val="1"/>
        </w:rPr>
        <w:t xml:space="preserve"> </w:t>
      </w:r>
      <w:r>
        <w:t>appeal</w:t>
      </w:r>
      <w:r>
        <w:rPr>
          <w:spacing w:val="-3"/>
        </w:rPr>
        <w:t xml:space="preserve"> </w:t>
      </w:r>
      <w:r>
        <w:t>point to</w:t>
      </w:r>
      <w:r>
        <w:rPr>
          <w:spacing w:val="-2"/>
        </w:rPr>
        <w:t xml:space="preserve"> </w:t>
      </w:r>
      <w:r>
        <w:t>the</w:t>
      </w:r>
      <w:r>
        <w:rPr>
          <w:spacing w:val="-5"/>
        </w:rPr>
        <w:t xml:space="preserve"> </w:t>
      </w:r>
      <w:r>
        <w:t>Appeal</w:t>
      </w:r>
      <w:r>
        <w:rPr>
          <w:spacing w:val="-2"/>
        </w:rPr>
        <w:t xml:space="preserve"> Panel.</w:t>
      </w:r>
    </w:p>
    <w:p w14:paraId="150CDB9D" w14:textId="77777777" w:rsidR="008956CE" w:rsidRDefault="008956CE">
      <w:pPr>
        <w:pStyle w:val="BodyText"/>
        <w:spacing w:before="15"/>
      </w:pPr>
    </w:p>
    <w:p w14:paraId="150CDB9E" w14:textId="77777777" w:rsidR="008956CE" w:rsidRDefault="00063531">
      <w:pPr>
        <w:pStyle w:val="BodyText"/>
        <w:spacing w:line="288" w:lineRule="auto"/>
        <w:ind w:left="1380" w:right="1124"/>
      </w:pPr>
      <w:r>
        <w:t>In</w:t>
      </w:r>
      <w:r>
        <w:rPr>
          <w:spacing w:val="-5"/>
        </w:rPr>
        <w:t xml:space="preserve"> </w:t>
      </w:r>
      <w:r>
        <w:t>reaching</w:t>
      </w:r>
      <w:r>
        <w:rPr>
          <w:spacing w:val="-5"/>
        </w:rPr>
        <w:t xml:space="preserve"> </w:t>
      </w:r>
      <w:r>
        <w:t>this</w:t>
      </w:r>
      <w:r>
        <w:rPr>
          <w:spacing w:val="-3"/>
        </w:rPr>
        <w:t xml:space="preserve"> </w:t>
      </w:r>
      <w:r>
        <w:t>view</w:t>
      </w:r>
      <w:r>
        <w:rPr>
          <w:spacing w:val="-3"/>
        </w:rPr>
        <w:t xml:space="preserve"> </w:t>
      </w:r>
      <w:r>
        <w:t>I</w:t>
      </w:r>
      <w:r>
        <w:rPr>
          <w:spacing w:val="-5"/>
        </w:rPr>
        <w:t xml:space="preserve"> </w:t>
      </w:r>
      <w:r>
        <w:t>consider</w:t>
      </w:r>
      <w:r>
        <w:rPr>
          <w:spacing w:val="-5"/>
        </w:rPr>
        <w:t xml:space="preserve"> </w:t>
      </w:r>
      <w:r>
        <w:t>it</w:t>
      </w:r>
      <w:r>
        <w:rPr>
          <w:spacing w:val="-4"/>
        </w:rPr>
        <w:t xml:space="preserve"> </w:t>
      </w:r>
      <w:r>
        <w:t>an</w:t>
      </w:r>
      <w:r>
        <w:rPr>
          <w:spacing w:val="-5"/>
        </w:rPr>
        <w:t xml:space="preserve"> </w:t>
      </w:r>
      <w:r>
        <w:t>arguable</w:t>
      </w:r>
      <w:r>
        <w:rPr>
          <w:spacing w:val="-4"/>
        </w:rPr>
        <w:t xml:space="preserve"> </w:t>
      </w:r>
      <w:r>
        <w:t>point</w:t>
      </w:r>
      <w:r>
        <w:rPr>
          <w:spacing w:val="-5"/>
        </w:rPr>
        <w:t xml:space="preserve"> </w:t>
      </w:r>
      <w:r>
        <w:t>whether</w:t>
      </w:r>
      <w:r>
        <w:rPr>
          <w:spacing w:val="-5"/>
        </w:rPr>
        <w:t xml:space="preserve"> </w:t>
      </w:r>
      <w:r>
        <w:t>the</w:t>
      </w:r>
      <w:r>
        <w:rPr>
          <w:spacing w:val="-5"/>
        </w:rPr>
        <w:t xml:space="preserve"> </w:t>
      </w:r>
      <w:r>
        <w:t>Committee</w:t>
      </w:r>
      <w:r>
        <w:rPr>
          <w:spacing w:val="-5"/>
        </w:rPr>
        <w:t xml:space="preserve"> </w:t>
      </w:r>
      <w:r>
        <w:t>have</w:t>
      </w:r>
      <w:r>
        <w:rPr>
          <w:spacing w:val="-5"/>
        </w:rPr>
        <w:t xml:space="preserve"> </w:t>
      </w:r>
      <w:r>
        <w:t>provided</w:t>
      </w:r>
      <w:r>
        <w:rPr>
          <w:spacing w:val="-5"/>
        </w:rPr>
        <w:t xml:space="preserve"> </w:t>
      </w:r>
      <w:r>
        <w:t>an</w:t>
      </w:r>
      <w:r>
        <w:rPr>
          <w:spacing w:val="-5"/>
        </w:rPr>
        <w:t xml:space="preserve"> </w:t>
      </w:r>
      <w:r>
        <w:t>adequate explanation for why a commercial negotiation was refused.</w:t>
      </w:r>
    </w:p>
    <w:p w14:paraId="150CDB9F" w14:textId="77777777" w:rsidR="008956CE" w:rsidRDefault="008956CE">
      <w:pPr>
        <w:pStyle w:val="BodyText"/>
        <w:spacing w:before="8"/>
      </w:pPr>
    </w:p>
    <w:p w14:paraId="150CDBA0" w14:textId="77777777" w:rsidR="008956CE" w:rsidRDefault="00063531">
      <w:pPr>
        <w:pStyle w:val="Heading1"/>
        <w:spacing w:line="276" w:lineRule="auto"/>
        <w:jc w:val="left"/>
        <w:rPr>
          <w:u w:val="none"/>
        </w:rPr>
      </w:pPr>
      <w:r>
        <w:t xml:space="preserve">Appeal </w:t>
      </w:r>
      <w:proofErr w:type="gramStart"/>
      <w:r>
        <w:t>point</w:t>
      </w:r>
      <w:proofErr w:type="gramEnd"/>
      <w:r>
        <w:t xml:space="preserve"> 1(a).5: The Appraisal Committee failed adequately to consider the non-reference</w:t>
      </w:r>
      <w:r>
        <w:rPr>
          <w:u w:val="none"/>
        </w:rPr>
        <w:t xml:space="preserve"> </w:t>
      </w:r>
      <w:r>
        <w:t>case analyses submitted by Sanofi</w:t>
      </w:r>
    </w:p>
    <w:p w14:paraId="150CDBA1" w14:textId="77777777" w:rsidR="008956CE" w:rsidRDefault="008956CE">
      <w:pPr>
        <w:pStyle w:val="BodyText"/>
        <w:spacing w:before="11"/>
        <w:rPr>
          <w:b/>
        </w:rPr>
      </w:pPr>
    </w:p>
    <w:p w14:paraId="150CDBA2" w14:textId="77777777" w:rsidR="008956CE" w:rsidRDefault="00063531">
      <w:pPr>
        <w:pStyle w:val="BodyText"/>
        <w:spacing w:line="288" w:lineRule="auto"/>
        <w:ind w:left="1380" w:right="1156"/>
        <w:jc w:val="both"/>
      </w:pPr>
      <w:r>
        <w:t>I</w:t>
      </w:r>
      <w:r>
        <w:rPr>
          <w:spacing w:val="-14"/>
        </w:rPr>
        <w:t xml:space="preserve"> </w:t>
      </w:r>
      <w:r>
        <w:t>am</w:t>
      </w:r>
      <w:r>
        <w:rPr>
          <w:spacing w:val="-14"/>
        </w:rPr>
        <w:t xml:space="preserve"> </w:t>
      </w:r>
      <w:r>
        <w:t>minded</w:t>
      </w:r>
      <w:r>
        <w:rPr>
          <w:spacing w:val="-14"/>
        </w:rPr>
        <w:t xml:space="preserve"> </w:t>
      </w:r>
      <w:proofErr w:type="gramStart"/>
      <w:r>
        <w:t>to</w:t>
      </w:r>
      <w:r>
        <w:rPr>
          <w:spacing w:val="-11"/>
        </w:rPr>
        <w:t xml:space="preserve"> </w:t>
      </w:r>
      <w:r>
        <w:t>refer</w:t>
      </w:r>
      <w:proofErr w:type="gramEnd"/>
      <w:r>
        <w:rPr>
          <w:spacing w:val="-14"/>
        </w:rPr>
        <w:t xml:space="preserve"> </w:t>
      </w:r>
      <w:r>
        <w:t>this</w:t>
      </w:r>
      <w:r>
        <w:rPr>
          <w:spacing w:val="-13"/>
        </w:rPr>
        <w:t xml:space="preserve"> </w:t>
      </w:r>
      <w:r>
        <w:t>appeal</w:t>
      </w:r>
      <w:r>
        <w:rPr>
          <w:spacing w:val="-8"/>
        </w:rPr>
        <w:t xml:space="preserve"> </w:t>
      </w:r>
      <w:r>
        <w:t>point</w:t>
      </w:r>
      <w:r>
        <w:rPr>
          <w:spacing w:val="-14"/>
        </w:rPr>
        <w:t xml:space="preserve"> </w:t>
      </w:r>
      <w:r>
        <w:t>to</w:t>
      </w:r>
      <w:r>
        <w:rPr>
          <w:spacing w:val="-10"/>
        </w:rPr>
        <w:t xml:space="preserve"> </w:t>
      </w:r>
      <w:r>
        <w:t>the</w:t>
      </w:r>
      <w:r>
        <w:rPr>
          <w:spacing w:val="-14"/>
        </w:rPr>
        <w:t xml:space="preserve"> </w:t>
      </w:r>
      <w:r>
        <w:t>Appeal</w:t>
      </w:r>
      <w:r>
        <w:rPr>
          <w:spacing w:val="-12"/>
        </w:rPr>
        <w:t xml:space="preserve"> </w:t>
      </w:r>
      <w:r>
        <w:t>Panel,</w:t>
      </w:r>
      <w:r>
        <w:rPr>
          <w:spacing w:val="-9"/>
        </w:rPr>
        <w:t xml:space="preserve"> </w:t>
      </w:r>
      <w:r>
        <w:t>in</w:t>
      </w:r>
      <w:r>
        <w:rPr>
          <w:spacing w:val="-14"/>
        </w:rPr>
        <w:t xml:space="preserve"> </w:t>
      </w:r>
      <w:r>
        <w:t>respect</w:t>
      </w:r>
      <w:r>
        <w:rPr>
          <w:spacing w:val="-9"/>
        </w:rPr>
        <w:t xml:space="preserve"> </w:t>
      </w:r>
      <w:r>
        <w:t>of</w:t>
      </w:r>
      <w:r>
        <w:rPr>
          <w:spacing w:val="-14"/>
        </w:rPr>
        <w:t xml:space="preserve"> </w:t>
      </w:r>
      <w:r>
        <w:t>the</w:t>
      </w:r>
      <w:r>
        <w:rPr>
          <w:spacing w:val="-9"/>
        </w:rPr>
        <w:t xml:space="preserve"> </w:t>
      </w:r>
      <w:r>
        <w:t>challenge</w:t>
      </w:r>
      <w:r>
        <w:rPr>
          <w:spacing w:val="-14"/>
        </w:rPr>
        <w:t xml:space="preserve"> </w:t>
      </w:r>
      <w:r>
        <w:t>to</w:t>
      </w:r>
      <w:r>
        <w:rPr>
          <w:spacing w:val="-14"/>
        </w:rPr>
        <w:t xml:space="preserve"> </w:t>
      </w:r>
      <w:r>
        <w:t>the</w:t>
      </w:r>
      <w:r>
        <w:rPr>
          <w:spacing w:val="-14"/>
        </w:rPr>
        <w:t xml:space="preserve"> </w:t>
      </w:r>
      <w:r>
        <w:t>Committee's decision</w:t>
      </w:r>
      <w:r>
        <w:rPr>
          <w:spacing w:val="-9"/>
        </w:rPr>
        <w:t xml:space="preserve"> </w:t>
      </w:r>
      <w:r>
        <w:t>not</w:t>
      </w:r>
      <w:r>
        <w:rPr>
          <w:spacing w:val="-9"/>
        </w:rPr>
        <w:t xml:space="preserve"> </w:t>
      </w:r>
      <w:r>
        <w:t>to</w:t>
      </w:r>
      <w:r>
        <w:rPr>
          <w:spacing w:val="-9"/>
        </w:rPr>
        <w:t xml:space="preserve"> </w:t>
      </w:r>
      <w:r>
        <w:t>consider</w:t>
      </w:r>
      <w:r>
        <w:rPr>
          <w:spacing w:val="-5"/>
        </w:rPr>
        <w:t xml:space="preserve"> </w:t>
      </w:r>
      <w:r>
        <w:t>value</w:t>
      </w:r>
      <w:r>
        <w:rPr>
          <w:spacing w:val="-5"/>
        </w:rPr>
        <w:t xml:space="preserve"> </w:t>
      </w:r>
      <w:r>
        <w:t>attribution</w:t>
      </w:r>
      <w:r>
        <w:rPr>
          <w:spacing w:val="-5"/>
        </w:rPr>
        <w:t xml:space="preserve"> </w:t>
      </w:r>
      <w:r>
        <w:t>(discussed</w:t>
      </w:r>
      <w:r>
        <w:rPr>
          <w:spacing w:val="-9"/>
        </w:rPr>
        <w:t xml:space="preserve"> </w:t>
      </w:r>
      <w:r>
        <w:t>in</w:t>
      </w:r>
      <w:r>
        <w:rPr>
          <w:spacing w:val="-5"/>
        </w:rPr>
        <w:t xml:space="preserve"> </w:t>
      </w:r>
      <w:r>
        <w:t>numbered</w:t>
      </w:r>
      <w:r>
        <w:rPr>
          <w:spacing w:val="-9"/>
        </w:rPr>
        <w:t xml:space="preserve"> </w:t>
      </w:r>
      <w:r>
        <w:t>paragraph</w:t>
      </w:r>
      <w:r>
        <w:rPr>
          <w:spacing w:val="-5"/>
        </w:rPr>
        <w:t xml:space="preserve"> </w:t>
      </w:r>
      <w:r>
        <w:t>3</w:t>
      </w:r>
      <w:r>
        <w:rPr>
          <w:spacing w:val="-5"/>
        </w:rPr>
        <w:t xml:space="preserve"> </w:t>
      </w:r>
      <w:r>
        <w:t>below).</w:t>
      </w:r>
      <w:r>
        <w:rPr>
          <w:spacing w:val="40"/>
        </w:rPr>
        <w:t xml:space="preserve"> </w:t>
      </w:r>
      <w:r>
        <w:t>I</w:t>
      </w:r>
      <w:r>
        <w:rPr>
          <w:spacing w:val="-5"/>
        </w:rPr>
        <w:t xml:space="preserve"> </w:t>
      </w:r>
      <w:r>
        <w:t>am</w:t>
      </w:r>
      <w:r>
        <w:rPr>
          <w:spacing w:val="-5"/>
        </w:rPr>
        <w:t xml:space="preserve"> </w:t>
      </w:r>
      <w:r>
        <w:t>not</w:t>
      </w:r>
      <w:r>
        <w:rPr>
          <w:spacing w:val="-5"/>
        </w:rPr>
        <w:t xml:space="preserve"> </w:t>
      </w:r>
      <w:r>
        <w:t xml:space="preserve">minded </w:t>
      </w:r>
      <w:proofErr w:type="gramStart"/>
      <w:r>
        <w:t>to refer</w:t>
      </w:r>
      <w:proofErr w:type="gramEnd"/>
      <w:r>
        <w:t xml:space="preserve"> the remainder of this appeal point to the Appeal Panel.</w:t>
      </w:r>
    </w:p>
    <w:p w14:paraId="150CDBA3" w14:textId="77777777" w:rsidR="008956CE" w:rsidRDefault="00063531">
      <w:pPr>
        <w:pStyle w:val="BodyText"/>
        <w:spacing w:before="203"/>
        <w:ind w:left="1380"/>
        <w:jc w:val="both"/>
      </w:pPr>
      <w:r>
        <w:rPr>
          <w:color w:val="333333"/>
        </w:rPr>
        <w:t>I</w:t>
      </w:r>
      <w:r>
        <w:rPr>
          <w:color w:val="333333"/>
          <w:spacing w:val="-6"/>
        </w:rPr>
        <w:t xml:space="preserve"> </w:t>
      </w:r>
      <w:r>
        <w:rPr>
          <w:color w:val="333333"/>
        </w:rPr>
        <w:t>understand</w:t>
      </w:r>
      <w:r>
        <w:rPr>
          <w:color w:val="333333"/>
          <w:spacing w:val="-2"/>
        </w:rPr>
        <w:t xml:space="preserve"> </w:t>
      </w:r>
      <w:r>
        <w:rPr>
          <w:color w:val="333333"/>
        </w:rPr>
        <w:t>this</w:t>
      </w:r>
      <w:r>
        <w:rPr>
          <w:color w:val="333333"/>
          <w:spacing w:val="-4"/>
        </w:rPr>
        <w:t xml:space="preserve"> </w:t>
      </w:r>
      <w:r>
        <w:rPr>
          <w:color w:val="333333"/>
        </w:rPr>
        <w:t>appeal</w:t>
      </w:r>
      <w:r>
        <w:rPr>
          <w:color w:val="333333"/>
          <w:spacing w:val="-4"/>
        </w:rPr>
        <w:t xml:space="preserve"> </w:t>
      </w:r>
      <w:r>
        <w:rPr>
          <w:color w:val="333333"/>
        </w:rPr>
        <w:t>point</w:t>
      </w:r>
      <w:r>
        <w:rPr>
          <w:color w:val="333333"/>
          <w:spacing w:val="-5"/>
        </w:rPr>
        <w:t xml:space="preserve"> </w:t>
      </w:r>
      <w:r>
        <w:rPr>
          <w:color w:val="333333"/>
        </w:rPr>
        <w:t>argues</w:t>
      </w:r>
      <w:r>
        <w:rPr>
          <w:color w:val="333333"/>
          <w:spacing w:val="-5"/>
        </w:rPr>
        <w:t xml:space="preserve"> </w:t>
      </w:r>
      <w:r>
        <w:rPr>
          <w:color w:val="333333"/>
        </w:rPr>
        <w:t>that</w:t>
      </w:r>
      <w:r>
        <w:rPr>
          <w:color w:val="333333"/>
          <w:spacing w:val="-6"/>
        </w:rPr>
        <w:t xml:space="preserve"> </w:t>
      </w:r>
      <w:r>
        <w:rPr>
          <w:color w:val="333333"/>
        </w:rPr>
        <w:t>the</w:t>
      </w:r>
      <w:r>
        <w:rPr>
          <w:color w:val="333333"/>
          <w:spacing w:val="-6"/>
        </w:rPr>
        <w:t xml:space="preserve"> </w:t>
      </w:r>
      <w:r>
        <w:rPr>
          <w:color w:val="333333"/>
        </w:rPr>
        <w:t>Committee</w:t>
      </w:r>
      <w:r>
        <w:rPr>
          <w:color w:val="333333"/>
          <w:spacing w:val="-2"/>
        </w:rPr>
        <w:t xml:space="preserve"> </w:t>
      </w:r>
      <w:r>
        <w:rPr>
          <w:color w:val="333333"/>
        </w:rPr>
        <w:t>took</w:t>
      </w:r>
      <w:r>
        <w:rPr>
          <w:color w:val="333333"/>
          <w:spacing w:val="-5"/>
        </w:rPr>
        <w:t xml:space="preserve"> </w:t>
      </w:r>
      <w:r>
        <w:rPr>
          <w:color w:val="333333"/>
        </w:rPr>
        <w:t>the</w:t>
      </w:r>
      <w:r>
        <w:rPr>
          <w:color w:val="333333"/>
          <w:spacing w:val="-1"/>
        </w:rPr>
        <w:t xml:space="preserve"> </w:t>
      </w:r>
      <w:r>
        <w:rPr>
          <w:color w:val="333333"/>
        </w:rPr>
        <w:t>following</w:t>
      </w:r>
      <w:r>
        <w:rPr>
          <w:color w:val="333333"/>
          <w:spacing w:val="-6"/>
        </w:rPr>
        <w:t xml:space="preserve"> </w:t>
      </w:r>
      <w:r>
        <w:rPr>
          <w:color w:val="333333"/>
        </w:rPr>
        <w:t>three</w:t>
      </w:r>
      <w:r>
        <w:rPr>
          <w:color w:val="333333"/>
          <w:spacing w:val="-2"/>
        </w:rPr>
        <w:t xml:space="preserve"> </w:t>
      </w:r>
      <w:r>
        <w:rPr>
          <w:color w:val="333333"/>
        </w:rPr>
        <w:t xml:space="preserve">decisions </w:t>
      </w:r>
      <w:r>
        <w:rPr>
          <w:color w:val="333333"/>
          <w:spacing w:val="-2"/>
        </w:rPr>
        <w:t>unfairly:</w:t>
      </w:r>
    </w:p>
    <w:p w14:paraId="150CDBA4" w14:textId="77777777" w:rsidR="008956CE" w:rsidRDefault="008956CE">
      <w:pPr>
        <w:pStyle w:val="BodyText"/>
        <w:spacing w:before="15"/>
      </w:pPr>
    </w:p>
    <w:p w14:paraId="150CDBA5" w14:textId="77777777" w:rsidR="008956CE" w:rsidRDefault="00063531">
      <w:pPr>
        <w:pStyle w:val="ListParagraph"/>
        <w:numPr>
          <w:ilvl w:val="0"/>
          <w:numId w:val="1"/>
        </w:numPr>
        <w:tabs>
          <w:tab w:val="left" w:pos="2099"/>
          <w:tab w:val="left" w:pos="2101"/>
        </w:tabs>
        <w:spacing w:line="288" w:lineRule="auto"/>
        <w:ind w:right="1153"/>
        <w:jc w:val="both"/>
        <w:rPr>
          <w:sz w:val="20"/>
        </w:rPr>
      </w:pPr>
      <w:r>
        <w:rPr>
          <w:color w:val="333333"/>
          <w:sz w:val="20"/>
        </w:rPr>
        <w:t>The Committee's decision to reject a non-reference case approach proposed by the Company that would involve removing pomalidomide and dexamethasone costs from the combination therapy arm.</w:t>
      </w:r>
      <w:r>
        <w:rPr>
          <w:color w:val="333333"/>
          <w:spacing w:val="40"/>
          <w:sz w:val="20"/>
        </w:rPr>
        <w:t xml:space="preserve"> </w:t>
      </w:r>
      <w:r>
        <w:rPr>
          <w:color w:val="333333"/>
          <w:sz w:val="20"/>
        </w:rPr>
        <w:t xml:space="preserve">This is covered by appeal point 1(a)6, which I am minded </w:t>
      </w:r>
      <w:proofErr w:type="gramStart"/>
      <w:r>
        <w:rPr>
          <w:color w:val="333333"/>
          <w:sz w:val="20"/>
        </w:rPr>
        <w:t>to refer</w:t>
      </w:r>
      <w:proofErr w:type="gramEnd"/>
      <w:r>
        <w:rPr>
          <w:color w:val="333333"/>
          <w:sz w:val="20"/>
        </w:rPr>
        <w:t xml:space="preserve"> to the appeal panel.</w:t>
      </w:r>
      <w:r>
        <w:rPr>
          <w:color w:val="333333"/>
          <w:spacing w:val="40"/>
          <w:sz w:val="20"/>
        </w:rPr>
        <w:t xml:space="preserve"> </w:t>
      </w:r>
      <w:r>
        <w:rPr>
          <w:color w:val="333333"/>
          <w:sz w:val="20"/>
        </w:rPr>
        <w:t>I cannot see any additional points here requiring referral as a discrete appeal point.</w:t>
      </w:r>
    </w:p>
    <w:p w14:paraId="150CDBA6" w14:textId="77777777" w:rsidR="008956CE" w:rsidRDefault="00063531">
      <w:pPr>
        <w:pStyle w:val="ListParagraph"/>
        <w:numPr>
          <w:ilvl w:val="0"/>
          <w:numId w:val="1"/>
        </w:numPr>
        <w:tabs>
          <w:tab w:val="left" w:pos="2099"/>
          <w:tab w:val="left" w:pos="2101"/>
        </w:tabs>
        <w:spacing w:before="201" w:line="288" w:lineRule="auto"/>
        <w:ind w:right="1150"/>
        <w:jc w:val="both"/>
        <w:rPr>
          <w:sz w:val="20"/>
        </w:rPr>
      </w:pPr>
      <w:r>
        <w:rPr>
          <w:color w:val="333333"/>
          <w:sz w:val="20"/>
        </w:rPr>
        <w:t>The Committee's decision not to consider generic pomalidomide prices expected to follow patent expiry later in 2024.</w:t>
      </w:r>
    </w:p>
    <w:p w14:paraId="150CDBA7" w14:textId="77777777" w:rsidR="008956CE" w:rsidRDefault="00063531">
      <w:pPr>
        <w:spacing w:before="199" w:line="288" w:lineRule="auto"/>
        <w:ind w:left="2101" w:right="1150"/>
        <w:jc w:val="both"/>
        <w:rPr>
          <w:sz w:val="20"/>
        </w:rPr>
      </w:pPr>
      <w:r>
        <w:rPr>
          <w:color w:val="333333"/>
          <w:sz w:val="20"/>
        </w:rPr>
        <w:t>The</w:t>
      </w:r>
      <w:r>
        <w:rPr>
          <w:color w:val="333333"/>
          <w:spacing w:val="-4"/>
          <w:sz w:val="20"/>
        </w:rPr>
        <w:t xml:space="preserve"> </w:t>
      </w:r>
      <w:r>
        <w:rPr>
          <w:color w:val="333333"/>
          <w:sz w:val="20"/>
        </w:rPr>
        <w:t>Committee</w:t>
      </w:r>
      <w:r>
        <w:rPr>
          <w:color w:val="333333"/>
          <w:spacing w:val="-3"/>
          <w:sz w:val="20"/>
        </w:rPr>
        <w:t xml:space="preserve"> </w:t>
      </w:r>
      <w:r>
        <w:rPr>
          <w:color w:val="333333"/>
          <w:sz w:val="20"/>
        </w:rPr>
        <w:t>is</w:t>
      </w:r>
      <w:r>
        <w:rPr>
          <w:color w:val="333333"/>
          <w:spacing w:val="-3"/>
          <w:sz w:val="20"/>
        </w:rPr>
        <w:t xml:space="preserve"> </w:t>
      </w:r>
      <w:r>
        <w:rPr>
          <w:color w:val="333333"/>
          <w:sz w:val="20"/>
        </w:rPr>
        <w:t>required</w:t>
      </w:r>
      <w:r>
        <w:rPr>
          <w:color w:val="333333"/>
          <w:spacing w:val="-4"/>
          <w:sz w:val="20"/>
        </w:rPr>
        <w:t xml:space="preserve"> </w:t>
      </w:r>
      <w:r>
        <w:rPr>
          <w:color w:val="333333"/>
          <w:sz w:val="20"/>
        </w:rPr>
        <w:t>to use pricing that reflects</w:t>
      </w:r>
      <w:r>
        <w:rPr>
          <w:color w:val="333333"/>
          <w:spacing w:val="-3"/>
          <w:sz w:val="20"/>
        </w:rPr>
        <w:t xml:space="preserve"> </w:t>
      </w:r>
      <w:r>
        <w:rPr>
          <w:color w:val="333333"/>
          <w:sz w:val="20"/>
        </w:rPr>
        <w:t>as closely</w:t>
      </w:r>
      <w:r>
        <w:rPr>
          <w:color w:val="333333"/>
          <w:spacing w:val="-2"/>
          <w:sz w:val="20"/>
        </w:rPr>
        <w:t xml:space="preserve"> </w:t>
      </w:r>
      <w:r>
        <w:rPr>
          <w:color w:val="333333"/>
          <w:sz w:val="20"/>
        </w:rPr>
        <w:t>as</w:t>
      </w:r>
      <w:r>
        <w:rPr>
          <w:color w:val="333333"/>
          <w:spacing w:val="-3"/>
          <w:sz w:val="20"/>
        </w:rPr>
        <w:t xml:space="preserve"> </w:t>
      </w:r>
      <w:r>
        <w:rPr>
          <w:color w:val="333333"/>
          <w:sz w:val="20"/>
        </w:rPr>
        <w:t>possible</w:t>
      </w:r>
      <w:r>
        <w:rPr>
          <w:color w:val="333333"/>
          <w:spacing w:val="-3"/>
          <w:sz w:val="20"/>
        </w:rPr>
        <w:t xml:space="preserve"> </w:t>
      </w:r>
      <w:r>
        <w:rPr>
          <w:color w:val="333333"/>
          <w:sz w:val="20"/>
        </w:rPr>
        <w:t>the</w:t>
      </w:r>
      <w:r>
        <w:rPr>
          <w:color w:val="333333"/>
          <w:spacing w:val="-4"/>
          <w:sz w:val="20"/>
        </w:rPr>
        <w:t xml:space="preserve"> </w:t>
      </w:r>
      <w:r>
        <w:rPr>
          <w:color w:val="333333"/>
          <w:sz w:val="20"/>
        </w:rPr>
        <w:t>prices</w:t>
      </w:r>
      <w:r>
        <w:rPr>
          <w:color w:val="333333"/>
          <w:spacing w:val="-3"/>
          <w:sz w:val="20"/>
        </w:rPr>
        <w:t xml:space="preserve"> </w:t>
      </w:r>
      <w:r>
        <w:rPr>
          <w:color w:val="333333"/>
          <w:sz w:val="20"/>
        </w:rPr>
        <w:t>that</w:t>
      </w:r>
      <w:r>
        <w:rPr>
          <w:color w:val="333333"/>
          <w:spacing w:val="-4"/>
          <w:sz w:val="20"/>
        </w:rPr>
        <w:t xml:space="preserve"> </w:t>
      </w:r>
      <w:r>
        <w:rPr>
          <w:color w:val="333333"/>
          <w:sz w:val="20"/>
        </w:rPr>
        <w:t>are paid in the NHS (Paragraph 4.4.4 of the Manual). The Committee can only consider evidence that is presented to it at the time of the appraisal and the Committee is not required to look at future pricing.</w:t>
      </w:r>
      <w:r>
        <w:rPr>
          <w:color w:val="333333"/>
          <w:spacing w:val="80"/>
          <w:sz w:val="20"/>
        </w:rPr>
        <w:t xml:space="preserve"> </w:t>
      </w:r>
      <w:r>
        <w:rPr>
          <w:color w:val="333333"/>
          <w:sz w:val="20"/>
        </w:rPr>
        <w:t>In fact, in this case, the Committee does appear to have taken a flexible approach.</w:t>
      </w:r>
      <w:r>
        <w:rPr>
          <w:color w:val="333333"/>
          <w:spacing w:val="-14"/>
          <w:sz w:val="20"/>
        </w:rPr>
        <w:t xml:space="preserve"> </w:t>
      </w:r>
      <w:r>
        <w:rPr>
          <w:color w:val="333333"/>
          <w:sz w:val="20"/>
        </w:rPr>
        <w:t>I</w:t>
      </w:r>
      <w:r>
        <w:rPr>
          <w:color w:val="333333"/>
          <w:spacing w:val="-14"/>
          <w:sz w:val="20"/>
        </w:rPr>
        <w:t xml:space="preserve"> </w:t>
      </w:r>
      <w:r>
        <w:rPr>
          <w:color w:val="333333"/>
          <w:sz w:val="20"/>
        </w:rPr>
        <w:t>note</w:t>
      </w:r>
      <w:r>
        <w:rPr>
          <w:color w:val="333333"/>
          <w:spacing w:val="-14"/>
          <w:sz w:val="20"/>
        </w:rPr>
        <w:t xml:space="preserve"> </w:t>
      </w:r>
      <w:r>
        <w:rPr>
          <w:color w:val="333333"/>
          <w:sz w:val="20"/>
        </w:rPr>
        <w:t>at</w:t>
      </w:r>
      <w:r>
        <w:rPr>
          <w:color w:val="333333"/>
          <w:spacing w:val="-14"/>
          <w:sz w:val="20"/>
        </w:rPr>
        <w:t xml:space="preserve"> </w:t>
      </w:r>
      <w:r>
        <w:rPr>
          <w:color w:val="333333"/>
          <w:sz w:val="20"/>
        </w:rPr>
        <w:t>paragraph</w:t>
      </w:r>
      <w:r>
        <w:rPr>
          <w:color w:val="333333"/>
          <w:spacing w:val="-14"/>
          <w:sz w:val="20"/>
        </w:rPr>
        <w:t xml:space="preserve"> </w:t>
      </w:r>
      <w:r>
        <w:rPr>
          <w:color w:val="333333"/>
          <w:sz w:val="20"/>
        </w:rPr>
        <w:t>3.17</w:t>
      </w:r>
      <w:r>
        <w:rPr>
          <w:color w:val="333333"/>
          <w:spacing w:val="-14"/>
          <w:sz w:val="20"/>
        </w:rPr>
        <w:t xml:space="preserve"> </w:t>
      </w:r>
      <w:r>
        <w:rPr>
          <w:color w:val="333333"/>
          <w:sz w:val="20"/>
        </w:rPr>
        <w:t>of</w:t>
      </w:r>
      <w:r>
        <w:rPr>
          <w:color w:val="333333"/>
          <w:spacing w:val="-14"/>
          <w:sz w:val="20"/>
        </w:rPr>
        <w:t xml:space="preserve"> </w:t>
      </w:r>
      <w:r>
        <w:rPr>
          <w:color w:val="333333"/>
          <w:sz w:val="20"/>
        </w:rPr>
        <w:t>the</w:t>
      </w:r>
      <w:r>
        <w:rPr>
          <w:color w:val="333333"/>
          <w:spacing w:val="-14"/>
          <w:sz w:val="20"/>
        </w:rPr>
        <w:t xml:space="preserve"> </w:t>
      </w:r>
      <w:r>
        <w:rPr>
          <w:color w:val="333333"/>
          <w:sz w:val="20"/>
        </w:rPr>
        <w:t>FDG</w:t>
      </w:r>
      <w:r>
        <w:rPr>
          <w:color w:val="333333"/>
          <w:spacing w:val="-14"/>
          <w:sz w:val="20"/>
        </w:rPr>
        <w:t xml:space="preserve"> </w:t>
      </w:r>
      <w:r>
        <w:rPr>
          <w:color w:val="333333"/>
          <w:sz w:val="20"/>
        </w:rPr>
        <w:t>that,</w:t>
      </w:r>
      <w:r>
        <w:rPr>
          <w:color w:val="333333"/>
          <w:spacing w:val="-13"/>
          <w:sz w:val="20"/>
        </w:rPr>
        <w:t xml:space="preserve"> </w:t>
      </w:r>
      <w:r>
        <w:rPr>
          <w:color w:val="333333"/>
          <w:sz w:val="20"/>
        </w:rPr>
        <w:t>'</w:t>
      </w:r>
      <w:r>
        <w:rPr>
          <w:i/>
          <w:color w:val="333333"/>
          <w:sz w:val="20"/>
        </w:rPr>
        <w:t>after</w:t>
      </w:r>
      <w:r>
        <w:rPr>
          <w:i/>
          <w:color w:val="333333"/>
          <w:spacing w:val="-14"/>
          <w:sz w:val="20"/>
        </w:rPr>
        <w:t xml:space="preserve"> </w:t>
      </w:r>
      <w:r>
        <w:rPr>
          <w:i/>
          <w:color w:val="333333"/>
          <w:sz w:val="20"/>
        </w:rPr>
        <w:t>consultation</w:t>
      </w:r>
      <w:r>
        <w:rPr>
          <w:i/>
          <w:color w:val="333333"/>
          <w:spacing w:val="-14"/>
          <w:sz w:val="20"/>
        </w:rPr>
        <w:t xml:space="preserve"> </w:t>
      </w:r>
      <w:r>
        <w:rPr>
          <w:i/>
          <w:color w:val="333333"/>
          <w:sz w:val="20"/>
        </w:rPr>
        <w:t>the</w:t>
      </w:r>
      <w:r>
        <w:rPr>
          <w:i/>
          <w:color w:val="333333"/>
          <w:spacing w:val="-14"/>
          <w:sz w:val="20"/>
        </w:rPr>
        <w:t xml:space="preserve"> </w:t>
      </w:r>
      <w:r>
        <w:rPr>
          <w:i/>
          <w:color w:val="333333"/>
          <w:sz w:val="20"/>
        </w:rPr>
        <w:t>committee</w:t>
      </w:r>
      <w:r>
        <w:rPr>
          <w:i/>
          <w:color w:val="333333"/>
          <w:spacing w:val="-14"/>
          <w:sz w:val="20"/>
        </w:rPr>
        <w:t xml:space="preserve"> </w:t>
      </w:r>
      <w:r>
        <w:rPr>
          <w:i/>
          <w:color w:val="333333"/>
          <w:sz w:val="20"/>
        </w:rPr>
        <w:t>considered</w:t>
      </w:r>
      <w:r>
        <w:rPr>
          <w:i/>
          <w:color w:val="333333"/>
          <w:sz w:val="20"/>
        </w:rPr>
        <w:t xml:space="preserve"> scenarios presented by the company that included potential discounts for generic pomalidomide</w:t>
      </w:r>
      <w:r>
        <w:rPr>
          <w:color w:val="333333"/>
          <w:sz w:val="20"/>
        </w:rPr>
        <w:t>.'</w:t>
      </w:r>
      <w:r>
        <w:rPr>
          <w:color w:val="333333"/>
          <w:spacing w:val="26"/>
          <w:sz w:val="20"/>
        </w:rPr>
        <w:t xml:space="preserve"> </w:t>
      </w:r>
      <w:r>
        <w:rPr>
          <w:color w:val="333333"/>
          <w:sz w:val="20"/>
        </w:rPr>
        <w:t>Following</w:t>
      </w:r>
      <w:r>
        <w:rPr>
          <w:color w:val="333333"/>
          <w:spacing w:val="-14"/>
          <w:sz w:val="20"/>
        </w:rPr>
        <w:t xml:space="preserve"> </w:t>
      </w:r>
      <w:r>
        <w:rPr>
          <w:color w:val="333333"/>
          <w:sz w:val="20"/>
        </w:rPr>
        <w:t>consideration</w:t>
      </w:r>
      <w:r>
        <w:rPr>
          <w:color w:val="333333"/>
          <w:spacing w:val="-10"/>
          <w:sz w:val="20"/>
        </w:rPr>
        <w:t xml:space="preserve"> </w:t>
      </w:r>
      <w:r>
        <w:rPr>
          <w:color w:val="333333"/>
          <w:sz w:val="20"/>
        </w:rPr>
        <w:t>of</w:t>
      </w:r>
      <w:r>
        <w:rPr>
          <w:color w:val="333333"/>
          <w:spacing w:val="-14"/>
          <w:sz w:val="20"/>
        </w:rPr>
        <w:t xml:space="preserve"> </w:t>
      </w:r>
      <w:r>
        <w:rPr>
          <w:color w:val="333333"/>
          <w:sz w:val="20"/>
        </w:rPr>
        <w:t>the</w:t>
      </w:r>
      <w:r>
        <w:rPr>
          <w:color w:val="333333"/>
          <w:spacing w:val="-14"/>
          <w:sz w:val="20"/>
        </w:rPr>
        <w:t xml:space="preserve"> </w:t>
      </w:r>
      <w:r>
        <w:rPr>
          <w:color w:val="333333"/>
          <w:sz w:val="20"/>
        </w:rPr>
        <w:t>scenarios</w:t>
      </w:r>
      <w:r>
        <w:rPr>
          <w:color w:val="333333"/>
          <w:spacing w:val="-14"/>
          <w:sz w:val="20"/>
        </w:rPr>
        <w:t xml:space="preserve"> </w:t>
      </w:r>
      <w:r>
        <w:rPr>
          <w:color w:val="333333"/>
          <w:sz w:val="20"/>
        </w:rPr>
        <w:t>'</w:t>
      </w:r>
      <w:r>
        <w:rPr>
          <w:i/>
          <w:color w:val="333333"/>
          <w:sz w:val="20"/>
        </w:rPr>
        <w:t>It</w:t>
      </w:r>
      <w:r>
        <w:rPr>
          <w:i/>
          <w:color w:val="333333"/>
          <w:spacing w:val="-14"/>
          <w:sz w:val="20"/>
        </w:rPr>
        <w:t xml:space="preserve"> </w:t>
      </w:r>
      <w:r>
        <w:rPr>
          <w:i/>
          <w:color w:val="333333"/>
          <w:sz w:val="20"/>
        </w:rPr>
        <w:t>concluded</w:t>
      </w:r>
      <w:r>
        <w:rPr>
          <w:i/>
          <w:color w:val="333333"/>
          <w:spacing w:val="-14"/>
          <w:sz w:val="20"/>
        </w:rPr>
        <w:t xml:space="preserve"> </w:t>
      </w:r>
      <w:r>
        <w:rPr>
          <w:i/>
          <w:color w:val="333333"/>
          <w:sz w:val="20"/>
        </w:rPr>
        <w:t>that</w:t>
      </w:r>
      <w:r>
        <w:rPr>
          <w:i/>
          <w:color w:val="333333"/>
          <w:spacing w:val="-14"/>
          <w:sz w:val="20"/>
        </w:rPr>
        <w:t xml:space="preserve"> </w:t>
      </w:r>
      <w:r>
        <w:rPr>
          <w:i/>
          <w:color w:val="333333"/>
          <w:sz w:val="20"/>
        </w:rPr>
        <w:t>these</w:t>
      </w:r>
      <w:r>
        <w:rPr>
          <w:i/>
          <w:color w:val="333333"/>
          <w:spacing w:val="-14"/>
          <w:sz w:val="20"/>
        </w:rPr>
        <w:t xml:space="preserve"> </w:t>
      </w:r>
      <w:r>
        <w:rPr>
          <w:i/>
          <w:color w:val="333333"/>
          <w:sz w:val="20"/>
        </w:rPr>
        <w:t>suggested</w:t>
      </w:r>
      <w:r>
        <w:rPr>
          <w:i/>
          <w:color w:val="333333"/>
          <w:spacing w:val="-14"/>
          <w:sz w:val="20"/>
        </w:rPr>
        <w:t xml:space="preserve"> </w:t>
      </w:r>
      <w:r>
        <w:rPr>
          <w:i/>
          <w:color w:val="333333"/>
          <w:sz w:val="20"/>
        </w:rPr>
        <w:t xml:space="preserve">that introducing generic pomalidomide would not result in cost-effectiveness estimates for </w:t>
      </w:r>
      <w:proofErr w:type="spellStart"/>
      <w:r>
        <w:rPr>
          <w:i/>
          <w:color w:val="333333"/>
          <w:sz w:val="20"/>
        </w:rPr>
        <w:t>isatuximab</w:t>
      </w:r>
      <w:proofErr w:type="spellEnd"/>
      <w:r>
        <w:rPr>
          <w:i/>
          <w:color w:val="333333"/>
          <w:sz w:val="20"/>
        </w:rPr>
        <w:t xml:space="preserve"> plus pomalidomide and dexamethasone that would fall within the range that NICE would consider acceptable</w:t>
      </w:r>
      <w:r>
        <w:rPr>
          <w:color w:val="333333"/>
          <w:sz w:val="20"/>
        </w:rPr>
        <w:t>.'</w:t>
      </w:r>
    </w:p>
    <w:p w14:paraId="150CDBA8" w14:textId="77777777" w:rsidR="008956CE" w:rsidRDefault="00063531">
      <w:pPr>
        <w:pStyle w:val="BodyText"/>
        <w:spacing w:before="201" w:line="288" w:lineRule="auto"/>
        <w:ind w:left="2101" w:right="1152"/>
        <w:jc w:val="both"/>
      </w:pPr>
      <w:r>
        <w:rPr>
          <w:color w:val="333333"/>
        </w:rPr>
        <w:t>My initial view is therefore that whilst the Committee was not required to consider the future generic pricing, it has in fact done so in this case, and that the Committee's approach cannot therefore</w:t>
      </w:r>
      <w:r>
        <w:rPr>
          <w:color w:val="333333"/>
          <w:spacing w:val="-4"/>
        </w:rPr>
        <w:t xml:space="preserve"> </w:t>
      </w:r>
      <w:r>
        <w:rPr>
          <w:color w:val="333333"/>
        </w:rPr>
        <w:t>be</w:t>
      </w:r>
      <w:r>
        <w:rPr>
          <w:color w:val="333333"/>
          <w:spacing w:val="-4"/>
        </w:rPr>
        <w:t xml:space="preserve"> </w:t>
      </w:r>
      <w:r>
        <w:rPr>
          <w:color w:val="333333"/>
        </w:rPr>
        <w:t>arguably</w:t>
      </w:r>
      <w:r>
        <w:rPr>
          <w:color w:val="333333"/>
          <w:spacing w:val="-2"/>
        </w:rPr>
        <w:t xml:space="preserve"> </w:t>
      </w:r>
      <w:r>
        <w:rPr>
          <w:color w:val="333333"/>
        </w:rPr>
        <w:t>unfair</w:t>
      </w:r>
      <w:r>
        <w:rPr>
          <w:color w:val="333333"/>
          <w:spacing w:val="-3"/>
        </w:rPr>
        <w:t xml:space="preserve"> </w:t>
      </w:r>
      <w:r>
        <w:rPr>
          <w:color w:val="333333"/>
        </w:rPr>
        <w:t>in</w:t>
      </w:r>
      <w:r>
        <w:rPr>
          <w:color w:val="333333"/>
          <w:spacing w:val="-4"/>
        </w:rPr>
        <w:t xml:space="preserve"> </w:t>
      </w:r>
      <w:r>
        <w:rPr>
          <w:color w:val="333333"/>
        </w:rPr>
        <w:t>this regard.</w:t>
      </w:r>
      <w:r>
        <w:rPr>
          <w:color w:val="333333"/>
          <w:spacing w:val="40"/>
        </w:rPr>
        <w:t xml:space="preserve"> </w:t>
      </w:r>
      <w:r>
        <w:rPr>
          <w:color w:val="333333"/>
        </w:rPr>
        <w:t>I</w:t>
      </w:r>
      <w:r>
        <w:rPr>
          <w:color w:val="333333"/>
          <w:spacing w:val="-4"/>
        </w:rPr>
        <w:t xml:space="preserve"> </w:t>
      </w:r>
      <w:r>
        <w:rPr>
          <w:color w:val="333333"/>
        </w:rPr>
        <w:t>note</w:t>
      </w:r>
      <w:r>
        <w:rPr>
          <w:color w:val="333333"/>
          <w:spacing w:val="-4"/>
        </w:rPr>
        <w:t xml:space="preserve"> </w:t>
      </w:r>
      <w:r>
        <w:rPr>
          <w:color w:val="333333"/>
        </w:rPr>
        <w:t>that</w:t>
      </w:r>
      <w:r>
        <w:rPr>
          <w:color w:val="333333"/>
          <w:spacing w:val="-4"/>
        </w:rPr>
        <w:t xml:space="preserve"> </w:t>
      </w:r>
      <w:r>
        <w:rPr>
          <w:color w:val="333333"/>
        </w:rPr>
        <w:t>no ground</w:t>
      </w:r>
      <w:r>
        <w:rPr>
          <w:color w:val="333333"/>
          <w:spacing w:val="-4"/>
        </w:rPr>
        <w:t xml:space="preserve"> </w:t>
      </w:r>
      <w:r>
        <w:rPr>
          <w:color w:val="333333"/>
        </w:rPr>
        <w:t>2</w:t>
      </w:r>
      <w:r>
        <w:rPr>
          <w:color w:val="333333"/>
          <w:spacing w:val="-4"/>
        </w:rPr>
        <w:t xml:space="preserve"> </w:t>
      </w:r>
      <w:r>
        <w:rPr>
          <w:color w:val="333333"/>
        </w:rPr>
        <w:t>(reasonableness)</w:t>
      </w:r>
      <w:r>
        <w:rPr>
          <w:color w:val="333333"/>
          <w:spacing w:val="-4"/>
        </w:rPr>
        <w:t xml:space="preserve"> </w:t>
      </w:r>
      <w:r>
        <w:rPr>
          <w:color w:val="333333"/>
        </w:rPr>
        <w:t>challenge is made to</w:t>
      </w:r>
      <w:r>
        <w:rPr>
          <w:color w:val="333333"/>
          <w:spacing w:val="-1"/>
        </w:rPr>
        <w:t xml:space="preserve"> </w:t>
      </w:r>
      <w:r>
        <w:rPr>
          <w:color w:val="333333"/>
        </w:rPr>
        <w:t>the Committee's conclusion that there was uncertainty around the timing of generic pricing becoming available and that in any event it would not result in cost-effectiveness.</w:t>
      </w:r>
    </w:p>
    <w:p w14:paraId="150CDBA9" w14:textId="77777777" w:rsidR="008956CE" w:rsidRDefault="00063531">
      <w:pPr>
        <w:pStyle w:val="ListParagraph"/>
        <w:numPr>
          <w:ilvl w:val="0"/>
          <w:numId w:val="1"/>
        </w:numPr>
        <w:tabs>
          <w:tab w:val="left" w:pos="2099"/>
          <w:tab w:val="left" w:pos="2101"/>
        </w:tabs>
        <w:spacing w:before="200" w:line="288" w:lineRule="auto"/>
        <w:ind w:right="1152"/>
        <w:jc w:val="both"/>
        <w:rPr>
          <w:sz w:val="20"/>
        </w:rPr>
      </w:pPr>
      <w:r>
        <w:rPr>
          <w:color w:val="333333"/>
          <w:sz w:val="20"/>
        </w:rPr>
        <w:t>The</w:t>
      </w:r>
      <w:r>
        <w:rPr>
          <w:color w:val="333333"/>
          <w:spacing w:val="-14"/>
          <w:sz w:val="20"/>
        </w:rPr>
        <w:t xml:space="preserve"> </w:t>
      </w:r>
      <w:r>
        <w:rPr>
          <w:color w:val="333333"/>
          <w:sz w:val="20"/>
        </w:rPr>
        <w:t>committee's</w:t>
      </w:r>
      <w:r>
        <w:rPr>
          <w:color w:val="333333"/>
          <w:spacing w:val="-14"/>
          <w:sz w:val="20"/>
        </w:rPr>
        <w:t xml:space="preserve"> </w:t>
      </w:r>
      <w:r>
        <w:rPr>
          <w:color w:val="333333"/>
          <w:sz w:val="20"/>
        </w:rPr>
        <w:t>decision</w:t>
      </w:r>
      <w:r>
        <w:rPr>
          <w:color w:val="333333"/>
          <w:spacing w:val="-14"/>
          <w:sz w:val="20"/>
        </w:rPr>
        <w:t xml:space="preserve"> </w:t>
      </w:r>
      <w:r>
        <w:rPr>
          <w:color w:val="333333"/>
          <w:sz w:val="20"/>
        </w:rPr>
        <w:t>not</w:t>
      </w:r>
      <w:r>
        <w:rPr>
          <w:color w:val="333333"/>
          <w:spacing w:val="-11"/>
          <w:sz w:val="20"/>
        </w:rPr>
        <w:t xml:space="preserve"> </w:t>
      </w:r>
      <w:r>
        <w:rPr>
          <w:color w:val="333333"/>
          <w:sz w:val="20"/>
        </w:rPr>
        <w:t>to</w:t>
      </w:r>
      <w:r>
        <w:rPr>
          <w:color w:val="333333"/>
          <w:spacing w:val="-14"/>
          <w:sz w:val="20"/>
        </w:rPr>
        <w:t xml:space="preserve"> </w:t>
      </w:r>
      <w:r>
        <w:rPr>
          <w:color w:val="333333"/>
          <w:sz w:val="20"/>
        </w:rPr>
        <w:t>consider</w:t>
      </w:r>
      <w:r>
        <w:rPr>
          <w:color w:val="333333"/>
          <w:spacing w:val="-14"/>
          <w:sz w:val="20"/>
        </w:rPr>
        <w:t xml:space="preserve"> </w:t>
      </w:r>
      <w:r>
        <w:rPr>
          <w:color w:val="333333"/>
          <w:sz w:val="20"/>
        </w:rPr>
        <w:t>value</w:t>
      </w:r>
      <w:r>
        <w:rPr>
          <w:color w:val="333333"/>
          <w:spacing w:val="-14"/>
          <w:sz w:val="20"/>
        </w:rPr>
        <w:t xml:space="preserve"> </w:t>
      </w:r>
      <w:r>
        <w:rPr>
          <w:color w:val="333333"/>
          <w:sz w:val="20"/>
        </w:rPr>
        <w:t>attribution,</w:t>
      </w:r>
      <w:r>
        <w:rPr>
          <w:color w:val="333333"/>
          <w:spacing w:val="-9"/>
          <w:sz w:val="20"/>
        </w:rPr>
        <w:t xml:space="preserve"> </w:t>
      </w:r>
      <w:r>
        <w:rPr>
          <w:color w:val="333333"/>
          <w:sz w:val="20"/>
        </w:rPr>
        <w:t>on</w:t>
      </w:r>
      <w:r>
        <w:rPr>
          <w:color w:val="333333"/>
          <w:spacing w:val="-14"/>
          <w:sz w:val="20"/>
        </w:rPr>
        <w:t xml:space="preserve"> </w:t>
      </w:r>
      <w:r>
        <w:rPr>
          <w:color w:val="333333"/>
          <w:sz w:val="20"/>
        </w:rPr>
        <w:t>the</w:t>
      </w:r>
      <w:r>
        <w:rPr>
          <w:color w:val="333333"/>
          <w:spacing w:val="-14"/>
          <w:sz w:val="20"/>
        </w:rPr>
        <w:t xml:space="preserve"> </w:t>
      </w:r>
      <w:r>
        <w:rPr>
          <w:color w:val="333333"/>
          <w:sz w:val="20"/>
        </w:rPr>
        <w:t>basis</w:t>
      </w:r>
      <w:r>
        <w:rPr>
          <w:color w:val="333333"/>
          <w:spacing w:val="-13"/>
          <w:sz w:val="20"/>
        </w:rPr>
        <w:t xml:space="preserve"> </w:t>
      </w:r>
      <w:r>
        <w:rPr>
          <w:color w:val="333333"/>
          <w:sz w:val="20"/>
        </w:rPr>
        <w:t>that</w:t>
      </w:r>
      <w:r>
        <w:rPr>
          <w:color w:val="333333"/>
          <w:spacing w:val="-14"/>
          <w:sz w:val="20"/>
        </w:rPr>
        <w:t xml:space="preserve"> </w:t>
      </w:r>
      <w:r>
        <w:rPr>
          <w:color w:val="333333"/>
          <w:sz w:val="20"/>
        </w:rPr>
        <w:t>NICE</w:t>
      </w:r>
      <w:r>
        <w:rPr>
          <w:color w:val="333333"/>
          <w:spacing w:val="-12"/>
          <w:sz w:val="20"/>
        </w:rPr>
        <w:t xml:space="preserve"> </w:t>
      </w:r>
      <w:r>
        <w:rPr>
          <w:color w:val="333333"/>
          <w:sz w:val="20"/>
        </w:rPr>
        <w:t>does</w:t>
      </w:r>
      <w:r>
        <w:rPr>
          <w:color w:val="333333"/>
          <w:spacing w:val="-9"/>
          <w:sz w:val="20"/>
        </w:rPr>
        <w:t xml:space="preserve"> </w:t>
      </w:r>
      <w:r>
        <w:rPr>
          <w:color w:val="333333"/>
          <w:sz w:val="20"/>
        </w:rPr>
        <w:t>not</w:t>
      </w:r>
      <w:r>
        <w:rPr>
          <w:color w:val="333333"/>
          <w:spacing w:val="-14"/>
          <w:sz w:val="20"/>
        </w:rPr>
        <w:t xml:space="preserve"> </w:t>
      </w:r>
      <w:r>
        <w:rPr>
          <w:color w:val="333333"/>
          <w:sz w:val="20"/>
        </w:rPr>
        <w:t>have a method for doing so.</w:t>
      </w:r>
    </w:p>
    <w:p w14:paraId="150CDBAA" w14:textId="77777777" w:rsidR="008956CE" w:rsidRDefault="00063531">
      <w:pPr>
        <w:spacing w:before="199" w:line="290" w:lineRule="auto"/>
        <w:ind w:left="2101" w:right="1154"/>
        <w:jc w:val="both"/>
        <w:rPr>
          <w:sz w:val="20"/>
        </w:rPr>
      </w:pPr>
      <w:r>
        <w:rPr>
          <w:color w:val="333333"/>
          <w:sz w:val="20"/>
        </w:rPr>
        <w:t>At</w:t>
      </w:r>
      <w:r>
        <w:rPr>
          <w:color w:val="333333"/>
          <w:spacing w:val="-14"/>
          <w:sz w:val="20"/>
        </w:rPr>
        <w:t xml:space="preserve"> </w:t>
      </w:r>
      <w:r>
        <w:rPr>
          <w:color w:val="333333"/>
          <w:sz w:val="20"/>
        </w:rPr>
        <w:t>Paragraph</w:t>
      </w:r>
      <w:r>
        <w:rPr>
          <w:color w:val="333333"/>
          <w:spacing w:val="-14"/>
          <w:sz w:val="20"/>
        </w:rPr>
        <w:t xml:space="preserve"> </w:t>
      </w:r>
      <w:r>
        <w:rPr>
          <w:color w:val="333333"/>
          <w:sz w:val="20"/>
        </w:rPr>
        <w:t>3.17</w:t>
      </w:r>
      <w:r>
        <w:rPr>
          <w:color w:val="333333"/>
          <w:spacing w:val="-14"/>
          <w:sz w:val="20"/>
        </w:rPr>
        <w:t xml:space="preserve"> </w:t>
      </w:r>
      <w:r>
        <w:rPr>
          <w:color w:val="333333"/>
          <w:sz w:val="20"/>
        </w:rPr>
        <w:t>of</w:t>
      </w:r>
      <w:r>
        <w:rPr>
          <w:color w:val="333333"/>
          <w:spacing w:val="-14"/>
          <w:sz w:val="20"/>
        </w:rPr>
        <w:t xml:space="preserve"> </w:t>
      </w:r>
      <w:r>
        <w:rPr>
          <w:color w:val="333333"/>
          <w:sz w:val="20"/>
        </w:rPr>
        <w:t>the</w:t>
      </w:r>
      <w:r>
        <w:rPr>
          <w:color w:val="333333"/>
          <w:spacing w:val="-14"/>
          <w:sz w:val="20"/>
        </w:rPr>
        <w:t xml:space="preserve"> </w:t>
      </w:r>
      <w:r>
        <w:rPr>
          <w:color w:val="333333"/>
          <w:sz w:val="20"/>
        </w:rPr>
        <w:t>FDG</w:t>
      </w:r>
      <w:r>
        <w:rPr>
          <w:color w:val="333333"/>
          <w:spacing w:val="-14"/>
          <w:sz w:val="20"/>
        </w:rPr>
        <w:t xml:space="preserve"> </w:t>
      </w:r>
      <w:r>
        <w:rPr>
          <w:color w:val="333333"/>
          <w:sz w:val="20"/>
        </w:rPr>
        <w:t>the</w:t>
      </w:r>
      <w:r>
        <w:rPr>
          <w:color w:val="333333"/>
          <w:spacing w:val="-14"/>
          <w:sz w:val="20"/>
        </w:rPr>
        <w:t xml:space="preserve"> </w:t>
      </w:r>
      <w:r>
        <w:rPr>
          <w:color w:val="333333"/>
          <w:sz w:val="20"/>
        </w:rPr>
        <w:t>committee</w:t>
      </w:r>
      <w:r>
        <w:rPr>
          <w:color w:val="333333"/>
          <w:spacing w:val="-14"/>
          <w:sz w:val="20"/>
        </w:rPr>
        <w:t xml:space="preserve"> </w:t>
      </w:r>
      <w:r>
        <w:rPr>
          <w:color w:val="333333"/>
          <w:sz w:val="20"/>
        </w:rPr>
        <w:t>confirms</w:t>
      </w:r>
      <w:r>
        <w:rPr>
          <w:color w:val="333333"/>
          <w:spacing w:val="-14"/>
          <w:sz w:val="20"/>
        </w:rPr>
        <w:t xml:space="preserve"> </w:t>
      </w:r>
      <w:r>
        <w:rPr>
          <w:color w:val="333333"/>
          <w:sz w:val="20"/>
        </w:rPr>
        <w:t>that</w:t>
      </w:r>
      <w:r>
        <w:rPr>
          <w:color w:val="333333"/>
          <w:spacing w:val="-13"/>
          <w:sz w:val="20"/>
        </w:rPr>
        <w:t xml:space="preserve"> </w:t>
      </w:r>
      <w:r>
        <w:rPr>
          <w:i/>
          <w:color w:val="333333"/>
          <w:sz w:val="20"/>
        </w:rPr>
        <w:t>'it</w:t>
      </w:r>
      <w:r>
        <w:rPr>
          <w:i/>
          <w:color w:val="333333"/>
          <w:spacing w:val="-14"/>
          <w:sz w:val="20"/>
        </w:rPr>
        <w:t xml:space="preserve"> </w:t>
      </w:r>
      <w:r>
        <w:rPr>
          <w:i/>
          <w:color w:val="333333"/>
          <w:sz w:val="20"/>
        </w:rPr>
        <w:t>considered</w:t>
      </w:r>
      <w:r>
        <w:rPr>
          <w:i/>
          <w:color w:val="333333"/>
          <w:spacing w:val="-14"/>
          <w:sz w:val="20"/>
        </w:rPr>
        <w:t xml:space="preserve"> </w:t>
      </w:r>
      <w:r>
        <w:rPr>
          <w:i/>
          <w:color w:val="333333"/>
          <w:sz w:val="20"/>
        </w:rPr>
        <w:t>the</w:t>
      </w:r>
      <w:r>
        <w:rPr>
          <w:i/>
          <w:color w:val="333333"/>
          <w:spacing w:val="-14"/>
          <w:sz w:val="20"/>
        </w:rPr>
        <w:t xml:space="preserve"> </w:t>
      </w:r>
      <w:r>
        <w:rPr>
          <w:i/>
          <w:color w:val="333333"/>
          <w:sz w:val="20"/>
        </w:rPr>
        <w:t>evidence</w:t>
      </w:r>
      <w:r>
        <w:rPr>
          <w:i/>
          <w:color w:val="333333"/>
          <w:spacing w:val="-14"/>
          <w:sz w:val="20"/>
        </w:rPr>
        <w:t xml:space="preserve"> </w:t>
      </w:r>
      <w:r>
        <w:rPr>
          <w:i/>
          <w:color w:val="333333"/>
          <w:sz w:val="20"/>
        </w:rPr>
        <w:t>and</w:t>
      </w:r>
      <w:r>
        <w:rPr>
          <w:i/>
          <w:color w:val="333333"/>
          <w:spacing w:val="-14"/>
          <w:sz w:val="20"/>
        </w:rPr>
        <w:t xml:space="preserve"> </w:t>
      </w:r>
      <w:r>
        <w:rPr>
          <w:i/>
          <w:color w:val="333333"/>
          <w:sz w:val="20"/>
        </w:rPr>
        <w:t>found it informative for context.</w:t>
      </w:r>
      <w:r>
        <w:rPr>
          <w:i/>
          <w:color w:val="333333"/>
          <w:spacing w:val="40"/>
          <w:sz w:val="20"/>
        </w:rPr>
        <w:t xml:space="preserve"> </w:t>
      </w:r>
      <w:r>
        <w:rPr>
          <w:i/>
          <w:color w:val="333333"/>
          <w:sz w:val="20"/>
        </w:rPr>
        <w:t>But without a framework to consider this approach, the committee concluded that it was unable to consider value attribution in its decision making</w:t>
      </w:r>
      <w:r>
        <w:rPr>
          <w:color w:val="333333"/>
          <w:sz w:val="20"/>
        </w:rPr>
        <w:t>.'</w:t>
      </w:r>
    </w:p>
    <w:p w14:paraId="150CDBAB" w14:textId="77777777" w:rsidR="008956CE" w:rsidRDefault="00063531">
      <w:pPr>
        <w:pStyle w:val="BodyText"/>
        <w:spacing w:before="195" w:line="288" w:lineRule="auto"/>
        <w:ind w:left="2101" w:right="1154"/>
        <w:jc w:val="both"/>
      </w:pPr>
      <w:r>
        <w:rPr>
          <w:color w:val="333333"/>
        </w:rPr>
        <w:t>I</w:t>
      </w:r>
      <w:r>
        <w:rPr>
          <w:color w:val="333333"/>
          <w:spacing w:val="-5"/>
        </w:rPr>
        <w:t xml:space="preserve"> </w:t>
      </w:r>
      <w:r>
        <w:rPr>
          <w:color w:val="333333"/>
        </w:rPr>
        <w:t>am</w:t>
      </w:r>
      <w:r>
        <w:rPr>
          <w:color w:val="333333"/>
          <w:spacing w:val="-5"/>
        </w:rPr>
        <w:t xml:space="preserve"> </w:t>
      </w:r>
      <w:r>
        <w:rPr>
          <w:color w:val="333333"/>
        </w:rPr>
        <w:t>of</w:t>
      </w:r>
      <w:r>
        <w:rPr>
          <w:color w:val="333333"/>
          <w:spacing w:val="-5"/>
        </w:rPr>
        <w:t xml:space="preserve"> </w:t>
      </w:r>
      <w:r>
        <w:rPr>
          <w:color w:val="333333"/>
        </w:rPr>
        <w:t>the</w:t>
      </w:r>
      <w:r>
        <w:rPr>
          <w:color w:val="333333"/>
          <w:spacing w:val="-5"/>
        </w:rPr>
        <w:t xml:space="preserve"> </w:t>
      </w:r>
      <w:r>
        <w:rPr>
          <w:color w:val="333333"/>
        </w:rPr>
        <w:t>initial</w:t>
      </w:r>
      <w:r>
        <w:rPr>
          <w:color w:val="333333"/>
          <w:spacing w:val="-3"/>
        </w:rPr>
        <w:t xml:space="preserve"> </w:t>
      </w:r>
      <w:r>
        <w:rPr>
          <w:color w:val="333333"/>
        </w:rPr>
        <w:t>view</w:t>
      </w:r>
      <w:r>
        <w:rPr>
          <w:color w:val="333333"/>
          <w:spacing w:val="-3"/>
        </w:rPr>
        <w:t xml:space="preserve"> </w:t>
      </w:r>
      <w:r>
        <w:rPr>
          <w:color w:val="333333"/>
        </w:rPr>
        <w:t>that</w:t>
      </w:r>
      <w:r>
        <w:rPr>
          <w:color w:val="333333"/>
          <w:spacing w:val="-5"/>
        </w:rPr>
        <w:t xml:space="preserve"> </w:t>
      </w:r>
      <w:r>
        <w:rPr>
          <w:color w:val="333333"/>
        </w:rPr>
        <w:t>it</w:t>
      </w:r>
      <w:r>
        <w:rPr>
          <w:color w:val="333333"/>
          <w:spacing w:val="-4"/>
        </w:rPr>
        <w:t xml:space="preserve"> </w:t>
      </w:r>
      <w:r>
        <w:rPr>
          <w:color w:val="333333"/>
        </w:rPr>
        <w:t>was</w:t>
      </w:r>
      <w:r>
        <w:rPr>
          <w:color w:val="333333"/>
          <w:spacing w:val="-4"/>
        </w:rPr>
        <w:t xml:space="preserve"> </w:t>
      </w:r>
      <w:r>
        <w:rPr>
          <w:color w:val="333333"/>
        </w:rPr>
        <w:t>arguably</w:t>
      </w:r>
      <w:r>
        <w:rPr>
          <w:color w:val="333333"/>
          <w:spacing w:val="-3"/>
        </w:rPr>
        <w:t xml:space="preserve"> </w:t>
      </w:r>
      <w:r>
        <w:rPr>
          <w:color w:val="333333"/>
        </w:rPr>
        <w:t>unfair</w:t>
      </w:r>
      <w:r>
        <w:rPr>
          <w:color w:val="333333"/>
          <w:spacing w:val="-4"/>
        </w:rPr>
        <w:t xml:space="preserve"> </w:t>
      </w:r>
      <w:r>
        <w:rPr>
          <w:color w:val="333333"/>
        </w:rPr>
        <w:t>for</w:t>
      </w:r>
      <w:r>
        <w:rPr>
          <w:color w:val="333333"/>
          <w:spacing w:val="-5"/>
        </w:rPr>
        <w:t xml:space="preserve"> </w:t>
      </w:r>
      <w:r>
        <w:rPr>
          <w:color w:val="333333"/>
        </w:rPr>
        <w:t>the</w:t>
      </w:r>
      <w:r>
        <w:rPr>
          <w:color w:val="333333"/>
          <w:spacing w:val="-5"/>
        </w:rPr>
        <w:t xml:space="preserve"> </w:t>
      </w:r>
      <w:r>
        <w:rPr>
          <w:color w:val="333333"/>
        </w:rPr>
        <w:t>Committee</w:t>
      </w:r>
      <w:r>
        <w:rPr>
          <w:color w:val="333333"/>
          <w:spacing w:val="-5"/>
        </w:rPr>
        <w:t xml:space="preserve"> </w:t>
      </w:r>
      <w:r>
        <w:rPr>
          <w:color w:val="333333"/>
        </w:rPr>
        <w:t>to</w:t>
      </w:r>
      <w:r>
        <w:rPr>
          <w:color w:val="333333"/>
          <w:spacing w:val="-5"/>
        </w:rPr>
        <w:t xml:space="preserve"> </w:t>
      </w:r>
      <w:r>
        <w:rPr>
          <w:color w:val="333333"/>
        </w:rPr>
        <w:t>conclude</w:t>
      </w:r>
      <w:r>
        <w:rPr>
          <w:color w:val="333333"/>
          <w:spacing w:val="-5"/>
        </w:rPr>
        <w:t xml:space="preserve"> </w:t>
      </w:r>
      <w:r>
        <w:rPr>
          <w:color w:val="333333"/>
        </w:rPr>
        <w:t>that</w:t>
      </w:r>
      <w:r>
        <w:rPr>
          <w:color w:val="333333"/>
          <w:spacing w:val="-5"/>
        </w:rPr>
        <w:t xml:space="preserve"> </w:t>
      </w:r>
      <w:r>
        <w:rPr>
          <w:color w:val="333333"/>
        </w:rPr>
        <w:t>it</w:t>
      </w:r>
      <w:r>
        <w:rPr>
          <w:color w:val="333333"/>
          <w:spacing w:val="-4"/>
        </w:rPr>
        <w:t xml:space="preserve"> </w:t>
      </w:r>
      <w:r>
        <w:rPr>
          <w:color w:val="333333"/>
        </w:rPr>
        <w:t>could</w:t>
      </w:r>
      <w:r>
        <w:rPr>
          <w:color w:val="333333"/>
          <w:spacing w:val="-4"/>
        </w:rPr>
        <w:t xml:space="preserve"> </w:t>
      </w:r>
      <w:r>
        <w:rPr>
          <w:color w:val="333333"/>
        </w:rPr>
        <w:t>not consider value attribution in the absence of a framework for doing so.</w:t>
      </w:r>
    </w:p>
    <w:p w14:paraId="150CDBAC" w14:textId="77777777" w:rsidR="008956CE" w:rsidRDefault="00063531">
      <w:pPr>
        <w:pStyle w:val="Heading1"/>
        <w:spacing w:before="199" w:line="288" w:lineRule="auto"/>
        <w:ind w:right="1260" w:firstLine="55"/>
        <w:jc w:val="left"/>
        <w:rPr>
          <w:u w:val="none"/>
        </w:rPr>
      </w:pPr>
      <w:r>
        <w:t xml:space="preserve">Appeal </w:t>
      </w:r>
      <w:proofErr w:type="gramStart"/>
      <w:r>
        <w:t>point</w:t>
      </w:r>
      <w:proofErr w:type="gramEnd"/>
      <w:r>
        <w:rPr>
          <w:spacing w:val="-2"/>
        </w:rPr>
        <w:t xml:space="preserve"> </w:t>
      </w:r>
      <w:r>
        <w:t>1(a).6:</w:t>
      </w:r>
      <w:r>
        <w:rPr>
          <w:spacing w:val="-5"/>
        </w:rPr>
        <w:t xml:space="preserve"> </w:t>
      </w:r>
      <w:r>
        <w:t>The</w:t>
      </w:r>
      <w:r>
        <w:rPr>
          <w:spacing w:val="-1"/>
        </w:rPr>
        <w:t xml:space="preserve"> </w:t>
      </w:r>
      <w:r>
        <w:t>Appraisal</w:t>
      </w:r>
      <w:r>
        <w:rPr>
          <w:spacing w:val="-6"/>
        </w:rPr>
        <w:t xml:space="preserve"> </w:t>
      </w:r>
      <w:r>
        <w:t>Committee’s</w:t>
      </w:r>
      <w:r>
        <w:rPr>
          <w:spacing w:val="-6"/>
        </w:rPr>
        <w:t xml:space="preserve"> </w:t>
      </w:r>
      <w:r>
        <w:t>conclusion</w:t>
      </w:r>
      <w:r>
        <w:rPr>
          <w:spacing w:val="-7"/>
        </w:rPr>
        <w:t xml:space="preserve"> </w:t>
      </w:r>
      <w:r>
        <w:t>that</w:t>
      </w:r>
      <w:r>
        <w:rPr>
          <w:spacing w:val="-6"/>
        </w:rPr>
        <w:t xml:space="preserve"> </w:t>
      </w:r>
      <w:r>
        <w:t>it</w:t>
      </w:r>
      <w:r>
        <w:rPr>
          <w:spacing w:val="-6"/>
        </w:rPr>
        <w:t xml:space="preserve"> </w:t>
      </w:r>
      <w:r>
        <w:t>is</w:t>
      </w:r>
      <w:r>
        <w:rPr>
          <w:spacing w:val="-1"/>
        </w:rPr>
        <w:t xml:space="preserve"> </w:t>
      </w:r>
      <w:r>
        <w:t>unable</w:t>
      </w:r>
      <w:r>
        <w:rPr>
          <w:spacing w:val="-2"/>
        </w:rPr>
        <w:t xml:space="preserve"> </w:t>
      </w:r>
      <w:r>
        <w:t>to</w:t>
      </w:r>
      <w:r>
        <w:rPr>
          <w:spacing w:val="-2"/>
        </w:rPr>
        <w:t xml:space="preserve"> </w:t>
      </w:r>
      <w:r>
        <w:t>base</w:t>
      </w:r>
      <w:r>
        <w:rPr>
          <w:spacing w:val="-1"/>
        </w:rPr>
        <w:t xml:space="preserve"> </w:t>
      </w:r>
      <w:r>
        <w:t>its</w:t>
      </w:r>
      <w:r>
        <w:rPr>
          <w:u w:val="none"/>
        </w:rPr>
        <w:t xml:space="preserve"> </w:t>
      </w:r>
      <w:r>
        <w:t>decision on removing the costs of pomalidomide and dexamethasone, because NICE</w:t>
      </w:r>
    </w:p>
    <w:p w14:paraId="150CDBAD" w14:textId="77777777" w:rsidR="008956CE" w:rsidRDefault="008956CE">
      <w:pPr>
        <w:spacing w:line="288" w:lineRule="auto"/>
        <w:sectPr w:rsidR="008956CE">
          <w:pgSz w:w="11910" w:h="16840"/>
          <w:pgMar w:top="1780" w:right="260" w:bottom="1100" w:left="40" w:header="0" w:footer="913" w:gutter="0"/>
          <w:cols w:space="720"/>
        </w:sectPr>
      </w:pPr>
    </w:p>
    <w:p w14:paraId="150CDBAE" w14:textId="77777777" w:rsidR="008956CE" w:rsidRDefault="00063531">
      <w:pPr>
        <w:spacing w:before="73" w:line="288" w:lineRule="auto"/>
        <w:ind w:left="1380" w:right="1124"/>
        <w:rPr>
          <w:b/>
          <w:sz w:val="20"/>
        </w:rPr>
      </w:pPr>
      <w:r>
        <w:rPr>
          <w:b/>
          <w:sz w:val="20"/>
          <w:u w:val="single"/>
        </w:rPr>
        <w:lastRenderedPageBreak/>
        <w:t>recommends</w:t>
      </w:r>
      <w:r>
        <w:rPr>
          <w:b/>
          <w:spacing w:val="-6"/>
          <w:sz w:val="20"/>
          <w:u w:val="single"/>
        </w:rPr>
        <w:t xml:space="preserve"> </w:t>
      </w:r>
      <w:r>
        <w:rPr>
          <w:b/>
          <w:sz w:val="20"/>
          <w:u w:val="single"/>
        </w:rPr>
        <w:t>these</w:t>
      </w:r>
      <w:r>
        <w:rPr>
          <w:b/>
          <w:spacing w:val="-6"/>
          <w:sz w:val="20"/>
          <w:u w:val="single"/>
        </w:rPr>
        <w:t xml:space="preserve"> </w:t>
      </w:r>
      <w:r>
        <w:rPr>
          <w:b/>
          <w:sz w:val="20"/>
          <w:u w:val="single"/>
        </w:rPr>
        <w:t>products</w:t>
      </w:r>
      <w:r>
        <w:rPr>
          <w:b/>
          <w:spacing w:val="-6"/>
          <w:sz w:val="20"/>
          <w:u w:val="single"/>
        </w:rPr>
        <w:t xml:space="preserve"> </w:t>
      </w:r>
      <w:r>
        <w:rPr>
          <w:b/>
          <w:sz w:val="20"/>
          <w:u w:val="single"/>
        </w:rPr>
        <w:t>as</w:t>
      </w:r>
      <w:r>
        <w:rPr>
          <w:b/>
          <w:spacing w:val="-1"/>
          <w:sz w:val="20"/>
          <w:u w:val="single"/>
        </w:rPr>
        <w:t xml:space="preserve"> </w:t>
      </w:r>
      <w:r>
        <w:rPr>
          <w:b/>
          <w:sz w:val="20"/>
          <w:u w:val="single"/>
        </w:rPr>
        <w:t>cost</w:t>
      </w:r>
      <w:r>
        <w:rPr>
          <w:b/>
          <w:spacing w:val="-6"/>
          <w:sz w:val="20"/>
          <w:u w:val="single"/>
        </w:rPr>
        <w:t xml:space="preserve"> </w:t>
      </w:r>
      <w:r>
        <w:rPr>
          <w:b/>
          <w:sz w:val="20"/>
          <w:u w:val="single"/>
        </w:rPr>
        <w:t>effective</w:t>
      </w:r>
      <w:r>
        <w:rPr>
          <w:b/>
          <w:spacing w:val="-6"/>
          <w:sz w:val="20"/>
          <w:u w:val="single"/>
        </w:rPr>
        <w:t xml:space="preserve"> </w:t>
      </w:r>
      <w:r>
        <w:rPr>
          <w:b/>
          <w:sz w:val="20"/>
          <w:u w:val="single"/>
        </w:rPr>
        <w:t>misinterprets</w:t>
      </w:r>
      <w:r>
        <w:rPr>
          <w:b/>
          <w:spacing w:val="-6"/>
          <w:sz w:val="20"/>
          <w:u w:val="single"/>
        </w:rPr>
        <w:t xml:space="preserve"> </w:t>
      </w:r>
      <w:r>
        <w:rPr>
          <w:b/>
          <w:sz w:val="20"/>
          <w:u w:val="single"/>
        </w:rPr>
        <w:t>the</w:t>
      </w:r>
      <w:r>
        <w:rPr>
          <w:b/>
          <w:spacing w:val="-1"/>
          <w:sz w:val="20"/>
          <w:u w:val="single"/>
        </w:rPr>
        <w:t xml:space="preserve"> </w:t>
      </w:r>
      <w:r>
        <w:rPr>
          <w:b/>
          <w:sz w:val="20"/>
          <w:u w:val="single"/>
        </w:rPr>
        <w:t>Manual and improperly</w:t>
      </w:r>
      <w:r>
        <w:rPr>
          <w:b/>
          <w:spacing w:val="-6"/>
          <w:sz w:val="20"/>
          <w:u w:val="single"/>
        </w:rPr>
        <w:t xml:space="preserve"> </w:t>
      </w:r>
      <w:r>
        <w:rPr>
          <w:b/>
          <w:sz w:val="20"/>
          <w:u w:val="single"/>
        </w:rPr>
        <w:t>fetters</w:t>
      </w:r>
      <w:r>
        <w:rPr>
          <w:b/>
          <w:sz w:val="20"/>
        </w:rPr>
        <w:t xml:space="preserve"> </w:t>
      </w:r>
      <w:r>
        <w:rPr>
          <w:b/>
          <w:sz w:val="20"/>
          <w:u w:val="single"/>
        </w:rPr>
        <w:t>its own discretion</w:t>
      </w:r>
    </w:p>
    <w:p w14:paraId="150CDBAF" w14:textId="77777777" w:rsidR="008956CE" w:rsidRDefault="00063531">
      <w:pPr>
        <w:pStyle w:val="BodyText"/>
        <w:spacing w:before="198"/>
        <w:ind w:left="1380"/>
        <w:jc w:val="both"/>
      </w:pPr>
      <w:r>
        <w:t>I</w:t>
      </w:r>
      <w:r>
        <w:rPr>
          <w:spacing w:val="-5"/>
        </w:rPr>
        <w:t xml:space="preserve"> </w:t>
      </w:r>
      <w:r>
        <w:t>am</w:t>
      </w:r>
      <w:r>
        <w:rPr>
          <w:spacing w:val="-4"/>
        </w:rPr>
        <w:t xml:space="preserve"> </w:t>
      </w:r>
      <w:r>
        <w:t>minded</w:t>
      </w:r>
      <w:r>
        <w:rPr>
          <w:spacing w:val="-5"/>
        </w:rPr>
        <w:t xml:space="preserve"> </w:t>
      </w:r>
      <w:proofErr w:type="gramStart"/>
      <w:r>
        <w:t>to</w:t>
      </w:r>
      <w:r>
        <w:rPr>
          <w:spacing w:val="-4"/>
        </w:rPr>
        <w:t xml:space="preserve"> </w:t>
      </w:r>
      <w:r>
        <w:t>refer</w:t>
      </w:r>
      <w:proofErr w:type="gramEnd"/>
      <w:r>
        <w:rPr>
          <w:spacing w:val="-5"/>
        </w:rPr>
        <w:t xml:space="preserve"> </w:t>
      </w:r>
      <w:r>
        <w:t>this</w:t>
      </w:r>
      <w:r>
        <w:rPr>
          <w:spacing w:val="1"/>
        </w:rPr>
        <w:t xml:space="preserve"> </w:t>
      </w:r>
      <w:r>
        <w:t>appeal</w:t>
      </w:r>
      <w:r>
        <w:rPr>
          <w:spacing w:val="-2"/>
        </w:rPr>
        <w:t xml:space="preserve"> </w:t>
      </w:r>
      <w:r>
        <w:t>point to</w:t>
      </w:r>
      <w:r>
        <w:rPr>
          <w:spacing w:val="-4"/>
        </w:rPr>
        <w:t xml:space="preserve"> </w:t>
      </w:r>
      <w:r>
        <w:t>the</w:t>
      </w:r>
      <w:r>
        <w:rPr>
          <w:spacing w:val="-5"/>
        </w:rPr>
        <w:t xml:space="preserve"> </w:t>
      </w:r>
      <w:r>
        <w:t>Appeal</w:t>
      </w:r>
      <w:r>
        <w:rPr>
          <w:spacing w:val="-2"/>
        </w:rPr>
        <w:t xml:space="preserve"> Panel.</w:t>
      </w:r>
    </w:p>
    <w:p w14:paraId="150CDBB0" w14:textId="77777777" w:rsidR="008956CE" w:rsidRDefault="008956CE">
      <w:pPr>
        <w:pStyle w:val="BodyText"/>
        <w:spacing w:before="15"/>
      </w:pPr>
    </w:p>
    <w:p w14:paraId="150CDBB1" w14:textId="77777777" w:rsidR="008956CE" w:rsidRDefault="00063531">
      <w:pPr>
        <w:pStyle w:val="BodyText"/>
        <w:spacing w:line="288" w:lineRule="auto"/>
        <w:ind w:left="1380" w:right="1156"/>
        <w:jc w:val="both"/>
      </w:pPr>
      <w:r>
        <w:t>I note that in practice there is likely to be considerable overlap in the consideration of this appeal point and 1(a)3, since both derive from the evaluation methodology used for pomalidomide and dexamethasone,</w:t>
      </w:r>
      <w:r>
        <w:rPr>
          <w:spacing w:val="-5"/>
        </w:rPr>
        <w:t xml:space="preserve"> </w:t>
      </w:r>
      <w:r>
        <w:t>and</w:t>
      </w:r>
      <w:r>
        <w:rPr>
          <w:spacing w:val="-5"/>
        </w:rPr>
        <w:t xml:space="preserve"> </w:t>
      </w:r>
      <w:r>
        <w:t>this</w:t>
      </w:r>
      <w:r>
        <w:rPr>
          <w:spacing w:val="-3"/>
        </w:rPr>
        <w:t xml:space="preserve"> </w:t>
      </w:r>
      <w:r>
        <w:t>appeal</w:t>
      </w:r>
      <w:r>
        <w:rPr>
          <w:spacing w:val="-3"/>
        </w:rPr>
        <w:t xml:space="preserve"> </w:t>
      </w:r>
      <w:r>
        <w:t>point</w:t>
      </w:r>
      <w:r>
        <w:rPr>
          <w:spacing w:val="-5"/>
        </w:rPr>
        <w:t xml:space="preserve"> </w:t>
      </w:r>
      <w:r>
        <w:t>provides</w:t>
      </w:r>
      <w:r>
        <w:rPr>
          <w:spacing w:val="-4"/>
        </w:rPr>
        <w:t xml:space="preserve"> </w:t>
      </w:r>
      <w:r>
        <w:t>an</w:t>
      </w:r>
      <w:r>
        <w:rPr>
          <w:spacing w:val="-5"/>
        </w:rPr>
        <w:t xml:space="preserve"> </w:t>
      </w:r>
      <w:r>
        <w:t>example</w:t>
      </w:r>
      <w:r>
        <w:rPr>
          <w:spacing w:val="-4"/>
        </w:rPr>
        <w:t xml:space="preserve"> </w:t>
      </w:r>
      <w:r>
        <w:t>of</w:t>
      </w:r>
      <w:r>
        <w:rPr>
          <w:spacing w:val="-5"/>
        </w:rPr>
        <w:t xml:space="preserve"> </w:t>
      </w:r>
      <w:r>
        <w:t>flexibility</w:t>
      </w:r>
      <w:r>
        <w:rPr>
          <w:spacing w:val="-4"/>
        </w:rPr>
        <w:t xml:space="preserve"> </w:t>
      </w:r>
      <w:r>
        <w:t>that</w:t>
      </w:r>
      <w:r>
        <w:rPr>
          <w:spacing w:val="-5"/>
        </w:rPr>
        <w:t xml:space="preserve"> </w:t>
      </w:r>
      <w:r>
        <w:t>the</w:t>
      </w:r>
      <w:r>
        <w:rPr>
          <w:spacing w:val="-5"/>
        </w:rPr>
        <w:t xml:space="preserve"> </w:t>
      </w:r>
      <w:r>
        <w:t>Committee</w:t>
      </w:r>
      <w:r>
        <w:rPr>
          <w:spacing w:val="-5"/>
        </w:rPr>
        <w:t xml:space="preserve"> </w:t>
      </w:r>
      <w:r>
        <w:t>might</w:t>
      </w:r>
      <w:r>
        <w:rPr>
          <w:spacing w:val="-5"/>
        </w:rPr>
        <w:t xml:space="preserve"> </w:t>
      </w:r>
      <w:r>
        <w:t>have applied,</w:t>
      </w:r>
      <w:r>
        <w:rPr>
          <w:spacing w:val="-4"/>
        </w:rPr>
        <w:t xml:space="preserve"> </w:t>
      </w:r>
      <w:r>
        <w:t>the</w:t>
      </w:r>
      <w:r>
        <w:rPr>
          <w:spacing w:val="-4"/>
        </w:rPr>
        <w:t xml:space="preserve"> </w:t>
      </w:r>
      <w:r>
        <w:t>absence</w:t>
      </w:r>
      <w:r>
        <w:rPr>
          <w:spacing w:val="-4"/>
        </w:rPr>
        <w:t xml:space="preserve"> </w:t>
      </w:r>
      <w:r>
        <w:t>of</w:t>
      </w:r>
      <w:r>
        <w:rPr>
          <w:spacing w:val="-4"/>
        </w:rPr>
        <w:t xml:space="preserve"> </w:t>
      </w:r>
      <w:r>
        <w:t>which</w:t>
      </w:r>
      <w:r>
        <w:rPr>
          <w:spacing w:val="-4"/>
        </w:rPr>
        <w:t xml:space="preserve"> </w:t>
      </w:r>
      <w:r>
        <w:t>is</w:t>
      </w:r>
      <w:r>
        <w:rPr>
          <w:spacing w:val="-4"/>
        </w:rPr>
        <w:t xml:space="preserve"> </w:t>
      </w:r>
      <w:r>
        <w:t>challenged</w:t>
      </w:r>
      <w:r>
        <w:rPr>
          <w:spacing w:val="-4"/>
        </w:rPr>
        <w:t xml:space="preserve"> </w:t>
      </w:r>
      <w:r>
        <w:t>under</w:t>
      </w:r>
      <w:r>
        <w:rPr>
          <w:spacing w:val="-4"/>
        </w:rPr>
        <w:t xml:space="preserve"> </w:t>
      </w:r>
      <w:r>
        <w:t>appeal point</w:t>
      </w:r>
      <w:r>
        <w:rPr>
          <w:spacing w:val="-4"/>
        </w:rPr>
        <w:t xml:space="preserve"> </w:t>
      </w:r>
      <w:r>
        <w:t>1(a)3.</w:t>
      </w:r>
      <w:r>
        <w:rPr>
          <w:spacing w:val="40"/>
        </w:rPr>
        <w:t xml:space="preserve"> </w:t>
      </w:r>
      <w:r>
        <w:t>For</w:t>
      </w:r>
      <w:r>
        <w:rPr>
          <w:spacing w:val="-4"/>
        </w:rPr>
        <w:t xml:space="preserve"> </w:t>
      </w:r>
      <w:r>
        <w:t>that</w:t>
      </w:r>
      <w:r>
        <w:rPr>
          <w:spacing w:val="-4"/>
        </w:rPr>
        <w:t xml:space="preserve"> </w:t>
      </w:r>
      <w:r>
        <w:t>reason,</w:t>
      </w:r>
      <w:r>
        <w:rPr>
          <w:spacing w:val="-4"/>
        </w:rPr>
        <w:t xml:space="preserve"> </w:t>
      </w:r>
      <w:r>
        <w:t>I</w:t>
      </w:r>
      <w:r>
        <w:rPr>
          <w:spacing w:val="-4"/>
        </w:rPr>
        <w:t xml:space="preserve"> </w:t>
      </w:r>
      <w:r>
        <w:t>anticipate</w:t>
      </w:r>
      <w:r>
        <w:rPr>
          <w:spacing w:val="-1"/>
        </w:rPr>
        <w:t xml:space="preserve"> </w:t>
      </w:r>
      <w:r>
        <w:t>that the Appeal Panel may wish to consider these points together.</w:t>
      </w:r>
    </w:p>
    <w:p w14:paraId="150CDBB2" w14:textId="77777777" w:rsidR="008956CE" w:rsidRDefault="008956CE">
      <w:pPr>
        <w:pStyle w:val="BodyText"/>
        <w:spacing w:before="11"/>
      </w:pPr>
    </w:p>
    <w:p w14:paraId="150CDBB3" w14:textId="77777777" w:rsidR="008956CE" w:rsidRDefault="00063531">
      <w:pPr>
        <w:ind w:left="1380"/>
        <w:jc w:val="both"/>
        <w:rPr>
          <w:b/>
          <w:i/>
          <w:sz w:val="20"/>
        </w:rPr>
      </w:pPr>
      <w:r>
        <w:rPr>
          <w:b/>
          <w:i/>
          <w:sz w:val="20"/>
        </w:rPr>
        <w:t>Ground</w:t>
      </w:r>
      <w:r>
        <w:rPr>
          <w:b/>
          <w:i/>
          <w:spacing w:val="-7"/>
          <w:sz w:val="20"/>
        </w:rPr>
        <w:t xml:space="preserve"> </w:t>
      </w:r>
      <w:r>
        <w:rPr>
          <w:b/>
          <w:i/>
          <w:sz w:val="20"/>
        </w:rPr>
        <w:t>2:</w:t>
      </w:r>
      <w:r>
        <w:rPr>
          <w:b/>
          <w:i/>
          <w:spacing w:val="-7"/>
          <w:sz w:val="20"/>
        </w:rPr>
        <w:t xml:space="preserve"> </w:t>
      </w:r>
      <w:r>
        <w:rPr>
          <w:b/>
          <w:i/>
          <w:sz w:val="20"/>
        </w:rPr>
        <w:t>the</w:t>
      </w:r>
      <w:r>
        <w:rPr>
          <w:b/>
          <w:i/>
          <w:spacing w:val="-10"/>
          <w:sz w:val="20"/>
        </w:rPr>
        <w:t xml:space="preserve"> </w:t>
      </w:r>
      <w:r>
        <w:rPr>
          <w:b/>
          <w:i/>
          <w:sz w:val="20"/>
        </w:rPr>
        <w:t>recommendation</w:t>
      </w:r>
      <w:r>
        <w:rPr>
          <w:b/>
          <w:i/>
          <w:spacing w:val="-12"/>
          <w:sz w:val="20"/>
        </w:rPr>
        <w:t xml:space="preserve"> </w:t>
      </w:r>
      <w:r>
        <w:rPr>
          <w:b/>
          <w:i/>
          <w:sz w:val="20"/>
        </w:rPr>
        <w:t>is</w:t>
      </w:r>
      <w:r>
        <w:rPr>
          <w:b/>
          <w:i/>
          <w:spacing w:val="-6"/>
          <w:sz w:val="20"/>
        </w:rPr>
        <w:t xml:space="preserve"> </w:t>
      </w:r>
      <w:r>
        <w:rPr>
          <w:b/>
          <w:i/>
          <w:sz w:val="20"/>
        </w:rPr>
        <w:t>unreasonable</w:t>
      </w:r>
      <w:r>
        <w:rPr>
          <w:b/>
          <w:i/>
          <w:spacing w:val="-10"/>
          <w:sz w:val="20"/>
        </w:rPr>
        <w:t xml:space="preserve"> </w:t>
      </w:r>
      <w:r>
        <w:rPr>
          <w:b/>
          <w:i/>
          <w:sz w:val="20"/>
        </w:rPr>
        <w:t>in</w:t>
      </w:r>
      <w:r>
        <w:rPr>
          <w:b/>
          <w:i/>
          <w:spacing w:val="-11"/>
          <w:sz w:val="20"/>
        </w:rPr>
        <w:t xml:space="preserve"> </w:t>
      </w:r>
      <w:r>
        <w:rPr>
          <w:b/>
          <w:i/>
          <w:sz w:val="20"/>
        </w:rPr>
        <w:t>the</w:t>
      </w:r>
      <w:r>
        <w:rPr>
          <w:b/>
          <w:i/>
          <w:spacing w:val="-11"/>
          <w:sz w:val="20"/>
        </w:rPr>
        <w:t xml:space="preserve"> </w:t>
      </w:r>
      <w:r>
        <w:rPr>
          <w:b/>
          <w:i/>
          <w:sz w:val="20"/>
        </w:rPr>
        <w:t>light</w:t>
      </w:r>
      <w:r>
        <w:rPr>
          <w:b/>
          <w:i/>
          <w:spacing w:val="-10"/>
          <w:sz w:val="20"/>
        </w:rPr>
        <w:t xml:space="preserve"> </w:t>
      </w:r>
      <w:r>
        <w:rPr>
          <w:b/>
          <w:i/>
          <w:sz w:val="20"/>
        </w:rPr>
        <w:t>of</w:t>
      </w:r>
      <w:r>
        <w:rPr>
          <w:b/>
          <w:i/>
          <w:spacing w:val="-10"/>
          <w:sz w:val="20"/>
        </w:rPr>
        <w:t xml:space="preserve"> </w:t>
      </w:r>
      <w:r>
        <w:rPr>
          <w:b/>
          <w:i/>
          <w:sz w:val="20"/>
        </w:rPr>
        <w:t>the</w:t>
      </w:r>
      <w:r>
        <w:rPr>
          <w:b/>
          <w:i/>
          <w:spacing w:val="-11"/>
          <w:sz w:val="20"/>
        </w:rPr>
        <w:t xml:space="preserve"> </w:t>
      </w:r>
      <w:r>
        <w:rPr>
          <w:b/>
          <w:i/>
          <w:sz w:val="20"/>
        </w:rPr>
        <w:t>evidence</w:t>
      </w:r>
      <w:r>
        <w:rPr>
          <w:b/>
          <w:i/>
          <w:spacing w:val="-10"/>
          <w:sz w:val="20"/>
        </w:rPr>
        <w:t xml:space="preserve"> </w:t>
      </w:r>
      <w:r>
        <w:rPr>
          <w:b/>
          <w:i/>
          <w:sz w:val="20"/>
        </w:rPr>
        <w:t>submitted</w:t>
      </w:r>
      <w:r>
        <w:rPr>
          <w:b/>
          <w:i/>
          <w:spacing w:val="-7"/>
          <w:sz w:val="20"/>
        </w:rPr>
        <w:t xml:space="preserve"> </w:t>
      </w:r>
      <w:r>
        <w:rPr>
          <w:b/>
          <w:i/>
          <w:sz w:val="20"/>
        </w:rPr>
        <w:t>to</w:t>
      </w:r>
      <w:r>
        <w:rPr>
          <w:b/>
          <w:i/>
          <w:spacing w:val="-11"/>
          <w:sz w:val="20"/>
        </w:rPr>
        <w:t xml:space="preserve"> </w:t>
      </w:r>
      <w:r>
        <w:rPr>
          <w:b/>
          <w:i/>
          <w:spacing w:val="-5"/>
          <w:sz w:val="20"/>
        </w:rPr>
        <w:t>NIC</w:t>
      </w:r>
    </w:p>
    <w:p w14:paraId="150CDBB4" w14:textId="77777777" w:rsidR="008956CE" w:rsidRDefault="008956CE">
      <w:pPr>
        <w:pStyle w:val="BodyText"/>
        <w:spacing w:before="45"/>
        <w:rPr>
          <w:b/>
          <w:i/>
        </w:rPr>
      </w:pPr>
    </w:p>
    <w:p w14:paraId="150CDBB5" w14:textId="77777777" w:rsidR="008956CE" w:rsidRDefault="00063531">
      <w:pPr>
        <w:pStyle w:val="Heading1"/>
        <w:spacing w:line="276" w:lineRule="auto"/>
        <w:ind w:right="1158"/>
        <w:rPr>
          <w:u w:val="none"/>
        </w:rPr>
      </w:pPr>
      <w:r>
        <w:t>Appeal</w:t>
      </w:r>
      <w:r>
        <w:rPr>
          <w:spacing w:val="-6"/>
        </w:rPr>
        <w:t xml:space="preserve"> </w:t>
      </w:r>
      <w:proofErr w:type="gramStart"/>
      <w:r>
        <w:t>point</w:t>
      </w:r>
      <w:proofErr w:type="gramEnd"/>
      <w:r>
        <w:rPr>
          <w:spacing w:val="-11"/>
        </w:rPr>
        <w:t xml:space="preserve"> </w:t>
      </w:r>
      <w:r>
        <w:t>2.1:</w:t>
      </w:r>
      <w:r>
        <w:rPr>
          <w:spacing w:val="-9"/>
        </w:rPr>
        <w:t xml:space="preserve"> </w:t>
      </w:r>
      <w:r>
        <w:t>The</w:t>
      </w:r>
      <w:r>
        <w:rPr>
          <w:spacing w:val="-10"/>
        </w:rPr>
        <w:t xml:space="preserve"> </w:t>
      </w:r>
      <w:r>
        <w:t>Appraisal</w:t>
      </w:r>
      <w:r>
        <w:rPr>
          <w:spacing w:val="-10"/>
        </w:rPr>
        <w:t xml:space="preserve"> </w:t>
      </w:r>
      <w:r>
        <w:t>Committee’s</w:t>
      </w:r>
      <w:r>
        <w:rPr>
          <w:spacing w:val="-10"/>
        </w:rPr>
        <w:t xml:space="preserve"> </w:t>
      </w:r>
      <w:r>
        <w:t>conclusion</w:t>
      </w:r>
      <w:r>
        <w:rPr>
          <w:spacing w:val="-11"/>
        </w:rPr>
        <w:t xml:space="preserve"> </w:t>
      </w:r>
      <w:r>
        <w:t>that</w:t>
      </w:r>
      <w:r>
        <w:rPr>
          <w:spacing w:val="-11"/>
        </w:rPr>
        <w:t xml:space="preserve"> </w:t>
      </w:r>
      <w:r>
        <w:t>a</w:t>
      </w:r>
      <w:r>
        <w:rPr>
          <w:spacing w:val="-10"/>
        </w:rPr>
        <w:t xml:space="preserve"> </w:t>
      </w:r>
      <w:r>
        <w:t>standard</w:t>
      </w:r>
      <w:r>
        <w:rPr>
          <w:spacing w:val="-11"/>
        </w:rPr>
        <w:t xml:space="preserve"> </w:t>
      </w:r>
      <w:r>
        <w:t>reference</w:t>
      </w:r>
      <w:r>
        <w:rPr>
          <w:spacing w:val="-10"/>
        </w:rPr>
        <w:t xml:space="preserve"> </w:t>
      </w:r>
      <w:r>
        <w:t>case</w:t>
      </w:r>
      <w:r>
        <w:rPr>
          <w:spacing w:val="-10"/>
        </w:rPr>
        <w:t xml:space="preserve"> </w:t>
      </w:r>
      <w:r>
        <w:t>analysis</w:t>
      </w:r>
      <w:r>
        <w:rPr>
          <w:u w:val="none"/>
        </w:rPr>
        <w:t xml:space="preserve"> </w:t>
      </w:r>
      <w:r>
        <w:t>should be used for decision making disregards the particular circumstances of this appraisal</w:t>
      </w:r>
      <w:r>
        <w:rPr>
          <w:u w:val="none"/>
        </w:rPr>
        <w:t xml:space="preserve"> </w:t>
      </w:r>
      <w:r>
        <w:t>and results in an outcome that is perverse</w:t>
      </w:r>
    </w:p>
    <w:p w14:paraId="150CDBB6" w14:textId="77777777" w:rsidR="008956CE" w:rsidRDefault="008956CE">
      <w:pPr>
        <w:pStyle w:val="BodyText"/>
        <w:spacing w:before="12"/>
        <w:rPr>
          <w:b/>
        </w:rPr>
      </w:pPr>
    </w:p>
    <w:p w14:paraId="150CDBB7" w14:textId="77777777" w:rsidR="008956CE" w:rsidRDefault="00063531">
      <w:pPr>
        <w:pStyle w:val="BodyText"/>
        <w:ind w:left="1380"/>
        <w:jc w:val="both"/>
      </w:pPr>
      <w:r>
        <w:t>I</w:t>
      </w:r>
      <w:r>
        <w:rPr>
          <w:spacing w:val="-5"/>
        </w:rPr>
        <w:t xml:space="preserve"> </w:t>
      </w:r>
      <w:r>
        <w:t>am</w:t>
      </w:r>
      <w:r>
        <w:rPr>
          <w:spacing w:val="-4"/>
        </w:rPr>
        <w:t xml:space="preserve"> </w:t>
      </w:r>
      <w:r>
        <w:t>not</w:t>
      </w:r>
      <w:r>
        <w:rPr>
          <w:spacing w:val="-4"/>
        </w:rPr>
        <w:t xml:space="preserve"> </w:t>
      </w:r>
      <w:r>
        <w:t>minded</w:t>
      </w:r>
      <w:r>
        <w:rPr>
          <w:spacing w:val="-4"/>
        </w:rPr>
        <w:t xml:space="preserve"> </w:t>
      </w:r>
      <w:proofErr w:type="gramStart"/>
      <w:r>
        <w:t>to</w:t>
      </w:r>
      <w:r>
        <w:rPr>
          <w:spacing w:val="1"/>
        </w:rPr>
        <w:t xml:space="preserve"> </w:t>
      </w:r>
      <w:r>
        <w:t>refer</w:t>
      </w:r>
      <w:proofErr w:type="gramEnd"/>
      <w:r>
        <w:rPr>
          <w:spacing w:val="-4"/>
        </w:rPr>
        <w:t xml:space="preserve"> </w:t>
      </w:r>
      <w:r>
        <w:t>this</w:t>
      </w:r>
      <w:r>
        <w:rPr>
          <w:spacing w:val="-2"/>
        </w:rPr>
        <w:t xml:space="preserve"> </w:t>
      </w:r>
      <w:r>
        <w:t>appeal</w:t>
      </w:r>
      <w:r>
        <w:rPr>
          <w:spacing w:val="1"/>
        </w:rPr>
        <w:t xml:space="preserve"> </w:t>
      </w:r>
      <w:r>
        <w:t>point</w:t>
      </w:r>
      <w:r>
        <w:rPr>
          <w:spacing w:val="-4"/>
        </w:rPr>
        <w:t xml:space="preserve"> </w:t>
      </w:r>
      <w:r>
        <w:t>to</w:t>
      </w:r>
      <w:r>
        <w:rPr>
          <w:spacing w:val="-4"/>
        </w:rPr>
        <w:t xml:space="preserve"> </w:t>
      </w:r>
      <w:r>
        <w:t>the</w:t>
      </w:r>
      <w:r>
        <w:rPr>
          <w:spacing w:val="-4"/>
        </w:rPr>
        <w:t xml:space="preserve"> </w:t>
      </w:r>
      <w:r>
        <w:t>Appeal</w:t>
      </w:r>
      <w:r>
        <w:rPr>
          <w:spacing w:val="-2"/>
        </w:rPr>
        <w:t xml:space="preserve"> Panel.</w:t>
      </w:r>
    </w:p>
    <w:p w14:paraId="150CDBB8" w14:textId="77777777" w:rsidR="008956CE" w:rsidRDefault="008956CE">
      <w:pPr>
        <w:pStyle w:val="BodyText"/>
        <w:spacing w:before="15"/>
      </w:pPr>
    </w:p>
    <w:p w14:paraId="150CDBB9" w14:textId="77777777" w:rsidR="008956CE" w:rsidRDefault="00063531">
      <w:pPr>
        <w:pStyle w:val="BodyText"/>
        <w:spacing w:line="288" w:lineRule="auto"/>
        <w:ind w:left="1380" w:right="1164"/>
        <w:jc w:val="both"/>
      </w:pPr>
      <w:r>
        <w:t>I understand your point to argue that the decision to use the reference case analysis rather than the non-scenario analysis has resulted in an outcome that is perverse and therefore unreasonable.</w:t>
      </w:r>
    </w:p>
    <w:p w14:paraId="150CDBBA" w14:textId="77777777" w:rsidR="008956CE" w:rsidRDefault="00063531">
      <w:pPr>
        <w:pStyle w:val="BodyText"/>
        <w:spacing w:before="198" w:line="290" w:lineRule="auto"/>
        <w:ind w:left="1380" w:right="1149"/>
        <w:jc w:val="both"/>
      </w:pPr>
      <w:r>
        <w:t>I accept there is an arguable point that the committee may not have applied enough flexibility to the process, which could be considered procedurally unfair.</w:t>
      </w:r>
      <w:r>
        <w:rPr>
          <w:spacing w:val="40"/>
        </w:rPr>
        <w:t xml:space="preserve"> </w:t>
      </w:r>
      <w:r>
        <w:t>This has been referred under appeal point 1a.3.</w:t>
      </w:r>
      <w:r>
        <w:rPr>
          <w:spacing w:val="40"/>
        </w:rPr>
        <w:t xml:space="preserve"> </w:t>
      </w:r>
      <w:r>
        <w:t xml:space="preserve">I do not agree </w:t>
      </w:r>
      <w:proofErr w:type="gramStart"/>
      <w:r>
        <w:t>that,</w:t>
      </w:r>
      <w:proofErr w:type="gramEnd"/>
      <w:r>
        <w:t xml:space="preserve"> having done so, the Committee's conclusion is also arguably unreasonable.</w:t>
      </w:r>
    </w:p>
    <w:p w14:paraId="150CDBBB" w14:textId="77777777" w:rsidR="008956CE" w:rsidRDefault="00063531">
      <w:pPr>
        <w:pStyle w:val="BodyText"/>
        <w:spacing w:before="196" w:line="288" w:lineRule="auto"/>
        <w:ind w:left="1380" w:right="1149"/>
        <w:jc w:val="both"/>
      </w:pPr>
      <w:r>
        <w:t>A recommendation is not unreasonable simply because some other view is also tenable, even if the other view is “better” in some way.</w:t>
      </w:r>
      <w:r>
        <w:rPr>
          <w:spacing w:val="40"/>
        </w:rPr>
        <w:t xml:space="preserve"> </w:t>
      </w:r>
      <w:r>
        <w:t>Provided the Committee’s conclusions informing the recommendation can be held reasonably then they are reasonable.</w:t>
      </w:r>
      <w:r>
        <w:rPr>
          <w:spacing w:val="80"/>
          <w:w w:val="150"/>
        </w:rPr>
        <w:t xml:space="preserve"> </w:t>
      </w:r>
      <w:r>
        <w:t>The Committee has provided a detailed explanation for</w:t>
      </w:r>
      <w:r>
        <w:rPr>
          <w:spacing w:val="-2"/>
        </w:rPr>
        <w:t xml:space="preserve"> </w:t>
      </w:r>
      <w:r>
        <w:t>its conclusion at</w:t>
      </w:r>
      <w:r>
        <w:rPr>
          <w:spacing w:val="-4"/>
        </w:rPr>
        <w:t xml:space="preserve"> </w:t>
      </w:r>
      <w:r>
        <w:t>paragraph</w:t>
      </w:r>
      <w:r>
        <w:rPr>
          <w:spacing w:val="-4"/>
        </w:rPr>
        <w:t xml:space="preserve"> </w:t>
      </w:r>
      <w:r>
        <w:t>3.17 of</w:t>
      </w:r>
      <w:r>
        <w:rPr>
          <w:spacing w:val="-4"/>
        </w:rPr>
        <w:t xml:space="preserve"> </w:t>
      </w:r>
      <w:r>
        <w:t>the FDG.</w:t>
      </w:r>
      <w:r>
        <w:rPr>
          <w:spacing w:val="80"/>
        </w:rPr>
        <w:t xml:space="preserve"> </w:t>
      </w:r>
      <w:r>
        <w:t>The fairness of the Committee's approach</w:t>
      </w:r>
      <w:r>
        <w:rPr>
          <w:spacing w:val="-10"/>
        </w:rPr>
        <w:t xml:space="preserve"> </w:t>
      </w:r>
      <w:r>
        <w:t>to</w:t>
      </w:r>
      <w:r>
        <w:rPr>
          <w:spacing w:val="-10"/>
        </w:rPr>
        <w:t xml:space="preserve"> </w:t>
      </w:r>
      <w:r>
        <w:t>its</w:t>
      </w:r>
      <w:r>
        <w:rPr>
          <w:spacing w:val="-9"/>
        </w:rPr>
        <w:t xml:space="preserve"> </w:t>
      </w:r>
      <w:r>
        <w:t>decision-making</w:t>
      </w:r>
      <w:r>
        <w:rPr>
          <w:spacing w:val="-10"/>
        </w:rPr>
        <w:t xml:space="preserve"> </w:t>
      </w:r>
      <w:r>
        <w:t>will</w:t>
      </w:r>
      <w:r>
        <w:rPr>
          <w:spacing w:val="-8"/>
        </w:rPr>
        <w:t xml:space="preserve"> </w:t>
      </w:r>
      <w:r>
        <w:t>be</w:t>
      </w:r>
      <w:r>
        <w:rPr>
          <w:spacing w:val="-10"/>
        </w:rPr>
        <w:t xml:space="preserve"> </w:t>
      </w:r>
      <w:r>
        <w:t>considered</w:t>
      </w:r>
      <w:r>
        <w:rPr>
          <w:spacing w:val="-10"/>
        </w:rPr>
        <w:t xml:space="preserve"> </w:t>
      </w:r>
      <w:r>
        <w:t>under</w:t>
      </w:r>
      <w:r>
        <w:rPr>
          <w:spacing w:val="-5"/>
        </w:rPr>
        <w:t xml:space="preserve"> </w:t>
      </w:r>
      <w:r>
        <w:t>appeal</w:t>
      </w:r>
      <w:r>
        <w:rPr>
          <w:spacing w:val="-8"/>
        </w:rPr>
        <w:t xml:space="preserve"> </w:t>
      </w:r>
      <w:r>
        <w:t>point</w:t>
      </w:r>
      <w:r>
        <w:rPr>
          <w:spacing w:val="-10"/>
        </w:rPr>
        <w:t xml:space="preserve"> </w:t>
      </w:r>
      <w:r>
        <w:t>1a.3</w:t>
      </w:r>
      <w:r>
        <w:rPr>
          <w:spacing w:val="-10"/>
        </w:rPr>
        <w:t xml:space="preserve"> </w:t>
      </w:r>
      <w:r>
        <w:t>and</w:t>
      </w:r>
      <w:r>
        <w:rPr>
          <w:spacing w:val="-10"/>
        </w:rPr>
        <w:t xml:space="preserve"> </w:t>
      </w:r>
      <w:r>
        <w:t>1a.6</w:t>
      </w:r>
      <w:r>
        <w:rPr>
          <w:spacing w:val="-10"/>
        </w:rPr>
        <w:t xml:space="preserve"> </w:t>
      </w:r>
      <w:r>
        <w:t>but</w:t>
      </w:r>
      <w:r>
        <w:rPr>
          <w:spacing w:val="-10"/>
        </w:rPr>
        <w:t xml:space="preserve"> </w:t>
      </w:r>
      <w:r>
        <w:t>in</w:t>
      </w:r>
      <w:r>
        <w:rPr>
          <w:spacing w:val="-10"/>
        </w:rPr>
        <w:t xml:space="preserve"> </w:t>
      </w:r>
      <w:r>
        <w:t>reaching</w:t>
      </w:r>
      <w:r>
        <w:rPr>
          <w:spacing w:val="-10"/>
        </w:rPr>
        <w:t xml:space="preserve"> </w:t>
      </w:r>
      <w:r>
        <w:t>this conclusion</w:t>
      </w:r>
      <w:r>
        <w:rPr>
          <w:spacing w:val="-5"/>
        </w:rPr>
        <w:t xml:space="preserve"> </w:t>
      </w:r>
      <w:r>
        <w:t>the</w:t>
      </w:r>
      <w:r>
        <w:rPr>
          <w:spacing w:val="-4"/>
        </w:rPr>
        <w:t xml:space="preserve"> </w:t>
      </w:r>
      <w:r>
        <w:t>Committee</w:t>
      </w:r>
      <w:r>
        <w:rPr>
          <w:spacing w:val="-5"/>
        </w:rPr>
        <w:t xml:space="preserve"> </w:t>
      </w:r>
      <w:r>
        <w:t>has demonstrated</w:t>
      </w:r>
      <w:r>
        <w:rPr>
          <w:spacing w:val="-5"/>
        </w:rPr>
        <w:t xml:space="preserve"> </w:t>
      </w:r>
      <w:r>
        <w:t>a</w:t>
      </w:r>
      <w:r>
        <w:rPr>
          <w:spacing w:val="-5"/>
        </w:rPr>
        <w:t xml:space="preserve"> </w:t>
      </w:r>
      <w:r>
        <w:t>logical</w:t>
      </w:r>
      <w:r>
        <w:rPr>
          <w:spacing w:val="-3"/>
        </w:rPr>
        <w:t xml:space="preserve"> </w:t>
      </w:r>
      <w:r>
        <w:t>consideration</w:t>
      </w:r>
      <w:r>
        <w:rPr>
          <w:spacing w:val="-5"/>
        </w:rPr>
        <w:t xml:space="preserve"> </w:t>
      </w:r>
      <w:r>
        <w:t>of</w:t>
      </w:r>
      <w:r>
        <w:rPr>
          <w:spacing w:val="-5"/>
        </w:rPr>
        <w:t xml:space="preserve"> </w:t>
      </w:r>
      <w:r>
        <w:t>the</w:t>
      </w:r>
      <w:r>
        <w:rPr>
          <w:spacing w:val="-5"/>
        </w:rPr>
        <w:t xml:space="preserve"> </w:t>
      </w:r>
      <w:r>
        <w:t>evidence</w:t>
      </w:r>
      <w:r>
        <w:rPr>
          <w:spacing w:val="-1"/>
        </w:rPr>
        <w:t xml:space="preserve"> </w:t>
      </w:r>
      <w:r>
        <w:t>and my</w:t>
      </w:r>
      <w:r>
        <w:rPr>
          <w:spacing w:val="-4"/>
        </w:rPr>
        <w:t xml:space="preserve"> </w:t>
      </w:r>
      <w:r>
        <w:t>initial</w:t>
      </w:r>
      <w:r>
        <w:rPr>
          <w:spacing w:val="-3"/>
        </w:rPr>
        <w:t xml:space="preserve"> </w:t>
      </w:r>
      <w:r>
        <w:t>view is that it cannot be said to be arguably unreasonable.</w:t>
      </w:r>
    </w:p>
    <w:p w14:paraId="150CDBBC" w14:textId="77777777" w:rsidR="008956CE" w:rsidRDefault="008956CE">
      <w:pPr>
        <w:pStyle w:val="BodyText"/>
        <w:spacing w:before="8"/>
      </w:pPr>
    </w:p>
    <w:p w14:paraId="150CDBBD" w14:textId="77777777" w:rsidR="008956CE" w:rsidRDefault="00063531">
      <w:pPr>
        <w:pStyle w:val="Heading1"/>
        <w:spacing w:line="276" w:lineRule="auto"/>
        <w:ind w:right="1160"/>
        <w:rPr>
          <w:u w:val="none"/>
        </w:rPr>
      </w:pPr>
      <w:r>
        <w:t xml:space="preserve">Appeal </w:t>
      </w:r>
      <w:proofErr w:type="gramStart"/>
      <w:r>
        <w:t>point</w:t>
      </w:r>
      <w:proofErr w:type="gramEnd"/>
      <w:r>
        <w:t xml:space="preserve"> 2.2: The inconsistent approach to modelling effectiveness of daratumumab is</w:t>
      </w:r>
      <w:r>
        <w:rPr>
          <w:u w:val="none"/>
        </w:rPr>
        <w:t xml:space="preserve"> </w:t>
      </w:r>
      <w:r>
        <w:rPr>
          <w:spacing w:val="-2"/>
        </w:rPr>
        <w:t>unreasonable</w:t>
      </w:r>
    </w:p>
    <w:p w14:paraId="150CDBBE" w14:textId="77777777" w:rsidR="008956CE" w:rsidRDefault="008956CE">
      <w:pPr>
        <w:pStyle w:val="BodyText"/>
        <w:spacing w:before="12"/>
        <w:rPr>
          <w:b/>
        </w:rPr>
      </w:pPr>
    </w:p>
    <w:p w14:paraId="150CDBBF" w14:textId="77777777" w:rsidR="008956CE" w:rsidRDefault="00063531">
      <w:pPr>
        <w:pStyle w:val="BodyText"/>
        <w:ind w:left="1380"/>
        <w:jc w:val="both"/>
      </w:pPr>
      <w:r>
        <w:t>I</w:t>
      </w:r>
      <w:r>
        <w:rPr>
          <w:spacing w:val="-5"/>
        </w:rPr>
        <w:t xml:space="preserve"> </w:t>
      </w:r>
      <w:r>
        <w:t>am</w:t>
      </w:r>
      <w:r>
        <w:rPr>
          <w:spacing w:val="-5"/>
        </w:rPr>
        <w:t xml:space="preserve"> </w:t>
      </w:r>
      <w:r>
        <w:t>minded</w:t>
      </w:r>
      <w:r>
        <w:rPr>
          <w:spacing w:val="-4"/>
        </w:rPr>
        <w:t xml:space="preserve"> </w:t>
      </w:r>
      <w:proofErr w:type="gramStart"/>
      <w:r>
        <w:t>to</w:t>
      </w:r>
      <w:r>
        <w:rPr>
          <w:spacing w:val="-5"/>
        </w:rPr>
        <w:t xml:space="preserve"> </w:t>
      </w:r>
      <w:r>
        <w:t>refer</w:t>
      </w:r>
      <w:proofErr w:type="gramEnd"/>
      <w:r>
        <w:rPr>
          <w:spacing w:val="-4"/>
        </w:rPr>
        <w:t xml:space="preserve"> </w:t>
      </w:r>
      <w:r>
        <w:t>this</w:t>
      </w:r>
      <w:r>
        <w:rPr>
          <w:spacing w:val="1"/>
        </w:rPr>
        <w:t xml:space="preserve"> </w:t>
      </w:r>
      <w:r>
        <w:t>appeal</w:t>
      </w:r>
      <w:r>
        <w:rPr>
          <w:spacing w:val="-3"/>
        </w:rPr>
        <w:t xml:space="preserve"> </w:t>
      </w:r>
      <w:r>
        <w:t>point to</w:t>
      </w:r>
      <w:r>
        <w:rPr>
          <w:spacing w:val="-4"/>
        </w:rPr>
        <w:t xml:space="preserve"> </w:t>
      </w:r>
      <w:r>
        <w:t>the</w:t>
      </w:r>
      <w:r>
        <w:rPr>
          <w:spacing w:val="-5"/>
        </w:rPr>
        <w:t xml:space="preserve"> </w:t>
      </w:r>
      <w:r>
        <w:t>Appeal</w:t>
      </w:r>
      <w:r>
        <w:rPr>
          <w:spacing w:val="-2"/>
        </w:rPr>
        <w:t xml:space="preserve"> Panel.</w:t>
      </w:r>
    </w:p>
    <w:p w14:paraId="150CDBC0" w14:textId="77777777" w:rsidR="008956CE" w:rsidRDefault="008956CE">
      <w:pPr>
        <w:pStyle w:val="BodyText"/>
        <w:spacing w:before="15"/>
      </w:pPr>
    </w:p>
    <w:p w14:paraId="150CDBC1" w14:textId="77777777" w:rsidR="008956CE" w:rsidRDefault="00063531">
      <w:pPr>
        <w:pStyle w:val="BodyText"/>
        <w:spacing w:line="288" w:lineRule="auto"/>
        <w:ind w:left="1380" w:right="1155"/>
        <w:jc w:val="both"/>
      </w:pPr>
      <w:r>
        <w:t>In</w:t>
      </w:r>
      <w:r>
        <w:rPr>
          <w:spacing w:val="-5"/>
        </w:rPr>
        <w:t xml:space="preserve"> </w:t>
      </w:r>
      <w:r>
        <w:t>reaching</w:t>
      </w:r>
      <w:r>
        <w:rPr>
          <w:spacing w:val="-5"/>
        </w:rPr>
        <w:t xml:space="preserve"> </w:t>
      </w:r>
      <w:r>
        <w:t>this</w:t>
      </w:r>
      <w:r>
        <w:rPr>
          <w:spacing w:val="-3"/>
        </w:rPr>
        <w:t xml:space="preserve"> </w:t>
      </w:r>
      <w:r>
        <w:t>view</w:t>
      </w:r>
      <w:r>
        <w:rPr>
          <w:spacing w:val="-3"/>
        </w:rPr>
        <w:t xml:space="preserve"> </w:t>
      </w:r>
      <w:r>
        <w:t>I</w:t>
      </w:r>
      <w:r>
        <w:rPr>
          <w:spacing w:val="-5"/>
        </w:rPr>
        <w:t xml:space="preserve"> </w:t>
      </w:r>
      <w:r>
        <w:t>consider</w:t>
      </w:r>
      <w:r>
        <w:rPr>
          <w:spacing w:val="-5"/>
        </w:rPr>
        <w:t xml:space="preserve"> </w:t>
      </w:r>
      <w:r>
        <w:t>it</w:t>
      </w:r>
      <w:r>
        <w:rPr>
          <w:spacing w:val="-4"/>
        </w:rPr>
        <w:t xml:space="preserve"> </w:t>
      </w:r>
      <w:r>
        <w:t>arguably</w:t>
      </w:r>
      <w:r>
        <w:rPr>
          <w:spacing w:val="-3"/>
        </w:rPr>
        <w:t xml:space="preserve"> </w:t>
      </w:r>
      <w:r>
        <w:t>unreasonable</w:t>
      </w:r>
      <w:r>
        <w:rPr>
          <w:spacing w:val="-4"/>
        </w:rPr>
        <w:t xml:space="preserve"> </w:t>
      </w:r>
      <w:r>
        <w:t>for</w:t>
      </w:r>
      <w:r>
        <w:rPr>
          <w:spacing w:val="-5"/>
        </w:rPr>
        <w:t xml:space="preserve"> </w:t>
      </w:r>
      <w:r>
        <w:t>the</w:t>
      </w:r>
      <w:r>
        <w:rPr>
          <w:spacing w:val="-5"/>
        </w:rPr>
        <w:t xml:space="preserve"> </w:t>
      </w:r>
      <w:r>
        <w:t>Committee</w:t>
      </w:r>
      <w:r>
        <w:rPr>
          <w:spacing w:val="-5"/>
        </w:rPr>
        <w:t xml:space="preserve"> </w:t>
      </w:r>
      <w:r>
        <w:t>to</w:t>
      </w:r>
      <w:r>
        <w:rPr>
          <w:spacing w:val="-5"/>
        </w:rPr>
        <w:t xml:space="preserve"> </w:t>
      </w:r>
      <w:r>
        <w:t>choose</w:t>
      </w:r>
      <w:r>
        <w:rPr>
          <w:spacing w:val="-5"/>
        </w:rPr>
        <w:t xml:space="preserve"> </w:t>
      </w:r>
      <w:r>
        <w:t>a</w:t>
      </w:r>
      <w:r>
        <w:rPr>
          <w:spacing w:val="-5"/>
        </w:rPr>
        <w:t xml:space="preserve"> </w:t>
      </w:r>
      <w:r>
        <w:t>different</w:t>
      </w:r>
      <w:r>
        <w:rPr>
          <w:spacing w:val="-5"/>
        </w:rPr>
        <w:t xml:space="preserve"> </w:t>
      </w:r>
      <w:r>
        <w:t>model for</w:t>
      </w:r>
      <w:r>
        <w:rPr>
          <w:spacing w:val="-3"/>
        </w:rPr>
        <w:t xml:space="preserve"> </w:t>
      </w:r>
      <w:r>
        <w:t>overall survival to</w:t>
      </w:r>
      <w:r>
        <w:rPr>
          <w:spacing w:val="-3"/>
        </w:rPr>
        <w:t xml:space="preserve"> </w:t>
      </w:r>
      <w:r>
        <w:t>appraisal TA783</w:t>
      </w:r>
      <w:r>
        <w:rPr>
          <w:spacing w:val="-3"/>
        </w:rPr>
        <w:t xml:space="preserve"> </w:t>
      </w:r>
      <w:r>
        <w:t>in the absence</w:t>
      </w:r>
      <w:r>
        <w:rPr>
          <w:spacing w:val="-3"/>
        </w:rPr>
        <w:t xml:space="preserve"> </w:t>
      </w:r>
      <w:r>
        <w:t>of</w:t>
      </w:r>
      <w:r>
        <w:rPr>
          <w:spacing w:val="-3"/>
        </w:rPr>
        <w:t xml:space="preserve"> </w:t>
      </w:r>
      <w:r>
        <w:t>new</w:t>
      </w:r>
      <w:r>
        <w:rPr>
          <w:spacing w:val="-1"/>
        </w:rPr>
        <w:t xml:space="preserve"> </w:t>
      </w:r>
      <w:r>
        <w:t>evidence to</w:t>
      </w:r>
      <w:r>
        <w:rPr>
          <w:spacing w:val="-3"/>
        </w:rPr>
        <w:t xml:space="preserve"> </w:t>
      </w:r>
      <w:r>
        <w:t>justify</w:t>
      </w:r>
      <w:r>
        <w:rPr>
          <w:spacing w:val="-2"/>
        </w:rPr>
        <w:t xml:space="preserve"> </w:t>
      </w:r>
      <w:r>
        <w:t>the</w:t>
      </w:r>
      <w:r>
        <w:rPr>
          <w:spacing w:val="-3"/>
        </w:rPr>
        <w:t xml:space="preserve"> </w:t>
      </w:r>
      <w:r>
        <w:t>different</w:t>
      </w:r>
      <w:r>
        <w:rPr>
          <w:spacing w:val="-3"/>
        </w:rPr>
        <w:t xml:space="preserve"> </w:t>
      </w:r>
      <w:r>
        <w:t>approach.</w:t>
      </w:r>
    </w:p>
    <w:p w14:paraId="150CDBC2" w14:textId="77777777" w:rsidR="008956CE" w:rsidRDefault="008956CE">
      <w:pPr>
        <w:pStyle w:val="BodyText"/>
        <w:spacing w:before="13"/>
      </w:pPr>
    </w:p>
    <w:p w14:paraId="150CDBC3" w14:textId="77777777" w:rsidR="008956CE" w:rsidRDefault="00063531">
      <w:pPr>
        <w:pStyle w:val="Heading1"/>
        <w:spacing w:before="1" w:line="273" w:lineRule="auto"/>
        <w:ind w:right="1159"/>
        <w:rPr>
          <w:u w:val="none"/>
        </w:rPr>
      </w:pPr>
      <w:r>
        <w:t xml:space="preserve">Appeal </w:t>
      </w:r>
      <w:proofErr w:type="gramStart"/>
      <w:r>
        <w:t>point</w:t>
      </w:r>
      <w:proofErr w:type="gramEnd"/>
      <w:r>
        <w:t xml:space="preserve"> 2.3: The Committee’s approach to comparing the efficacy of </w:t>
      </w:r>
      <w:proofErr w:type="spellStart"/>
      <w:r>
        <w:t>isatuximab</w:t>
      </w:r>
      <w:proofErr w:type="spellEnd"/>
      <w:r>
        <w:t xml:space="preserve"> in</w:t>
      </w:r>
      <w:r>
        <w:rPr>
          <w:u w:val="none"/>
        </w:rPr>
        <w:t xml:space="preserve"> </w:t>
      </w:r>
      <w:r>
        <w:t>combination</w:t>
      </w:r>
      <w:r>
        <w:rPr>
          <w:spacing w:val="-14"/>
        </w:rPr>
        <w:t xml:space="preserve"> </w:t>
      </w:r>
      <w:r>
        <w:t>with</w:t>
      </w:r>
      <w:r>
        <w:rPr>
          <w:spacing w:val="-14"/>
        </w:rPr>
        <w:t xml:space="preserve"> </w:t>
      </w:r>
      <w:r>
        <w:t>pomalidomide</w:t>
      </w:r>
      <w:r>
        <w:rPr>
          <w:spacing w:val="-12"/>
        </w:rPr>
        <w:t xml:space="preserve"> </w:t>
      </w:r>
      <w:r>
        <w:t>and</w:t>
      </w:r>
      <w:r>
        <w:rPr>
          <w:spacing w:val="-12"/>
        </w:rPr>
        <w:t xml:space="preserve"> </w:t>
      </w:r>
      <w:r>
        <w:t>dexamethasone</w:t>
      </w:r>
      <w:r>
        <w:rPr>
          <w:spacing w:val="-7"/>
        </w:rPr>
        <w:t xml:space="preserve"> </w:t>
      </w:r>
      <w:r>
        <w:t>does</w:t>
      </w:r>
      <w:r>
        <w:rPr>
          <w:spacing w:val="-11"/>
        </w:rPr>
        <w:t xml:space="preserve"> </w:t>
      </w:r>
      <w:r>
        <w:t>not</w:t>
      </w:r>
      <w:r>
        <w:rPr>
          <w:spacing w:val="-12"/>
        </w:rPr>
        <w:t xml:space="preserve"> </w:t>
      </w:r>
      <w:r>
        <w:t>reflect</w:t>
      </w:r>
      <w:r>
        <w:rPr>
          <w:spacing w:val="-12"/>
        </w:rPr>
        <w:t xml:space="preserve"> </w:t>
      </w:r>
      <w:r>
        <w:t>the</w:t>
      </w:r>
      <w:r>
        <w:rPr>
          <w:spacing w:val="-11"/>
        </w:rPr>
        <w:t xml:space="preserve"> </w:t>
      </w:r>
      <w:r>
        <w:t>evidence</w:t>
      </w:r>
      <w:r>
        <w:rPr>
          <w:spacing w:val="-11"/>
        </w:rPr>
        <w:t xml:space="preserve"> </w:t>
      </w:r>
      <w:r>
        <w:t>available</w:t>
      </w:r>
      <w:r>
        <w:rPr>
          <w:spacing w:val="-14"/>
        </w:rPr>
        <w:t xml:space="preserve"> </w:t>
      </w:r>
      <w:r>
        <w:t>and</w:t>
      </w:r>
      <w:r>
        <w:rPr>
          <w:u w:val="none"/>
        </w:rPr>
        <w:t xml:space="preserve"> </w:t>
      </w:r>
      <w:r>
        <w:t>is therefore unreasonable</w:t>
      </w:r>
    </w:p>
    <w:p w14:paraId="150CDBC4" w14:textId="77777777" w:rsidR="008956CE" w:rsidRDefault="008956CE">
      <w:pPr>
        <w:pStyle w:val="BodyText"/>
        <w:spacing w:before="13"/>
        <w:rPr>
          <w:b/>
        </w:rPr>
      </w:pPr>
    </w:p>
    <w:p w14:paraId="150CDBC5" w14:textId="77777777" w:rsidR="008956CE" w:rsidRDefault="00063531">
      <w:pPr>
        <w:pStyle w:val="BodyText"/>
        <w:ind w:left="1380"/>
        <w:jc w:val="both"/>
      </w:pPr>
      <w:r>
        <w:t>I</w:t>
      </w:r>
      <w:r>
        <w:rPr>
          <w:spacing w:val="-5"/>
        </w:rPr>
        <w:t xml:space="preserve"> </w:t>
      </w:r>
      <w:r>
        <w:t>am</w:t>
      </w:r>
      <w:r>
        <w:rPr>
          <w:spacing w:val="-4"/>
        </w:rPr>
        <w:t xml:space="preserve"> </w:t>
      </w:r>
      <w:r>
        <w:t>not</w:t>
      </w:r>
      <w:r>
        <w:rPr>
          <w:spacing w:val="-4"/>
        </w:rPr>
        <w:t xml:space="preserve"> </w:t>
      </w:r>
      <w:r>
        <w:t>minded</w:t>
      </w:r>
      <w:r>
        <w:rPr>
          <w:spacing w:val="-3"/>
        </w:rPr>
        <w:t xml:space="preserve"> </w:t>
      </w:r>
      <w:proofErr w:type="gramStart"/>
      <w:r>
        <w:t>to</w:t>
      </w:r>
      <w:r>
        <w:rPr>
          <w:spacing w:val="-1"/>
        </w:rPr>
        <w:t xml:space="preserve"> </w:t>
      </w:r>
      <w:r>
        <w:t>refer</w:t>
      </w:r>
      <w:proofErr w:type="gramEnd"/>
      <w:r>
        <w:rPr>
          <w:spacing w:val="-4"/>
        </w:rPr>
        <w:t xml:space="preserve"> </w:t>
      </w:r>
      <w:r>
        <w:t>this</w:t>
      </w:r>
      <w:r>
        <w:rPr>
          <w:spacing w:val="-2"/>
        </w:rPr>
        <w:t xml:space="preserve"> </w:t>
      </w:r>
      <w:r>
        <w:t>appeal</w:t>
      </w:r>
      <w:r>
        <w:rPr>
          <w:spacing w:val="1"/>
        </w:rPr>
        <w:t xml:space="preserve"> </w:t>
      </w:r>
      <w:r>
        <w:t>point</w:t>
      </w:r>
      <w:r>
        <w:rPr>
          <w:spacing w:val="-4"/>
        </w:rPr>
        <w:t xml:space="preserve"> </w:t>
      </w:r>
      <w:r>
        <w:t>to</w:t>
      </w:r>
      <w:r>
        <w:rPr>
          <w:spacing w:val="-4"/>
        </w:rPr>
        <w:t xml:space="preserve"> </w:t>
      </w:r>
      <w:r>
        <w:t>the</w:t>
      </w:r>
      <w:r>
        <w:rPr>
          <w:spacing w:val="-4"/>
        </w:rPr>
        <w:t xml:space="preserve"> </w:t>
      </w:r>
      <w:r>
        <w:t>Appeal</w:t>
      </w:r>
      <w:r>
        <w:rPr>
          <w:spacing w:val="-2"/>
        </w:rPr>
        <w:t xml:space="preserve"> Panel.</w:t>
      </w:r>
    </w:p>
    <w:p w14:paraId="150CDBC6" w14:textId="77777777" w:rsidR="008956CE" w:rsidRDefault="008956CE">
      <w:pPr>
        <w:pStyle w:val="BodyText"/>
        <w:spacing w:before="20"/>
      </w:pPr>
    </w:p>
    <w:p w14:paraId="150CDBC7" w14:textId="77777777" w:rsidR="008956CE" w:rsidRDefault="00063531">
      <w:pPr>
        <w:pStyle w:val="BodyText"/>
        <w:spacing w:line="288" w:lineRule="auto"/>
        <w:ind w:left="1380" w:right="1148"/>
        <w:jc w:val="both"/>
        <w:rPr>
          <w:i/>
        </w:rPr>
      </w:pPr>
      <w:r>
        <w:t>The Committee has set out their consideration of the evidence at paragraph 3.5 of the FDG.</w:t>
      </w:r>
      <w:r>
        <w:rPr>
          <w:spacing w:val="40"/>
        </w:rPr>
        <w:t xml:space="preserve"> </w:t>
      </w:r>
      <w:r>
        <w:t>The Committee</w:t>
      </w:r>
      <w:r>
        <w:rPr>
          <w:spacing w:val="-10"/>
        </w:rPr>
        <w:t xml:space="preserve"> </w:t>
      </w:r>
      <w:r>
        <w:t>accepts</w:t>
      </w:r>
      <w:r>
        <w:rPr>
          <w:spacing w:val="-9"/>
        </w:rPr>
        <w:t xml:space="preserve"> </w:t>
      </w:r>
      <w:r>
        <w:t>there</w:t>
      </w:r>
      <w:r>
        <w:rPr>
          <w:spacing w:val="-10"/>
        </w:rPr>
        <w:t xml:space="preserve"> </w:t>
      </w:r>
      <w:r>
        <w:t>is</w:t>
      </w:r>
      <w:r>
        <w:rPr>
          <w:spacing w:val="-9"/>
        </w:rPr>
        <w:t xml:space="preserve"> </w:t>
      </w:r>
      <w:r>
        <w:t>a</w:t>
      </w:r>
      <w:r>
        <w:rPr>
          <w:spacing w:val="-10"/>
        </w:rPr>
        <w:t xml:space="preserve"> </w:t>
      </w:r>
      <w:r>
        <w:t>difference</w:t>
      </w:r>
      <w:r>
        <w:rPr>
          <w:spacing w:val="-10"/>
        </w:rPr>
        <w:t xml:space="preserve"> </w:t>
      </w:r>
      <w:r>
        <w:t>of</w:t>
      </w:r>
      <w:r>
        <w:rPr>
          <w:spacing w:val="-10"/>
        </w:rPr>
        <w:t xml:space="preserve"> </w:t>
      </w:r>
      <w:proofErr w:type="gramStart"/>
      <w:r>
        <w:t>opinion,</w:t>
      </w:r>
      <w:r>
        <w:rPr>
          <w:spacing w:val="-10"/>
        </w:rPr>
        <w:t xml:space="preserve"> </w:t>
      </w:r>
      <w:r>
        <w:t>and</w:t>
      </w:r>
      <w:proofErr w:type="gramEnd"/>
      <w:r>
        <w:rPr>
          <w:spacing w:val="-10"/>
        </w:rPr>
        <w:t xml:space="preserve"> </w:t>
      </w:r>
      <w:r>
        <w:t>explains</w:t>
      </w:r>
      <w:r>
        <w:rPr>
          <w:spacing w:val="-9"/>
        </w:rPr>
        <w:t xml:space="preserve"> </w:t>
      </w:r>
      <w:r>
        <w:t>that</w:t>
      </w:r>
      <w:r>
        <w:rPr>
          <w:spacing w:val="-10"/>
        </w:rPr>
        <w:t xml:space="preserve"> </w:t>
      </w:r>
      <w:r>
        <w:t>it</w:t>
      </w:r>
      <w:r>
        <w:rPr>
          <w:spacing w:val="-9"/>
        </w:rPr>
        <w:t xml:space="preserve"> </w:t>
      </w:r>
      <w:r>
        <w:t>has</w:t>
      </w:r>
      <w:r>
        <w:rPr>
          <w:spacing w:val="-8"/>
        </w:rPr>
        <w:t xml:space="preserve"> </w:t>
      </w:r>
      <w:r>
        <w:t>a</w:t>
      </w:r>
      <w:r>
        <w:rPr>
          <w:spacing w:val="-10"/>
        </w:rPr>
        <w:t xml:space="preserve"> </w:t>
      </w:r>
      <w:r>
        <w:t>preference</w:t>
      </w:r>
      <w:r>
        <w:rPr>
          <w:spacing w:val="-10"/>
        </w:rPr>
        <w:t xml:space="preserve"> </w:t>
      </w:r>
      <w:r>
        <w:t>for</w:t>
      </w:r>
      <w:r>
        <w:rPr>
          <w:spacing w:val="-11"/>
        </w:rPr>
        <w:t xml:space="preserve"> </w:t>
      </w:r>
      <w:r>
        <w:t>the</w:t>
      </w:r>
      <w:r>
        <w:rPr>
          <w:spacing w:val="-10"/>
        </w:rPr>
        <w:t xml:space="preserve"> </w:t>
      </w:r>
      <w:r>
        <w:t>ICARIA- MM data.</w:t>
      </w:r>
      <w:r>
        <w:rPr>
          <w:spacing w:val="40"/>
        </w:rPr>
        <w:t xml:space="preserve"> </w:t>
      </w:r>
      <w:r>
        <w:t>The Committee explains that it accepts the EAG's analysis that the SACT data presents an overestimate</w:t>
      </w:r>
      <w:r>
        <w:rPr>
          <w:spacing w:val="-4"/>
        </w:rPr>
        <w:t xml:space="preserve"> </w:t>
      </w:r>
      <w:r>
        <w:t>of the</w:t>
      </w:r>
      <w:r>
        <w:rPr>
          <w:spacing w:val="-4"/>
        </w:rPr>
        <w:t xml:space="preserve"> </w:t>
      </w:r>
      <w:r>
        <w:t>relative</w:t>
      </w:r>
      <w:r>
        <w:rPr>
          <w:spacing w:val="-4"/>
        </w:rPr>
        <w:t xml:space="preserve"> </w:t>
      </w:r>
      <w:r>
        <w:t>treatment</w:t>
      </w:r>
      <w:r>
        <w:rPr>
          <w:spacing w:val="-4"/>
        </w:rPr>
        <w:t xml:space="preserve"> </w:t>
      </w:r>
      <w:r>
        <w:t>effect</w:t>
      </w:r>
      <w:r>
        <w:rPr>
          <w:spacing w:val="-3"/>
        </w:rPr>
        <w:t xml:space="preserve"> </w:t>
      </w:r>
      <w:r>
        <w:t>and</w:t>
      </w:r>
      <w:r>
        <w:rPr>
          <w:spacing w:val="-4"/>
        </w:rPr>
        <w:t xml:space="preserve"> </w:t>
      </w:r>
      <w:r>
        <w:t>that it</w:t>
      </w:r>
      <w:r>
        <w:rPr>
          <w:spacing w:val="-4"/>
        </w:rPr>
        <w:t xml:space="preserve"> </w:t>
      </w:r>
      <w:r>
        <w:t>considers</w:t>
      </w:r>
      <w:r>
        <w:rPr>
          <w:spacing w:val="-3"/>
        </w:rPr>
        <w:t xml:space="preserve"> </w:t>
      </w:r>
      <w:r>
        <w:t>that</w:t>
      </w:r>
      <w:r>
        <w:rPr>
          <w:spacing w:val="-3"/>
        </w:rPr>
        <w:t xml:space="preserve"> </w:t>
      </w:r>
      <w:r>
        <w:t>the ICARIA-MM</w:t>
      </w:r>
      <w:r>
        <w:rPr>
          <w:spacing w:val="-5"/>
        </w:rPr>
        <w:t xml:space="preserve"> </w:t>
      </w:r>
      <w:r>
        <w:rPr>
          <w:i/>
        </w:rPr>
        <w:t>'provided</w:t>
      </w:r>
      <w:r>
        <w:rPr>
          <w:i/>
          <w:spacing w:val="-4"/>
        </w:rPr>
        <w:t xml:space="preserve"> </w:t>
      </w:r>
      <w:r>
        <w:rPr>
          <w:i/>
        </w:rPr>
        <w:t>a more</w:t>
      </w:r>
    </w:p>
    <w:p w14:paraId="150CDBC8" w14:textId="77777777" w:rsidR="008956CE" w:rsidRDefault="008956CE">
      <w:pPr>
        <w:spacing w:line="288" w:lineRule="auto"/>
        <w:jc w:val="both"/>
        <w:sectPr w:rsidR="008956CE">
          <w:pgSz w:w="11910" w:h="16840"/>
          <w:pgMar w:top="1780" w:right="260" w:bottom="1100" w:left="40" w:header="0" w:footer="913" w:gutter="0"/>
          <w:cols w:space="720"/>
        </w:sectPr>
      </w:pPr>
    </w:p>
    <w:p w14:paraId="150CDBC9" w14:textId="77777777" w:rsidR="008956CE" w:rsidRDefault="00063531">
      <w:pPr>
        <w:spacing w:before="73" w:line="288" w:lineRule="auto"/>
        <w:ind w:left="1380" w:right="1154"/>
        <w:jc w:val="both"/>
        <w:rPr>
          <w:sz w:val="20"/>
        </w:rPr>
      </w:pPr>
      <w:r>
        <w:rPr>
          <w:i/>
          <w:sz w:val="20"/>
        </w:rPr>
        <w:lastRenderedPageBreak/>
        <w:t>robust estimate</w:t>
      </w:r>
      <w:r>
        <w:rPr>
          <w:i/>
          <w:spacing w:val="-1"/>
          <w:sz w:val="20"/>
        </w:rPr>
        <w:t xml:space="preserve"> </w:t>
      </w:r>
      <w:r>
        <w:rPr>
          <w:i/>
          <w:sz w:val="20"/>
        </w:rPr>
        <w:t>of relative effect</w:t>
      </w:r>
      <w:r>
        <w:rPr>
          <w:sz w:val="20"/>
        </w:rPr>
        <w:t>.'</w:t>
      </w:r>
      <w:r>
        <w:rPr>
          <w:spacing w:val="40"/>
          <w:sz w:val="20"/>
        </w:rPr>
        <w:t xml:space="preserve"> </w:t>
      </w:r>
      <w:r>
        <w:rPr>
          <w:sz w:val="20"/>
        </w:rPr>
        <w:t>I am</w:t>
      </w:r>
      <w:r>
        <w:rPr>
          <w:spacing w:val="-1"/>
          <w:sz w:val="20"/>
        </w:rPr>
        <w:t xml:space="preserve"> </w:t>
      </w:r>
      <w:r>
        <w:rPr>
          <w:sz w:val="20"/>
        </w:rPr>
        <w:t>of the initial view that the Committee has demonstrated careful consideration of the evidence before reaching a conclusion.</w:t>
      </w:r>
    </w:p>
    <w:p w14:paraId="150CDBCA" w14:textId="77777777" w:rsidR="008956CE" w:rsidRDefault="00063531">
      <w:pPr>
        <w:pStyle w:val="BodyText"/>
        <w:spacing w:before="198" w:line="288" w:lineRule="auto"/>
        <w:ind w:left="1380" w:right="1152"/>
        <w:jc w:val="both"/>
      </w:pPr>
      <w:r>
        <w:t xml:space="preserve">In your appeal letter you note that Myeloma UK countered the EAG suggestion that patients who received </w:t>
      </w:r>
      <w:proofErr w:type="spellStart"/>
      <w:r>
        <w:t>isatuximab</w:t>
      </w:r>
      <w:proofErr w:type="spellEnd"/>
      <w:r>
        <w:t xml:space="preserve"> in combination might have been fitter than patients who received pomalidomide and dexamethasone and that the exclusion of patients who may have received pomalidomide and dexamethasone after receiving a treatment available on the CDF might have excluded the fittest patients.</w:t>
      </w:r>
      <w:r>
        <w:rPr>
          <w:spacing w:val="7"/>
        </w:rPr>
        <w:t xml:space="preserve"> </w:t>
      </w:r>
      <w:r>
        <w:t>Whilst</w:t>
      </w:r>
      <w:r>
        <w:rPr>
          <w:spacing w:val="-13"/>
        </w:rPr>
        <w:t xml:space="preserve"> </w:t>
      </w:r>
      <w:r>
        <w:t>I</w:t>
      </w:r>
      <w:r>
        <w:rPr>
          <w:spacing w:val="-14"/>
        </w:rPr>
        <w:t xml:space="preserve"> </w:t>
      </w:r>
      <w:r>
        <w:t>acknowledge</w:t>
      </w:r>
      <w:r>
        <w:rPr>
          <w:spacing w:val="-14"/>
        </w:rPr>
        <w:t xml:space="preserve"> </w:t>
      </w:r>
      <w:r>
        <w:t>the</w:t>
      </w:r>
      <w:r>
        <w:rPr>
          <w:spacing w:val="-14"/>
        </w:rPr>
        <w:t xml:space="preserve"> </w:t>
      </w:r>
      <w:r>
        <w:t>reasoned</w:t>
      </w:r>
      <w:r>
        <w:rPr>
          <w:spacing w:val="-14"/>
        </w:rPr>
        <w:t xml:space="preserve"> </w:t>
      </w:r>
      <w:r>
        <w:t>opinion</w:t>
      </w:r>
      <w:r>
        <w:rPr>
          <w:spacing w:val="-13"/>
        </w:rPr>
        <w:t xml:space="preserve"> </w:t>
      </w:r>
      <w:r>
        <w:t>of</w:t>
      </w:r>
      <w:r>
        <w:rPr>
          <w:spacing w:val="-14"/>
        </w:rPr>
        <w:t xml:space="preserve"> </w:t>
      </w:r>
      <w:r>
        <w:t>Myeloma</w:t>
      </w:r>
      <w:r>
        <w:rPr>
          <w:spacing w:val="-14"/>
        </w:rPr>
        <w:t xml:space="preserve"> </w:t>
      </w:r>
      <w:r>
        <w:t>UK,</w:t>
      </w:r>
      <w:r>
        <w:rPr>
          <w:spacing w:val="-14"/>
        </w:rPr>
        <w:t xml:space="preserve"> </w:t>
      </w:r>
      <w:r>
        <w:t>where</w:t>
      </w:r>
      <w:r>
        <w:rPr>
          <w:spacing w:val="-14"/>
        </w:rPr>
        <w:t xml:space="preserve"> </w:t>
      </w:r>
      <w:r>
        <w:t>there</w:t>
      </w:r>
      <w:r>
        <w:rPr>
          <w:spacing w:val="-14"/>
        </w:rPr>
        <w:t xml:space="preserve"> </w:t>
      </w:r>
      <w:r>
        <w:t>is</w:t>
      </w:r>
      <w:r>
        <w:rPr>
          <w:spacing w:val="-12"/>
        </w:rPr>
        <w:t xml:space="preserve"> </w:t>
      </w:r>
      <w:r>
        <w:t>conflicting</w:t>
      </w:r>
      <w:r>
        <w:rPr>
          <w:spacing w:val="-14"/>
        </w:rPr>
        <w:t xml:space="preserve"> </w:t>
      </w:r>
      <w:proofErr w:type="gramStart"/>
      <w:r>
        <w:t>evidence</w:t>
      </w:r>
      <w:proofErr w:type="gramEnd"/>
      <w:r>
        <w:t xml:space="preserve"> it</w:t>
      </w:r>
      <w:r>
        <w:rPr>
          <w:spacing w:val="-2"/>
        </w:rPr>
        <w:t xml:space="preserve"> </w:t>
      </w:r>
      <w:r>
        <w:t>is</w:t>
      </w:r>
      <w:r>
        <w:rPr>
          <w:spacing w:val="-1"/>
        </w:rPr>
        <w:t xml:space="preserve"> </w:t>
      </w:r>
      <w:r>
        <w:t>not</w:t>
      </w:r>
      <w:r>
        <w:rPr>
          <w:spacing w:val="-3"/>
        </w:rPr>
        <w:t xml:space="preserve"> </w:t>
      </w:r>
      <w:r>
        <w:t>unreasonable</w:t>
      </w:r>
      <w:r>
        <w:rPr>
          <w:spacing w:val="-2"/>
        </w:rPr>
        <w:t xml:space="preserve"> </w:t>
      </w:r>
      <w:r>
        <w:t>for</w:t>
      </w:r>
      <w:r>
        <w:rPr>
          <w:spacing w:val="-3"/>
        </w:rPr>
        <w:t xml:space="preserve"> </w:t>
      </w:r>
      <w:r>
        <w:t>the</w:t>
      </w:r>
      <w:r>
        <w:rPr>
          <w:spacing w:val="-1"/>
        </w:rPr>
        <w:t xml:space="preserve"> </w:t>
      </w:r>
      <w:r>
        <w:t>Committee</w:t>
      </w:r>
      <w:r>
        <w:rPr>
          <w:spacing w:val="-3"/>
        </w:rPr>
        <w:t xml:space="preserve"> </w:t>
      </w:r>
      <w:r>
        <w:t>to</w:t>
      </w:r>
      <w:r>
        <w:rPr>
          <w:spacing w:val="-3"/>
        </w:rPr>
        <w:t xml:space="preserve"> </w:t>
      </w:r>
      <w:r>
        <w:t>select one</w:t>
      </w:r>
      <w:r>
        <w:rPr>
          <w:spacing w:val="-3"/>
        </w:rPr>
        <w:t xml:space="preserve"> </w:t>
      </w:r>
      <w:r>
        <w:t>view</w:t>
      </w:r>
      <w:r>
        <w:rPr>
          <w:spacing w:val="-1"/>
        </w:rPr>
        <w:t xml:space="preserve"> </w:t>
      </w:r>
      <w:r>
        <w:t>over</w:t>
      </w:r>
      <w:r>
        <w:rPr>
          <w:spacing w:val="-3"/>
        </w:rPr>
        <w:t xml:space="preserve"> </w:t>
      </w:r>
      <w:r>
        <w:t>another.</w:t>
      </w:r>
      <w:r>
        <w:rPr>
          <w:spacing w:val="80"/>
        </w:rPr>
        <w:t xml:space="preserve"> </w:t>
      </w:r>
      <w:r>
        <w:t>Similarly,</w:t>
      </w:r>
      <w:r>
        <w:rPr>
          <w:spacing w:val="-3"/>
        </w:rPr>
        <w:t xml:space="preserve"> </w:t>
      </w:r>
      <w:r>
        <w:t>you</w:t>
      </w:r>
      <w:r>
        <w:rPr>
          <w:spacing w:val="-2"/>
        </w:rPr>
        <w:t xml:space="preserve"> </w:t>
      </w:r>
      <w:r>
        <w:t>argue</w:t>
      </w:r>
      <w:r>
        <w:rPr>
          <w:spacing w:val="-3"/>
        </w:rPr>
        <w:t xml:space="preserve"> </w:t>
      </w:r>
      <w:r>
        <w:t>that</w:t>
      </w:r>
      <w:r>
        <w:rPr>
          <w:spacing w:val="-2"/>
        </w:rPr>
        <w:t xml:space="preserve"> </w:t>
      </w:r>
      <w:r>
        <w:t>the Committee</w:t>
      </w:r>
      <w:r>
        <w:rPr>
          <w:spacing w:val="-9"/>
        </w:rPr>
        <w:t xml:space="preserve"> </w:t>
      </w:r>
      <w:r>
        <w:t>has</w:t>
      </w:r>
      <w:r>
        <w:rPr>
          <w:spacing w:val="-7"/>
        </w:rPr>
        <w:t xml:space="preserve"> </w:t>
      </w:r>
      <w:r>
        <w:t>placed</w:t>
      </w:r>
      <w:r>
        <w:rPr>
          <w:spacing w:val="-14"/>
        </w:rPr>
        <w:t xml:space="preserve"> </w:t>
      </w:r>
      <w:r>
        <w:t>too</w:t>
      </w:r>
      <w:r>
        <w:rPr>
          <w:spacing w:val="-9"/>
        </w:rPr>
        <w:t xml:space="preserve"> </w:t>
      </w:r>
      <w:r>
        <w:t>much</w:t>
      </w:r>
      <w:r>
        <w:rPr>
          <w:spacing w:val="-9"/>
        </w:rPr>
        <w:t xml:space="preserve"> </w:t>
      </w:r>
      <w:r>
        <w:t>reliance</w:t>
      </w:r>
      <w:r>
        <w:rPr>
          <w:spacing w:val="-12"/>
        </w:rPr>
        <w:t xml:space="preserve"> </w:t>
      </w:r>
      <w:r>
        <w:t>on</w:t>
      </w:r>
      <w:r>
        <w:rPr>
          <w:spacing w:val="-14"/>
        </w:rPr>
        <w:t xml:space="preserve"> </w:t>
      </w:r>
      <w:r>
        <w:t>the</w:t>
      </w:r>
      <w:r>
        <w:rPr>
          <w:spacing w:val="-9"/>
        </w:rPr>
        <w:t xml:space="preserve"> </w:t>
      </w:r>
      <w:r>
        <w:t>evidence</w:t>
      </w:r>
      <w:r>
        <w:rPr>
          <w:spacing w:val="-4"/>
        </w:rPr>
        <w:t xml:space="preserve"> </w:t>
      </w:r>
      <w:r>
        <w:t>of</w:t>
      </w:r>
      <w:r>
        <w:rPr>
          <w:spacing w:val="-14"/>
        </w:rPr>
        <w:t xml:space="preserve"> </w:t>
      </w:r>
      <w:r>
        <w:t>one</w:t>
      </w:r>
      <w:r>
        <w:rPr>
          <w:spacing w:val="-14"/>
        </w:rPr>
        <w:t xml:space="preserve"> </w:t>
      </w:r>
      <w:r>
        <w:t>expert.</w:t>
      </w:r>
      <w:r>
        <w:rPr>
          <w:spacing w:val="35"/>
        </w:rPr>
        <w:t xml:space="preserve"> </w:t>
      </w:r>
      <w:r>
        <w:t>I</w:t>
      </w:r>
      <w:r>
        <w:rPr>
          <w:spacing w:val="-9"/>
        </w:rPr>
        <w:t xml:space="preserve"> </w:t>
      </w:r>
      <w:r>
        <w:t>do</w:t>
      </w:r>
      <w:r>
        <w:rPr>
          <w:spacing w:val="-9"/>
        </w:rPr>
        <w:t xml:space="preserve"> </w:t>
      </w:r>
      <w:r>
        <w:t>not</w:t>
      </w:r>
      <w:r>
        <w:rPr>
          <w:spacing w:val="-14"/>
        </w:rPr>
        <w:t xml:space="preserve"> </w:t>
      </w:r>
      <w:r>
        <w:t>consider</w:t>
      </w:r>
      <w:r>
        <w:rPr>
          <w:spacing w:val="-10"/>
        </w:rPr>
        <w:t xml:space="preserve"> </w:t>
      </w:r>
      <w:r>
        <w:t>this</w:t>
      </w:r>
      <w:r>
        <w:rPr>
          <w:spacing w:val="-8"/>
        </w:rPr>
        <w:t xml:space="preserve"> </w:t>
      </w:r>
      <w:r>
        <w:t>approach to be arguably unreasonable and note the Committee is free to take account of expert evidence which they consider to be most appropriate.</w:t>
      </w:r>
    </w:p>
    <w:p w14:paraId="150CDBCB" w14:textId="77777777" w:rsidR="008956CE" w:rsidRDefault="008956CE">
      <w:pPr>
        <w:pStyle w:val="BodyText"/>
        <w:spacing w:before="12"/>
      </w:pPr>
    </w:p>
    <w:p w14:paraId="150CDBCC" w14:textId="77777777" w:rsidR="008956CE" w:rsidRDefault="00063531">
      <w:pPr>
        <w:pStyle w:val="Heading1"/>
        <w:spacing w:line="276" w:lineRule="auto"/>
        <w:ind w:right="1155"/>
        <w:rPr>
          <w:u w:val="none"/>
        </w:rPr>
      </w:pPr>
      <w:r>
        <w:t xml:space="preserve">Appeal </w:t>
      </w:r>
      <w:proofErr w:type="gramStart"/>
      <w:r>
        <w:t>point</w:t>
      </w:r>
      <w:proofErr w:type="gramEnd"/>
      <w:r>
        <w:t xml:space="preserve"> 2.4: The Committee’s conclusion that the early survival benefit for </w:t>
      </w:r>
      <w:proofErr w:type="spellStart"/>
      <w:r>
        <w:t>isatuximab</w:t>
      </w:r>
      <w:proofErr w:type="spellEnd"/>
      <w:r>
        <w:t xml:space="preserve"> in</w:t>
      </w:r>
      <w:r>
        <w:rPr>
          <w:u w:val="none"/>
        </w:rPr>
        <w:t xml:space="preserve"> </w:t>
      </w:r>
      <w:r>
        <w:t>combination</w:t>
      </w:r>
      <w:r>
        <w:rPr>
          <w:spacing w:val="-14"/>
        </w:rPr>
        <w:t xml:space="preserve"> </w:t>
      </w:r>
      <w:r>
        <w:t>demonstrated</w:t>
      </w:r>
      <w:r>
        <w:rPr>
          <w:spacing w:val="-14"/>
        </w:rPr>
        <w:t xml:space="preserve"> </w:t>
      </w:r>
      <w:r>
        <w:t>in</w:t>
      </w:r>
      <w:r>
        <w:rPr>
          <w:spacing w:val="-13"/>
        </w:rPr>
        <w:t xml:space="preserve"> </w:t>
      </w:r>
      <w:r>
        <w:t>the</w:t>
      </w:r>
      <w:r>
        <w:rPr>
          <w:spacing w:val="-14"/>
        </w:rPr>
        <w:t xml:space="preserve"> </w:t>
      </w:r>
      <w:r>
        <w:t>SACT</w:t>
      </w:r>
      <w:r>
        <w:rPr>
          <w:spacing w:val="-11"/>
        </w:rPr>
        <w:t xml:space="preserve"> </w:t>
      </w:r>
      <w:r>
        <w:t>datasets</w:t>
      </w:r>
      <w:r>
        <w:rPr>
          <w:spacing w:val="-14"/>
        </w:rPr>
        <w:t xml:space="preserve"> </w:t>
      </w:r>
      <w:r>
        <w:t>is</w:t>
      </w:r>
      <w:r>
        <w:rPr>
          <w:spacing w:val="-11"/>
        </w:rPr>
        <w:t xml:space="preserve"> </w:t>
      </w:r>
      <w:r>
        <w:t>not</w:t>
      </w:r>
      <w:r>
        <w:rPr>
          <w:spacing w:val="-14"/>
        </w:rPr>
        <w:t xml:space="preserve"> </w:t>
      </w:r>
      <w:r>
        <w:t>plausible</w:t>
      </w:r>
      <w:r>
        <w:rPr>
          <w:spacing w:val="-14"/>
        </w:rPr>
        <w:t xml:space="preserve"> </w:t>
      </w:r>
      <w:r>
        <w:t>disregards</w:t>
      </w:r>
      <w:r>
        <w:rPr>
          <w:spacing w:val="-14"/>
        </w:rPr>
        <w:t xml:space="preserve"> </w:t>
      </w:r>
      <w:r>
        <w:t>consistent</w:t>
      </w:r>
      <w:r>
        <w:rPr>
          <w:spacing w:val="-14"/>
        </w:rPr>
        <w:t xml:space="preserve"> </w:t>
      </w:r>
      <w:r>
        <w:t>evidence</w:t>
      </w:r>
      <w:r>
        <w:rPr>
          <w:u w:val="none"/>
        </w:rPr>
        <w:t xml:space="preserve"> </w:t>
      </w:r>
      <w:r>
        <w:t>from the ICARIA-MM trial and is therefore unreasonable</w:t>
      </w:r>
    </w:p>
    <w:p w14:paraId="150CDBCD" w14:textId="77777777" w:rsidR="008956CE" w:rsidRDefault="008956CE">
      <w:pPr>
        <w:pStyle w:val="BodyText"/>
        <w:spacing w:before="7"/>
        <w:rPr>
          <w:b/>
        </w:rPr>
      </w:pPr>
    </w:p>
    <w:p w14:paraId="150CDBCE" w14:textId="77777777" w:rsidR="008956CE" w:rsidRDefault="00063531">
      <w:pPr>
        <w:pStyle w:val="BodyText"/>
        <w:ind w:left="1380"/>
      </w:pPr>
      <w:r>
        <w:t>I</w:t>
      </w:r>
      <w:r>
        <w:rPr>
          <w:spacing w:val="-5"/>
        </w:rPr>
        <w:t xml:space="preserve"> </w:t>
      </w:r>
      <w:r>
        <w:t>am</w:t>
      </w:r>
      <w:r>
        <w:rPr>
          <w:spacing w:val="-5"/>
        </w:rPr>
        <w:t xml:space="preserve"> </w:t>
      </w:r>
      <w:r>
        <w:t>minded</w:t>
      </w:r>
      <w:r>
        <w:rPr>
          <w:spacing w:val="-4"/>
        </w:rPr>
        <w:t xml:space="preserve"> </w:t>
      </w:r>
      <w:proofErr w:type="gramStart"/>
      <w:r>
        <w:t>to</w:t>
      </w:r>
      <w:r>
        <w:rPr>
          <w:spacing w:val="-5"/>
        </w:rPr>
        <w:t xml:space="preserve"> </w:t>
      </w:r>
      <w:r>
        <w:t>refer</w:t>
      </w:r>
      <w:proofErr w:type="gramEnd"/>
      <w:r>
        <w:rPr>
          <w:spacing w:val="-4"/>
        </w:rPr>
        <w:t xml:space="preserve"> </w:t>
      </w:r>
      <w:r>
        <w:t>this</w:t>
      </w:r>
      <w:r>
        <w:rPr>
          <w:spacing w:val="1"/>
        </w:rPr>
        <w:t xml:space="preserve"> </w:t>
      </w:r>
      <w:r>
        <w:t>appeal</w:t>
      </w:r>
      <w:r>
        <w:rPr>
          <w:spacing w:val="-3"/>
        </w:rPr>
        <w:t xml:space="preserve"> </w:t>
      </w:r>
      <w:r>
        <w:t>point to</w:t>
      </w:r>
      <w:r>
        <w:rPr>
          <w:spacing w:val="-4"/>
        </w:rPr>
        <w:t xml:space="preserve"> </w:t>
      </w:r>
      <w:r>
        <w:t>the</w:t>
      </w:r>
      <w:r>
        <w:rPr>
          <w:spacing w:val="-5"/>
        </w:rPr>
        <w:t xml:space="preserve"> </w:t>
      </w:r>
      <w:r>
        <w:t>Appeal</w:t>
      </w:r>
      <w:r>
        <w:rPr>
          <w:spacing w:val="-2"/>
        </w:rPr>
        <w:t xml:space="preserve"> Panel.</w:t>
      </w:r>
    </w:p>
    <w:p w14:paraId="150CDBCF" w14:textId="77777777" w:rsidR="008956CE" w:rsidRDefault="008956CE">
      <w:pPr>
        <w:pStyle w:val="BodyText"/>
        <w:spacing w:before="20"/>
      </w:pPr>
    </w:p>
    <w:p w14:paraId="150CDBD0" w14:textId="77777777" w:rsidR="008956CE" w:rsidRDefault="00063531">
      <w:pPr>
        <w:pStyle w:val="BodyText"/>
        <w:spacing w:line="288" w:lineRule="auto"/>
        <w:ind w:left="1380" w:right="1124"/>
      </w:pPr>
      <w:r>
        <w:t>In</w:t>
      </w:r>
      <w:r>
        <w:rPr>
          <w:spacing w:val="-4"/>
        </w:rPr>
        <w:t xml:space="preserve"> </w:t>
      </w:r>
      <w:r>
        <w:t>reaching</w:t>
      </w:r>
      <w:r>
        <w:rPr>
          <w:spacing w:val="-4"/>
        </w:rPr>
        <w:t xml:space="preserve"> </w:t>
      </w:r>
      <w:r>
        <w:t>this</w:t>
      </w:r>
      <w:r>
        <w:rPr>
          <w:spacing w:val="-2"/>
        </w:rPr>
        <w:t xml:space="preserve"> </w:t>
      </w:r>
      <w:r>
        <w:t>view</w:t>
      </w:r>
      <w:r>
        <w:rPr>
          <w:spacing w:val="-2"/>
        </w:rPr>
        <w:t xml:space="preserve"> </w:t>
      </w:r>
      <w:r>
        <w:t>I anticipate</w:t>
      </w:r>
      <w:r>
        <w:rPr>
          <w:spacing w:val="-4"/>
        </w:rPr>
        <w:t xml:space="preserve"> </w:t>
      </w:r>
      <w:r>
        <w:t>that the</w:t>
      </w:r>
      <w:r>
        <w:rPr>
          <w:spacing w:val="-4"/>
        </w:rPr>
        <w:t xml:space="preserve"> </w:t>
      </w:r>
      <w:r>
        <w:t>Appeal</w:t>
      </w:r>
      <w:r>
        <w:rPr>
          <w:spacing w:val="-2"/>
        </w:rPr>
        <w:t xml:space="preserve"> </w:t>
      </w:r>
      <w:r>
        <w:t>Panel</w:t>
      </w:r>
      <w:r>
        <w:rPr>
          <w:spacing w:val="-2"/>
        </w:rPr>
        <w:t xml:space="preserve"> </w:t>
      </w:r>
      <w:r>
        <w:t>will</w:t>
      </w:r>
      <w:r>
        <w:rPr>
          <w:spacing w:val="-2"/>
        </w:rPr>
        <w:t xml:space="preserve"> </w:t>
      </w:r>
      <w:r>
        <w:t>wish</w:t>
      </w:r>
      <w:r>
        <w:rPr>
          <w:spacing w:val="-4"/>
        </w:rPr>
        <w:t xml:space="preserve"> </w:t>
      </w:r>
      <w:r>
        <w:t>to</w:t>
      </w:r>
      <w:r>
        <w:rPr>
          <w:spacing w:val="-4"/>
        </w:rPr>
        <w:t xml:space="preserve"> </w:t>
      </w:r>
      <w:r>
        <w:t>explore</w:t>
      </w:r>
      <w:r>
        <w:rPr>
          <w:spacing w:val="-4"/>
        </w:rPr>
        <w:t xml:space="preserve"> </w:t>
      </w:r>
      <w:r>
        <w:t>the</w:t>
      </w:r>
      <w:r>
        <w:rPr>
          <w:spacing w:val="-4"/>
        </w:rPr>
        <w:t xml:space="preserve"> </w:t>
      </w:r>
      <w:r>
        <w:t>Committee's</w:t>
      </w:r>
      <w:r>
        <w:rPr>
          <w:spacing w:val="-3"/>
        </w:rPr>
        <w:t xml:space="preserve"> </w:t>
      </w:r>
      <w:r>
        <w:t>reasons</w:t>
      </w:r>
      <w:r>
        <w:rPr>
          <w:spacing w:val="-3"/>
        </w:rPr>
        <w:t xml:space="preserve"> </w:t>
      </w:r>
      <w:r>
        <w:t>for its conclusions in relation to evidence on this point from the ICARIA-MM trial.</w:t>
      </w:r>
    </w:p>
    <w:p w14:paraId="150CDBD1" w14:textId="77777777" w:rsidR="008956CE" w:rsidRDefault="008956CE">
      <w:pPr>
        <w:pStyle w:val="BodyText"/>
        <w:spacing w:before="8"/>
      </w:pPr>
    </w:p>
    <w:p w14:paraId="150CDBD2" w14:textId="77777777" w:rsidR="008956CE" w:rsidRDefault="00063531">
      <w:pPr>
        <w:pStyle w:val="Heading1"/>
        <w:spacing w:line="276" w:lineRule="auto"/>
        <w:jc w:val="left"/>
        <w:rPr>
          <w:u w:val="none"/>
        </w:rPr>
      </w:pPr>
      <w:r>
        <w:t xml:space="preserve">Appeal </w:t>
      </w:r>
      <w:proofErr w:type="gramStart"/>
      <w:r>
        <w:t>point</w:t>
      </w:r>
      <w:proofErr w:type="gramEnd"/>
      <w:r>
        <w:rPr>
          <w:spacing w:val="-1"/>
        </w:rPr>
        <w:t xml:space="preserve"> </w:t>
      </w:r>
      <w:r>
        <w:t>2.5:</w:t>
      </w:r>
      <w:r>
        <w:rPr>
          <w:spacing w:val="-4"/>
        </w:rPr>
        <w:t xml:space="preserve"> </w:t>
      </w:r>
      <w:r>
        <w:t>The</w:t>
      </w:r>
      <w:r>
        <w:rPr>
          <w:spacing w:val="-5"/>
        </w:rPr>
        <w:t xml:space="preserve"> </w:t>
      </w:r>
      <w:r>
        <w:t>inconsistent</w:t>
      </w:r>
      <w:r>
        <w:rPr>
          <w:spacing w:val="-1"/>
        </w:rPr>
        <w:t xml:space="preserve"> </w:t>
      </w:r>
      <w:r>
        <w:t>approach</w:t>
      </w:r>
      <w:r>
        <w:rPr>
          <w:spacing w:val="-6"/>
        </w:rPr>
        <w:t xml:space="preserve"> </w:t>
      </w:r>
      <w:r>
        <w:t>to</w:t>
      </w:r>
      <w:r>
        <w:rPr>
          <w:spacing w:val="-1"/>
        </w:rPr>
        <w:t xml:space="preserve"> </w:t>
      </w:r>
      <w:r>
        <w:t>assessment</w:t>
      </w:r>
      <w:r>
        <w:rPr>
          <w:spacing w:val="-5"/>
        </w:rPr>
        <w:t xml:space="preserve"> </w:t>
      </w:r>
      <w:r>
        <w:t>of</w:t>
      </w:r>
      <w:r>
        <w:rPr>
          <w:spacing w:val="-5"/>
        </w:rPr>
        <w:t xml:space="preserve"> </w:t>
      </w:r>
      <w:r>
        <w:t>utilities</w:t>
      </w:r>
      <w:r>
        <w:rPr>
          <w:spacing w:val="-5"/>
        </w:rPr>
        <w:t xml:space="preserve"> </w:t>
      </w:r>
      <w:r>
        <w:t>adopted</w:t>
      </w:r>
      <w:r>
        <w:rPr>
          <w:spacing w:val="-6"/>
        </w:rPr>
        <w:t xml:space="preserve"> </w:t>
      </w:r>
      <w:r>
        <w:t>in</w:t>
      </w:r>
      <w:r>
        <w:rPr>
          <w:spacing w:val="-1"/>
        </w:rPr>
        <w:t xml:space="preserve"> </w:t>
      </w:r>
      <w:r>
        <w:t>this</w:t>
      </w:r>
      <w:r>
        <w:rPr>
          <w:spacing w:val="-5"/>
        </w:rPr>
        <w:t xml:space="preserve"> </w:t>
      </w:r>
      <w:r>
        <w:t>appraisal</w:t>
      </w:r>
      <w:r>
        <w:rPr>
          <w:u w:val="none"/>
        </w:rPr>
        <w:t xml:space="preserve"> </w:t>
      </w:r>
      <w:r>
        <w:t>relative to TA658 is unreasonable based on the evidence available</w:t>
      </w:r>
    </w:p>
    <w:p w14:paraId="150CDBD3" w14:textId="77777777" w:rsidR="008956CE" w:rsidRDefault="008956CE">
      <w:pPr>
        <w:pStyle w:val="BodyText"/>
        <w:spacing w:before="11"/>
        <w:rPr>
          <w:b/>
        </w:rPr>
      </w:pPr>
    </w:p>
    <w:p w14:paraId="150CDBD4" w14:textId="77777777" w:rsidR="008956CE" w:rsidRDefault="00063531">
      <w:pPr>
        <w:pStyle w:val="BodyText"/>
        <w:spacing w:before="1"/>
        <w:ind w:left="1380"/>
      </w:pPr>
      <w:r>
        <w:t>I</w:t>
      </w:r>
      <w:r>
        <w:rPr>
          <w:spacing w:val="-5"/>
        </w:rPr>
        <w:t xml:space="preserve"> </w:t>
      </w:r>
      <w:r>
        <w:t>am</w:t>
      </w:r>
      <w:r>
        <w:rPr>
          <w:spacing w:val="-4"/>
        </w:rPr>
        <w:t xml:space="preserve"> </w:t>
      </w:r>
      <w:r>
        <w:t>not</w:t>
      </w:r>
      <w:r>
        <w:rPr>
          <w:spacing w:val="-4"/>
        </w:rPr>
        <w:t xml:space="preserve"> </w:t>
      </w:r>
      <w:r>
        <w:t>minded</w:t>
      </w:r>
      <w:r>
        <w:rPr>
          <w:spacing w:val="-5"/>
        </w:rPr>
        <w:t xml:space="preserve"> </w:t>
      </w:r>
      <w:proofErr w:type="gramStart"/>
      <w:r>
        <w:t>to</w:t>
      </w:r>
      <w:r>
        <w:rPr>
          <w:spacing w:val="1"/>
        </w:rPr>
        <w:t xml:space="preserve"> </w:t>
      </w:r>
      <w:r>
        <w:t>refer</w:t>
      </w:r>
      <w:proofErr w:type="gramEnd"/>
      <w:r>
        <w:rPr>
          <w:spacing w:val="-4"/>
        </w:rPr>
        <w:t xml:space="preserve"> </w:t>
      </w:r>
      <w:r>
        <w:t>this</w:t>
      </w:r>
      <w:r>
        <w:rPr>
          <w:spacing w:val="-3"/>
        </w:rPr>
        <w:t xml:space="preserve"> </w:t>
      </w:r>
      <w:r>
        <w:t>appeal</w:t>
      </w:r>
      <w:r>
        <w:rPr>
          <w:spacing w:val="2"/>
        </w:rPr>
        <w:t xml:space="preserve"> </w:t>
      </w:r>
      <w:r>
        <w:t>point</w:t>
      </w:r>
      <w:r>
        <w:rPr>
          <w:spacing w:val="-5"/>
        </w:rPr>
        <w:t xml:space="preserve"> </w:t>
      </w:r>
      <w:r>
        <w:t>to</w:t>
      </w:r>
      <w:r>
        <w:rPr>
          <w:spacing w:val="-4"/>
        </w:rPr>
        <w:t xml:space="preserve"> </w:t>
      </w:r>
      <w:r>
        <w:t>the</w:t>
      </w:r>
      <w:r>
        <w:rPr>
          <w:spacing w:val="-4"/>
        </w:rPr>
        <w:t xml:space="preserve"> </w:t>
      </w:r>
      <w:r>
        <w:t>Appeal</w:t>
      </w:r>
      <w:r>
        <w:rPr>
          <w:spacing w:val="-2"/>
        </w:rPr>
        <w:t xml:space="preserve"> Panel.</w:t>
      </w:r>
    </w:p>
    <w:p w14:paraId="150CDBD5" w14:textId="77777777" w:rsidR="008956CE" w:rsidRDefault="008956CE">
      <w:pPr>
        <w:pStyle w:val="BodyText"/>
        <w:spacing w:before="14"/>
      </w:pPr>
    </w:p>
    <w:p w14:paraId="150CDBD6" w14:textId="77777777" w:rsidR="008956CE" w:rsidRDefault="00063531">
      <w:pPr>
        <w:pStyle w:val="BodyText"/>
        <w:spacing w:before="1" w:line="288" w:lineRule="auto"/>
        <w:ind w:left="1380" w:right="1151"/>
        <w:jc w:val="both"/>
      </w:pPr>
      <w:r>
        <w:rPr>
          <w:color w:val="333333"/>
        </w:rPr>
        <w:t xml:space="preserve">The Committee provides a detailed consideration of utility values at paragraph 3.12 of the FDG. </w:t>
      </w:r>
      <w:r>
        <w:t>The Committee</w:t>
      </w:r>
      <w:r>
        <w:rPr>
          <w:spacing w:val="-6"/>
        </w:rPr>
        <w:t xml:space="preserve"> </w:t>
      </w:r>
      <w:r>
        <w:t>acknowledges</w:t>
      </w:r>
      <w:r>
        <w:rPr>
          <w:spacing w:val="-5"/>
        </w:rPr>
        <w:t xml:space="preserve"> </w:t>
      </w:r>
      <w:r>
        <w:t>the</w:t>
      </w:r>
      <w:r>
        <w:rPr>
          <w:spacing w:val="-6"/>
        </w:rPr>
        <w:t xml:space="preserve"> </w:t>
      </w:r>
      <w:r>
        <w:t>approach</w:t>
      </w:r>
      <w:r>
        <w:rPr>
          <w:spacing w:val="-6"/>
        </w:rPr>
        <w:t xml:space="preserve"> </w:t>
      </w:r>
      <w:r>
        <w:t>taken</w:t>
      </w:r>
      <w:r>
        <w:rPr>
          <w:spacing w:val="-6"/>
        </w:rPr>
        <w:t xml:space="preserve"> </w:t>
      </w:r>
      <w:r>
        <w:t>in</w:t>
      </w:r>
      <w:r>
        <w:rPr>
          <w:spacing w:val="-5"/>
        </w:rPr>
        <w:t xml:space="preserve"> </w:t>
      </w:r>
      <w:r>
        <w:t>TA658</w:t>
      </w:r>
      <w:r>
        <w:rPr>
          <w:spacing w:val="-6"/>
        </w:rPr>
        <w:t xml:space="preserve"> </w:t>
      </w:r>
      <w:r>
        <w:t>and</w:t>
      </w:r>
      <w:r>
        <w:rPr>
          <w:spacing w:val="-6"/>
        </w:rPr>
        <w:t xml:space="preserve"> </w:t>
      </w:r>
      <w:r>
        <w:t>explains</w:t>
      </w:r>
      <w:r>
        <w:rPr>
          <w:spacing w:val="-5"/>
        </w:rPr>
        <w:t xml:space="preserve"> </w:t>
      </w:r>
      <w:r>
        <w:t>why</w:t>
      </w:r>
      <w:r>
        <w:rPr>
          <w:spacing w:val="-4"/>
        </w:rPr>
        <w:t xml:space="preserve"> </w:t>
      </w:r>
      <w:r>
        <w:t>it</w:t>
      </w:r>
      <w:r>
        <w:rPr>
          <w:spacing w:val="-5"/>
        </w:rPr>
        <w:t xml:space="preserve"> </w:t>
      </w:r>
      <w:r>
        <w:t>prefers</w:t>
      </w:r>
      <w:r>
        <w:rPr>
          <w:spacing w:val="-4"/>
        </w:rPr>
        <w:t xml:space="preserve"> </w:t>
      </w:r>
      <w:r>
        <w:t>the</w:t>
      </w:r>
      <w:r>
        <w:rPr>
          <w:spacing w:val="-6"/>
        </w:rPr>
        <w:t xml:space="preserve"> </w:t>
      </w:r>
      <w:r>
        <w:t>approach</w:t>
      </w:r>
      <w:r>
        <w:rPr>
          <w:spacing w:val="-6"/>
        </w:rPr>
        <w:t xml:space="preserve"> </w:t>
      </w:r>
      <w:r>
        <w:t>taken by</w:t>
      </w:r>
      <w:r>
        <w:rPr>
          <w:spacing w:val="-3"/>
        </w:rPr>
        <w:t xml:space="preserve"> </w:t>
      </w:r>
      <w:r>
        <w:t>the</w:t>
      </w:r>
      <w:r>
        <w:rPr>
          <w:spacing w:val="-4"/>
        </w:rPr>
        <w:t xml:space="preserve"> </w:t>
      </w:r>
      <w:r>
        <w:t>EAG.</w:t>
      </w:r>
      <w:r>
        <w:rPr>
          <w:spacing w:val="80"/>
        </w:rPr>
        <w:t xml:space="preserve"> </w:t>
      </w:r>
      <w:r>
        <w:t>The</w:t>
      </w:r>
      <w:r>
        <w:rPr>
          <w:spacing w:val="-4"/>
        </w:rPr>
        <w:t xml:space="preserve"> </w:t>
      </w:r>
      <w:r>
        <w:t>Committee</w:t>
      </w:r>
      <w:r>
        <w:rPr>
          <w:spacing w:val="-4"/>
        </w:rPr>
        <w:t xml:space="preserve"> </w:t>
      </w:r>
      <w:r>
        <w:t>explains</w:t>
      </w:r>
      <w:r>
        <w:rPr>
          <w:spacing w:val="-3"/>
        </w:rPr>
        <w:t xml:space="preserve"> </w:t>
      </w:r>
      <w:r>
        <w:t>clearly</w:t>
      </w:r>
      <w:r>
        <w:rPr>
          <w:spacing w:val="-2"/>
        </w:rPr>
        <w:t xml:space="preserve"> </w:t>
      </w:r>
      <w:r>
        <w:t>that</w:t>
      </w:r>
      <w:r>
        <w:rPr>
          <w:spacing w:val="-4"/>
        </w:rPr>
        <w:t xml:space="preserve"> </w:t>
      </w:r>
      <w:r>
        <w:t>it</w:t>
      </w:r>
      <w:r>
        <w:rPr>
          <w:spacing w:val="-3"/>
        </w:rPr>
        <w:t xml:space="preserve"> </w:t>
      </w:r>
      <w:r>
        <w:t>is</w:t>
      </w:r>
      <w:r>
        <w:rPr>
          <w:spacing w:val="-1"/>
        </w:rPr>
        <w:t xml:space="preserve"> </w:t>
      </w:r>
      <w:r>
        <w:t>also</w:t>
      </w:r>
      <w:r>
        <w:rPr>
          <w:spacing w:val="-4"/>
        </w:rPr>
        <w:t xml:space="preserve"> </w:t>
      </w:r>
      <w:r>
        <w:t>satisfied</w:t>
      </w:r>
      <w:r>
        <w:rPr>
          <w:spacing w:val="-4"/>
        </w:rPr>
        <w:t xml:space="preserve"> </w:t>
      </w:r>
      <w:r>
        <w:t>that</w:t>
      </w:r>
      <w:r>
        <w:rPr>
          <w:spacing w:val="-4"/>
        </w:rPr>
        <w:t xml:space="preserve"> </w:t>
      </w:r>
      <w:r>
        <w:t>the</w:t>
      </w:r>
      <w:r>
        <w:rPr>
          <w:spacing w:val="-4"/>
        </w:rPr>
        <w:t xml:space="preserve"> </w:t>
      </w:r>
      <w:r>
        <w:t>EAG</w:t>
      </w:r>
      <w:r>
        <w:rPr>
          <w:spacing w:val="-3"/>
        </w:rPr>
        <w:t xml:space="preserve"> </w:t>
      </w:r>
      <w:r>
        <w:t>model is</w:t>
      </w:r>
      <w:r>
        <w:rPr>
          <w:spacing w:val="-2"/>
        </w:rPr>
        <w:t xml:space="preserve"> </w:t>
      </w:r>
      <w:r>
        <w:t>simpler</w:t>
      </w:r>
      <w:r>
        <w:rPr>
          <w:spacing w:val="-4"/>
        </w:rPr>
        <w:t xml:space="preserve"> </w:t>
      </w:r>
      <w:r>
        <w:t>and a better statistical fit to the utility data from ICARIA-MM.</w:t>
      </w:r>
      <w:r>
        <w:rPr>
          <w:spacing w:val="80"/>
        </w:rPr>
        <w:t xml:space="preserve"> </w:t>
      </w:r>
      <w:r>
        <w:t>The Committee appears to have reached its conclusion following careful consideration of the relevant evidence, including the approach taken in TA658, and I am of the initial view that its approach to the evidence is not arguably unreasonable.</w:t>
      </w:r>
    </w:p>
    <w:p w14:paraId="150CDBD7" w14:textId="77777777" w:rsidR="008956CE" w:rsidRDefault="008956CE">
      <w:pPr>
        <w:pStyle w:val="BodyText"/>
        <w:spacing w:before="9"/>
      </w:pPr>
    </w:p>
    <w:p w14:paraId="150CDBD8" w14:textId="77777777" w:rsidR="008956CE" w:rsidRDefault="00063531">
      <w:pPr>
        <w:pStyle w:val="BodyText"/>
        <w:ind w:left="1380"/>
      </w:pPr>
      <w:r>
        <w:rPr>
          <w:spacing w:val="-2"/>
          <w:u w:val="single"/>
        </w:rPr>
        <w:t>Conclusion</w:t>
      </w:r>
    </w:p>
    <w:p w14:paraId="150CDBD9" w14:textId="77777777" w:rsidR="008956CE" w:rsidRDefault="008956CE">
      <w:pPr>
        <w:pStyle w:val="BodyText"/>
        <w:spacing w:before="46"/>
      </w:pPr>
    </w:p>
    <w:p w14:paraId="150CDBDA" w14:textId="77777777" w:rsidR="008956CE" w:rsidRDefault="00063531">
      <w:pPr>
        <w:pStyle w:val="BodyText"/>
        <w:ind w:left="1380"/>
        <w:jc w:val="both"/>
      </w:pPr>
      <w:r>
        <w:t>The</w:t>
      </w:r>
      <w:r>
        <w:rPr>
          <w:spacing w:val="-8"/>
        </w:rPr>
        <w:t xml:space="preserve"> </w:t>
      </w:r>
      <w:r>
        <w:t>above</w:t>
      </w:r>
      <w:r>
        <w:rPr>
          <w:spacing w:val="-5"/>
        </w:rPr>
        <w:t xml:space="preserve"> </w:t>
      </w:r>
      <w:r>
        <w:t>sets out above</w:t>
      </w:r>
      <w:r>
        <w:rPr>
          <w:spacing w:val="-1"/>
        </w:rPr>
        <w:t xml:space="preserve"> </w:t>
      </w:r>
      <w:r>
        <w:t>my</w:t>
      </w:r>
      <w:r>
        <w:rPr>
          <w:spacing w:val="-4"/>
        </w:rPr>
        <w:t xml:space="preserve"> </w:t>
      </w:r>
      <w:r>
        <w:t>initial</w:t>
      </w:r>
      <w:r>
        <w:rPr>
          <w:spacing w:val="-4"/>
        </w:rPr>
        <w:t xml:space="preserve"> </w:t>
      </w:r>
      <w:r>
        <w:t>views</w:t>
      </w:r>
      <w:r>
        <w:rPr>
          <w:spacing w:val="1"/>
        </w:rPr>
        <w:t xml:space="preserve"> </w:t>
      </w:r>
      <w:r>
        <w:t>on</w:t>
      </w:r>
      <w:r>
        <w:rPr>
          <w:spacing w:val="-6"/>
        </w:rPr>
        <w:t xml:space="preserve"> </w:t>
      </w:r>
      <w:proofErr w:type="gramStart"/>
      <w:r>
        <w:t>all</w:t>
      </w:r>
      <w:r>
        <w:rPr>
          <w:spacing w:val="-2"/>
        </w:rPr>
        <w:t xml:space="preserve"> </w:t>
      </w:r>
      <w:r>
        <w:t>of</w:t>
      </w:r>
      <w:proofErr w:type="gramEnd"/>
      <w:r>
        <w:rPr>
          <w:spacing w:val="-6"/>
        </w:rPr>
        <w:t xml:space="preserve"> </w:t>
      </w:r>
      <w:r>
        <w:t>your</w:t>
      </w:r>
      <w:r>
        <w:rPr>
          <w:spacing w:val="-1"/>
        </w:rPr>
        <w:t xml:space="preserve"> </w:t>
      </w:r>
      <w:r>
        <w:t>appeal</w:t>
      </w:r>
      <w:r>
        <w:rPr>
          <w:spacing w:val="-3"/>
        </w:rPr>
        <w:t xml:space="preserve"> </w:t>
      </w:r>
      <w:r>
        <w:rPr>
          <w:spacing w:val="-2"/>
        </w:rPr>
        <w:t>points.</w:t>
      </w:r>
    </w:p>
    <w:p w14:paraId="150CDBDB" w14:textId="77777777" w:rsidR="008956CE" w:rsidRDefault="008956CE">
      <w:pPr>
        <w:pStyle w:val="BodyText"/>
        <w:spacing w:before="45"/>
      </w:pPr>
    </w:p>
    <w:p w14:paraId="150CDBDC" w14:textId="77777777" w:rsidR="008956CE" w:rsidRDefault="00063531">
      <w:pPr>
        <w:pStyle w:val="BodyText"/>
        <w:spacing w:line="276" w:lineRule="auto"/>
        <w:ind w:left="1380" w:right="1154"/>
        <w:jc w:val="both"/>
      </w:pPr>
      <w:r>
        <w:t>In</w:t>
      </w:r>
      <w:r>
        <w:rPr>
          <w:spacing w:val="-10"/>
        </w:rPr>
        <w:t xml:space="preserve"> </w:t>
      </w:r>
      <w:r>
        <w:t>respect</w:t>
      </w:r>
      <w:r>
        <w:rPr>
          <w:spacing w:val="-3"/>
        </w:rPr>
        <w:t xml:space="preserve"> </w:t>
      </w:r>
      <w:r>
        <w:t>of</w:t>
      </w:r>
      <w:r>
        <w:rPr>
          <w:spacing w:val="-9"/>
        </w:rPr>
        <w:t xml:space="preserve"> </w:t>
      </w:r>
      <w:r>
        <w:t>your</w:t>
      </w:r>
      <w:r>
        <w:rPr>
          <w:spacing w:val="-4"/>
        </w:rPr>
        <w:t xml:space="preserve"> </w:t>
      </w:r>
      <w:r>
        <w:t>points</w:t>
      </w:r>
      <w:r>
        <w:rPr>
          <w:spacing w:val="-9"/>
        </w:rPr>
        <w:t xml:space="preserve"> </w:t>
      </w:r>
      <w:r>
        <w:t>which</w:t>
      </w:r>
      <w:r>
        <w:rPr>
          <w:spacing w:val="-9"/>
        </w:rPr>
        <w:t xml:space="preserve"> </w:t>
      </w:r>
      <w:r>
        <w:t>I</w:t>
      </w:r>
      <w:r>
        <w:rPr>
          <w:spacing w:val="-4"/>
        </w:rPr>
        <w:t xml:space="preserve"> </w:t>
      </w:r>
      <w:r>
        <w:t>am</w:t>
      </w:r>
      <w:r>
        <w:rPr>
          <w:spacing w:val="-5"/>
        </w:rPr>
        <w:t xml:space="preserve"> </w:t>
      </w:r>
      <w:r>
        <w:t>not</w:t>
      </w:r>
      <w:r>
        <w:rPr>
          <w:spacing w:val="-4"/>
        </w:rPr>
        <w:t xml:space="preserve"> </w:t>
      </w:r>
      <w:r>
        <w:t>minded</w:t>
      </w:r>
      <w:r>
        <w:rPr>
          <w:spacing w:val="-9"/>
        </w:rPr>
        <w:t xml:space="preserve"> </w:t>
      </w:r>
      <w:proofErr w:type="gramStart"/>
      <w:r>
        <w:t>to</w:t>
      </w:r>
      <w:r>
        <w:rPr>
          <w:spacing w:val="-9"/>
        </w:rPr>
        <w:t xml:space="preserve"> </w:t>
      </w:r>
      <w:r>
        <w:t>refer</w:t>
      </w:r>
      <w:proofErr w:type="gramEnd"/>
      <w:r>
        <w:rPr>
          <w:spacing w:val="-5"/>
        </w:rPr>
        <w:t xml:space="preserve"> </w:t>
      </w:r>
      <w:r>
        <w:t>on</w:t>
      </w:r>
      <w:r>
        <w:rPr>
          <w:spacing w:val="-4"/>
        </w:rPr>
        <w:t xml:space="preserve"> </w:t>
      </w:r>
      <w:r>
        <w:t>you</w:t>
      </w:r>
      <w:r>
        <w:rPr>
          <w:spacing w:val="-4"/>
        </w:rPr>
        <w:t xml:space="preserve"> </w:t>
      </w:r>
      <w:r>
        <w:t>are</w:t>
      </w:r>
      <w:r>
        <w:rPr>
          <w:spacing w:val="-4"/>
        </w:rPr>
        <w:t xml:space="preserve"> </w:t>
      </w:r>
      <w:r>
        <w:t>entitled</w:t>
      </w:r>
      <w:r>
        <w:rPr>
          <w:spacing w:val="-9"/>
        </w:rPr>
        <w:t xml:space="preserve"> </w:t>
      </w:r>
      <w:r>
        <w:t>to</w:t>
      </w:r>
      <w:r>
        <w:rPr>
          <w:spacing w:val="-5"/>
        </w:rPr>
        <w:t xml:space="preserve"> </w:t>
      </w:r>
      <w:r>
        <w:t>submit</w:t>
      </w:r>
      <w:r>
        <w:rPr>
          <w:spacing w:val="-1"/>
        </w:rPr>
        <w:t xml:space="preserve"> </w:t>
      </w:r>
      <w:r>
        <w:t>further</w:t>
      </w:r>
      <w:r>
        <w:rPr>
          <w:spacing w:val="-10"/>
        </w:rPr>
        <w:t xml:space="preserve"> </w:t>
      </w:r>
      <w:r>
        <w:t>clarification and/or</w:t>
      </w:r>
      <w:r>
        <w:rPr>
          <w:spacing w:val="-3"/>
        </w:rPr>
        <w:t xml:space="preserve"> </w:t>
      </w:r>
      <w:r>
        <w:t>evidence</w:t>
      </w:r>
      <w:r>
        <w:rPr>
          <w:spacing w:val="-7"/>
        </w:rPr>
        <w:t xml:space="preserve"> </w:t>
      </w:r>
      <w:r>
        <w:t>to</w:t>
      </w:r>
      <w:r>
        <w:rPr>
          <w:spacing w:val="-7"/>
        </w:rPr>
        <w:t xml:space="preserve"> </w:t>
      </w:r>
      <w:r>
        <w:t>me</w:t>
      </w:r>
      <w:r>
        <w:rPr>
          <w:spacing w:val="-2"/>
        </w:rPr>
        <w:t xml:space="preserve"> </w:t>
      </w:r>
      <w:r>
        <w:t>within</w:t>
      </w:r>
      <w:r>
        <w:rPr>
          <w:spacing w:val="-7"/>
        </w:rPr>
        <w:t xml:space="preserve"> </w:t>
      </w:r>
      <w:r>
        <w:t>the</w:t>
      </w:r>
      <w:r>
        <w:rPr>
          <w:spacing w:val="-2"/>
        </w:rPr>
        <w:t xml:space="preserve"> </w:t>
      </w:r>
      <w:r>
        <w:t>next</w:t>
      </w:r>
      <w:r>
        <w:rPr>
          <w:spacing w:val="-7"/>
        </w:rPr>
        <w:t xml:space="preserve"> </w:t>
      </w:r>
      <w:r>
        <w:t>10</w:t>
      </w:r>
      <w:r>
        <w:rPr>
          <w:spacing w:val="-7"/>
        </w:rPr>
        <w:t xml:space="preserve"> </w:t>
      </w:r>
      <w:r>
        <w:t>working</w:t>
      </w:r>
      <w:r>
        <w:rPr>
          <w:spacing w:val="-7"/>
        </w:rPr>
        <w:t xml:space="preserve"> </w:t>
      </w:r>
      <w:r>
        <w:t>days,</w:t>
      </w:r>
      <w:r>
        <w:rPr>
          <w:spacing w:val="-7"/>
        </w:rPr>
        <w:t xml:space="preserve"> </w:t>
      </w:r>
      <w:r>
        <w:t>and</w:t>
      </w:r>
      <w:r>
        <w:rPr>
          <w:spacing w:val="-7"/>
        </w:rPr>
        <w:t xml:space="preserve"> </w:t>
      </w:r>
      <w:r>
        <w:t>I</w:t>
      </w:r>
      <w:r>
        <w:rPr>
          <w:spacing w:val="-7"/>
        </w:rPr>
        <w:t xml:space="preserve"> </w:t>
      </w:r>
      <w:r>
        <w:t>will</w:t>
      </w:r>
      <w:r>
        <w:rPr>
          <w:spacing w:val="-5"/>
        </w:rPr>
        <w:t xml:space="preserve"> </w:t>
      </w:r>
      <w:r>
        <w:t>then</w:t>
      </w:r>
      <w:r>
        <w:rPr>
          <w:spacing w:val="-7"/>
        </w:rPr>
        <w:t xml:space="preserve"> </w:t>
      </w:r>
      <w:r>
        <w:t>give</w:t>
      </w:r>
      <w:r>
        <w:rPr>
          <w:spacing w:val="-2"/>
        </w:rPr>
        <w:t xml:space="preserve"> </w:t>
      </w:r>
      <w:r>
        <w:t>a</w:t>
      </w:r>
      <w:r>
        <w:rPr>
          <w:spacing w:val="-7"/>
        </w:rPr>
        <w:t xml:space="preserve"> </w:t>
      </w:r>
      <w:r>
        <w:t>final</w:t>
      </w:r>
      <w:r>
        <w:rPr>
          <w:spacing w:val="-5"/>
        </w:rPr>
        <w:t xml:space="preserve"> </w:t>
      </w:r>
      <w:r>
        <w:t>decision</w:t>
      </w:r>
      <w:r>
        <w:rPr>
          <w:spacing w:val="-7"/>
        </w:rPr>
        <w:t xml:space="preserve"> </w:t>
      </w:r>
      <w:r>
        <w:t>on</w:t>
      </w:r>
      <w:r>
        <w:rPr>
          <w:spacing w:val="-7"/>
        </w:rPr>
        <w:t xml:space="preserve"> </w:t>
      </w:r>
      <w:r>
        <w:t>the</w:t>
      </w:r>
      <w:r>
        <w:rPr>
          <w:spacing w:val="-7"/>
        </w:rPr>
        <w:t xml:space="preserve"> </w:t>
      </w:r>
      <w:r>
        <w:t>points to put before an appeal panel.</w:t>
      </w:r>
      <w:r>
        <w:rPr>
          <w:spacing w:val="40"/>
        </w:rPr>
        <w:t xml:space="preserve"> </w:t>
      </w:r>
      <w:r>
        <w:t>For the points I am already content to refer on, an oral appeal will be held which will be held remotely.</w:t>
      </w:r>
    </w:p>
    <w:p w14:paraId="150CDBDD" w14:textId="77777777" w:rsidR="008956CE" w:rsidRDefault="008956CE">
      <w:pPr>
        <w:pStyle w:val="BodyText"/>
        <w:spacing w:before="12"/>
      </w:pPr>
    </w:p>
    <w:p w14:paraId="150CDBDE" w14:textId="77777777" w:rsidR="008956CE" w:rsidRDefault="00063531">
      <w:pPr>
        <w:pStyle w:val="BodyText"/>
        <w:spacing w:before="1" w:line="276" w:lineRule="auto"/>
        <w:ind w:left="1380" w:right="1156"/>
        <w:jc w:val="both"/>
      </w:pPr>
      <w:r>
        <w:t>Once I have made my final decision, and where there is more than one appellant, each appellant will receive</w:t>
      </w:r>
      <w:r>
        <w:rPr>
          <w:spacing w:val="-5"/>
        </w:rPr>
        <w:t xml:space="preserve"> </w:t>
      </w:r>
      <w:r>
        <w:t>the</w:t>
      </w:r>
      <w:r>
        <w:rPr>
          <w:spacing w:val="-5"/>
        </w:rPr>
        <w:t xml:space="preserve"> </w:t>
      </w:r>
      <w:r>
        <w:t>valid</w:t>
      </w:r>
      <w:r>
        <w:rPr>
          <w:spacing w:val="-5"/>
        </w:rPr>
        <w:t xml:space="preserve"> </w:t>
      </w:r>
      <w:r>
        <w:t>appeal</w:t>
      </w:r>
      <w:r>
        <w:rPr>
          <w:spacing w:val="-8"/>
        </w:rPr>
        <w:t xml:space="preserve"> </w:t>
      </w:r>
      <w:r>
        <w:t>points</w:t>
      </w:r>
      <w:r>
        <w:rPr>
          <w:spacing w:val="-5"/>
        </w:rPr>
        <w:t xml:space="preserve"> </w:t>
      </w:r>
      <w:r>
        <w:t>of</w:t>
      </w:r>
      <w:r>
        <w:rPr>
          <w:spacing w:val="-5"/>
        </w:rPr>
        <w:t xml:space="preserve"> </w:t>
      </w:r>
      <w:r>
        <w:t>the</w:t>
      </w:r>
      <w:r>
        <w:rPr>
          <w:spacing w:val="-5"/>
        </w:rPr>
        <w:t xml:space="preserve"> </w:t>
      </w:r>
      <w:r>
        <w:t>other</w:t>
      </w:r>
      <w:r>
        <w:rPr>
          <w:spacing w:val="-5"/>
        </w:rPr>
        <w:t xml:space="preserve"> </w:t>
      </w:r>
      <w:r>
        <w:t>appellants</w:t>
      </w:r>
      <w:r>
        <w:rPr>
          <w:spacing w:val="-4"/>
        </w:rPr>
        <w:t xml:space="preserve"> </w:t>
      </w:r>
      <w:r>
        <w:t>and</w:t>
      </w:r>
      <w:r>
        <w:rPr>
          <w:spacing w:val="-5"/>
        </w:rPr>
        <w:t xml:space="preserve"> </w:t>
      </w:r>
      <w:r>
        <w:t>their</w:t>
      </w:r>
      <w:r>
        <w:rPr>
          <w:spacing w:val="-5"/>
        </w:rPr>
        <w:t xml:space="preserve"> </w:t>
      </w:r>
      <w:r>
        <w:t>redacted</w:t>
      </w:r>
      <w:r>
        <w:rPr>
          <w:spacing w:val="-10"/>
        </w:rPr>
        <w:t xml:space="preserve"> </w:t>
      </w:r>
      <w:r>
        <w:t>appeal</w:t>
      </w:r>
      <w:r>
        <w:rPr>
          <w:spacing w:val="-4"/>
        </w:rPr>
        <w:t xml:space="preserve"> </w:t>
      </w:r>
      <w:r>
        <w:t>letter.</w:t>
      </w:r>
      <w:r>
        <w:rPr>
          <w:spacing w:val="-5"/>
        </w:rPr>
        <w:t xml:space="preserve"> </w:t>
      </w:r>
      <w:r>
        <w:t>This</w:t>
      </w:r>
      <w:r>
        <w:rPr>
          <w:spacing w:val="-4"/>
        </w:rPr>
        <w:t xml:space="preserve"> </w:t>
      </w:r>
      <w:r>
        <w:t>is</w:t>
      </w:r>
      <w:r>
        <w:rPr>
          <w:spacing w:val="-9"/>
        </w:rPr>
        <w:t xml:space="preserve"> </w:t>
      </w:r>
      <w:r>
        <w:t>to</w:t>
      </w:r>
      <w:r>
        <w:rPr>
          <w:spacing w:val="-6"/>
        </w:rPr>
        <w:t xml:space="preserve"> </w:t>
      </w:r>
      <w:r>
        <w:t>enable appellants to avoid duplication at the hearing where there are overlapping appeal points. If the appeal letter</w:t>
      </w:r>
      <w:r>
        <w:rPr>
          <w:spacing w:val="-1"/>
        </w:rPr>
        <w:t xml:space="preserve"> </w:t>
      </w:r>
      <w:r>
        <w:t>and/or</w:t>
      </w:r>
      <w:r>
        <w:rPr>
          <w:spacing w:val="-1"/>
        </w:rPr>
        <w:t xml:space="preserve"> </w:t>
      </w:r>
      <w:r>
        <w:t>responses to</w:t>
      </w:r>
      <w:r>
        <w:rPr>
          <w:spacing w:val="-1"/>
        </w:rPr>
        <w:t xml:space="preserve"> </w:t>
      </w:r>
      <w:r>
        <w:t xml:space="preserve">scrutiny contain confidential </w:t>
      </w:r>
      <w:proofErr w:type="gramStart"/>
      <w:r>
        <w:t>information</w:t>
      </w:r>
      <w:proofErr w:type="gramEnd"/>
      <w:r>
        <w:t xml:space="preserve"> please ensure you have provided a version with this information redacted by 1 August 2024.</w:t>
      </w:r>
    </w:p>
    <w:p w14:paraId="150CDBDF" w14:textId="77777777" w:rsidR="008956CE" w:rsidRDefault="008956CE">
      <w:pPr>
        <w:pStyle w:val="BodyText"/>
        <w:spacing w:before="7"/>
      </w:pPr>
    </w:p>
    <w:p w14:paraId="150CDBE0" w14:textId="77777777" w:rsidR="008956CE" w:rsidRDefault="00063531">
      <w:pPr>
        <w:pStyle w:val="BodyText"/>
        <w:spacing w:before="1" w:line="276" w:lineRule="auto"/>
        <w:ind w:left="1380" w:right="1157"/>
        <w:jc w:val="both"/>
      </w:pPr>
      <w:r>
        <w:t>Ordinarily</w:t>
      </w:r>
      <w:r>
        <w:rPr>
          <w:spacing w:val="-4"/>
        </w:rPr>
        <w:t xml:space="preserve"> </w:t>
      </w:r>
      <w:r>
        <w:t>appeals</w:t>
      </w:r>
      <w:r>
        <w:rPr>
          <w:spacing w:val="-3"/>
        </w:rPr>
        <w:t xml:space="preserve"> </w:t>
      </w:r>
      <w:r>
        <w:t>are</w:t>
      </w:r>
      <w:r>
        <w:rPr>
          <w:spacing w:val="-5"/>
        </w:rPr>
        <w:t xml:space="preserve"> </w:t>
      </w:r>
      <w:r>
        <w:t>conducted</w:t>
      </w:r>
      <w:r>
        <w:rPr>
          <w:spacing w:val="-5"/>
        </w:rPr>
        <w:t xml:space="preserve"> </w:t>
      </w:r>
      <w:proofErr w:type="gramStart"/>
      <w:r>
        <w:t>on</w:t>
      </w:r>
      <w:r>
        <w:rPr>
          <w:spacing w:val="-5"/>
        </w:rPr>
        <w:t xml:space="preserve"> </w:t>
      </w:r>
      <w:r>
        <w:t>the</w:t>
      </w:r>
      <w:r>
        <w:rPr>
          <w:spacing w:val="-5"/>
        </w:rPr>
        <w:t xml:space="preserve"> </w:t>
      </w:r>
      <w:r>
        <w:t>basis</w:t>
      </w:r>
      <w:r>
        <w:rPr>
          <w:spacing w:val="-4"/>
        </w:rPr>
        <w:t xml:space="preserve"> </w:t>
      </w:r>
      <w:r>
        <w:t>of</w:t>
      </w:r>
      <w:proofErr w:type="gramEnd"/>
      <w:r>
        <w:rPr>
          <w:spacing w:val="-5"/>
        </w:rPr>
        <w:t xml:space="preserve"> </w:t>
      </w:r>
      <w:r>
        <w:t>the</w:t>
      </w:r>
      <w:r>
        <w:rPr>
          <w:spacing w:val="-5"/>
        </w:rPr>
        <w:t xml:space="preserve"> </w:t>
      </w:r>
      <w:r>
        <w:t>appellants’</w:t>
      </w:r>
      <w:r>
        <w:rPr>
          <w:spacing w:val="-3"/>
        </w:rPr>
        <w:t xml:space="preserve"> </w:t>
      </w:r>
      <w:r>
        <w:t>written</w:t>
      </w:r>
      <w:r>
        <w:rPr>
          <w:spacing w:val="-5"/>
        </w:rPr>
        <w:t xml:space="preserve"> </w:t>
      </w:r>
      <w:r>
        <w:t>appeal</w:t>
      </w:r>
      <w:r>
        <w:rPr>
          <w:spacing w:val="-3"/>
        </w:rPr>
        <w:t xml:space="preserve"> </w:t>
      </w:r>
      <w:r>
        <w:t>letters, and</w:t>
      </w:r>
      <w:r>
        <w:rPr>
          <w:spacing w:val="-5"/>
        </w:rPr>
        <w:t xml:space="preserve"> </w:t>
      </w:r>
      <w:r>
        <w:t>the</w:t>
      </w:r>
      <w:r>
        <w:rPr>
          <w:spacing w:val="-5"/>
        </w:rPr>
        <w:t xml:space="preserve"> </w:t>
      </w:r>
      <w:r>
        <w:t>material generated</w:t>
      </w:r>
      <w:r>
        <w:rPr>
          <w:spacing w:val="-11"/>
        </w:rPr>
        <w:t xml:space="preserve"> </w:t>
      </w:r>
      <w:r>
        <w:t>during</w:t>
      </w:r>
      <w:r>
        <w:rPr>
          <w:spacing w:val="-14"/>
        </w:rPr>
        <w:t xml:space="preserve"> </w:t>
      </w:r>
      <w:r>
        <w:t>the</w:t>
      </w:r>
      <w:r>
        <w:rPr>
          <w:spacing w:val="-14"/>
        </w:rPr>
        <w:t xml:space="preserve"> </w:t>
      </w:r>
      <w:r>
        <w:t>appraisal</w:t>
      </w:r>
      <w:r>
        <w:rPr>
          <w:spacing w:val="-9"/>
        </w:rPr>
        <w:t xml:space="preserve"> </w:t>
      </w:r>
      <w:r>
        <w:t>process.</w:t>
      </w:r>
      <w:r>
        <w:rPr>
          <w:spacing w:val="28"/>
        </w:rPr>
        <w:t xml:space="preserve"> </w:t>
      </w:r>
      <w:r>
        <w:t>Use</w:t>
      </w:r>
      <w:r>
        <w:rPr>
          <w:spacing w:val="-10"/>
        </w:rPr>
        <w:t xml:space="preserve"> </w:t>
      </w:r>
      <w:r>
        <w:t>of</w:t>
      </w:r>
      <w:r>
        <w:rPr>
          <w:spacing w:val="-10"/>
        </w:rPr>
        <w:t xml:space="preserve"> </w:t>
      </w:r>
      <w:r>
        <w:t>additional</w:t>
      </w:r>
      <w:r>
        <w:rPr>
          <w:spacing w:val="-8"/>
        </w:rPr>
        <w:t xml:space="preserve"> </w:t>
      </w:r>
      <w:r>
        <w:t>written</w:t>
      </w:r>
      <w:r>
        <w:rPr>
          <w:spacing w:val="-14"/>
        </w:rPr>
        <w:t xml:space="preserve"> </w:t>
      </w:r>
      <w:r>
        <w:t>material</w:t>
      </w:r>
      <w:r>
        <w:rPr>
          <w:spacing w:val="-13"/>
        </w:rPr>
        <w:t xml:space="preserve"> </w:t>
      </w:r>
      <w:r>
        <w:t>is</w:t>
      </w:r>
      <w:r>
        <w:rPr>
          <w:spacing w:val="-14"/>
        </w:rPr>
        <w:t xml:space="preserve"> </w:t>
      </w:r>
      <w:r>
        <w:t>discouraged,</w:t>
      </w:r>
      <w:r>
        <w:rPr>
          <w:spacing w:val="-10"/>
        </w:rPr>
        <w:t xml:space="preserve"> </w:t>
      </w:r>
      <w:r>
        <w:t>and</w:t>
      </w:r>
      <w:r>
        <w:rPr>
          <w:spacing w:val="-14"/>
        </w:rPr>
        <w:t xml:space="preserve"> </w:t>
      </w:r>
      <w:r>
        <w:t>the</w:t>
      </w:r>
      <w:r>
        <w:rPr>
          <w:spacing w:val="-10"/>
        </w:rPr>
        <w:t xml:space="preserve"> </w:t>
      </w:r>
      <w:r>
        <w:t>panel cannot</w:t>
      </w:r>
      <w:r>
        <w:rPr>
          <w:spacing w:val="14"/>
        </w:rPr>
        <w:t xml:space="preserve"> </w:t>
      </w:r>
      <w:r>
        <w:t>receive</w:t>
      </w:r>
      <w:r>
        <w:rPr>
          <w:spacing w:val="14"/>
        </w:rPr>
        <w:t xml:space="preserve"> </w:t>
      </w:r>
      <w:r>
        <w:t>any</w:t>
      </w:r>
      <w:r>
        <w:rPr>
          <w:spacing w:val="15"/>
        </w:rPr>
        <w:t xml:space="preserve"> </w:t>
      </w:r>
      <w:r>
        <w:t>new</w:t>
      </w:r>
      <w:r>
        <w:rPr>
          <w:spacing w:val="15"/>
        </w:rPr>
        <w:t xml:space="preserve"> </w:t>
      </w:r>
      <w:r>
        <w:t>evidence.</w:t>
      </w:r>
      <w:r>
        <w:rPr>
          <w:spacing w:val="80"/>
        </w:rPr>
        <w:t xml:space="preserve"> </w:t>
      </w:r>
      <w:r>
        <w:t>If,</w:t>
      </w:r>
      <w:r>
        <w:rPr>
          <w:spacing w:val="14"/>
        </w:rPr>
        <w:t xml:space="preserve"> </w:t>
      </w:r>
      <w:r>
        <w:t>exceptionally,</w:t>
      </w:r>
      <w:r>
        <w:rPr>
          <w:spacing w:val="14"/>
        </w:rPr>
        <w:t xml:space="preserve"> </w:t>
      </w:r>
      <w:r>
        <w:t>you</w:t>
      </w:r>
      <w:r>
        <w:rPr>
          <w:spacing w:val="18"/>
        </w:rPr>
        <w:t xml:space="preserve"> </w:t>
      </w:r>
      <w:r>
        <w:t>feel</w:t>
      </w:r>
      <w:r>
        <w:rPr>
          <w:spacing w:val="15"/>
        </w:rPr>
        <w:t xml:space="preserve"> </w:t>
      </w:r>
      <w:r>
        <w:t>there</w:t>
      </w:r>
      <w:r>
        <w:rPr>
          <w:spacing w:val="14"/>
        </w:rPr>
        <w:t xml:space="preserve"> </w:t>
      </w:r>
      <w:r>
        <w:t>is</w:t>
      </w:r>
      <w:r>
        <w:rPr>
          <w:spacing w:val="15"/>
        </w:rPr>
        <w:t xml:space="preserve"> </w:t>
      </w:r>
      <w:r>
        <w:t>written</w:t>
      </w:r>
      <w:r>
        <w:rPr>
          <w:spacing w:val="14"/>
        </w:rPr>
        <w:t xml:space="preserve"> </w:t>
      </w:r>
      <w:r>
        <w:t>material</w:t>
      </w:r>
      <w:r>
        <w:rPr>
          <w:spacing w:val="15"/>
        </w:rPr>
        <w:t xml:space="preserve"> </w:t>
      </w:r>
      <w:r>
        <w:t>that</w:t>
      </w:r>
      <w:r>
        <w:rPr>
          <w:spacing w:val="14"/>
        </w:rPr>
        <w:t xml:space="preserve"> </w:t>
      </w:r>
      <w:r>
        <w:t>will</w:t>
      </w:r>
      <w:r>
        <w:rPr>
          <w:spacing w:val="15"/>
        </w:rPr>
        <w:t xml:space="preserve"> </w:t>
      </w:r>
      <w:r>
        <w:t>not</w:t>
      </w:r>
      <w:r>
        <w:rPr>
          <w:spacing w:val="14"/>
        </w:rPr>
        <w:t xml:space="preserve"> </w:t>
      </w:r>
      <w:r>
        <w:t>be</w:t>
      </w:r>
    </w:p>
    <w:p w14:paraId="150CDBE1" w14:textId="77777777" w:rsidR="008956CE" w:rsidRDefault="008956CE">
      <w:pPr>
        <w:spacing w:line="276" w:lineRule="auto"/>
        <w:jc w:val="both"/>
        <w:sectPr w:rsidR="008956CE">
          <w:pgSz w:w="11910" w:h="16840"/>
          <w:pgMar w:top="1780" w:right="260" w:bottom="1100" w:left="40" w:header="0" w:footer="913" w:gutter="0"/>
          <w:cols w:space="720"/>
        </w:sectPr>
      </w:pPr>
    </w:p>
    <w:p w14:paraId="150CDBE2" w14:textId="77777777" w:rsidR="008956CE" w:rsidRDefault="00063531">
      <w:pPr>
        <w:pStyle w:val="BodyText"/>
        <w:spacing w:before="73" w:line="276" w:lineRule="auto"/>
        <w:ind w:left="1380" w:right="1159"/>
        <w:jc w:val="both"/>
      </w:pPr>
      <w:r>
        <w:lastRenderedPageBreak/>
        <w:t>before the panel that you would wish to rely on you must let the NICE Appeal team know by return of letter,</w:t>
      </w:r>
      <w:r>
        <w:rPr>
          <w:spacing w:val="-5"/>
        </w:rPr>
        <w:t xml:space="preserve"> </w:t>
      </w:r>
      <w:r>
        <w:t>indicating</w:t>
      </w:r>
      <w:r>
        <w:rPr>
          <w:spacing w:val="-5"/>
        </w:rPr>
        <w:t xml:space="preserve"> </w:t>
      </w:r>
      <w:r>
        <w:t>what</w:t>
      </w:r>
      <w:r>
        <w:rPr>
          <w:spacing w:val="-5"/>
        </w:rPr>
        <w:t xml:space="preserve"> </w:t>
      </w:r>
      <w:r>
        <w:t>the</w:t>
      </w:r>
      <w:r>
        <w:rPr>
          <w:spacing w:val="-5"/>
        </w:rPr>
        <w:t xml:space="preserve"> </w:t>
      </w:r>
      <w:r>
        <w:t>material</w:t>
      </w:r>
      <w:r>
        <w:rPr>
          <w:spacing w:val="-3"/>
        </w:rPr>
        <w:t xml:space="preserve"> </w:t>
      </w:r>
      <w:r>
        <w:t>is,</w:t>
      </w:r>
      <w:r>
        <w:rPr>
          <w:spacing w:val="-4"/>
        </w:rPr>
        <w:t xml:space="preserve"> </w:t>
      </w:r>
      <w:r>
        <w:t>why</w:t>
      </w:r>
      <w:r>
        <w:rPr>
          <w:spacing w:val="-4"/>
        </w:rPr>
        <w:t xml:space="preserve"> </w:t>
      </w:r>
      <w:r>
        <w:t>it</w:t>
      </w:r>
      <w:r>
        <w:rPr>
          <w:spacing w:val="-4"/>
        </w:rPr>
        <w:t xml:space="preserve"> </w:t>
      </w:r>
      <w:r>
        <w:t>is</w:t>
      </w:r>
      <w:r>
        <w:rPr>
          <w:spacing w:val="-3"/>
        </w:rPr>
        <w:t xml:space="preserve"> </w:t>
      </w:r>
      <w:r>
        <w:t>desirable</w:t>
      </w:r>
      <w:r>
        <w:rPr>
          <w:spacing w:val="-4"/>
        </w:rPr>
        <w:t xml:space="preserve"> </w:t>
      </w:r>
      <w:r>
        <w:t>to submit</w:t>
      </w:r>
      <w:r>
        <w:rPr>
          <w:spacing w:val="-4"/>
        </w:rPr>
        <w:t xml:space="preserve"> </w:t>
      </w:r>
      <w:r>
        <w:t>it,</w:t>
      </w:r>
      <w:r>
        <w:rPr>
          <w:spacing w:val="-4"/>
        </w:rPr>
        <w:t xml:space="preserve"> </w:t>
      </w:r>
      <w:r>
        <w:t>and</w:t>
      </w:r>
      <w:r>
        <w:rPr>
          <w:spacing w:val="-5"/>
        </w:rPr>
        <w:t xml:space="preserve"> </w:t>
      </w:r>
      <w:r>
        <w:t>when</w:t>
      </w:r>
      <w:r>
        <w:rPr>
          <w:spacing w:val="-5"/>
        </w:rPr>
        <w:t xml:space="preserve"> </w:t>
      </w:r>
      <w:r>
        <w:t>it</w:t>
      </w:r>
      <w:r>
        <w:rPr>
          <w:spacing w:val="-4"/>
        </w:rPr>
        <w:t xml:space="preserve"> </w:t>
      </w:r>
      <w:r>
        <w:t>will</w:t>
      </w:r>
      <w:r>
        <w:rPr>
          <w:spacing w:val="-2"/>
        </w:rPr>
        <w:t xml:space="preserve"> </w:t>
      </w:r>
      <w:r>
        <w:t>be available, by</w:t>
      </w:r>
      <w:r>
        <w:rPr>
          <w:spacing w:val="-4"/>
        </w:rPr>
        <w:t xml:space="preserve"> </w:t>
      </w:r>
      <w:r>
        <w:t>no later than 2 September 2024.</w:t>
      </w:r>
      <w:r>
        <w:rPr>
          <w:spacing w:val="40"/>
        </w:rPr>
        <w:t xml:space="preserve"> </w:t>
      </w:r>
      <w:r>
        <w:t>Please note that the appeal panel cannot accept papers that are tabled late or ad hoc, as this affects the preparation of the panel and other parties for the appeal.</w:t>
      </w:r>
    </w:p>
    <w:p w14:paraId="150CDBE3" w14:textId="77777777" w:rsidR="008956CE" w:rsidRDefault="008956CE">
      <w:pPr>
        <w:pStyle w:val="BodyText"/>
        <w:spacing w:before="7"/>
      </w:pPr>
    </w:p>
    <w:p w14:paraId="150CDBE4" w14:textId="77777777" w:rsidR="008956CE" w:rsidRDefault="00063531">
      <w:pPr>
        <w:pStyle w:val="BodyText"/>
        <w:ind w:left="1380"/>
        <w:rPr>
          <w:spacing w:val="-2"/>
        </w:rPr>
      </w:pPr>
      <w:r>
        <w:t>Yours</w:t>
      </w:r>
      <w:r>
        <w:rPr>
          <w:spacing w:val="-6"/>
        </w:rPr>
        <w:t xml:space="preserve"> </w:t>
      </w:r>
      <w:r>
        <w:rPr>
          <w:spacing w:val="-2"/>
        </w:rPr>
        <w:t>sincerely</w:t>
      </w:r>
    </w:p>
    <w:p w14:paraId="56845E75" w14:textId="77777777" w:rsidR="00063531" w:rsidRDefault="00063531">
      <w:pPr>
        <w:pStyle w:val="BodyText"/>
        <w:ind w:left="1380"/>
      </w:pPr>
    </w:p>
    <w:p w14:paraId="150CDBE5" w14:textId="17F0F718" w:rsidR="008956CE" w:rsidRDefault="00063531" w:rsidP="00063531">
      <w:pPr>
        <w:pStyle w:val="BodyText"/>
        <w:spacing w:before="47"/>
        <w:ind w:left="660" w:firstLine="720"/>
      </w:pPr>
      <w:r w:rsidRPr="00063531">
        <w:rPr>
          <w:noProof/>
          <w:highlight w:val="black"/>
        </w:rPr>
        <w:t>XXXXXXXXXXXXXXXXXX</w:t>
      </w:r>
    </w:p>
    <w:p w14:paraId="150CDBE6" w14:textId="77777777" w:rsidR="008956CE" w:rsidRDefault="008956CE">
      <w:pPr>
        <w:pStyle w:val="BodyText"/>
        <w:spacing w:before="27"/>
      </w:pPr>
    </w:p>
    <w:p w14:paraId="150CDBE7" w14:textId="77777777" w:rsidR="008956CE" w:rsidRDefault="00063531">
      <w:pPr>
        <w:pStyle w:val="BodyText"/>
        <w:ind w:left="1380"/>
      </w:pPr>
      <w:r>
        <w:t>Sharmila</w:t>
      </w:r>
      <w:r>
        <w:rPr>
          <w:spacing w:val="-10"/>
        </w:rPr>
        <w:t xml:space="preserve"> </w:t>
      </w:r>
      <w:r>
        <w:t>Nebhrajani</w:t>
      </w:r>
      <w:r>
        <w:rPr>
          <w:spacing w:val="-8"/>
        </w:rPr>
        <w:t xml:space="preserve"> </w:t>
      </w:r>
      <w:r>
        <w:rPr>
          <w:spacing w:val="-5"/>
        </w:rPr>
        <w:t>OBE</w:t>
      </w:r>
    </w:p>
    <w:p w14:paraId="150CDBE8" w14:textId="77777777" w:rsidR="008956CE" w:rsidRDefault="008956CE">
      <w:pPr>
        <w:pStyle w:val="BodyText"/>
        <w:spacing w:before="85"/>
      </w:pPr>
    </w:p>
    <w:p w14:paraId="150CDBE9" w14:textId="77777777" w:rsidR="008956CE" w:rsidRDefault="00063531">
      <w:pPr>
        <w:pStyle w:val="BodyText"/>
        <w:ind w:left="1380"/>
      </w:pPr>
      <w:r>
        <w:t>Non-Executive</w:t>
      </w:r>
      <w:r>
        <w:rPr>
          <w:spacing w:val="-9"/>
        </w:rPr>
        <w:t xml:space="preserve"> </w:t>
      </w:r>
      <w:r>
        <w:t>Director</w:t>
      </w:r>
      <w:r>
        <w:rPr>
          <w:spacing w:val="-8"/>
        </w:rPr>
        <w:t xml:space="preserve"> </w:t>
      </w:r>
      <w:r>
        <w:t>&amp;</w:t>
      </w:r>
      <w:r>
        <w:rPr>
          <w:spacing w:val="-7"/>
        </w:rPr>
        <w:t xml:space="preserve"> </w:t>
      </w:r>
      <w:r>
        <w:rPr>
          <w:spacing w:val="-2"/>
        </w:rPr>
        <w:t>Chairman</w:t>
      </w:r>
    </w:p>
    <w:p w14:paraId="150CDBEA" w14:textId="77777777" w:rsidR="008956CE" w:rsidRDefault="008956CE">
      <w:pPr>
        <w:pStyle w:val="BodyText"/>
        <w:spacing w:before="85"/>
      </w:pPr>
    </w:p>
    <w:p w14:paraId="150CDBEB" w14:textId="77777777" w:rsidR="008956CE" w:rsidRDefault="00063531">
      <w:pPr>
        <w:pStyle w:val="BodyText"/>
        <w:ind w:left="1380"/>
      </w:pPr>
      <w:r>
        <w:t>National</w:t>
      </w:r>
      <w:r>
        <w:rPr>
          <w:spacing w:val="-5"/>
        </w:rPr>
        <w:t xml:space="preserve"> </w:t>
      </w:r>
      <w:r>
        <w:t>Institute</w:t>
      </w:r>
      <w:r>
        <w:rPr>
          <w:spacing w:val="-7"/>
        </w:rPr>
        <w:t xml:space="preserve"> </w:t>
      </w:r>
      <w:r>
        <w:t>for</w:t>
      </w:r>
      <w:r>
        <w:rPr>
          <w:spacing w:val="-7"/>
        </w:rPr>
        <w:t xml:space="preserve"> </w:t>
      </w:r>
      <w:r>
        <w:t>Health</w:t>
      </w:r>
      <w:r>
        <w:rPr>
          <w:spacing w:val="-2"/>
        </w:rPr>
        <w:t xml:space="preserve"> </w:t>
      </w:r>
      <w:r>
        <w:t>and</w:t>
      </w:r>
      <w:r>
        <w:rPr>
          <w:spacing w:val="-6"/>
        </w:rPr>
        <w:t xml:space="preserve"> </w:t>
      </w:r>
      <w:r>
        <w:t>Care</w:t>
      </w:r>
      <w:r>
        <w:rPr>
          <w:spacing w:val="-7"/>
        </w:rPr>
        <w:t xml:space="preserve"> </w:t>
      </w:r>
      <w:r>
        <w:rPr>
          <w:spacing w:val="-2"/>
        </w:rPr>
        <w:t>Excellence</w:t>
      </w:r>
    </w:p>
    <w:sectPr w:rsidR="008956CE">
      <w:pgSz w:w="11910" w:h="16840"/>
      <w:pgMar w:top="1780" w:right="260" w:bottom="1100" w:left="4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CDBF7" w14:textId="77777777" w:rsidR="00063531" w:rsidRDefault="00063531">
      <w:r>
        <w:separator/>
      </w:r>
    </w:p>
  </w:endnote>
  <w:endnote w:type="continuationSeparator" w:id="0">
    <w:p w14:paraId="150CDBF9" w14:textId="77777777" w:rsidR="00063531" w:rsidRDefault="0006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DBF2" w14:textId="77777777" w:rsidR="008956CE" w:rsidRDefault="00063531">
    <w:pPr>
      <w:pStyle w:val="BodyText"/>
      <w:spacing w:line="14" w:lineRule="auto"/>
    </w:pPr>
    <w:r>
      <w:rPr>
        <w:noProof/>
      </w:rPr>
      <mc:AlternateContent>
        <mc:Choice Requires="wps">
          <w:drawing>
            <wp:anchor distT="0" distB="0" distL="0" distR="0" simplePos="0" relativeHeight="487492096" behindDoc="1" locked="0" layoutInCell="1" allowOverlap="1" wp14:anchorId="150CDBF3" wp14:editId="150CDBF4">
              <wp:simplePos x="0" y="0"/>
              <wp:positionH relativeFrom="page">
                <wp:posOffset>6066790</wp:posOffset>
              </wp:positionH>
              <wp:positionV relativeFrom="page">
                <wp:posOffset>9973659</wp:posOffset>
              </wp:positionV>
              <wp:extent cx="61023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153670"/>
                      </a:xfrm>
                      <a:prstGeom prst="rect">
                        <a:avLst/>
                      </a:prstGeom>
                    </wps:spPr>
                    <wps:txbx>
                      <w:txbxContent>
                        <w:p w14:paraId="150CDBF5" w14:textId="77777777" w:rsidR="008956CE" w:rsidRDefault="00063531">
                          <w:pPr>
                            <w:spacing w:before="14"/>
                            <w:ind w:left="20"/>
                            <w:rPr>
                              <w:sz w:val="18"/>
                            </w:rPr>
                          </w:pPr>
                          <w:r>
                            <w:rPr>
                              <w:color w:val="808080"/>
                              <w:sz w:val="18"/>
                            </w:rPr>
                            <w:t>Page</w:t>
                          </w:r>
                          <w:r>
                            <w:rPr>
                              <w:color w:val="808080"/>
                              <w:spacing w:val="-4"/>
                              <w:sz w:val="18"/>
                            </w:rPr>
                            <w:t xml:space="preserve"> </w:t>
                          </w:r>
                          <w:r>
                            <w:rPr>
                              <w:color w:val="808080"/>
                              <w:sz w:val="18"/>
                            </w:rPr>
                            <w:fldChar w:fldCharType="begin"/>
                          </w:r>
                          <w:r>
                            <w:rPr>
                              <w:color w:val="808080"/>
                              <w:sz w:val="18"/>
                            </w:rPr>
                            <w:instrText xml:space="preserve"> PAGE </w:instrText>
                          </w:r>
                          <w:r>
                            <w:rPr>
                              <w:color w:val="808080"/>
                              <w:sz w:val="18"/>
                            </w:rPr>
                            <w:fldChar w:fldCharType="separate"/>
                          </w:r>
                          <w:r>
                            <w:rPr>
                              <w:color w:val="808080"/>
                              <w:sz w:val="18"/>
                            </w:rPr>
                            <w:t>1</w:t>
                          </w:r>
                          <w:r>
                            <w:rPr>
                              <w:color w:val="808080"/>
                              <w:sz w:val="18"/>
                            </w:rPr>
                            <w:fldChar w:fldCharType="end"/>
                          </w:r>
                          <w:r>
                            <w:rPr>
                              <w:color w:val="808080"/>
                              <w:spacing w:val="-2"/>
                              <w:sz w:val="18"/>
                            </w:rPr>
                            <w:t xml:space="preserve"> </w:t>
                          </w:r>
                          <w:r>
                            <w:rPr>
                              <w:color w:val="808080"/>
                              <w:sz w:val="18"/>
                            </w:rPr>
                            <w:t>of</w:t>
                          </w:r>
                          <w:r>
                            <w:rPr>
                              <w:color w:val="808080"/>
                              <w:spacing w:val="-2"/>
                              <w:sz w:val="18"/>
                            </w:rPr>
                            <w:t xml:space="preserve"> </w:t>
                          </w:r>
                          <w:r>
                            <w:rPr>
                              <w:color w:val="808080"/>
                              <w:spacing w:val="-10"/>
                              <w:sz w:val="18"/>
                            </w:rPr>
                            <w:fldChar w:fldCharType="begin"/>
                          </w:r>
                          <w:r>
                            <w:rPr>
                              <w:color w:val="808080"/>
                              <w:spacing w:val="-10"/>
                              <w:sz w:val="18"/>
                            </w:rPr>
                            <w:instrText xml:space="preserve"> NUMPAGES </w:instrText>
                          </w:r>
                          <w:r>
                            <w:rPr>
                              <w:color w:val="808080"/>
                              <w:spacing w:val="-10"/>
                              <w:sz w:val="18"/>
                            </w:rPr>
                            <w:fldChar w:fldCharType="separate"/>
                          </w:r>
                          <w:r>
                            <w:rPr>
                              <w:color w:val="808080"/>
                              <w:spacing w:val="-10"/>
                              <w:sz w:val="18"/>
                            </w:rPr>
                            <w:t>6</w:t>
                          </w:r>
                          <w:r>
                            <w:rPr>
                              <w:color w:val="808080"/>
                              <w:spacing w:val="-10"/>
                              <w:sz w:val="18"/>
                            </w:rPr>
                            <w:fldChar w:fldCharType="end"/>
                          </w:r>
                        </w:p>
                      </w:txbxContent>
                    </wps:txbx>
                    <wps:bodyPr wrap="square" lIns="0" tIns="0" rIns="0" bIns="0" rtlCol="0">
                      <a:noAutofit/>
                    </wps:bodyPr>
                  </wps:wsp>
                </a:graphicData>
              </a:graphic>
            </wp:anchor>
          </w:drawing>
        </mc:Choice>
        <mc:Fallback>
          <w:pict>
            <v:shapetype w14:anchorId="150CDBF3" id="_x0000_t202" coordsize="21600,21600" o:spt="202" path="m,l,21600r21600,l21600,xe">
              <v:stroke joinstyle="miter"/>
              <v:path gradientshapeok="t" o:connecttype="rect"/>
            </v:shapetype>
            <v:shape id="Textbox 1" o:spid="_x0000_s1026" type="#_x0000_t202" style="position:absolute;margin-left:477.7pt;margin-top:785.35pt;width:48.05pt;height:12.1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" filled="f" stroked="f">
              <v:textbox inset="0,0,0,0">
                <w:txbxContent>
                  <w:p w14:paraId="150CDBF5" w14:textId="77777777" w:rsidR="008956CE" w:rsidRDefault="00063531">
                    <w:pPr>
                      <w:spacing w:before="14"/>
                      <w:ind w:left="20"/>
                      <w:rPr>
                        <w:sz w:val="18"/>
                      </w:rPr>
                    </w:pPr>
                    <w:r>
                      <w:rPr>
                        <w:color w:val="808080"/>
                        <w:sz w:val="18"/>
                      </w:rPr>
                      <w:t>Page</w:t>
                    </w:r>
                    <w:r>
                      <w:rPr>
                        <w:color w:val="808080"/>
                        <w:spacing w:val="-4"/>
                        <w:sz w:val="18"/>
                      </w:rPr>
                      <w:t xml:space="preserve"> </w:t>
                    </w:r>
                    <w:r>
                      <w:rPr>
                        <w:color w:val="808080"/>
                        <w:sz w:val="18"/>
                      </w:rPr>
                      <w:fldChar w:fldCharType="begin"/>
                    </w:r>
                    <w:r>
                      <w:rPr>
                        <w:color w:val="808080"/>
                        <w:sz w:val="18"/>
                      </w:rPr>
                      <w:instrText xml:space="preserve"> PAGE </w:instrText>
                    </w:r>
                    <w:r>
                      <w:rPr>
                        <w:color w:val="808080"/>
                        <w:sz w:val="18"/>
                      </w:rPr>
                      <w:fldChar w:fldCharType="separate"/>
                    </w:r>
                    <w:r>
                      <w:rPr>
                        <w:color w:val="808080"/>
                        <w:sz w:val="18"/>
                      </w:rPr>
                      <w:t>1</w:t>
                    </w:r>
                    <w:r>
                      <w:rPr>
                        <w:color w:val="808080"/>
                        <w:sz w:val="18"/>
                      </w:rPr>
                      <w:fldChar w:fldCharType="end"/>
                    </w:r>
                    <w:r>
                      <w:rPr>
                        <w:color w:val="808080"/>
                        <w:spacing w:val="-2"/>
                        <w:sz w:val="18"/>
                      </w:rPr>
                      <w:t xml:space="preserve"> </w:t>
                    </w:r>
                    <w:r>
                      <w:rPr>
                        <w:color w:val="808080"/>
                        <w:sz w:val="18"/>
                      </w:rPr>
                      <w:t>of</w:t>
                    </w:r>
                    <w:r>
                      <w:rPr>
                        <w:color w:val="808080"/>
                        <w:spacing w:val="-2"/>
                        <w:sz w:val="18"/>
                      </w:rPr>
                      <w:t xml:space="preserve"> </w:t>
                    </w:r>
                    <w:r>
                      <w:rPr>
                        <w:color w:val="808080"/>
                        <w:spacing w:val="-10"/>
                        <w:sz w:val="18"/>
                      </w:rPr>
                      <w:fldChar w:fldCharType="begin"/>
                    </w:r>
                    <w:r>
                      <w:rPr>
                        <w:color w:val="808080"/>
                        <w:spacing w:val="-10"/>
                        <w:sz w:val="18"/>
                      </w:rPr>
                      <w:instrText xml:space="preserve"> NUMPAGES </w:instrText>
                    </w:r>
                    <w:r>
                      <w:rPr>
                        <w:color w:val="808080"/>
                        <w:spacing w:val="-10"/>
                        <w:sz w:val="18"/>
                      </w:rPr>
                      <w:fldChar w:fldCharType="separate"/>
                    </w:r>
                    <w:r>
                      <w:rPr>
                        <w:color w:val="808080"/>
                        <w:spacing w:val="-10"/>
                        <w:sz w:val="18"/>
                      </w:rPr>
                      <w:t>6</w:t>
                    </w:r>
                    <w:r>
                      <w:rPr>
                        <w:color w:val="808080"/>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CDBF3" w14:textId="77777777" w:rsidR="00063531" w:rsidRDefault="00063531">
      <w:r>
        <w:separator/>
      </w:r>
    </w:p>
  </w:footnote>
  <w:footnote w:type="continuationSeparator" w:id="0">
    <w:p w14:paraId="150CDBF5" w14:textId="77777777" w:rsidR="00063531" w:rsidRDefault="00063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8761A"/>
    <w:multiLevelType w:val="hybridMultilevel"/>
    <w:tmpl w:val="3104AF3A"/>
    <w:lvl w:ilvl="0" w:tplc="DEC498FA">
      <w:start w:val="1"/>
      <w:numFmt w:val="decimal"/>
      <w:lvlText w:val="%1."/>
      <w:lvlJc w:val="left"/>
      <w:pPr>
        <w:ind w:left="2101" w:hanging="360"/>
        <w:jc w:val="left"/>
      </w:pPr>
      <w:rPr>
        <w:rFonts w:ascii="Arial" w:eastAsia="Arial" w:hAnsi="Arial" w:cs="Arial" w:hint="default"/>
        <w:b w:val="0"/>
        <w:bCs w:val="0"/>
        <w:i w:val="0"/>
        <w:iCs w:val="0"/>
        <w:color w:val="333333"/>
        <w:spacing w:val="-2"/>
        <w:w w:val="100"/>
        <w:sz w:val="20"/>
        <w:szCs w:val="20"/>
        <w:lang w:val="en-US" w:eastAsia="en-US" w:bidi="ar-SA"/>
      </w:rPr>
    </w:lvl>
    <w:lvl w:ilvl="1" w:tplc="4220286C">
      <w:numFmt w:val="bullet"/>
      <w:lvlText w:val="•"/>
      <w:lvlJc w:val="left"/>
      <w:pPr>
        <w:ind w:left="3050" w:hanging="360"/>
      </w:pPr>
      <w:rPr>
        <w:rFonts w:hint="default"/>
        <w:lang w:val="en-US" w:eastAsia="en-US" w:bidi="ar-SA"/>
      </w:rPr>
    </w:lvl>
    <w:lvl w:ilvl="2" w:tplc="25965F36">
      <w:numFmt w:val="bullet"/>
      <w:lvlText w:val="•"/>
      <w:lvlJc w:val="left"/>
      <w:pPr>
        <w:ind w:left="4001" w:hanging="360"/>
      </w:pPr>
      <w:rPr>
        <w:rFonts w:hint="default"/>
        <w:lang w:val="en-US" w:eastAsia="en-US" w:bidi="ar-SA"/>
      </w:rPr>
    </w:lvl>
    <w:lvl w:ilvl="3" w:tplc="221267AC">
      <w:numFmt w:val="bullet"/>
      <w:lvlText w:val="•"/>
      <w:lvlJc w:val="left"/>
      <w:pPr>
        <w:ind w:left="4951" w:hanging="360"/>
      </w:pPr>
      <w:rPr>
        <w:rFonts w:hint="default"/>
        <w:lang w:val="en-US" w:eastAsia="en-US" w:bidi="ar-SA"/>
      </w:rPr>
    </w:lvl>
    <w:lvl w:ilvl="4" w:tplc="A064C4E6">
      <w:numFmt w:val="bullet"/>
      <w:lvlText w:val="•"/>
      <w:lvlJc w:val="left"/>
      <w:pPr>
        <w:ind w:left="5902" w:hanging="360"/>
      </w:pPr>
      <w:rPr>
        <w:rFonts w:hint="default"/>
        <w:lang w:val="en-US" w:eastAsia="en-US" w:bidi="ar-SA"/>
      </w:rPr>
    </w:lvl>
    <w:lvl w:ilvl="5" w:tplc="2102CECA">
      <w:numFmt w:val="bullet"/>
      <w:lvlText w:val="•"/>
      <w:lvlJc w:val="left"/>
      <w:pPr>
        <w:ind w:left="6852" w:hanging="360"/>
      </w:pPr>
      <w:rPr>
        <w:rFonts w:hint="default"/>
        <w:lang w:val="en-US" w:eastAsia="en-US" w:bidi="ar-SA"/>
      </w:rPr>
    </w:lvl>
    <w:lvl w:ilvl="6" w:tplc="9D789272">
      <w:numFmt w:val="bullet"/>
      <w:lvlText w:val="•"/>
      <w:lvlJc w:val="left"/>
      <w:pPr>
        <w:ind w:left="7803" w:hanging="360"/>
      </w:pPr>
      <w:rPr>
        <w:rFonts w:hint="default"/>
        <w:lang w:val="en-US" w:eastAsia="en-US" w:bidi="ar-SA"/>
      </w:rPr>
    </w:lvl>
    <w:lvl w:ilvl="7" w:tplc="84309990">
      <w:numFmt w:val="bullet"/>
      <w:lvlText w:val="•"/>
      <w:lvlJc w:val="left"/>
      <w:pPr>
        <w:ind w:left="8753" w:hanging="360"/>
      </w:pPr>
      <w:rPr>
        <w:rFonts w:hint="default"/>
        <w:lang w:val="en-US" w:eastAsia="en-US" w:bidi="ar-SA"/>
      </w:rPr>
    </w:lvl>
    <w:lvl w:ilvl="8" w:tplc="A246CB6E">
      <w:numFmt w:val="bullet"/>
      <w:lvlText w:val="•"/>
      <w:lvlJc w:val="left"/>
      <w:pPr>
        <w:ind w:left="9704" w:hanging="360"/>
      </w:pPr>
      <w:rPr>
        <w:rFonts w:hint="default"/>
        <w:lang w:val="en-US" w:eastAsia="en-US" w:bidi="ar-SA"/>
      </w:rPr>
    </w:lvl>
  </w:abstractNum>
  <w:abstractNum w:abstractNumId="1" w15:restartNumberingAfterBreak="0">
    <w:nsid w:val="465A3644"/>
    <w:multiLevelType w:val="hybridMultilevel"/>
    <w:tmpl w:val="36C8ECBA"/>
    <w:lvl w:ilvl="0" w:tplc="3EB2A340">
      <w:numFmt w:val="bullet"/>
      <w:lvlText w:val=""/>
      <w:lvlJc w:val="left"/>
      <w:pPr>
        <w:ind w:left="2101" w:hanging="360"/>
      </w:pPr>
      <w:rPr>
        <w:rFonts w:ascii="Symbol" w:eastAsia="Symbol" w:hAnsi="Symbol" w:cs="Symbol" w:hint="default"/>
        <w:b w:val="0"/>
        <w:bCs w:val="0"/>
        <w:i w:val="0"/>
        <w:iCs w:val="0"/>
        <w:spacing w:val="0"/>
        <w:w w:val="100"/>
        <w:sz w:val="20"/>
        <w:szCs w:val="20"/>
        <w:lang w:val="en-US" w:eastAsia="en-US" w:bidi="ar-SA"/>
      </w:rPr>
    </w:lvl>
    <w:lvl w:ilvl="1" w:tplc="79F07BCA">
      <w:numFmt w:val="bullet"/>
      <w:lvlText w:val="•"/>
      <w:lvlJc w:val="left"/>
      <w:pPr>
        <w:ind w:left="3050" w:hanging="360"/>
      </w:pPr>
      <w:rPr>
        <w:rFonts w:hint="default"/>
        <w:lang w:val="en-US" w:eastAsia="en-US" w:bidi="ar-SA"/>
      </w:rPr>
    </w:lvl>
    <w:lvl w:ilvl="2" w:tplc="8BD4D3EC">
      <w:numFmt w:val="bullet"/>
      <w:lvlText w:val="•"/>
      <w:lvlJc w:val="left"/>
      <w:pPr>
        <w:ind w:left="4001" w:hanging="360"/>
      </w:pPr>
      <w:rPr>
        <w:rFonts w:hint="default"/>
        <w:lang w:val="en-US" w:eastAsia="en-US" w:bidi="ar-SA"/>
      </w:rPr>
    </w:lvl>
    <w:lvl w:ilvl="3" w:tplc="8C9CBC32">
      <w:numFmt w:val="bullet"/>
      <w:lvlText w:val="•"/>
      <w:lvlJc w:val="left"/>
      <w:pPr>
        <w:ind w:left="4951" w:hanging="360"/>
      </w:pPr>
      <w:rPr>
        <w:rFonts w:hint="default"/>
        <w:lang w:val="en-US" w:eastAsia="en-US" w:bidi="ar-SA"/>
      </w:rPr>
    </w:lvl>
    <w:lvl w:ilvl="4" w:tplc="5420D7FC">
      <w:numFmt w:val="bullet"/>
      <w:lvlText w:val="•"/>
      <w:lvlJc w:val="left"/>
      <w:pPr>
        <w:ind w:left="5902" w:hanging="360"/>
      </w:pPr>
      <w:rPr>
        <w:rFonts w:hint="default"/>
        <w:lang w:val="en-US" w:eastAsia="en-US" w:bidi="ar-SA"/>
      </w:rPr>
    </w:lvl>
    <w:lvl w:ilvl="5" w:tplc="9F02B890">
      <w:numFmt w:val="bullet"/>
      <w:lvlText w:val="•"/>
      <w:lvlJc w:val="left"/>
      <w:pPr>
        <w:ind w:left="6852" w:hanging="360"/>
      </w:pPr>
      <w:rPr>
        <w:rFonts w:hint="default"/>
        <w:lang w:val="en-US" w:eastAsia="en-US" w:bidi="ar-SA"/>
      </w:rPr>
    </w:lvl>
    <w:lvl w:ilvl="6" w:tplc="04A238C4">
      <w:numFmt w:val="bullet"/>
      <w:lvlText w:val="•"/>
      <w:lvlJc w:val="left"/>
      <w:pPr>
        <w:ind w:left="7803" w:hanging="360"/>
      </w:pPr>
      <w:rPr>
        <w:rFonts w:hint="default"/>
        <w:lang w:val="en-US" w:eastAsia="en-US" w:bidi="ar-SA"/>
      </w:rPr>
    </w:lvl>
    <w:lvl w:ilvl="7" w:tplc="330E1EAC">
      <w:numFmt w:val="bullet"/>
      <w:lvlText w:val="•"/>
      <w:lvlJc w:val="left"/>
      <w:pPr>
        <w:ind w:left="8753" w:hanging="360"/>
      </w:pPr>
      <w:rPr>
        <w:rFonts w:hint="default"/>
        <w:lang w:val="en-US" w:eastAsia="en-US" w:bidi="ar-SA"/>
      </w:rPr>
    </w:lvl>
    <w:lvl w:ilvl="8" w:tplc="F69AF4FC">
      <w:numFmt w:val="bullet"/>
      <w:lvlText w:val="•"/>
      <w:lvlJc w:val="left"/>
      <w:pPr>
        <w:ind w:left="9704" w:hanging="360"/>
      </w:pPr>
      <w:rPr>
        <w:rFonts w:hint="default"/>
        <w:lang w:val="en-US" w:eastAsia="en-US" w:bidi="ar-SA"/>
      </w:rPr>
    </w:lvl>
  </w:abstractNum>
  <w:num w:numId="1" w16cid:durableId="1819611290">
    <w:abstractNumId w:val="0"/>
  </w:num>
  <w:num w:numId="2" w16cid:durableId="205692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956CE"/>
    <w:rsid w:val="00063531"/>
    <w:rsid w:val="008956CE"/>
    <w:rsid w:val="00F63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DB63"/>
  <w15:docId w15:val="{209A4A30-5EF7-406B-9020-E18E18FB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80" w:right="1124"/>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1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97C67-8500-4024-A15F-31D32D7D9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E673EB-586B-4AD1-9F88-C45E1B09D447}">
  <ds:schemaRefs>
    <ds:schemaRef ds:uri="http://schemas.microsoft.com/sharepoint/v3/contenttype/forms"/>
  </ds:schemaRefs>
</ds:datastoreItem>
</file>

<file path=customXml/itemProps3.xml><?xml version="1.0" encoding="utf-8"?>
<ds:datastoreItem xmlns:ds="http://schemas.openxmlformats.org/officeDocument/2006/customXml" ds:itemID="{B40F6AF8-773A-4AB5-8B6F-09FD49702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13399</Characters>
  <Application>Microsoft Office Word</Application>
  <DocSecurity>0</DocSecurity>
  <Lines>111</Lines>
  <Paragraphs>31</Paragraphs>
  <ScaleCrop>false</ScaleCrop>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Titmus, Scott</dc:creator>
  <cp:lastModifiedBy>Lyn Davies</cp:lastModifiedBy>
  <cp:revision>2</cp:revision>
  <dcterms:created xsi:type="dcterms:W3CDTF">2024-09-04T13:35:00Z</dcterms:created>
  <dcterms:modified xsi:type="dcterms:W3CDTF">2024-09-05T12:58:00Z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vt:lpwstr>
  </property>
  <property fmtid="{D5CDD505-2E9C-101B-9397-08002B2CF9AE}" pid="4" name="LastSaved">
    <vt:filetime>2024-09-04T00:00:00Z</vt:filetime>
  </property>
  <property fmtid="{D5CDD505-2E9C-101B-9397-08002B2CF9AE}" pid="5" name="MSIP_Label_c69d85d5-6d9e-4305-a294-1f636ec0f2d6_ActionId">
    <vt:lpwstr>cec452d2-38fe-4c94-bea1-7bb575e4cab9</vt:lpwstr>
  </property>
  <property fmtid="{D5CDD505-2E9C-101B-9397-08002B2CF9AE}" pid="6" name="MSIP_Label_c69d85d5-6d9e-4305-a294-1f636ec0f2d6_ContentBits">
    <vt:lpwstr>0</vt:lpwstr>
  </property>
  <property fmtid="{D5CDD505-2E9C-101B-9397-08002B2CF9AE}" pid="7" name="MSIP_Label_c69d85d5-6d9e-4305-a294-1f636ec0f2d6_Enabled">
    <vt:lpwstr>true</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etDate">
    <vt:lpwstr>2024-07-12T07:02:08Z</vt:lpwstr>
  </property>
  <property fmtid="{D5CDD505-2E9C-101B-9397-08002B2CF9AE}" pid="11" name="MSIP_Label_c69d85d5-6d9e-4305-a294-1f636ec0f2d6_SiteId">
    <vt:lpwstr>6030f479-b342-472d-a5dd-740ff7538de9</vt:lpwstr>
  </property>
  <property fmtid="{D5CDD505-2E9C-101B-9397-08002B2CF9AE}" pid="12" name="ContentTypeId">
    <vt:lpwstr>0x0101003300E5E64B980D458C754FFE05DEE26D</vt:lpwstr>
  </property>
</Properties>
</file>