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2219" w14:textId="77777777" w:rsidR="001967F4" w:rsidRPr="00E970E0" w:rsidRDefault="001967F4" w:rsidP="0009273A">
      <w:pPr>
        <w:pStyle w:val="Title"/>
        <w:spacing w:after="240"/>
        <w:rPr>
          <w:rFonts w:cs="Arial"/>
          <w:sz w:val="22"/>
          <w:szCs w:val="22"/>
        </w:rPr>
      </w:pPr>
      <w:r w:rsidRPr="00E970E0">
        <w:rPr>
          <w:rFonts w:cs="Arial"/>
          <w:sz w:val="22"/>
          <w:szCs w:val="22"/>
        </w:rPr>
        <w:t>NATIONAL INSTITUTE FOR</w:t>
      </w:r>
      <w:r w:rsidR="00DF1722" w:rsidRPr="00E970E0">
        <w:rPr>
          <w:rFonts w:cs="Arial"/>
          <w:sz w:val="22"/>
          <w:szCs w:val="22"/>
        </w:rPr>
        <w:t xml:space="preserve"> HEALTH AND</w:t>
      </w:r>
      <w:r w:rsidR="00D345BC" w:rsidRPr="00E970E0">
        <w:rPr>
          <w:rFonts w:cs="Arial"/>
          <w:sz w:val="22"/>
          <w:szCs w:val="22"/>
        </w:rPr>
        <w:t xml:space="preserve"> CARE</w:t>
      </w:r>
      <w:r w:rsidRPr="00E970E0">
        <w:rPr>
          <w:rFonts w:cs="Arial"/>
          <w:sz w:val="22"/>
          <w:szCs w:val="22"/>
        </w:rPr>
        <w:t xml:space="preserve"> EXCELLENCE</w:t>
      </w:r>
    </w:p>
    <w:p w14:paraId="5FBEEE33" w14:textId="77777777" w:rsidR="001967F4" w:rsidRPr="005570C8" w:rsidRDefault="005570C8">
      <w:pPr>
        <w:pStyle w:val="Title"/>
        <w:spacing w:after="240"/>
        <w:rPr>
          <w:rFonts w:cs="Arial"/>
          <w:sz w:val="22"/>
          <w:szCs w:val="22"/>
          <w:lang w:val="en-GB"/>
        </w:rPr>
      </w:pPr>
      <w:r>
        <w:rPr>
          <w:rFonts w:cs="Arial"/>
          <w:sz w:val="22"/>
          <w:szCs w:val="22"/>
          <w:lang w:val="en-GB"/>
        </w:rPr>
        <w:t>Health Technology Evaluation</w:t>
      </w:r>
    </w:p>
    <w:p w14:paraId="767FD824" w14:textId="096621C1" w:rsidR="00FB37A8" w:rsidRDefault="00FB37A8">
      <w:pPr>
        <w:spacing w:after="240"/>
        <w:jc w:val="center"/>
        <w:rPr>
          <w:rFonts w:cs="Arial"/>
          <w:b/>
          <w:bCs/>
          <w:sz w:val="22"/>
          <w:szCs w:val="22"/>
        </w:rPr>
      </w:pPr>
      <w:bookmarkStart w:id="0" w:name="_Hlk141361042"/>
      <w:r w:rsidRPr="00FB37A8">
        <w:rPr>
          <w:rFonts w:cs="Arial"/>
          <w:b/>
          <w:bCs/>
          <w:sz w:val="22"/>
          <w:szCs w:val="22"/>
        </w:rPr>
        <w:t>Tucatinib with trastuzumab for previously treated HER2-positive</w:t>
      </w:r>
      <w:r w:rsidR="002B275C">
        <w:rPr>
          <w:rFonts w:cs="Arial"/>
          <w:b/>
          <w:bCs/>
          <w:sz w:val="22"/>
          <w:szCs w:val="22"/>
        </w:rPr>
        <w:t xml:space="preserve"> </w:t>
      </w:r>
      <w:r w:rsidRPr="00FB37A8">
        <w:rPr>
          <w:rFonts w:cs="Arial"/>
          <w:b/>
          <w:bCs/>
          <w:sz w:val="22"/>
          <w:szCs w:val="22"/>
        </w:rPr>
        <w:t xml:space="preserve">colorectal cancer </w:t>
      </w:r>
    </w:p>
    <w:bookmarkEnd w:id="0"/>
    <w:p w14:paraId="32D9750F" w14:textId="02C01F67" w:rsidR="001967F4" w:rsidRPr="00E970E0" w:rsidRDefault="00223C87">
      <w:pPr>
        <w:spacing w:after="240"/>
        <w:jc w:val="center"/>
        <w:rPr>
          <w:rFonts w:cs="Arial"/>
          <w:b/>
          <w:bCs/>
          <w:i/>
          <w:iCs/>
          <w:sz w:val="22"/>
          <w:szCs w:val="22"/>
        </w:rPr>
      </w:pPr>
      <w:r>
        <w:rPr>
          <w:rFonts w:cs="Arial"/>
          <w:b/>
          <w:bCs/>
          <w:sz w:val="22"/>
          <w:szCs w:val="22"/>
        </w:rPr>
        <w:t xml:space="preserve">Final </w:t>
      </w:r>
      <w:r w:rsidR="001967F4" w:rsidRPr="00E970E0">
        <w:rPr>
          <w:rFonts w:cs="Arial"/>
          <w:b/>
          <w:bCs/>
          <w:sz w:val="22"/>
          <w:szCs w:val="22"/>
        </w:rPr>
        <w:t>scope</w:t>
      </w:r>
    </w:p>
    <w:p w14:paraId="5B6C9D6F" w14:textId="77777777" w:rsidR="001967F4" w:rsidRPr="00E970E0" w:rsidRDefault="001967F4" w:rsidP="00DC68B6">
      <w:pPr>
        <w:pStyle w:val="Heading1"/>
        <w:rPr>
          <w:rFonts w:cs="Arial"/>
          <w:sz w:val="22"/>
          <w:szCs w:val="22"/>
        </w:rPr>
      </w:pPr>
      <w:r w:rsidRPr="00E970E0">
        <w:rPr>
          <w:rFonts w:cs="Arial"/>
          <w:sz w:val="22"/>
          <w:szCs w:val="22"/>
        </w:rPr>
        <w:t>Draft remit/</w:t>
      </w:r>
      <w:r w:rsidR="00620044">
        <w:rPr>
          <w:rFonts w:cs="Arial"/>
          <w:sz w:val="22"/>
          <w:szCs w:val="22"/>
          <w:lang w:val="en-GB"/>
        </w:rPr>
        <w:t>evaluation</w:t>
      </w:r>
      <w:r w:rsidR="00620044" w:rsidRPr="00E970E0">
        <w:rPr>
          <w:rFonts w:cs="Arial"/>
          <w:sz w:val="22"/>
          <w:szCs w:val="22"/>
        </w:rPr>
        <w:t xml:space="preserve"> </w:t>
      </w:r>
      <w:r w:rsidRPr="00E970E0">
        <w:rPr>
          <w:rFonts w:cs="Arial"/>
          <w:sz w:val="22"/>
          <w:szCs w:val="22"/>
        </w:rPr>
        <w:t>objective</w:t>
      </w:r>
    </w:p>
    <w:p w14:paraId="70E0951F" w14:textId="6AB6ACB6" w:rsidR="00E9238E" w:rsidRPr="00E970E0" w:rsidRDefault="00E9238E" w:rsidP="00E9238E">
      <w:pPr>
        <w:pStyle w:val="Title"/>
        <w:spacing w:after="240"/>
        <w:jc w:val="left"/>
        <w:rPr>
          <w:rFonts w:cs="Arial"/>
          <w:b w:val="0"/>
          <w:sz w:val="22"/>
          <w:szCs w:val="22"/>
          <w:lang w:val="en-GB"/>
        </w:rPr>
      </w:pPr>
      <w:bookmarkStart w:id="1" w:name="_Hlk43898444"/>
      <w:r w:rsidRPr="00E970E0">
        <w:rPr>
          <w:rFonts w:cs="Arial"/>
          <w:b w:val="0"/>
          <w:sz w:val="22"/>
          <w:szCs w:val="22"/>
        </w:rPr>
        <w:t xml:space="preserve">To appraise the clinical and cost effectiveness of </w:t>
      </w:r>
      <w:bookmarkEnd w:id="1"/>
      <w:r w:rsidR="00FB37A8">
        <w:rPr>
          <w:rFonts w:cs="Arial"/>
          <w:b w:val="0"/>
          <w:sz w:val="22"/>
          <w:szCs w:val="22"/>
          <w:lang w:val="en-GB"/>
        </w:rPr>
        <w:t>t</w:t>
      </w:r>
      <w:r w:rsidR="00FB37A8" w:rsidRPr="00FB37A8">
        <w:rPr>
          <w:rFonts w:cs="Arial"/>
          <w:b w:val="0"/>
          <w:sz w:val="22"/>
          <w:szCs w:val="22"/>
          <w:lang w:val="en-GB"/>
        </w:rPr>
        <w:t xml:space="preserve">ucatinib with trastuzumab </w:t>
      </w:r>
      <w:r w:rsidR="00935046">
        <w:rPr>
          <w:rFonts w:cs="Arial"/>
          <w:b w:val="0"/>
          <w:sz w:val="22"/>
          <w:szCs w:val="22"/>
          <w:lang w:val="en-GB"/>
        </w:rPr>
        <w:t xml:space="preserve">within its </w:t>
      </w:r>
      <w:r w:rsidR="001951AB">
        <w:rPr>
          <w:rFonts w:cs="Arial"/>
          <w:b w:val="0"/>
          <w:sz w:val="22"/>
          <w:szCs w:val="22"/>
          <w:lang w:val="en-GB"/>
        </w:rPr>
        <w:t xml:space="preserve">anticipated </w:t>
      </w:r>
      <w:r w:rsidR="00935046">
        <w:rPr>
          <w:rFonts w:cs="Arial"/>
          <w:b w:val="0"/>
          <w:sz w:val="22"/>
          <w:szCs w:val="22"/>
          <w:lang w:val="en-GB"/>
        </w:rPr>
        <w:t xml:space="preserve">marketing authorisation for treating </w:t>
      </w:r>
      <w:r w:rsidR="00FB37A8" w:rsidRPr="00FB37A8">
        <w:rPr>
          <w:rFonts w:cs="Arial"/>
          <w:b w:val="0"/>
          <w:sz w:val="22"/>
          <w:szCs w:val="22"/>
          <w:lang w:val="en-GB"/>
        </w:rPr>
        <w:t>previously treated HER2-positive</w:t>
      </w:r>
      <w:r w:rsidR="002F1F0C">
        <w:rPr>
          <w:rFonts w:cs="Arial"/>
          <w:b w:val="0"/>
          <w:sz w:val="22"/>
          <w:szCs w:val="22"/>
          <w:lang w:val="en-GB"/>
        </w:rPr>
        <w:t>,</w:t>
      </w:r>
      <w:r w:rsidR="00FB37A8" w:rsidRPr="00FB37A8">
        <w:rPr>
          <w:rFonts w:cs="Arial"/>
          <w:b w:val="0"/>
          <w:sz w:val="22"/>
          <w:szCs w:val="22"/>
          <w:lang w:val="en-GB"/>
        </w:rPr>
        <w:t xml:space="preserve"> </w:t>
      </w:r>
      <w:r w:rsidR="002F1F0C">
        <w:rPr>
          <w:rFonts w:cs="Arial"/>
          <w:b w:val="0"/>
          <w:sz w:val="22"/>
          <w:szCs w:val="22"/>
          <w:lang w:val="en-GB"/>
        </w:rPr>
        <w:t xml:space="preserve">unresectable or metastatic </w:t>
      </w:r>
      <w:r w:rsidR="00FB37A8" w:rsidRPr="00FB37A8">
        <w:rPr>
          <w:rFonts w:cs="Arial"/>
          <w:b w:val="0"/>
          <w:sz w:val="22"/>
          <w:szCs w:val="22"/>
          <w:lang w:val="en-GB"/>
        </w:rPr>
        <w:t>colorectal cancer</w:t>
      </w:r>
      <w:r w:rsidR="00935046">
        <w:rPr>
          <w:rFonts w:cs="Arial"/>
          <w:b w:val="0"/>
          <w:sz w:val="22"/>
          <w:szCs w:val="22"/>
          <w:lang w:val="en-GB"/>
        </w:rPr>
        <w:t>.</w:t>
      </w:r>
    </w:p>
    <w:p w14:paraId="72C5B261" w14:textId="77777777" w:rsidR="000F549C" w:rsidRPr="00E970E0" w:rsidRDefault="008252AD" w:rsidP="005779DB">
      <w:pPr>
        <w:pStyle w:val="Heading1"/>
        <w:rPr>
          <w:rFonts w:cs="Arial"/>
          <w:sz w:val="22"/>
          <w:szCs w:val="22"/>
        </w:rPr>
      </w:pPr>
      <w:r w:rsidRPr="00E970E0">
        <w:rPr>
          <w:rFonts w:cs="Arial"/>
          <w:sz w:val="22"/>
          <w:szCs w:val="22"/>
        </w:rPr>
        <w:t>Background</w:t>
      </w:r>
    </w:p>
    <w:p w14:paraId="49221867" w14:textId="77777777" w:rsidR="00935046" w:rsidRDefault="00935046" w:rsidP="00935046">
      <w:pPr>
        <w:pStyle w:val="BodyText"/>
        <w:rPr>
          <w:rFonts w:cs="Arial"/>
          <w:sz w:val="22"/>
          <w:szCs w:val="22"/>
          <w:lang w:val="en-GB"/>
        </w:rPr>
      </w:pPr>
      <w:bookmarkStart w:id="2" w:name="Text72"/>
      <w:bookmarkStart w:id="3" w:name="Text71"/>
      <w:r w:rsidRPr="0092182E">
        <w:rPr>
          <w:rFonts w:cs="Arial"/>
          <w:sz w:val="22"/>
          <w:szCs w:val="22"/>
        </w:rPr>
        <w:t>Colorectal cancer is a malignant tumour arising from the lining of the large intestine (colon and rectum). Metastatic colorectal cancer refers to disease that has spread beyond the large intestine and nearby lymph nodes. This type of cancer often first spreads to the liver, but metastases may also occur in other parts of the body, including the lungs, brain and bones. Most colorectal cancers are adenocarcinomas, these start in glands that line the insides of the colon and rectum.</w:t>
      </w:r>
      <w:r>
        <w:rPr>
          <w:rFonts w:cs="Arial"/>
          <w:sz w:val="22"/>
          <w:szCs w:val="22"/>
          <w:lang w:val="en-GB"/>
        </w:rPr>
        <w:t xml:space="preserve"> </w:t>
      </w:r>
    </w:p>
    <w:p w14:paraId="3C0F14F7" w14:textId="751A95DD" w:rsidR="00935046" w:rsidRDefault="00935046" w:rsidP="00935046">
      <w:pPr>
        <w:pStyle w:val="BodyText"/>
        <w:rPr>
          <w:rFonts w:cs="Arial"/>
          <w:sz w:val="22"/>
          <w:szCs w:val="22"/>
          <w:lang w:val="en-GB"/>
        </w:rPr>
      </w:pPr>
      <w:r w:rsidRPr="00CA1E4C">
        <w:rPr>
          <w:rFonts w:cs="Arial"/>
          <w:sz w:val="22"/>
          <w:szCs w:val="22"/>
        </w:rPr>
        <w:t xml:space="preserve">There </w:t>
      </w:r>
      <w:r w:rsidR="005C4804">
        <w:rPr>
          <w:rFonts w:cs="Arial"/>
          <w:sz w:val="22"/>
          <w:szCs w:val="22"/>
          <w:lang w:val="en-GB"/>
        </w:rPr>
        <w:t>are around</w:t>
      </w:r>
      <w:r w:rsidRPr="00CA1E4C">
        <w:rPr>
          <w:rFonts w:cs="Arial"/>
          <w:sz w:val="22"/>
          <w:szCs w:val="22"/>
        </w:rPr>
        <w:t xml:space="preserve"> </w:t>
      </w:r>
      <w:r w:rsidR="005C4804">
        <w:rPr>
          <w:rFonts w:cs="Arial"/>
          <w:sz w:val="22"/>
          <w:szCs w:val="22"/>
          <w:lang w:val="en-GB"/>
        </w:rPr>
        <w:t>42</w:t>
      </w:r>
      <w:r w:rsidRPr="00CA1E4C">
        <w:rPr>
          <w:rFonts w:cs="Arial"/>
          <w:sz w:val="22"/>
          <w:szCs w:val="22"/>
        </w:rPr>
        <w:t>,</w:t>
      </w:r>
      <w:r w:rsidR="005C4804">
        <w:rPr>
          <w:rFonts w:cs="Arial"/>
          <w:sz w:val="22"/>
          <w:szCs w:val="22"/>
          <w:lang w:val="en-GB"/>
        </w:rPr>
        <w:t>900</w:t>
      </w:r>
      <w:r w:rsidRPr="00CA1E4C">
        <w:rPr>
          <w:rFonts w:cs="Arial"/>
          <w:sz w:val="22"/>
          <w:szCs w:val="22"/>
        </w:rPr>
        <w:t xml:space="preserve"> </w:t>
      </w:r>
      <w:r w:rsidR="005C4804">
        <w:rPr>
          <w:rFonts w:cs="Arial"/>
          <w:sz w:val="22"/>
          <w:szCs w:val="22"/>
          <w:lang w:val="en-GB"/>
        </w:rPr>
        <w:t xml:space="preserve">new </w:t>
      </w:r>
      <w:r w:rsidRPr="00CA1E4C">
        <w:rPr>
          <w:rFonts w:cs="Arial"/>
          <w:sz w:val="22"/>
          <w:szCs w:val="22"/>
        </w:rPr>
        <w:t>cases of colo</w:t>
      </w:r>
      <w:r w:rsidR="005C4804">
        <w:rPr>
          <w:rFonts w:cs="Arial"/>
          <w:sz w:val="22"/>
          <w:szCs w:val="22"/>
          <w:lang w:val="en-GB"/>
        </w:rPr>
        <w:t>rectal</w:t>
      </w:r>
      <w:r w:rsidRPr="00CA1E4C">
        <w:rPr>
          <w:rFonts w:cs="Arial"/>
          <w:sz w:val="22"/>
          <w:szCs w:val="22"/>
        </w:rPr>
        <w:t xml:space="preserve"> cancer </w:t>
      </w:r>
      <w:r w:rsidR="005C4804">
        <w:rPr>
          <w:rFonts w:cs="Arial"/>
          <w:sz w:val="22"/>
          <w:szCs w:val="22"/>
          <w:lang w:val="en-GB"/>
        </w:rPr>
        <w:t>each year</w:t>
      </w:r>
      <w:r w:rsidRPr="00CA1E4C">
        <w:rPr>
          <w:rFonts w:cs="Arial"/>
          <w:sz w:val="22"/>
          <w:szCs w:val="22"/>
        </w:rPr>
        <w:t xml:space="preserve"> in the UK, accounting for 11% of all cancers</w:t>
      </w:r>
      <w:r w:rsidRPr="001C643A">
        <w:rPr>
          <w:rFonts w:cs="Arial"/>
          <w:sz w:val="22"/>
          <w:szCs w:val="22"/>
        </w:rPr>
        <w:t>.</w:t>
      </w:r>
      <w:r w:rsidRPr="001C643A">
        <w:rPr>
          <w:rFonts w:cs="Arial"/>
          <w:sz w:val="22"/>
          <w:szCs w:val="22"/>
          <w:vertAlign w:val="superscript"/>
        </w:rPr>
        <w:t>1</w:t>
      </w:r>
      <w:r w:rsidRPr="001C643A">
        <w:rPr>
          <w:rFonts w:cs="Arial"/>
          <w:sz w:val="22"/>
          <w:szCs w:val="22"/>
        </w:rPr>
        <w:t xml:space="preserve"> </w:t>
      </w:r>
      <w:r w:rsidRPr="001C643A">
        <w:rPr>
          <w:rFonts w:cs="Arial"/>
          <w:sz w:val="22"/>
          <w:szCs w:val="22"/>
          <w:lang w:val="en-GB"/>
        </w:rPr>
        <w:t>Around 4 in 10 (43%) new cases of colorectal cancer in the UK were in people aged over 75 years, but it can affect young people too</w:t>
      </w:r>
      <w:r w:rsidRPr="001C643A">
        <w:rPr>
          <w:rFonts w:cs="Arial"/>
          <w:sz w:val="22"/>
          <w:szCs w:val="22"/>
          <w:vertAlign w:val="superscript"/>
          <w:lang w:val="en-GB"/>
        </w:rPr>
        <w:t>2</w:t>
      </w:r>
      <w:r w:rsidRPr="001C643A">
        <w:rPr>
          <w:rFonts w:cs="Arial"/>
          <w:sz w:val="22"/>
          <w:szCs w:val="22"/>
          <w:lang w:val="en-GB"/>
        </w:rPr>
        <w:t xml:space="preserve">. </w:t>
      </w:r>
    </w:p>
    <w:p w14:paraId="13D9A520" w14:textId="34364A1F" w:rsidR="00E46726" w:rsidRPr="001C643A" w:rsidRDefault="00EE1521" w:rsidP="00EE1521">
      <w:pPr>
        <w:pStyle w:val="BodyText"/>
        <w:rPr>
          <w:rFonts w:cs="Arial"/>
          <w:sz w:val="22"/>
          <w:szCs w:val="22"/>
        </w:rPr>
      </w:pPr>
      <w:r w:rsidRPr="00EE1521">
        <w:rPr>
          <w:rFonts w:cs="Arial"/>
          <w:sz w:val="22"/>
          <w:szCs w:val="22"/>
        </w:rPr>
        <w:t>Human epidermal growth factor receptor 2 (HER2) is a receptor for a growth factor which occurs naturally in the body. When human epidermal growth factor attaches itself to HER2 receptors on breast cancer cells, it can stimulate the cells to divide and grow</w:t>
      </w:r>
      <w:r>
        <w:rPr>
          <w:rFonts w:cs="Arial"/>
          <w:sz w:val="22"/>
          <w:szCs w:val="22"/>
          <w:lang w:val="en-GB"/>
        </w:rPr>
        <w:t>.</w:t>
      </w:r>
      <w:r w:rsidR="00E46726" w:rsidRPr="00E46726">
        <w:rPr>
          <w:rFonts w:cs="Arial"/>
          <w:sz w:val="22"/>
          <w:szCs w:val="22"/>
        </w:rPr>
        <w:t xml:space="preserve"> </w:t>
      </w:r>
      <w:r>
        <w:rPr>
          <w:rFonts w:cs="Arial"/>
          <w:sz w:val="22"/>
          <w:szCs w:val="22"/>
          <w:lang w:val="en-GB"/>
        </w:rPr>
        <w:t>Around 3 to 5% of metastatic colorectal cancer have HER2</w:t>
      </w:r>
      <w:r w:rsidR="00DC3E95">
        <w:rPr>
          <w:rFonts w:cs="Arial"/>
          <w:sz w:val="22"/>
          <w:szCs w:val="22"/>
          <w:lang w:val="en-GB"/>
        </w:rPr>
        <w:t>-postive</w:t>
      </w:r>
      <w:r>
        <w:rPr>
          <w:rFonts w:cs="Arial"/>
          <w:sz w:val="22"/>
          <w:szCs w:val="22"/>
          <w:lang w:val="en-GB"/>
        </w:rPr>
        <w:t xml:space="preserve"> mutations.</w:t>
      </w:r>
      <w:r w:rsidR="00DC3E95">
        <w:rPr>
          <w:rFonts w:cs="Arial"/>
          <w:sz w:val="22"/>
          <w:szCs w:val="22"/>
          <w:vertAlign w:val="superscript"/>
          <w:lang w:val="en-GB"/>
        </w:rPr>
        <w:t>3</w:t>
      </w:r>
      <w:r>
        <w:rPr>
          <w:rFonts w:cs="Arial"/>
          <w:sz w:val="22"/>
          <w:szCs w:val="22"/>
          <w:vertAlign w:val="superscript"/>
          <w:lang w:val="en-GB"/>
        </w:rPr>
        <w:t xml:space="preserve"> </w:t>
      </w:r>
      <w:r w:rsidR="00E46726" w:rsidRPr="00E46726">
        <w:rPr>
          <w:rFonts w:cs="Arial"/>
          <w:sz w:val="22"/>
          <w:szCs w:val="22"/>
        </w:rPr>
        <w:t>There are currently no NICE recommended treatments for patients with HER2</w:t>
      </w:r>
      <w:r w:rsidR="00DC3E95">
        <w:rPr>
          <w:rFonts w:cs="Arial"/>
          <w:sz w:val="22"/>
          <w:szCs w:val="22"/>
          <w:lang w:val="en-GB"/>
        </w:rPr>
        <w:t>-positive</w:t>
      </w:r>
      <w:r w:rsidR="00E46726" w:rsidRPr="00E46726">
        <w:rPr>
          <w:rFonts w:cs="Arial"/>
          <w:sz w:val="22"/>
          <w:szCs w:val="22"/>
        </w:rPr>
        <w:t xml:space="preserve"> metastatic colorectal cancer.</w:t>
      </w:r>
    </w:p>
    <w:p w14:paraId="29A410A3" w14:textId="3D8BA972" w:rsidR="00935046" w:rsidRDefault="00935046" w:rsidP="00935046">
      <w:pPr>
        <w:pStyle w:val="BodyText"/>
        <w:rPr>
          <w:rFonts w:cs="Arial"/>
          <w:sz w:val="22"/>
          <w:szCs w:val="22"/>
          <w:lang w:val="en-GB"/>
        </w:rPr>
      </w:pPr>
      <w:r w:rsidRPr="001C643A">
        <w:rPr>
          <w:rFonts w:cs="Arial"/>
          <w:sz w:val="22"/>
          <w:szCs w:val="22"/>
          <w:lang w:val="en-GB"/>
        </w:rPr>
        <w:t>Metastatic colorectal cancer treatment aims to prolong survival and im</w:t>
      </w:r>
      <w:r w:rsidRPr="009F3A30">
        <w:rPr>
          <w:rFonts w:cs="Arial"/>
          <w:sz w:val="22"/>
          <w:szCs w:val="22"/>
          <w:lang w:val="en-GB"/>
        </w:rPr>
        <w:t xml:space="preserve">prove quality of life. </w:t>
      </w:r>
      <w:r>
        <w:rPr>
          <w:rFonts w:cs="Arial"/>
          <w:sz w:val="22"/>
          <w:szCs w:val="22"/>
          <w:lang w:val="en-GB"/>
        </w:rPr>
        <w:t>T</w:t>
      </w:r>
      <w:r w:rsidRPr="009F3A30">
        <w:rPr>
          <w:rFonts w:cs="Arial"/>
          <w:sz w:val="22"/>
          <w:szCs w:val="22"/>
          <w:lang w:val="en-GB"/>
        </w:rPr>
        <w:t xml:space="preserve">reatment can involve a combination of surgery (to resect the primary tumour or the metastases), chemotherapy (to make the tumour or metastases resectable, or to manage the cancer), biological therapy, and radiotherapy. For people with untreated metastatic colorectal cancer, </w:t>
      </w:r>
      <w:hyperlink r:id="rId8" w:history="1">
        <w:r w:rsidRPr="009F3A30">
          <w:rPr>
            <w:rStyle w:val="Hyperlink"/>
            <w:rFonts w:cs="Arial"/>
            <w:sz w:val="22"/>
            <w:szCs w:val="22"/>
            <w:lang w:val="en-GB"/>
          </w:rPr>
          <w:t>NICE technology appraisal 61</w:t>
        </w:r>
      </w:hyperlink>
      <w:r w:rsidRPr="009F3A30">
        <w:rPr>
          <w:rFonts w:cs="Arial"/>
          <w:sz w:val="22"/>
          <w:szCs w:val="22"/>
          <w:lang w:val="en-GB"/>
        </w:rPr>
        <w:t xml:space="preserve"> recommends intravenous fluorouracil/folinic acid (5-FU/FA) or capecitabine. </w:t>
      </w:r>
      <w:hyperlink r:id="rId9" w:history="1">
        <w:r w:rsidRPr="009F3A30">
          <w:rPr>
            <w:rStyle w:val="Hyperlink"/>
            <w:rFonts w:cs="Arial"/>
            <w:sz w:val="22"/>
            <w:szCs w:val="22"/>
            <w:lang w:val="en-GB"/>
          </w:rPr>
          <w:t>NICE guideline 151</w:t>
        </w:r>
      </w:hyperlink>
      <w:r w:rsidRPr="009F3A30">
        <w:rPr>
          <w:rFonts w:cs="Arial"/>
          <w:sz w:val="22"/>
          <w:szCs w:val="22"/>
          <w:lang w:val="en-GB"/>
        </w:rPr>
        <w:t xml:space="preserve"> recommends either folinic acid plus fluorouracil plus oxaliplatin (FOLFOX) or capecitabine plus oxaliplatin (CAPOX) for untreated disease.</w:t>
      </w:r>
      <w:r w:rsidR="004F4CA2">
        <w:rPr>
          <w:rFonts w:cs="Arial"/>
          <w:sz w:val="22"/>
          <w:szCs w:val="22"/>
          <w:lang w:val="en-GB"/>
        </w:rPr>
        <w:t xml:space="preserve"> </w:t>
      </w:r>
      <w:hyperlink r:id="rId10" w:history="1">
        <w:r w:rsidR="004F4CA2" w:rsidRPr="009F3A30">
          <w:rPr>
            <w:rStyle w:val="Hyperlink"/>
            <w:rFonts w:cs="Arial"/>
            <w:sz w:val="22"/>
            <w:szCs w:val="22"/>
            <w:lang w:val="en-GB"/>
          </w:rPr>
          <w:t xml:space="preserve">NICE </w:t>
        </w:r>
        <w:r w:rsidR="00E46726">
          <w:rPr>
            <w:rStyle w:val="Hyperlink"/>
            <w:rFonts w:cs="Arial"/>
            <w:sz w:val="22"/>
            <w:szCs w:val="22"/>
            <w:lang w:val="en-GB"/>
          </w:rPr>
          <w:t>technology appraisal</w:t>
        </w:r>
        <w:r w:rsidR="004F4CA2" w:rsidRPr="009F3A30">
          <w:rPr>
            <w:rStyle w:val="Hyperlink"/>
            <w:rFonts w:cs="Arial"/>
            <w:sz w:val="22"/>
            <w:szCs w:val="22"/>
            <w:lang w:val="en-GB"/>
          </w:rPr>
          <w:t xml:space="preserve"> </w:t>
        </w:r>
        <w:r w:rsidR="004F4CA2">
          <w:rPr>
            <w:rStyle w:val="Hyperlink"/>
            <w:rFonts w:cs="Arial"/>
            <w:sz w:val="22"/>
            <w:szCs w:val="22"/>
            <w:lang w:val="en-GB"/>
          </w:rPr>
          <w:t>709</w:t>
        </w:r>
      </w:hyperlink>
      <w:r w:rsidR="004F4CA2">
        <w:rPr>
          <w:rStyle w:val="Hyperlink"/>
          <w:rFonts w:cs="Arial"/>
          <w:sz w:val="22"/>
          <w:szCs w:val="22"/>
          <w:lang w:val="en-GB"/>
        </w:rPr>
        <w:t xml:space="preserve">  </w:t>
      </w:r>
      <w:r w:rsidR="004F4CA2" w:rsidRPr="009F3A30">
        <w:rPr>
          <w:rFonts w:cs="Arial"/>
          <w:sz w:val="22"/>
          <w:szCs w:val="22"/>
          <w:lang w:val="en-GB"/>
        </w:rPr>
        <w:t xml:space="preserve">recommends </w:t>
      </w:r>
      <w:r w:rsidR="004F4CA2">
        <w:rPr>
          <w:rFonts w:cs="Arial"/>
          <w:sz w:val="22"/>
          <w:szCs w:val="22"/>
          <w:lang w:val="en-GB"/>
        </w:rPr>
        <w:t>pembrolizumab fo</w:t>
      </w:r>
      <w:r w:rsidR="0085001C">
        <w:rPr>
          <w:rFonts w:cs="Arial"/>
          <w:sz w:val="22"/>
          <w:szCs w:val="22"/>
          <w:lang w:val="en-GB"/>
        </w:rPr>
        <w:t>r people with high microsatellite instability or mismatch repair deficiency.</w:t>
      </w:r>
    </w:p>
    <w:p w14:paraId="161F0CF1" w14:textId="2566C808" w:rsidR="00935046" w:rsidRPr="00DB3338" w:rsidRDefault="00935046" w:rsidP="00935046">
      <w:pPr>
        <w:pStyle w:val="BodyText"/>
        <w:rPr>
          <w:rFonts w:cs="Arial"/>
          <w:sz w:val="22"/>
          <w:szCs w:val="22"/>
          <w:lang w:val="en-GB"/>
        </w:rPr>
      </w:pPr>
      <w:r w:rsidRPr="00DB3338">
        <w:rPr>
          <w:rFonts w:cs="Arial"/>
          <w:sz w:val="22"/>
          <w:szCs w:val="22"/>
          <w:lang w:val="en-GB"/>
        </w:rPr>
        <w:t xml:space="preserve">For people with previously treated metastatic colorectal cancer </w:t>
      </w:r>
      <w:hyperlink r:id="rId11" w:history="1">
        <w:r w:rsidRPr="00DB3338">
          <w:rPr>
            <w:rStyle w:val="Hyperlink"/>
            <w:rFonts w:cs="Arial"/>
            <w:sz w:val="22"/>
            <w:szCs w:val="22"/>
            <w:lang w:val="en-GB"/>
          </w:rPr>
          <w:t>NICE guideline 151</w:t>
        </w:r>
      </w:hyperlink>
      <w:r w:rsidRPr="00DB3338">
        <w:rPr>
          <w:rFonts w:cs="Arial"/>
          <w:sz w:val="22"/>
          <w:szCs w:val="22"/>
          <w:lang w:val="en-GB"/>
        </w:rPr>
        <w:t xml:space="preserve"> recommends folinic acid plus fluorouracil plus irinotecan (FOLFIRI), after either FOLFOX or CAPOX. </w:t>
      </w:r>
      <w:hyperlink r:id="rId12" w:history="1">
        <w:r w:rsidR="00454898" w:rsidRPr="00EF5805">
          <w:rPr>
            <w:rStyle w:val="Hyperlink"/>
            <w:rFonts w:cs="Arial"/>
            <w:sz w:val="22"/>
            <w:szCs w:val="22"/>
          </w:rPr>
          <w:t>NICE technology appraisal 866</w:t>
        </w:r>
      </w:hyperlink>
      <w:r w:rsidR="00454898" w:rsidRPr="00EF5805">
        <w:rPr>
          <w:rFonts w:cs="Arial"/>
          <w:sz w:val="22"/>
          <w:szCs w:val="22"/>
        </w:rPr>
        <w:t xml:space="preserve"> recommends regorafenib for patients with previously</w:t>
      </w:r>
      <w:r w:rsidR="00454898" w:rsidRPr="00EF5805">
        <w:rPr>
          <w:rFonts w:cs="Arial"/>
          <w:sz w:val="22"/>
          <w:szCs w:val="22"/>
        </w:rPr>
        <w:noBreakHyphen/>
        <w:t>treated metastatic colorectal cancer</w:t>
      </w:r>
      <w:r w:rsidR="00454898">
        <w:rPr>
          <w:rFonts w:cs="Arial"/>
          <w:sz w:val="22"/>
          <w:szCs w:val="22"/>
          <w:lang w:val="en-GB"/>
        </w:rPr>
        <w:t xml:space="preserve">. </w:t>
      </w:r>
      <w:r w:rsidRPr="00DB3338">
        <w:rPr>
          <w:rFonts w:cs="Arial"/>
          <w:sz w:val="22"/>
          <w:szCs w:val="22"/>
          <w:lang w:val="en-GB"/>
        </w:rPr>
        <w:t xml:space="preserve">Established clinical management for previously treated metastatic colorectal cancer is considered to be single-agent irinotecan (after FOLFOX) or raltitrexed (for patients with advanced colorectal cancer who are intolerant to 5-FU/FA, or for whom these drugs are not </w:t>
      </w:r>
      <w:r w:rsidRPr="00DB3338">
        <w:rPr>
          <w:rFonts w:cs="Arial"/>
          <w:sz w:val="22"/>
          <w:szCs w:val="22"/>
          <w:lang w:val="en-GB"/>
        </w:rPr>
        <w:lastRenderedPageBreak/>
        <w:t xml:space="preserve">suitable). </w:t>
      </w:r>
      <w:hyperlink r:id="rId13" w:history="1">
        <w:r w:rsidRPr="00DB3338">
          <w:rPr>
            <w:rStyle w:val="Hyperlink"/>
            <w:rFonts w:cs="Arial"/>
            <w:sz w:val="22"/>
            <w:szCs w:val="22"/>
            <w:lang w:val="en-GB"/>
          </w:rPr>
          <w:t>NICE technology appraisal 405</w:t>
        </w:r>
      </w:hyperlink>
      <w:r w:rsidRPr="00DB3338">
        <w:rPr>
          <w:rFonts w:cs="Arial"/>
          <w:sz w:val="22"/>
          <w:szCs w:val="22"/>
          <w:lang w:val="en-GB"/>
        </w:rPr>
        <w:t xml:space="preserve"> recommends trifluridine–tipiracil, if fluoropyrimidine-, oxaliplatin- or irinotecan-based chemotherapies, anti-vascular endothelial growth factor (VEGF) agents and anti-EGFR agents have failed or when these therapies are not suitable. If standard therapies are unsuccessful, not tolerated or contraindicated, people are treated with best supportive care to manage the symptoms and complications of the condition.</w:t>
      </w:r>
    </w:p>
    <w:p w14:paraId="40403738" w14:textId="62EE16F2" w:rsidR="00935046" w:rsidRPr="00CA1E4C" w:rsidRDefault="00935046" w:rsidP="00935046">
      <w:pPr>
        <w:pStyle w:val="BodyText"/>
        <w:rPr>
          <w:rFonts w:cs="Arial"/>
          <w:sz w:val="22"/>
          <w:szCs w:val="22"/>
          <w:lang w:val="en-GB"/>
        </w:rPr>
      </w:pPr>
      <w:r w:rsidRPr="00F14026">
        <w:rPr>
          <w:rFonts w:cs="Arial"/>
          <w:sz w:val="22"/>
          <w:szCs w:val="22"/>
          <w:lang w:val="en-GB"/>
        </w:rPr>
        <w:t>Nivolumab with ipilimumab can be offered as a treatment for those with high microsatellite instability or mismatch repair deficiency after fluoropyrimidine-based combination chemotherapy (</w:t>
      </w:r>
      <w:hyperlink r:id="rId14" w:history="1">
        <w:r w:rsidRPr="00F14026">
          <w:rPr>
            <w:rStyle w:val="Hyperlink"/>
            <w:rFonts w:cs="Arial"/>
            <w:sz w:val="22"/>
            <w:szCs w:val="22"/>
            <w:lang w:val="en-GB"/>
          </w:rPr>
          <w:t>NICE TA716</w:t>
        </w:r>
      </w:hyperlink>
      <w:r w:rsidRPr="00F14026">
        <w:rPr>
          <w:rFonts w:cs="Arial"/>
          <w:sz w:val="22"/>
          <w:szCs w:val="22"/>
          <w:lang w:val="en-GB"/>
        </w:rPr>
        <w:t>).</w:t>
      </w:r>
      <w:r>
        <w:rPr>
          <w:rFonts w:cs="Arial"/>
          <w:sz w:val="22"/>
          <w:szCs w:val="22"/>
          <w:lang w:val="en-GB"/>
        </w:rPr>
        <w:t xml:space="preserve"> </w:t>
      </w:r>
      <w:r w:rsidRPr="00F14026">
        <w:rPr>
          <w:rFonts w:cs="Arial"/>
          <w:sz w:val="22"/>
          <w:szCs w:val="22"/>
          <w:lang w:val="en-GB"/>
        </w:rPr>
        <w:t>For</w:t>
      </w:r>
      <w:r>
        <w:rPr>
          <w:rFonts w:cs="Arial"/>
          <w:sz w:val="22"/>
          <w:szCs w:val="22"/>
          <w:lang w:val="en-GB"/>
        </w:rPr>
        <w:t xml:space="preserve"> </w:t>
      </w:r>
      <w:r w:rsidRPr="00F14026">
        <w:rPr>
          <w:rFonts w:cs="Arial"/>
          <w:sz w:val="22"/>
          <w:szCs w:val="22"/>
          <w:lang w:val="en-GB"/>
        </w:rPr>
        <w:t>those with BRAF V600E mutation-positive metastatic colorectal cancer who have had previous systemic treatment</w:t>
      </w:r>
      <w:r>
        <w:rPr>
          <w:rFonts w:cs="Arial"/>
          <w:sz w:val="22"/>
          <w:szCs w:val="22"/>
          <w:lang w:val="en-GB"/>
        </w:rPr>
        <w:t xml:space="preserve">, </w:t>
      </w:r>
      <w:r w:rsidRPr="00F14026">
        <w:rPr>
          <w:rFonts w:cs="Arial"/>
          <w:sz w:val="22"/>
          <w:szCs w:val="22"/>
          <w:lang w:val="en-GB"/>
        </w:rPr>
        <w:t>encorafenib plus cetuximab is a treatment option (</w:t>
      </w:r>
      <w:hyperlink r:id="rId15" w:history="1">
        <w:r w:rsidRPr="00F14026">
          <w:rPr>
            <w:rStyle w:val="Hyperlink"/>
            <w:rFonts w:cs="Arial"/>
            <w:sz w:val="22"/>
            <w:szCs w:val="22"/>
            <w:lang w:val="en-GB"/>
          </w:rPr>
          <w:t>NICE TA668</w:t>
        </w:r>
      </w:hyperlink>
      <w:r w:rsidRPr="00F14026">
        <w:rPr>
          <w:rFonts w:cs="Arial"/>
          <w:sz w:val="22"/>
          <w:szCs w:val="22"/>
          <w:lang w:val="en-GB"/>
        </w:rPr>
        <w:t>)</w:t>
      </w:r>
      <w:r>
        <w:rPr>
          <w:rFonts w:cs="Arial"/>
          <w:sz w:val="22"/>
          <w:szCs w:val="22"/>
          <w:lang w:val="en-GB"/>
        </w:rPr>
        <w:t xml:space="preserve">. </w:t>
      </w:r>
    </w:p>
    <w:bookmarkEnd w:id="2"/>
    <w:bookmarkEnd w:id="3"/>
    <w:p w14:paraId="7A9325A0" w14:textId="77777777" w:rsidR="00935046" w:rsidRPr="00E970E0" w:rsidRDefault="00935046" w:rsidP="00935046">
      <w:pPr>
        <w:pStyle w:val="Heading1"/>
        <w:rPr>
          <w:rFonts w:cs="Arial"/>
          <w:sz w:val="22"/>
          <w:szCs w:val="22"/>
        </w:rPr>
      </w:pPr>
      <w:r w:rsidRPr="00E970E0">
        <w:rPr>
          <w:rFonts w:cs="Arial"/>
          <w:sz w:val="22"/>
          <w:szCs w:val="22"/>
        </w:rPr>
        <w:t>The technology</w:t>
      </w:r>
    </w:p>
    <w:p w14:paraId="3751862A" w14:textId="538BCA36" w:rsidR="00D4369D" w:rsidRPr="00A62EF5" w:rsidRDefault="00935046" w:rsidP="00A62EF5">
      <w:pPr>
        <w:pStyle w:val="BodyText"/>
        <w:rPr>
          <w:rFonts w:cs="Arial"/>
          <w:sz w:val="22"/>
          <w:szCs w:val="22"/>
          <w:lang w:val="en-GB"/>
        </w:rPr>
      </w:pPr>
      <w:r w:rsidRPr="00935046">
        <w:rPr>
          <w:rFonts w:cs="Arial"/>
          <w:sz w:val="22"/>
          <w:szCs w:val="22"/>
        </w:rPr>
        <w:t xml:space="preserve">Tucatinib </w:t>
      </w:r>
      <w:r w:rsidR="00683DB7">
        <w:rPr>
          <w:rFonts w:cs="Arial"/>
          <w:sz w:val="22"/>
          <w:szCs w:val="22"/>
          <w:lang w:val="en-GB"/>
        </w:rPr>
        <w:t xml:space="preserve">(Tukysa, Seagen) </w:t>
      </w:r>
      <w:r w:rsidRPr="00935046">
        <w:rPr>
          <w:rFonts w:cs="Arial"/>
          <w:sz w:val="22"/>
          <w:szCs w:val="22"/>
        </w:rPr>
        <w:t>with trastuzumab</w:t>
      </w:r>
      <w:r w:rsidRPr="00FB37A8">
        <w:rPr>
          <w:rFonts w:cs="Arial"/>
          <w:b/>
          <w:bCs/>
          <w:sz w:val="22"/>
          <w:szCs w:val="22"/>
        </w:rPr>
        <w:t xml:space="preserve"> </w:t>
      </w:r>
      <w:r>
        <w:rPr>
          <w:rFonts w:cs="Arial"/>
          <w:sz w:val="22"/>
          <w:szCs w:val="22"/>
          <w:lang w:val="en-GB"/>
        </w:rPr>
        <w:t xml:space="preserve">does not currently have a marketing authorisation in the UK for the treatment of </w:t>
      </w:r>
      <w:r w:rsidRPr="00935046">
        <w:rPr>
          <w:rFonts w:cs="Arial"/>
          <w:sz w:val="22"/>
          <w:szCs w:val="22"/>
          <w:lang w:val="en-GB"/>
        </w:rPr>
        <w:t xml:space="preserve">adults with previously treated HER2-positive colorectal cancer. It </w:t>
      </w:r>
      <w:r w:rsidR="00A62EF5">
        <w:rPr>
          <w:rFonts w:cs="Arial"/>
          <w:sz w:val="22"/>
          <w:szCs w:val="22"/>
          <w:lang w:val="en-GB"/>
        </w:rPr>
        <w:t xml:space="preserve">has been </w:t>
      </w:r>
      <w:r w:rsidR="00A62EF5" w:rsidRPr="00EF5805">
        <w:rPr>
          <w:rFonts w:cs="Arial"/>
          <w:sz w:val="22"/>
          <w:szCs w:val="22"/>
        </w:rPr>
        <w:t>evaluated in a Phase 2, open label</w:t>
      </w:r>
      <w:r w:rsidR="00A62EF5">
        <w:rPr>
          <w:rFonts w:cs="Arial"/>
          <w:sz w:val="22"/>
          <w:szCs w:val="22"/>
          <w:lang w:val="en-GB"/>
        </w:rPr>
        <w:t xml:space="preserve"> </w:t>
      </w:r>
      <w:r w:rsidR="00A62EF5" w:rsidRPr="00EF5805">
        <w:rPr>
          <w:rFonts w:cs="Arial"/>
          <w:sz w:val="22"/>
          <w:szCs w:val="22"/>
        </w:rPr>
        <w:t>trial in combination with trastuzumab in patients with HER2-positive metastatic cancer who have received previous treatment</w:t>
      </w:r>
      <w:r w:rsidR="00A62EF5">
        <w:rPr>
          <w:rFonts w:cs="Arial"/>
          <w:sz w:val="22"/>
          <w:szCs w:val="22"/>
          <w:lang w:val="en-GB"/>
        </w:rPr>
        <w:t>.</w:t>
      </w:r>
    </w:p>
    <w:tbl>
      <w:tblPr>
        <w:tblpPr w:leftFromText="180" w:rightFromText="180" w:vertAnchor="text" w:tblpY="1"/>
        <w:tblOverlap w:val="neve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19"/>
        <w:gridCol w:w="6494"/>
      </w:tblGrid>
      <w:tr w:rsidR="003D5174" w:rsidRPr="00E970E0" w14:paraId="06DE95C2" w14:textId="77777777" w:rsidTr="00AC55F7">
        <w:tc>
          <w:tcPr>
            <w:tcW w:w="2119" w:type="dxa"/>
            <w:shd w:val="clear" w:color="auto" w:fill="D9D9D9"/>
          </w:tcPr>
          <w:p w14:paraId="480EB26D" w14:textId="77777777" w:rsidR="003D5174" w:rsidRPr="00E970E0" w:rsidRDefault="003D5174" w:rsidP="00800634">
            <w:pPr>
              <w:spacing w:before="120"/>
              <w:rPr>
                <w:rFonts w:cs="Arial"/>
                <w:b/>
                <w:bCs/>
                <w:sz w:val="22"/>
                <w:szCs w:val="22"/>
              </w:rPr>
            </w:pPr>
            <w:r w:rsidRPr="00E970E0">
              <w:rPr>
                <w:rFonts w:cs="Arial"/>
                <w:b/>
                <w:bCs/>
                <w:sz w:val="22"/>
                <w:szCs w:val="22"/>
              </w:rPr>
              <w:t>Intervention(s)</w:t>
            </w:r>
          </w:p>
        </w:tc>
        <w:tc>
          <w:tcPr>
            <w:tcW w:w="6494" w:type="dxa"/>
          </w:tcPr>
          <w:p w14:paraId="76DFE845" w14:textId="4611CE34" w:rsidR="003D5174" w:rsidRPr="00E970E0" w:rsidRDefault="0056172B" w:rsidP="00800634">
            <w:pPr>
              <w:pStyle w:val="BodyText2"/>
              <w:rPr>
                <w:rFonts w:cs="Arial"/>
                <w:sz w:val="22"/>
                <w:szCs w:val="22"/>
                <w:lang w:val="en-GB"/>
              </w:rPr>
            </w:pPr>
            <w:r w:rsidRPr="00935046">
              <w:rPr>
                <w:rFonts w:cs="Arial"/>
                <w:sz w:val="22"/>
                <w:szCs w:val="22"/>
              </w:rPr>
              <w:t>Tucatinib with trastuzumab</w:t>
            </w:r>
          </w:p>
        </w:tc>
      </w:tr>
      <w:tr w:rsidR="003D5174" w:rsidRPr="00E970E0" w14:paraId="43F77632" w14:textId="77777777" w:rsidTr="00AC55F7">
        <w:tc>
          <w:tcPr>
            <w:tcW w:w="2119" w:type="dxa"/>
            <w:shd w:val="clear" w:color="auto" w:fill="D9D9D9"/>
          </w:tcPr>
          <w:p w14:paraId="2423DC2A" w14:textId="77777777" w:rsidR="003D5174" w:rsidRPr="00E970E0" w:rsidRDefault="003D5174" w:rsidP="00800634">
            <w:pPr>
              <w:pStyle w:val="Header"/>
              <w:tabs>
                <w:tab w:val="clear" w:pos="4153"/>
                <w:tab w:val="clear" w:pos="8306"/>
              </w:tabs>
              <w:spacing w:before="120"/>
              <w:rPr>
                <w:rFonts w:cs="Arial"/>
                <w:sz w:val="22"/>
                <w:szCs w:val="22"/>
                <w:lang w:val="en-GB"/>
              </w:rPr>
            </w:pPr>
            <w:r w:rsidRPr="00E970E0">
              <w:rPr>
                <w:rFonts w:cs="Arial"/>
                <w:b/>
                <w:bCs/>
                <w:sz w:val="22"/>
                <w:szCs w:val="22"/>
                <w:lang w:val="en-GB"/>
              </w:rPr>
              <w:t>Population(s)</w:t>
            </w:r>
          </w:p>
        </w:tc>
        <w:tc>
          <w:tcPr>
            <w:tcW w:w="6494" w:type="dxa"/>
          </w:tcPr>
          <w:p w14:paraId="0EC202F0" w14:textId="2B60AAA4" w:rsidR="003D5174" w:rsidRPr="00F47BAF" w:rsidRDefault="003D5174" w:rsidP="00800634">
            <w:pPr>
              <w:pStyle w:val="BodyText2"/>
              <w:rPr>
                <w:rFonts w:cs="Arial"/>
                <w:sz w:val="22"/>
                <w:szCs w:val="22"/>
                <w:lang w:val="en-GB"/>
              </w:rPr>
            </w:pPr>
            <w:bookmarkStart w:id="4" w:name="Text39"/>
            <w:r w:rsidRPr="00F47BAF">
              <w:rPr>
                <w:rFonts w:cs="Arial"/>
                <w:sz w:val="22"/>
                <w:szCs w:val="22"/>
                <w:lang w:val="en-GB"/>
              </w:rPr>
              <w:t xml:space="preserve">Adults with </w:t>
            </w:r>
            <w:r w:rsidRPr="0010216D">
              <w:rPr>
                <w:rFonts w:cs="Arial"/>
                <w:sz w:val="22"/>
                <w:szCs w:val="22"/>
                <w:lang w:val="en-GB"/>
              </w:rPr>
              <w:t xml:space="preserve">previously treated </w:t>
            </w:r>
            <w:r w:rsidR="0056172B">
              <w:rPr>
                <w:rFonts w:cs="Arial"/>
                <w:sz w:val="22"/>
                <w:szCs w:val="22"/>
                <w:lang w:val="en-GB"/>
              </w:rPr>
              <w:t>HER2-positive</w:t>
            </w:r>
            <w:r w:rsidR="00E64666">
              <w:rPr>
                <w:rFonts w:cs="Arial"/>
                <w:sz w:val="22"/>
                <w:szCs w:val="22"/>
                <w:lang w:val="en-GB"/>
              </w:rPr>
              <w:t>, unresectable or metastatic</w:t>
            </w:r>
            <w:r w:rsidRPr="00F47BAF">
              <w:rPr>
                <w:rFonts w:cs="Arial"/>
                <w:sz w:val="22"/>
                <w:szCs w:val="22"/>
                <w:lang w:val="en-GB"/>
              </w:rPr>
              <w:t xml:space="preserve"> colorectal cancer</w:t>
            </w:r>
            <w:bookmarkEnd w:id="4"/>
          </w:p>
        </w:tc>
      </w:tr>
      <w:tr w:rsidR="003D5174" w:rsidRPr="00E970E0" w14:paraId="2A7EEA12" w14:textId="77777777" w:rsidTr="00AC55F7">
        <w:tc>
          <w:tcPr>
            <w:tcW w:w="2119" w:type="dxa"/>
            <w:shd w:val="clear" w:color="auto" w:fill="D9D9D9"/>
          </w:tcPr>
          <w:p w14:paraId="160FA0FE" w14:textId="77777777" w:rsidR="003D5174" w:rsidRPr="00E970E0" w:rsidRDefault="003D5174" w:rsidP="00800634">
            <w:pPr>
              <w:pStyle w:val="Header"/>
              <w:tabs>
                <w:tab w:val="clear" w:pos="4153"/>
                <w:tab w:val="clear" w:pos="8306"/>
              </w:tabs>
              <w:spacing w:before="120"/>
              <w:rPr>
                <w:rFonts w:cs="Arial"/>
                <w:sz w:val="22"/>
                <w:szCs w:val="22"/>
                <w:lang w:val="en-GB"/>
              </w:rPr>
            </w:pPr>
            <w:r w:rsidRPr="00E970E0">
              <w:rPr>
                <w:rFonts w:cs="Arial"/>
                <w:b/>
                <w:bCs/>
                <w:sz w:val="22"/>
                <w:szCs w:val="22"/>
                <w:lang w:val="en-GB"/>
              </w:rPr>
              <w:t>Comparators</w:t>
            </w:r>
          </w:p>
        </w:tc>
        <w:tc>
          <w:tcPr>
            <w:tcW w:w="6494" w:type="dxa"/>
          </w:tcPr>
          <w:p w14:paraId="709FF55B" w14:textId="77777777" w:rsidR="003D5174" w:rsidRDefault="003D5174" w:rsidP="00800634">
            <w:pPr>
              <w:pStyle w:val="BodyText"/>
              <w:numPr>
                <w:ilvl w:val="0"/>
                <w:numId w:val="29"/>
              </w:numPr>
              <w:spacing w:before="120" w:after="120"/>
              <w:rPr>
                <w:sz w:val="22"/>
                <w:szCs w:val="22"/>
                <w:lang w:val="en-GB"/>
              </w:rPr>
            </w:pPr>
            <w:r>
              <w:rPr>
                <w:sz w:val="22"/>
                <w:szCs w:val="22"/>
                <w:lang w:val="en-GB"/>
              </w:rPr>
              <w:t>Single-agent irinotecan (after FOLFOX)</w:t>
            </w:r>
          </w:p>
          <w:p w14:paraId="43949008" w14:textId="77777777" w:rsidR="003D5174" w:rsidRDefault="003D5174" w:rsidP="00800634">
            <w:pPr>
              <w:pStyle w:val="BodyText"/>
              <w:numPr>
                <w:ilvl w:val="0"/>
                <w:numId w:val="29"/>
              </w:numPr>
              <w:spacing w:before="120" w:after="120"/>
              <w:rPr>
                <w:sz w:val="22"/>
                <w:szCs w:val="22"/>
                <w:lang w:val="en-GB"/>
              </w:rPr>
            </w:pPr>
            <w:r>
              <w:rPr>
                <w:sz w:val="22"/>
                <w:szCs w:val="22"/>
                <w:lang w:val="en-GB"/>
              </w:rPr>
              <w:t>FOLFIRI (after either FOLFOX or CAPOX)</w:t>
            </w:r>
          </w:p>
          <w:p w14:paraId="35665301" w14:textId="77777777" w:rsidR="003D5174" w:rsidRDefault="003D5174" w:rsidP="00800634">
            <w:pPr>
              <w:pStyle w:val="BodyText"/>
              <w:numPr>
                <w:ilvl w:val="0"/>
                <w:numId w:val="29"/>
              </w:numPr>
              <w:spacing w:before="120" w:after="120"/>
              <w:rPr>
                <w:sz w:val="22"/>
                <w:szCs w:val="22"/>
                <w:lang w:val="en-GB"/>
              </w:rPr>
            </w:pPr>
            <w:r>
              <w:rPr>
                <w:sz w:val="22"/>
                <w:szCs w:val="22"/>
                <w:lang w:val="en-GB"/>
              </w:rPr>
              <w:t>FOLFOX (after either FOLFIRI or CAPOX)</w:t>
            </w:r>
          </w:p>
          <w:p w14:paraId="318B2DDF" w14:textId="77777777" w:rsidR="003D5174" w:rsidRDefault="003D5174" w:rsidP="00800634">
            <w:pPr>
              <w:numPr>
                <w:ilvl w:val="0"/>
                <w:numId w:val="29"/>
              </w:numPr>
              <w:spacing w:before="120" w:after="120"/>
              <w:rPr>
                <w:rFonts w:cs="Times New Roman"/>
                <w:sz w:val="22"/>
                <w:szCs w:val="22"/>
              </w:rPr>
            </w:pPr>
            <w:r>
              <w:rPr>
                <w:rFonts w:cs="Times New Roman"/>
                <w:sz w:val="22"/>
                <w:szCs w:val="22"/>
              </w:rPr>
              <w:t xml:space="preserve">Raltitrexed (if </w:t>
            </w:r>
            <w:r>
              <w:rPr>
                <w:sz w:val="22"/>
                <w:szCs w:val="22"/>
              </w:rPr>
              <w:t>5-FU/FA</w:t>
            </w:r>
            <w:r>
              <w:rPr>
                <w:rFonts w:cs="Times New Roman"/>
                <w:sz w:val="22"/>
                <w:szCs w:val="22"/>
              </w:rPr>
              <w:t xml:space="preserve"> are not suitable)</w:t>
            </w:r>
          </w:p>
          <w:p w14:paraId="436B9C0D" w14:textId="77777777" w:rsidR="003D5174" w:rsidRDefault="003D5174" w:rsidP="00800634">
            <w:pPr>
              <w:numPr>
                <w:ilvl w:val="0"/>
                <w:numId w:val="29"/>
              </w:numPr>
              <w:spacing w:before="120" w:after="120"/>
              <w:rPr>
                <w:rFonts w:cs="Arial"/>
                <w:sz w:val="22"/>
                <w:szCs w:val="22"/>
              </w:rPr>
            </w:pPr>
            <w:r>
              <w:rPr>
                <w:rFonts w:cs="Arial"/>
                <w:sz w:val="22"/>
                <w:szCs w:val="22"/>
              </w:rPr>
              <w:t>Trifluridine–tipiracil</w:t>
            </w:r>
          </w:p>
          <w:p w14:paraId="124E88F9" w14:textId="77777777" w:rsidR="003D5174" w:rsidRDefault="003D5174" w:rsidP="00800634">
            <w:pPr>
              <w:numPr>
                <w:ilvl w:val="0"/>
                <w:numId w:val="29"/>
              </w:numPr>
              <w:spacing w:before="120" w:after="120"/>
              <w:rPr>
                <w:rFonts w:cs="Arial"/>
                <w:sz w:val="22"/>
                <w:szCs w:val="22"/>
              </w:rPr>
            </w:pPr>
            <w:r>
              <w:rPr>
                <w:rFonts w:cs="Arial"/>
                <w:sz w:val="22"/>
                <w:szCs w:val="22"/>
              </w:rPr>
              <w:t>Regorafenib</w:t>
            </w:r>
          </w:p>
          <w:p w14:paraId="70DEB2D1" w14:textId="5C6622BC" w:rsidR="003D5174" w:rsidRPr="003D5174" w:rsidRDefault="003D5174" w:rsidP="00800634">
            <w:pPr>
              <w:pStyle w:val="BodyText2"/>
              <w:numPr>
                <w:ilvl w:val="0"/>
                <w:numId w:val="29"/>
              </w:numPr>
              <w:rPr>
                <w:rFonts w:cs="Arial"/>
                <w:sz w:val="22"/>
                <w:szCs w:val="22"/>
                <w:lang w:val="en-GB"/>
              </w:rPr>
            </w:pPr>
            <w:r>
              <w:rPr>
                <w:rFonts w:cs="Arial"/>
                <w:sz w:val="22"/>
                <w:szCs w:val="22"/>
              </w:rPr>
              <w:t>Best supportive care</w:t>
            </w:r>
          </w:p>
        </w:tc>
      </w:tr>
      <w:tr w:rsidR="003D5174" w:rsidRPr="00E970E0" w14:paraId="19C731D3" w14:textId="77777777" w:rsidTr="00AC55F7">
        <w:tc>
          <w:tcPr>
            <w:tcW w:w="2119" w:type="dxa"/>
            <w:shd w:val="clear" w:color="auto" w:fill="D9D9D9"/>
          </w:tcPr>
          <w:p w14:paraId="61E68EFA" w14:textId="77777777" w:rsidR="003D5174" w:rsidRPr="00E970E0" w:rsidRDefault="003D5174" w:rsidP="00800634">
            <w:pPr>
              <w:pStyle w:val="Header"/>
              <w:tabs>
                <w:tab w:val="clear" w:pos="4153"/>
                <w:tab w:val="clear" w:pos="8306"/>
              </w:tabs>
              <w:spacing w:before="120"/>
              <w:rPr>
                <w:rFonts w:cs="Arial"/>
                <w:sz w:val="22"/>
                <w:szCs w:val="22"/>
                <w:lang w:val="en-GB"/>
              </w:rPr>
            </w:pPr>
            <w:r w:rsidRPr="00E970E0">
              <w:rPr>
                <w:rFonts w:cs="Arial"/>
                <w:b/>
                <w:bCs/>
                <w:sz w:val="22"/>
                <w:szCs w:val="22"/>
                <w:lang w:val="en-GB"/>
              </w:rPr>
              <w:t>Outcomes</w:t>
            </w:r>
          </w:p>
        </w:tc>
        <w:tc>
          <w:tcPr>
            <w:tcW w:w="6494" w:type="dxa"/>
          </w:tcPr>
          <w:p w14:paraId="6507EFE0" w14:textId="77777777" w:rsidR="003D5174" w:rsidRPr="00E970E0" w:rsidRDefault="003D5174" w:rsidP="00800634">
            <w:pPr>
              <w:pStyle w:val="BodyText2"/>
              <w:rPr>
                <w:rFonts w:cs="Arial"/>
                <w:sz w:val="22"/>
                <w:szCs w:val="22"/>
                <w:lang w:val="en-GB"/>
              </w:rPr>
            </w:pPr>
            <w:r w:rsidRPr="00E970E0">
              <w:rPr>
                <w:rFonts w:cs="Arial"/>
                <w:sz w:val="22"/>
                <w:szCs w:val="22"/>
                <w:lang w:val="en-GB"/>
              </w:rPr>
              <w:t>The outcome measures to be considered include:</w:t>
            </w:r>
          </w:p>
          <w:p w14:paraId="7C8A4328" w14:textId="454F49CA" w:rsidR="003D5174" w:rsidRDefault="000A2935" w:rsidP="00800634">
            <w:pPr>
              <w:numPr>
                <w:ilvl w:val="0"/>
                <w:numId w:val="11"/>
              </w:numPr>
              <w:spacing w:before="120" w:after="120"/>
              <w:rPr>
                <w:rFonts w:cs="Arial"/>
                <w:sz w:val="22"/>
                <w:szCs w:val="22"/>
              </w:rPr>
            </w:pPr>
            <w:r>
              <w:rPr>
                <w:rFonts w:cs="Arial"/>
                <w:sz w:val="22"/>
                <w:szCs w:val="22"/>
              </w:rPr>
              <w:t>O</w:t>
            </w:r>
            <w:r w:rsidR="003D5174">
              <w:rPr>
                <w:rFonts w:cs="Arial"/>
                <w:sz w:val="22"/>
                <w:szCs w:val="22"/>
              </w:rPr>
              <w:t>verall survival</w:t>
            </w:r>
          </w:p>
          <w:p w14:paraId="5F3F4D1D" w14:textId="0AF5C8F9" w:rsidR="003D5174" w:rsidRDefault="007A5122" w:rsidP="00800634">
            <w:pPr>
              <w:numPr>
                <w:ilvl w:val="0"/>
                <w:numId w:val="11"/>
              </w:numPr>
              <w:spacing w:before="120" w:after="120"/>
              <w:rPr>
                <w:rFonts w:cs="Arial"/>
                <w:sz w:val="22"/>
                <w:szCs w:val="22"/>
              </w:rPr>
            </w:pPr>
            <w:r>
              <w:rPr>
                <w:rFonts w:cs="Arial"/>
                <w:sz w:val="22"/>
                <w:szCs w:val="22"/>
              </w:rPr>
              <w:t>P</w:t>
            </w:r>
            <w:r w:rsidR="000A2935">
              <w:rPr>
                <w:rFonts w:cs="Arial"/>
                <w:sz w:val="22"/>
                <w:szCs w:val="22"/>
              </w:rPr>
              <w:t>r</w:t>
            </w:r>
            <w:r w:rsidR="003D5174">
              <w:rPr>
                <w:rFonts w:cs="Arial"/>
                <w:sz w:val="22"/>
                <w:szCs w:val="22"/>
              </w:rPr>
              <w:t>ogression-free survival</w:t>
            </w:r>
          </w:p>
          <w:p w14:paraId="1A7E4DD8" w14:textId="4B11B54B" w:rsidR="003D5174" w:rsidRPr="00174AA0" w:rsidRDefault="000A2935" w:rsidP="00800634">
            <w:pPr>
              <w:numPr>
                <w:ilvl w:val="0"/>
                <w:numId w:val="11"/>
              </w:numPr>
              <w:spacing w:before="120" w:after="120"/>
              <w:rPr>
                <w:rFonts w:cs="Arial"/>
                <w:sz w:val="22"/>
                <w:szCs w:val="22"/>
              </w:rPr>
            </w:pPr>
            <w:r>
              <w:rPr>
                <w:rFonts w:cs="Arial"/>
                <w:sz w:val="22"/>
                <w:szCs w:val="22"/>
              </w:rPr>
              <w:t>R</w:t>
            </w:r>
            <w:r w:rsidR="003D5174">
              <w:rPr>
                <w:rFonts w:cs="Arial"/>
                <w:sz w:val="22"/>
                <w:szCs w:val="22"/>
              </w:rPr>
              <w:t>esponse rates</w:t>
            </w:r>
          </w:p>
          <w:p w14:paraId="7A7D180E" w14:textId="0164DAC9" w:rsidR="003D5174" w:rsidRDefault="000A2935" w:rsidP="00800634">
            <w:pPr>
              <w:numPr>
                <w:ilvl w:val="0"/>
                <w:numId w:val="11"/>
              </w:numPr>
              <w:spacing w:before="120" w:after="120"/>
              <w:rPr>
                <w:rFonts w:cs="Arial"/>
                <w:sz w:val="22"/>
                <w:szCs w:val="22"/>
              </w:rPr>
            </w:pPr>
            <w:r>
              <w:rPr>
                <w:rFonts w:cs="Arial"/>
                <w:sz w:val="22"/>
                <w:szCs w:val="22"/>
              </w:rPr>
              <w:t>A</w:t>
            </w:r>
            <w:r w:rsidR="003D5174" w:rsidRPr="00E970E0">
              <w:rPr>
                <w:rFonts w:cs="Arial"/>
                <w:sz w:val="22"/>
                <w:szCs w:val="22"/>
              </w:rPr>
              <w:t>dverse effects of treatment</w:t>
            </w:r>
          </w:p>
          <w:p w14:paraId="29B2B376" w14:textId="729C9F76" w:rsidR="000A2935" w:rsidRPr="00E970E0" w:rsidRDefault="000A2935" w:rsidP="00800634">
            <w:pPr>
              <w:numPr>
                <w:ilvl w:val="0"/>
                <w:numId w:val="11"/>
              </w:numPr>
              <w:spacing w:before="120" w:after="120"/>
              <w:rPr>
                <w:rFonts w:cs="Arial"/>
                <w:sz w:val="22"/>
                <w:szCs w:val="22"/>
              </w:rPr>
            </w:pPr>
            <w:r>
              <w:rPr>
                <w:rFonts w:cs="Arial"/>
                <w:sz w:val="22"/>
                <w:szCs w:val="22"/>
              </w:rPr>
              <w:t>Duration of response</w:t>
            </w:r>
          </w:p>
          <w:p w14:paraId="2C10C0F5" w14:textId="122BB214" w:rsidR="003D5174" w:rsidRPr="00171A3A" w:rsidRDefault="000A2935" w:rsidP="00800634">
            <w:pPr>
              <w:numPr>
                <w:ilvl w:val="0"/>
                <w:numId w:val="11"/>
              </w:numPr>
              <w:spacing w:before="120" w:after="120"/>
              <w:rPr>
                <w:rFonts w:cs="Arial"/>
                <w:sz w:val="22"/>
                <w:szCs w:val="22"/>
              </w:rPr>
            </w:pPr>
            <w:r>
              <w:rPr>
                <w:rFonts w:cs="Arial"/>
                <w:sz w:val="22"/>
                <w:szCs w:val="22"/>
              </w:rPr>
              <w:t>H</w:t>
            </w:r>
            <w:r w:rsidR="003D5174" w:rsidRPr="00E970E0">
              <w:rPr>
                <w:rFonts w:cs="Arial"/>
                <w:sz w:val="22"/>
                <w:szCs w:val="22"/>
              </w:rPr>
              <w:t>ealth-related quality of life</w:t>
            </w:r>
          </w:p>
        </w:tc>
      </w:tr>
      <w:tr w:rsidR="003D5174" w:rsidRPr="00E970E0" w14:paraId="13326120" w14:textId="77777777" w:rsidTr="00AC55F7">
        <w:tc>
          <w:tcPr>
            <w:tcW w:w="2119" w:type="dxa"/>
            <w:shd w:val="clear" w:color="auto" w:fill="D9D9D9"/>
          </w:tcPr>
          <w:p w14:paraId="09CF35AF" w14:textId="77777777" w:rsidR="003D5174" w:rsidRPr="00E970E0" w:rsidRDefault="003D5174" w:rsidP="00800634">
            <w:pPr>
              <w:pStyle w:val="Header"/>
              <w:tabs>
                <w:tab w:val="clear" w:pos="4153"/>
                <w:tab w:val="clear" w:pos="8306"/>
              </w:tabs>
              <w:spacing w:before="120"/>
              <w:rPr>
                <w:rFonts w:cs="Arial"/>
                <w:sz w:val="22"/>
                <w:szCs w:val="22"/>
                <w:lang w:val="en-GB"/>
              </w:rPr>
            </w:pPr>
            <w:r w:rsidRPr="00E970E0">
              <w:rPr>
                <w:rFonts w:cs="Arial"/>
                <w:b/>
                <w:bCs/>
                <w:sz w:val="22"/>
                <w:szCs w:val="22"/>
                <w:lang w:val="en-GB"/>
              </w:rPr>
              <w:t>Economic analysis</w:t>
            </w:r>
          </w:p>
        </w:tc>
        <w:tc>
          <w:tcPr>
            <w:tcW w:w="6494" w:type="dxa"/>
          </w:tcPr>
          <w:p w14:paraId="6D4B3FBB" w14:textId="77777777" w:rsidR="003D5174" w:rsidRDefault="003D5174" w:rsidP="00800634">
            <w:pPr>
              <w:pStyle w:val="BodyText2"/>
              <w:rPr>
                <w:rFonts w:cs="Arial"/>
                <w:sz w:val="22"/>
                <w:szCs w:val="22"/>
                <w:lang w:val="en-GB"/>
              </w:rPr>
            </w:pPr>
            <w:r w:rsidRPr="00E970E0">
              <w:rPr>
                <w:rFonts w:cs="Arial"/>
                <w:sz w:val="22"/>
                <w:szCs w:val="22"/>
                <w:lang w:val="en-GB"/>
              </w:rPr>
              <w:t>The reference case stipulates that the cost effectiveness of treatments should be expressed in terms of incremental cost per quality-adjusted life year.</w:t>
            </w:r>
          </w:p>
          <w:p w14:paraId="7AD8DBDF" w14:textId="77777777" w:rsidR="003D5174" w:rsidRPr="00E970E0" w:rsidRDefault="003D5174" w:rsidP="00800634">
            <w:pPr>
              <w:pStyle w:val="BodyText2"/>
              <w:rPr>
                <w:rFonts w:cs="Arial"/>
                <w:sz w:val="22"/>
                <w:szCs w:val="22"/>
                <w:lang w:val="en-GB"/>
              </w:rPr>
            </w:pPr>
            <w:r w:rsidRPr="00E970E0">
              <w:rPr>
                <w:rFonts w:cs="Arial"/>
                <w:sz w:val="22"/>
                <w:szCs w:val="22"/>
                <w:lang w:val="en-GB"/>
              </w:rPr>
              <w:lastRenderedPageBreak/>
              <w:t>The reference case stipulates that the time horizon for estimating clinical and cost effectiveness should be sufficiently long to reflect any differences in costs or outcomes between the technologies being compared.</w:t>
            </w:r>
          </w:p>
          <w:p w14:paraId="6C77EC6D" w14:textId="77777777" w:rsidR="003D5174" w:rsidRDefault="003D5174" w:rsidP="00800634">
            <w:pPr>
              <w:pStyle w:val="BodyText2"/>
              <w:rPr>
                <w:rFonts w:cs="Arial"/>
                <w:sz w:val="22"/>
                <w:szCs w:val="22"/>
                <w:lang w:val="en-GB"/>
              </w:rPr>
            </w:pPr>
            <w:r w:rsidRPr="00E970E0">
              <w:rPr>
                <w:rFonts w:cs="Arial"/>
                <w:sz w:val="22"/>
                <w:szCs w:val="22"/>
                <w:lang w:val="en-GB"/>
              </w:rPr>
              <w:t>Costs will be considered from an NHS and Personal Social Services perspective.</w:t>
            </w:r>
          </w:p>
          <w:p w14:paraId="4FB5F986" w14:textId="77777777" w:rsidR="003D5174" w:rsidRPr="00E970E0" w:rsidRDefault="003D5174" w:rsidP="00800634">
            <w:pPr>
              <w:pStyle w:val="BodyText2"/>
              <w:rPr>
                <w:rFonts w:cs="Arial"/>
                <w:sz w:val="22"/>
                <w:szCs w:val="22"/>
                <w:lang w:val="en-GB"/>
              </w:rPr>
            </w:pPr>
            <w:r w:rsidRPr="00C702AF">
              <w:rPr>
                <w:rFonts w:cs="Arial"/>
                <w:sz w:val="22"/>
                <w:szCs w:val="22"/>
                <w:lang w:val="en-GB"/>
              </w:rPr>
              <w:t>The availability of any commercial arrangements for the intervention, comparator and subsequent treatment technologies will be taken into account.</w:t>
            </w:r>
            <w:r>
              <w:rPr>
                <w:rFonts w:cs="Arial"/>
                <w:sz w:val="22"/>
                <w:szCs w:val="22"/>
                <w:lang w:val="en-GB"/>
              </w:rPr>
              <w:t xml:space="preserve"> </w:t>
            </w:r>
          </w:p>
        </w:tc>
      </w:tr>
      <w:tr w:rsidR="003D5174" w:rsidRPr="00E970E0" w14:paraId="6CFE0EB5" w14:textId="77777777" w:rsidTr="00AC55F7">
        <w:tc>
          <w:tcPr>
            <w:tcW w:w="2119" w:type="dxa"/>
            <w:shd w:val="clear" w:color="auto" w:fill="D9D9D9"/>
          </w:tcPr>
          <w:p w14:paraId="0EC4BB21" w14:textId="77777777" w:rsidR="003D5174" w:rsidRPr="00E970E0" w:rsidRDefault="003D5174" w:rsidP="00800634">
            <w:pPr>
              <w:pStyle w:val="Header"/>
              <w:tabs>
                <w:tab w:val="clear" w:pos="4153"/>
                <w:tab w:val="clear" w:pos="8306"/>
              </w:tabs>
              <w:spacing w:before="120"/>
              <w:rPr>
                <w:rFonts w:cs="Arial"/>
                <w:sz w:val="22"/>
                <w:szCs w:val="22"/>
                <w:lang w:val="en-GB"/>
              </w:rPr>
            </w:pPr>
            <w:r w:rsidRPr="00E970E0">
              <w:rPr>
                <w:rFonts w:cs="Arial"/>
                <w:b/>
                <w:bCs/>
                <w:sz w:val="22"/>
                <w:szCs w:val="22"/>
                <w:lang w:val="en-GB"/>
              </w:rPr>
              <w:lastRenderedPageBreak/>
              <w:t xml:space="preserve">Other considerations </w:t>
            </w:r>
          </w:p>
        </w:tc>
        <w:tc>
          <w:tcPr>
            <w:tcW w:w="6494" w:type="dxa"/>
          </w:tcPr>
          <w:p w14:paraId="2C4BA4CD" w14:textId="77777777" w:rsidR="003D5174" w:rsidRPr="00E970E0" w:rsidRDefault="003D5174" w:rsidP="00800634">
            <w:pPr>
              <w:pStyle w:val="BodyText2"/>
              <w:rPr>
                <w:rFonts w:cs="Arial"/>
                <w:sz w:val="22"/>
                <w:szCs w:val="22"/>
                <w:lang w:val="en-GB"/>
              </w:rPr>
            </w:pPr>
            <w:r w:rsidRPr="00E970E0">
              <w:rPr>
                <w:rFonts w:cs="Arial"/>
                <w:sz w:val="22"/>
                <w:szCs w:val="22"/>
                <w:lang w:val="en-GB"/>
              </w:rPr>
              <w:t>Guidance will only be issued in accordance with the marketing authorisation</w:t>
            </w:r>
            <w:bookmarkStart w:id="5" w:name="Text54"/>
            <w:r>
              <w:rPr>
                <w:rFonts w:cs="Arial"/>
                <w:sz w:val="22"/>
                <w:szCs w:val="22"/>
                <w:lang w:val="en-GB"/>
              </w:rPr>
              <w:t xml:space="preserve">. </w:t>
            </w:r>
            <w:r w:rsidRPr="00E970E0">
              <w:rPr>
                <w:rFonts w:cs="Arial"/>
                <w:sz w:val="22"/>
                <w:szCs w:val="22"/>
              </w:rPr>
              <w:t>Where the wording of the therapeutic indication does not include specific treatment combinations, guidance will be issued only in the context of the evidence that has underpinned the marketing authorisation granted by the regulator.</w:t>
            </w:r>
            <w:bookmarkEnd w:id="5"/>
          </w:p>
        </w:tc>
      </w:tr>
      <w:tr w:rsidR="003D5174" w:rsidRPr="00E970E0" w14:paraId="532A5E30" w14:textId="77777777" w:rsidTr="00AC5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19" w:type="dxa"/>
            <w:shd w:val="clear" w:color="auto" w:fill="D9D9D9"/>
          </w:tcPr>
          <w:p w14:paraId="69872578" w14:textId="77777777" w:rsidR="003D5174" w:rsidRPr="00E970E0" w:rsidRDefault="003D5174" w:rsidP="00800634">
            <w:pPr>
              <w:pStyle w:val="Header"/>
              <w:tabs>
                <w:tab w:val="clear" w:pos="4153"/>
                <w:tab w:val="clear" w:pos="8306"/>
              </w:tabs>
              <w:spacing w:before="120"/>
              <w:rPr>
                <w:rFonts w:cs="Arial"/>
                <w:sz w:val="22"/>
                <w:szCs w:val="22"/>
                <w:lang w:val="en-GB"/>
              </w:rPr>
            </w:pPr>
            <w:r w:rsidRPr="00E970E0">
              <w:rPr>
                <w:rFonts w:cs="Arial"/>
                <w:b/>
                <w:bCs/>
                <w:sz w:val="22"/>
                <w:szCs w:val="22"/>
                <w:lang w:val="en-GB"/>
              </w:rPr>
              <w:t xml:space="preserve">Related NICE recommendations </w:t>
            </w:r>
          </w:p>
        </w:tc>
        <w:tc>
          <w:tcPr>
            <w:tcW w:w="6494" w:type="dxa"/>
          </w:tcPr>
          <w:p w14:paraId="00B56635" w14:textId="77777777" w:rsidR="003D5174" w:rsidRPr="008704E9" w:rsidRDefault="003D5174" w:rsidP="00800634">
            <w:pPr>
              <w:pStyle w:val="BodyText2"/>
              <w:rPr>
                <w:rFonts w:cs="Arial"/>
                <w:b/>
                <w:bCs/>
                <w:sz w:val="22"/>
                <w:szCs w:val="22"/>
                <w:lang w:val="en-GB"/>
              </w:rPr>
            </w:pPr>
            <w:r w:rsidRPr="008704E9">
              <w:rPr>
                <w:rFonts w:cs="Arial"/>
                <w:b/>
                <w:bCs/>
                <w:sz w:val="22"/>
                <w:szCs w:val="22"/>
                <w:lang w:val="en-GB"/>
              </w:rPr>
              <w:t>Related Technology Appraisals:</w:t>
            </w:r>
          </w:p>
          <w:p w14:paraId="4A1EAB29" w14:textId="77777777" w:rsidR="003D5174" w:rsidRDefault="003D5174" w:rsidP="00800634">
            <w:pPr>
              <w:pStyle w:val="BodyText2"/>
              <w:rPr>
                <w:rFonts w:cs="Arial"/>
                <w:sz w:val="22"/>
                <w:szCs w:val="22"/>
              </w:rPr>
            </w:pPr>
            <w:r w:rsidRPr="00FB6960">
              <w:rPr>
                <w:rFonts w:cs="Arial"/>
                <w:sz w:val="22"/>
                <w:szCs w:val="22"/>
              </w:rPr>
              <w:t>‘</w:t>
            </w:r>
            <w:hyperlink r:id="rId16" w:history="1">
              <w:r w:rsidRPr="00FB6960">
                <w:rPr>
                  <w:rStyle w:val="Hyperlink"/>
                  <w:rFonts w:cs="Arial"/>
                  <w:sz w:val="22"/>
                  <w:szCs w:val="22"/>
                </w:rPr>
                <w:t>Nivolumab with ipilimumab for previously treated metastatic colorectal cancer with high microsatellite instability or mismatch repair deficiency</w:t>
              </w:r>
            </w:hyperlink>
            <w:r w:rsidRPr="00FB6960">
              <w:rPr>
                <w:rFonts w:cs="Arial"/>
                <w:sz w:val="22"/>
                <w:szCs w:val="22"/>
              </w:rPr>
              <w:t xml:space="preserve">’ (2021). NICE Technology Appraisal 716. Review 2024. </w:t>
            </w:r>
          </w:p>
          <w:p w14:paraId="3B6A86C8" w14:textId="184372A4" w:rsidR="00B05BBB" w:rsidRPr="00B05BBB" w:rsidRDefault="00F57C75" w:rsidP="00800634">
            <w:pPr>
              <w:pStyle w:val="BodyText2"/>
              <w:rPr>
                <w:rFonts w:cs="Arial"/>
                <w:sz w:val="22"/>
                <w:szCs w:val="22"/>
                <w:lang w:val="en-GB"/>
              </w:rPr>
            </w:pPr>
            <w:hyperlink r:id="rId17" w:history="1">
              <w:r w:rsidR="00B05BBB" w:rsidRPr="00F7409A">
                <w:rPr>
                  <w:rStyle w:val="Hyperlink"/>
                  <w:rFonts w:cs="Arial"/>
                  <w:sz w:val="22"/>
                  <w:szCs w:val="22"/>
                  <w:lang w:val="en-GB"/>
                </w:rPr>
                <w:t>‘Regorafenib for previously treated metastatic colorectal cancer’</w:t>
              </w:r>
            </w:hyperlink>
            <w:r w:rsidR="00B05BBB">
              <w:rPr>
                <w:rFonts w:cs="Arial"/>
                <w:sz w:val="22"/>
                <w:szCs w:val="22"/>
                <w:lang w:val="en-GB"/>
              </w:rPr>
              <w:t xml:space="preserve"> (2023). NICE technology appraisal 866. </w:t>
            </w:r>
          </w:p>
          <w:p w14:paraId="15992EAC" w14:textId="77777777" w:rsidR="003D5174" w:rsidRPr="00FB6960" w:rsidRDefault="003D5174" w:rsidP="00800634">
            <w:pPr>
              <w:pStyle w:val="BodyText2"/>
              <w:rPr>
                <w:rFonts w:cs="Arial"/>
                <w:sz w:val="22"/>
                <w:szCs w:val="22"/>
              </w:rPr>
            </w:pPr>
            <w:r w:rsidRPr="00FB6960">
              <w:rPr>
                <w:rFonts w:cs="Arial"/>
                <w:sz w:val="22"/>
                <w:szCs w:val="22"/>
              </w:rPr>
              <w:t>‘</w:t>
            </w:r>
            <w:hyperlink r:id="rId18" w:history="1">
              <w:r w:rsidRPr="00FB6960">
                <w:rPr>
                  <w:rStyle w:val="Hyperlink"/>
                  <w:rFonts w:cs="Arial"/>
                  <w:sz w:val="22"/>
                  <w:szCs w:val="22"/>
                </w:rPr>
                <w:t>Pembrolizumab for untreated metastatic colorectal cancer with high microsatellite instability or mismatch repair deficiency</w:t>
              </w:r>
            </w:hyperlink>
            <w:r w:rsidRPr="00FB6960">
              <w:rPr>
                <w:rFonts w:cs="Arial"/>
                <w:sz w:val="22"/>
                <w:szCs w:val="22"/>
              </w:rPr>
              <w:t>’ (2021). NICE Technology Appraisal 709. Review 2024.</w:t>
            </w:r>
          </w:p>
          <w:p w14:paraId="30A03535" w14:textId="77777777" w:rsidR="003D5174" w:rsidRPr="00FB6960" w:rsidRDefault="003D5174" w:rsidP="00800634">
            <w:pPr>
              <w:pStyle w:val="BodyText2"/>
              <w:rPr>
                <w:rFonts w:cs="Arial"/>
                <w:sz w:val="22"/>
                <w:szCs w:val="22"/>
              </w:rPr>
            </w:pPr>
            <w:r w:rsidRPr="00FB6960">
              <w:rPr>
                <w:rFonts w:cs="Arial"/>
                <w:sz w:val="22"/>
                <w:szCs w:val="22"/>
              </w:rPr>
              <w:t>‘</w:t>
            </w:r>
            <w:hyperlink r:id="rId19" w:history="1">
              <w:r w:rsidRPr="00FB6960">
                <w:rPr>
                  <w:rStyle w:val="Hyperlink"/>
                  <w:rFonts w:cs="Arial"/>
                  <w:sz w:val="22"/>
                  <w:szCs w:val="22"/>
                </w:rPr>
                <w:t>Encorafenib plus cetuximab for previously treated BRAF V600E mutation-positive metastatic colorectal cancer</w:t>
              </w:r>
            </w:hyperlink>
            <w:r w:rsidRPr="00FB6960">
              <w:rPr>
                <w:rFonts w:cs="Arial"/>
                <w:sz w:val="22"/>
                <w:szCs w:val="22"/>
              </w:rPr>
              <w:t xml:space="preserve">’ (2021). NICE Technology Appraisal 668. Review 2023. </w:t>
            </w:r>
          </w:p>
          <w:p w14:paraId="0D25F8FD" w14:textId="77777777" w:rsidR="003D5174" w:rsidRPr="00FB6960" w:rsidRDefault="003D5174" w:rsidP="00800634">
            <w:pPr>
              <w:pStyle w:val="BodyText2"/>
              <w:rPr>
                <w:rFonts w:cs="Arial"/>
                <w:sz w:val="22"/>
                <w:szCs w:val="22"/>
              </w:rPr>
            </w:pPr>
            <w:r w:rsidRPr="00FB6960">
              <w:rPr>
                <w:rFonts w:cs="Arial"/>
                <w:sz w:val="22"/>
                <w:szCs w:val="22"/>
              </w:rPr>
              <w:t>‘</w:t>
            </w:r>
            <w:hyperlink r:id="rId20" w:history="1">
              <w:r w:rsidRPr="00FB6960">
                <w:rPr>
                  <w:rStyle w:val="Hyperlink"/>
                  <w:rFonts w:cs="Arial"/>
                  <w:sz w:val="22"/>
                  <w:szCs w:val="22"/>
                </w:rPr>
                <w:t>Cetuximab and panitumumab for previously untreated metastatic colorectal cancer</w:t>
              </w:r>
            </w:hyperlink>
            <w:r w:rsidRPr="00FB6960">
              <w:rPr>
                <w:rFonts w:cs="Arial"/>
                <w:sz w:val="22"/>
                <w:szCs w:val="22"/>
              </w:rPr>
              <w:t>’ (2017). NICE Technology Appraisal 439. No current plans to review this guidance.</w:t>
            </w:r>
          </w:p>
          <w:p w14:paraId="530A0F7E" w14:textId="77777777" w:rsidR="000E2760" w:rsidRPr="00FB6960" w:rsidRDefault="003D5174" w:rsidP="00800634">
            <w:pPr>
              <w:pStyle w:val="BodyText2"/>
              <w:rPr>
                <w:rFonts w:cs="Arial"/>
                <w:sz w:val="22"/>
                <w:szCs w:val="22"/>
              </w:rPr>
            </w:pPr>
            <w:r w:rsidRPr="00FB6960">
              <w:rPr>
                <w:rFonts w:cs="Arial"/>
                <w:sz w:val="22"/>
                <w:szCs w:val="22"/>
              </w:rPr>
              <w:t>‘</w:t>
            </w:r>
            <w:hyperlink r:id="rId21" w:history="1">
              <w:r w:rsidRPr="00FB6960">
                <w:rPr>
                  <w:rStyle w:val="Hyperlink"/>
                  <w:rFonts w:cs="Arial"/>
                  <w:sz w:val="22"/>
                  <w:szCs w:val="22"/>
                </w:rPr>
                <w:t>Trifluridine–tipiracil for previously treated metastatic colorectal cancer</w:t>
              </w:r>
            </w:hyperlink>
            <w:r w:rsidRPr="00FB6960">
              <w:rPr>
                <w:rFonts w:cs="Arial"/>
                <w:sz w:val="22"/>
                <w:szCs w:val="22"/>
              </w:rPr>
              <w:t xml:space="preserve">’ (2016). NICE Technology Appraisal 405. </w:t>
            </w:r>
          </w:p>
          <w:p w14:paraId="36FFC451" w14:textId="77777777" w:rsidR="004F3C42" w:rsidRDefault="003D5174" w:rsidP="00800634">
            <w:pPr>
              <w:pStyle w:val="BodyText2"/>
              <w:rPr>
                <w:rFonts w:cs="Arial"/>
                <w:sz w:val="22"/>
                <w:szCs w:val="22"/>
              </w:rPr>
            </w:pPr>
            <w:r w:rsidRPr="00FB6960">
              <w:rPr>
                <w:rFonts w:cs="Arial"/>
                <w:sz w:val="22"/>
                <w:szCs w:val="22"/>
              </w:rPr>
              <w:t>No current plans to review this guidance.‘</w:t>
            </w:r>
          </w:p>
          <w:p w14:paraId="65664999" w14:textId="76DA7D24" w:rsidR="003D5174" w:rsidRPr="00FB6960" w:rsidRDefault="00F57C75" w:rsidP="00800634">
            <w:pPr>
              <w:pStyle w:val="BodyText2"/>
              <w:rPr>
                <w:rFonts w:cs="Arial"/>
                <w:sz w:val="22"/>
                <w:szCs w:val="22"/>
              </w:rPr>
            </w:pPr>
            <w:hyperlink r:id="rId22" w:history="1">
              <w:r w:rsidR="003D5174" w:rsidRPr="00FB6960">
                <w:rPr>
                  <w:rStyle w:val="Hyperlink"/>
                  <w:rFonts w:cs="Arial"/>
                  <w:sz w:val="22"/>
                  <w:szCs w:val="22"/>
                </w:rPr>
                <w:t>Aflibercept in combination with irinotecan and fluorouracil-based therapy for treating metastatic colorectal cancer that has progressed following prior oxaliplatin-based chemotherapy</w:t>
              </w:r>
            </w:hyperlink>
            <w:r w:rsidR="003D5174" w:rsidRPr="00FB6960">
              <w:rPr>
                <w:rFonts w:cs="Arial"/>
                <w:sz w:val="22"/>
                <w:szCs w:val="22"/>
                <w:u w:val="single"/>
              </w:rPr>
              <w:t>’</w:t>
            </w:r>
            <w:r w:rsidR="003D5174" w:rsidRPr="00FB6960">
              <w:rPr>
                <w:rFonts w:cs="Arial"/>
                <w:sz w:val="22"/>
                <w:szCs w:val="22"/>
              </w:rPr>
              <w:t xml:space="preserve"> (2014). NICE Technology Appraisal 307. Reviewed: Decision to move to static list.</w:t>
            </w:r>
          </w:p>
          <w:p w14:paraId="2022545E" w14:textId="77777777" w:rsidR="003D5174" w:rsidRPr="00FB6960" w:rsidRDefault="003D5174" w:rsidP="00800634">
            <w:pPr>
              <w:pStyle w:val="BodyText2"/>
              <w:rPr>
                <w:rFonts w:cs="Arial"/>
                <w:sz w:val="22"/>
                <w:szCs w:val="22"/>
              </w:rPr>
            </w:pPr>
            <w:r w:rsidRPr="00FB6960">
              <w:rPr>
                <w:rFonts w:cs="Arial"/>
                <w:sz w:val="22"/>
                <w:szCs w:val="22"/>
              </w:rPr>
              <w:t>‘</w:t>
            </w:r>
            <w:hyperlink r:id="rId23" w:history="1">
              <w:r w:rsidRPr="00FB6960">
                <w:rPr>
                  <w:rStyle w:val="Hyperlink"/>
                  <w:rFonts w:cs="Arial"/>
                  <w:sz w:val="22"/>
                  <w:szCs w:val="22"/>
                </w:rPr>
                <w:t xml:space="preserve">Cetuximab, bevacizumab and panitumumab for the treatment of metastatic colorectal cancer after first-line chemotherapy: Cetuximab (monotherapy or combination chemotherapy), bevacizumab (in combination with non-oxaliplatin chemotherapy) and panitumumab (monotherapy) for the treatment of metastatic colorectal cancer after first-line </w:t>
              </w:r>
              <w:r w:rsidRPr="00FB6960">
                <w:rPr>
                  <w:rStyle w:val="Hyperlink"/>
                  <w:rFonts w:cs="Arial"/>
                  <w:sz w:val="22"/>
                  <w:szCs w:val="22"/>
                </w:rPr>
                <w:lastRenderedPageBreak/>
                <w:t>chemotherapy</w:t>
              </w:r>
            </w:hyperlink>
            <w:r w:rsidRPr="00FB6960">
              <w:rPr>
                <w:rFonts w:cs="Arial"/>
                <w:sz w:val="22"/>
                <w:szCs w:val="22"/>
                <w:u w:val="single"/>
              </w:rPr>
              <w:t>’</w:t>
            </w:r>
            <w:r w:rsidRPr="00FB6960">
              <w:rPr>
                <w:rFonts w:cs="Arial"/>
                <w:sz w:val="22"/>
                <w:szCs w:val="22"/>
              </w:rPr>
              <w:t xml:space="preserve"> (2012). NICE Technology Appraisal 242. Reviewed: Decision to move to static list.</w:t>
            </w:r>
          </w:p>
          <w:p w14:paraId="600B4F32" w14:textId="77777777" w:rsidR="003D5174" w:rsidRPr="00FB6960" w:rsidRDefault="003D5174" w:rsidP="00800634">
            <w:pPr>
              <w:pStyle w:val="BodyText2"/>
              <w:rPr>
                <w:rFonts w:cs="Arial"/>
                <w:sz w:val="22"/>
                <w:szCs w:val="22"/>
              </w:rPr>
            </w:pPr>
            <w:r w:rsidRPr="00FB6960">
              <w:rPr>
                <w:rFonts w:cs="Arial"/>
                <w:sz w:val="22"/>
                <w:szCs w:val="22"/>
              </w:rPr>
              <w:t>‘</w:t>
            </w:r>
            <w:hyperlink r:id="rId24" w:history="1">
              <w:r w:rsidRPr="00FB6960">
                <w:rPr>
                  <w:rStyle w:val="Hyperlink"/>
                  <w:rFonts w:cs="Arial"/>
                  <w:sz w:val="22"/>
                  <w:szCs w:val="22"/>
                </w:rPr>
                <w:t>Laparoscopic surgery for colorectal cancer</w:t>
              </w:r>
            </w:hyperlink>
            <w:r w:rsidRPr="00FB6960">
              <w:rPr>
                <w:rFonts w:cs="Arial"/>
                <w:sz w:val="22"/>
                <w:szCs w:val="22"/>
              </w:rPr>
              <w:t xml:space="preserve">’ (2006). NICE Technology Appraisal 105. Reviewed: Decision to move to static list. </w:t>
            </w:r>
          </w:p>
          <w:p w14:paraId="2CEA2215" w14:textId="77777777" w:rsidR="003D5174" w:rsidRPr="00FB6960" w:rsidRDefault="003D5174" w:rsidP="00800634">
            <w:pPr>
              <w:pStyle w:val="BodyText2"/>
              <w:rPr>
                <w:rFonts w:cs="Arial"/>
                <w:sz w:val="22"/>
                <w:szCs w:val="22"/>
              </w:rPr>
            </w:pPr>
            <w:r w:rsidRPr="00FB6960">
              <w:rPr>
                <w:rFonts w:cs="Arial"/>
                <w:sz w:val="22"/>
                <w:szCs w:val="22"/>
              </w:rPr>
              <w:t>‘</w:t>
            </w:r>
            <w:hyperlink r:id="rId25" w:history="1">
              <w:r w:rsidRPr="00FB6960">
                <w:rPr>
                  <w:rStyle w:val="Hyperlink"/>
                  <w:rFonts w:cs="Arial"/>
                  <w:sz w:val="22"/>
                  <w:szCs w:val="22"/>
                </w:rPr>
                <w:t>Guidance on the use of capecitabine and tegafur with uracil for metastatic colorectal cancer</w:t>
              </w:r>
            </w:hyperlink>
            <w:r w:rsidRPr="00FB6960">
              <w:rPr>
                <w:rFonts w:cs="Arial"/>
                <w:sz w:val="22"/>
                <w:szCs w:val="22"/>
              </w:rPr>
              <w:t>’ (2003). NICE Technology Appraisal 61. Reviewed: Decision to move to static list.</w:t>
            </w:r>
          </w:p>
          <w:p w14:paraId="28D3601E" w14:textId="5591F163" w:rsidR="003D5174" w:rsidRPr="00B05BBB" w:rsidRDefault="003D5174" w:rsidP="00800634">
            <w:pPr>
              <w:pStyle w:val="BodyText2"/>
              <w:rPr>
                <w:rFonts w:cs="Arial"/>
                <w:b/>
                <w:bCs/>
                <w:sz w:val="22"/>
                <w:szCs w:val="22"/>
                <w:lang w:val="en-GB"/>
              </w:rPr>
            </w:pPr>
            <w:r w:rsidRPr="008704E9">
              <w:rPr>
                <w:rFonts w:cs="Arial"/>
                <w:b/>
                <w:bCs/>
                <w:sz w:val="22"/>
                <w:szCs w:val="22"/>
                <w:lang w:val="en-GB"/>
              </w:rPr>
              <w:t>Related appraisals in development</w:t>
            </w:r>
            <w:r w:rsidR="0085001C">
              <w:rPr>
                <w:rFonts w:cs="Arial"/>
                <w:b/>
                <w:bCs/>
                <w:sz w:val="22"/>
                <w:szCs w:val="22"/>
                <w:lang w:val="en-GB"/>
              </w:rPr>
              <w:t xml:space="preserve"> (including suspended appraisals)</w:t>
            </w:r>
            <w:r w:rsidRPr="008704E9">
              <w:rPr>
                <w:rFonts w:cs="Arial"/>
                <w:b/>
                <w:bCs/>
                <w:sz w:val="22"/>
                <w:szCs w:val="22"/>
                <w:lang w:val="en-GB"/>
              </w:rPr>
              <w:t>:</w:t>
            </w:r>
          </w:p>
          <w:p w14:paraId="3AE46FCE" w14:textId="44433769" w:rsidR="003D5174" w:rsidRDefault="00F57C75" w:rsidP="00800634">
            <w:pPr>
              <w:pStyle w:val="BodyText2"/>
              <w:rPr>
                <w:rFonts w:cs="Arial"/>
                <w:color w:val="0E0E0E"/>
                <w:sz w:val="22"/>
                <w:szCs w:val="18"/>
                <w:lang w:val="en-GB"/>
              </w:rPr>
            </w:pPr>
            <w:hyperlink r:id="rId26" w:history="1">
              <w:r w:rsidR="0054088D" w:rsidRPr="0054088D">
                <w:rPr>
                  <w:rStyle w:val="Hyperlink"/>
                  <w:rFonts w:cs="Arial"/>
                  <w:sz w:val="22"/>
                  <w:szCs w:val="18"/>
                  <w:lang w:val="en-GB"/>
                </w:rPr>
                <w:t>‘</w:t>
              </w:r>
              <w:r w:rsidR="00DB7935" w:rsidRPr="00DB7935">
                <w:rPr>
                  <w:rStyle w:val="Hyperlink"/>
                  <w:rFonts w:cs="Arial"/>
                  <w:sz w:val="22"/>
                  <w:szCs w:val="18"/>
                </w:rPr>
                <w:t>Pembrolizumab with lenvatinib for previously treated metastatic colorectal cancer</w:t>
              </w:r>
              <w:r w:rsidR="0054088D" w:rsidRPr="0054088D">
                <w:rPr>
                  <w:rStyle w:val="Hyperlink"/>
                  <w:rFonts w:cs="Arial"/>
                  <w:sz w:val="22"/>
                  <w:szCs w:val="18"/>
                  <w:lang w:val="en-GB"/>
                </w:rPr>
                <w:t>’</w:t>
              </w:r>
            </w:hyperlink>
            <w:r w:rsidR="00B1258C">
              <w:rPr>
                <w:rFonts w:cs="Arial"/>
                <w:color w:val="0E0E0E"/>
                <w:sz w:val="22"/>
                <w:szCs w:val="18"/>
                <w:lang w:val="en-GB"/>
              </w:rPr>
              <w:t>. NICE technology appraisals guidance (ID</w:t>
            </w:r>
            <w:r w:rsidR="00DB7935">
              <w:rPr>
                <w:rFonts w:cs="Arial"/>
                <w:color w:val="0E0E0E"/>
                <w:sz w:val="22"/>
                <w:szCs w:val="18"/>
                <w:lang w:val="en-GB"/>
              </w:rPr>
              <w:t xml:space="preserve">5112). </w:t>
            </w:r>
            <w:r w:rsidR="00AC55F7">
              <w:rPr>
                <w:rFonts w:cs="Arial"/>
                <w:color w:val="0E0E0E"/>
                <w:sz w:val="22"/>
                <w:szCs w:val="18"/>
                <w:lang w:val="en-GB"/>
              </w:rPr>
              <w:t>Appraisal suspended</w:t>
            </w:r>
            <w:r w:rsidR="00DB7935">
              <w:rPr>
                <w:rFonts w:cs="Arial"/>
                <w:color w:val="0E0E0E"/>
                <w:sz w:val="22"/>
                <w:szCs w:val="18"/>
                <w:lang w:val="en-GB"/>
              </w:rPr>
              <w:t xml:space="preserve">. </w:t>
            </w:r>
            <w:r w:rsidR="00B1258C">
              <w:rPr>
                <w:rFonts w:cs="Arial"/>
                <w:color w:val="0E0E0E"/>
                <w:sz w:val="22"/>
                <w:szCs w:val="18"/>
                <w:lang w:val="en-GB"/>
              </w:rPr>
              <w:t xml:space="preserve"> </w:t>
            </w:r>
          </w:p>
          <w:p w14:paraId="5069A1D9" w14:textId="4C269382" w:rsidR="0085001C" w:rsidRPr="00AC55F7" w:rsidRDefault="00F57C75" w:rsidP="00800634">
            <w:pPr>
              <w:pStyle w:val="BodyText2"/>
              <w:rPr>
                <w:rFonts w:cs="Arial"/>
                <w:sz w:val="22"/>
                <w:szCs w:val="22"/>
                <w:lang w:val="en-GB"/>
              </w:rPr>
            </w:pPr>
            <w:hyperlink r:id="rId27" w:history="1">
              <w:r w:rsidR="0085001C" w:rsidRPr="0085001C">
                <w:rPr>
                  <w:rStyle w:val="Hyperlink"/>
                  <w:rFonts w:cs="Arial"/>
                  <w:sz w:val="22"/>
                  <w:szCs w:val="22"/>
                  <w:lang w:val="en-GB"/>
                </w:rPr>
                <w:t>‘</w:t>
              </w:r>
              <w:r w:rsidR="0085001C" w:rsidRPr="0085001C">
                <w:rPr>
                  <w:rStyle w:val="Hyperlink"/>
                  <w:rFonts w:cs="Arial"/>
                  <w:sz w:val="22"/>
                  <w:szCs w:val="22"/>
                </w:rPr>
                <w:t>Nivolumab for previously treated metastatic colorectal cancer with high microsatellite instability or mismatch repair deficiency</w:t>
              </w:r>
              <w:r w:rsidR="0085001C" w:rsidRPr="0085001C">
                <w:rPr>
                  <w:rStyle w:val="Hyperlink"/>
                  <w:rFonts w:cs="Arial"/>
                  <w:sz w:val="22"/>
                  <w:szCs w:val="22"/>
                  <w:lang w:val="en-GB"/>
                </w:rPr>
                <w:t>’</w:t>
              </w:r>
            </w:hyperlink>
            <w:r w:rsidR="0085001C">
              <w:rPr>
                <w:rFonts w:cs="Arial"/>
                <w:sz w:val="22"/>
                <w:szCs w:val="22"/>
                <w:lang w:val="en-GB"/>
              </w:rPr>
              <w:t xml:space="preserve">. </w:t>
            </w:r>
            <w:r w:rsidR="0085001C">
              <w:rPr>
                <w:rFonts w:cs="Arial"/>
                <w:color w:val="0E0E0E"/>
                <w:sz w:val="22"/>
                <w:szCs w:val="18"/>
                <w:lang w:val="en-GB"/>
              </w:rPr>
              <w:t xml:space="preserve"> NICE technology appraisals guidance (ID1136). Appraisal suspended.</w:t>
            </w:r>
          </w:p>
          <w:p w14:paraId="68A201C8" w14:textId="77777777" w:rsidR="003D5174" w:rsidRPr="008704E9" w:rsidRDefault="003D5174" w:rsidP="00800634">
            <w:pPr>
              <w:pStyle w:val="BodyText2"/>
              <w:rPr>
                <w:rFonts w:cs="Arial"/>
                <w:b/>
                <w:bCs/>
                <w:sz w:val="22"/>
                <w:szCs w:val="22"/>
                <w:lang w:val="en-GB"/>
              </w:rPr>
            </w:pPr>
            <w:r w:rsidRPr="008704E9">
              <w:rPr>
                <w:rFonts w:cs="Arial"/>
                <w:b/>
                <w:bCs/>
                <w:sz w:val="22"/>
                <w:szCs w:val="22"/>
                <w:lang w:val="en-GB"/>
              </w:rPr>
              <w:t>Related Guidelines:</w:t>
            </w:r>
          </w:p>
          <w:p w14:paraId="2A2B4E98" w14:textId="77777777" w:rsidR="003D5174" w:rsidRPr="00FB6960" w:rsidRDefault="003D5174" w:rsidP="00800634">
            <w:pPr>
              <w:pStyle w:val="BodyText2"/>
              <w:rPr>
                <w:rFonts w:cs="Arial"/>
                <w:sz w:val="22"/>
                <w:szCs w:val="22"/>
              </w:rPr>
            </w:pPr>
            <w:r w:rsidRPr="00FB6960">
              <w:rPr>
                <w:rFonts w:cs="Arial"/>
                <w:sz w:val="22"/>
                <w:szCs w:val="22"/>
              </w:rPr>
              <w:t>‘</w:t>
            </w:r>
            <w:hyperlink r:id="rId28" w:history="1">
              <w:r w:rsidRPr="00FB6960">
                <w:rPr>
                  <w:rStyle w:val="Hyperlink"/>
                  <w:rFonts w:cs="Arial"/>
                  <w:sz w:val="22"/>
                  <w:szCs w:val="22"/>
                </w:rPr>
                <w:t>Colorectal cancer</w:t>
              </w:r>
            </w:hyperlink>
            <w:r w:rsidRPr="00FB6960">
              <w:rPr>
                <w:rFonts w:cs="Arial"/>
                <w:sz w:val="22"/>
                <w:szCs w:val="22"/>
              </w:rPr>
              <w:t xml:space="preserve">’ (2021). NICE guideline 151. No current plans to review this guideline. </w:t>
            </w:r>
          </w:p>
          <w:p w14:paraId="5A72D723" w14:textId="77777777" w:rsidR="003D5174" w:rsidRPr="00FB6960" w:rsidRDefault="003D5174" w:rsidP="00800634">
            <w:pPr>
              <w:pStyle w:val="BodyText2"/>
              <w:rPr>
                <w:rFonts w:cs="Arial"/>
                <w:sz w:val="22"/>
                <w:szCs w:val="22"/>
              </w:rPr>
            </w:pPr>
            <w:r w:rsidRPr="00FB6960">
              <w:rPr>
                <w:rFonts w:cs="Arial"/>
                <w:sz w:val="22"/>
                <w:szCs w:val="22"/>
              </w:rPr>
              <w:t>‘</w:t>
            </w:r>
            <w:hyperlink r:id="rId29" w:history="1">
              <w:r w:rsidRPr="00FB6960">
                <w:rPr>
                  <w:rStyle w:val="Hyperlink"/>
                  <w:rFonts w:cs="Arial"/>
                  <w:sz w:val="22"/>
                  <w:szCs w:val="22"/>
                </w:rPr>
                <w:t>ColonFlag for identifying people at risk of colorectal cancer</w:t>
              </w:r>
            </w:hyperlink>
            <w:r w:rsidRPr="00FB6960">
              <w:rPr>
                <w:rFonts w:cs="Arial"/>
                <w:sz w:val="22"/>
                <w:szCs w:val="22"/>
              </w:rPr>
              <w:t xml:space="preserve">’ (2018). Medtech innovation briefing 142. </w:t>
            </w:r>
          </w:p>
          <w:p w14:paraId="02B44338" w14:textId="77777777" w:rsidR="003D5174" w:rsidRPr="00FB6960" w:rsidRDefault="003D5174" w:rsidP="00800634">
            <w:pPr>
              <w:pStyle w:val="BodyText2"/>
              <w:rPr>
                <w:rFonts w:cs="Arial"/>
                <w:sz w:val="22"/>
                <w:szCs w:val="22"/>
              </w:rPr>
            </w:pPr>
            <w:r w:rsidRPr="00FB6960">
              <w:rPr>
                <w:rFonts w:cs="Arial"/>
                <w:sz w:val="22"/>
                <w:szCs w:val="22"/>
              </w:rPr>
              <w:t>‘</w:t>
            </w:r>
            <w:hyperlink r:id="rId30" w:history="1">
              <w:r w:rsidRPr="00FB6960">
                <w:rPr>
                  <w:rStyle w:val="Hyperlink"/>
                  <w:rFonts w:cs="Arial"/>
                  <w:sz w:val="22"/>
                  <w:szCs w:val="22"/>
                </w:rPr>
                <w:t>Quantitative faecal immunochemical tests to guide referral for colorectal cancer in primary care</w:t>
              </w:r>
            </w:hyperlink>
            <w:r w:rsidRPr="00FB6960">
              <w:rPr>
                <w:rFonts w:cs="Arial"/>
                <w:sz w:val="22"/>
                <w:szCs w:val="22"/>
              </w:rPr>
              <w:t xml:space="preserve">’ (2017). Diagnostics guidance 30. </w:t>
            </w:r>
          </w:p>
          <w:p w14:paraId="5883653A" w14:textId="77777777" w:rsidR="003D5174" w:rsidRPr="00FB6960" w:rsidRDefault="003D5174" w:rsidP="00800634">
            <w:pPr>
              <w:pStyle w:val="BodyText2"/>
              <w:rPr>
                <w:rFonts w:cs="Arial"/>
                <w:sz w:val="22"/>
                <w:szCs w:val="22"/>
              </w:rPr>
            </w:pPr>
            <w:r w:rsidRPr="00FB6960">
              <w:rPr>
                <w:rFonts w:cs="Arial"/>
                <w:sz w:val="22"/>
                <w:szCs w:val="22"/>
              </w:rPr>
              <w:t>‘</w:t>
            </w:r>
            <w:hyperlink r:id="rId31" w:history="1">
              <w:r w:rsidRPr="00FB6960">
                <w:rPr>
                  <w:rStyle w:val="Hyperlink"/>
                  <w:rFonts w:cs="Arial"/>
                  <w:sz w:val="22"/>
                  <w:szCs w:val="22"/>
                </w:rPr>
                <w:t>Virtual chromoendoscopy to assess colorectal polyps during colonoscopy</w:t>
              </w:r>
            </w:hyperlink>
            <w:r w:rsidRPr="00FB6960">
              <w:rPr>
                <w:rFonts w:cs="Arial"/>
                <w:sz w:val="22"/>
                <w:szCs w:val="22"/>
              </w:rPr>
              <w:t xml:space="preserve">’ (2017). Diagnostics guidance 28. </w:t>
            </w:r>
          </w:p>
          <w:p w14:paraId="43CF5084" w14:textId="77777777" w:rsidR="003D5174" w:rsidRPr="00FB6960" w:rsidRDefault="003D5174" w:rsidP="00800634">
            <w:pPr>
              <w:pStyle w:val="BodyText2"/>
              <w:rPr>
                <w:rFonts w:cs="Arial"/>
                <w:sz w:val="22"/>
                <w:szCs w:val="22"/>
              </w:rPr>
            </w:pPr>
            <w:r w:rsidRPr="00FB6960">
              <w:rPr>
                <w:rFonts w:cs="Arial"/>
                <w:sz w:val="22"/>
                <w:szCs w:val="22"/>
              </w:rPr>
              <w:t>‘</w:t>
            </w:r>
            <w:hyperlink r:id="rId32" w:history="1">
              <w:r w:rsidRPr="00FB6960">
                <w:rPr>
                  <w:rStyle w:val="Hyperlink"/>
                  <w:rFonts w:cs="Arial"/>
                  <w:sz w:val="22"/>
                  <w:szCs w:val="22"/>
                </w:rPr>
                <w:t>Colorectal cancer prevention: colonoscopic surveillance in adults with ulcerative colitis, Crohn's disease or adenomas</w:t>
              </w:r>
            </w:hyperlink>
            <w:r w:rsidRPr="00FB6960">
              <w:rPr>
                <w:rFonts w:cs="Arial"/>
                <w:sz w:val="22"/>
                <w:szCs w:val="22"/>
              </w:rPr>
              <w:t>’ (2011). Clinical guideline 118.</w:t>
            </w:r>
          </w:p>
          <w:p w14:paraId="0350BEC2" w14:textId="77777777" w:rsidR="003D5174" w:rsidRPr="008704E9" w:rsidRDefault="003D5174" w:rsidP="00800634">
            <w:pPr>
              <w:pStyle w:val="BodyText2"/>
              <w:rPr>
                <w:rFonts w:cs="Arial"/>
                <w:b/>
                <w:bCs/>
                <w:sz w:val="22"/>
                <w:szCs w:val="22"/>
                <w:lang w:val="en-GB"/>
              </w:rPr>
            </w:pPr>
            <w:r w:rsidRPr="008704E9">
              <w:rPr>
                <w:rFonts w:cs="Arial"/>
                <w:b/>
                <w:bCs/>
                <w:sz w:val="22"/>
                <w:szCs w:val="22"/>
                <w:lang w:val="en-GB"/>
              </w:rPr>
              <w:t>Related Interventional Procedures:</w:t>
            </w:r>
          </w:p>
          <w:p w14:paraId="4BB2D40B" w14:textId="77777777" w:rsidR="003D5174" w:rsidRPr="00FB6960" w:rsidRDefault="003D5174" w:rsidP="00800634">
            <w:pPr>
              <w:pStyle w:val="BodyText2"/>
              <w:rPr>
                <w:rFonts w:cs="Arial"/>
                <w:sz w:val="22"/>
                <w:szCs w:val="22"/>
              </w:rPr>
            </w:pPr>
            <w:r w:rsidRPr="00FB6960">
              <w:rPr>
                <w:rFonts w:cs="Arial"/>
                <w:sz w:val="22"/>
                <w:szCs w:val="22"/>
              </w:rPr>
              <w:t>‘</w:t>
            </w:r>
            <w:hyperlink r:id="rId33" w:history="1">
              <w:r w:rsidRPr="00FB6960">
                <w:rPr>
                  <w:rStyle w:val="Hyperlink"/>
                  <w:rFonts w:cs="Arial"/>
                  <w:sz w:val="22"/>
                  <w:szCs w:val="22"/>
                </w:rPr>
                <w:t>Selective internal radiation therapy for unresectable colorectal metastases in the liver</w:t>
              </w:r>
            </w:hyperlink>
            <w:r w:rsidRPr="00FB6960">
              <w:rPr>
                <w:rFonts w:cs="Arial"/>
                <w:sz w:val="22"/>
                <w:szCs w:val="22"/>
              </w:rPr>
              <w:t>’ (2020). NICE interventional procedures guidance 672.</w:t>
            </w:r>
          </w:p>
          <w:p w14:paraId="267D9359" w14:textId="77777777" w:rsidR="003D5174" w:rsidRPr="00E970E0" w:rsidRDefault="003D5174" w:rsidP="00800634">
            <w:pPr>
              <w:pStyle w:val="BodyText2"/>
              <w:rPr>
                <w:rFonts w:cs="Arial"/>
                <w:sz w:val="22"/>
                <w:szCs w:val="22"/>
                <w:lang w:val="en-GB"/>
              </w:rPr>
            </w:pPr>
            <w:r w:rsidRPr="00FB6960">
              <w:rPr>
                <w:rFonts w:cs="Arial"/>
                <w:sz w:val="22"/>
                <w:szCs w:val="22"/>
                <w:lang w:val="en-GB"/>
              </w:rPr>
              <w:t>‘</w:t>
            </w:r>
            <w:hyperlink r:id="rId34" w:history="1">
              <w:r w:rsidRPr="00FB6960">
                <w:rPr>
                  <w:rStyle w:val="Hyperlink"/>
                  <w:rFonts w:cs="Arial"/>
                  <w:sz w:val="22"/>
                  <w:szCs w:val="22"/>
                  <w:lang w:val="en-GB"/>
                </w:rPr>
                <w:t>Radiofrequency ablation for colorectal liver metastases</w:t>
              </w:r>
            </w:hyperlink>
            <w:r w:rsidRPr="00FB6960">
              <w:rPr>
                <w:rFonts w:cs="Arial"/>
                <w:sz w:val="22"/>
                <w:szCs w:val="22"/>
                <w:lang w:val="en-GB"/>
              </w:rPr>
              <w:t>’ (2009). NICE interventional procedures guidance 327</w:t>
            </w:r>
          </w:p>
          <w:p w14:paraId="3A8A96A6" w14:textId="77777777" w:rsidR="003D5174" w:rsidRPr="008704E9" w:rsidRDefault="003D5174" w:rsidP="00800634">
            <w:pPr>
              <w:pStyle w:val="BodyText2"/>
              <w:rPr>
                <w:rFonts w:cs="Arial"/>
                <w:b/>
                <w:bCs/>
                <w:sz w:val="22"/>
                <w:szCs w:val="22"/>
                <w:lang w:val="en-GB"/>
              </w:rPr>
            </w:pPr>
            <w:r w:rsidRPr="008704E9">
              <w:rPr>
                <w:rFonts w:cs="Arial"/>
                <w:b/>
                <w:bCs/>
                <w:sz w:val="22"/>
                <w:szCs w:val="22"/>
                <w:lang w:val="en-GB"/>
              </w:rPr>
              <w:t>Related Quality Standards:</w:t>
            </w:r>
          </w:p>
          <w:p w14:paraId="71C2258F" w14:textId="77777777" w:rsidR="003D5174" w:rsidRPr="00FB6960" w:rsidRDefault="003D5174" w:rsidP="00800634">
            <w:pPr>
              <w:pStyle w:val="BodyText2"/>
              <w:rPr>
                <w:rFonts w:cs="Arial"/>
                <w:sz w:val="22"/>
                <w:szCs w:val="22"/>
              </w:rPr>
            </w:pPr>
            <w:r w:rsidRPr="00FB6960">
              <w:rPr>
                <w:rFonts w:cs="Arial"/>
                <w:sz w:val="22"/>
                <w:szCs w:val="22"/>
              </w:rPr>
              <w:t>‘</w:t>
            </w:r>
            <w:hyperlink r:id="rId35" w:history="1">
              <w:r w:rsidRPr="00FB6960">
                <w:rPr>
                  <w:rStyle w:val="Hyperlink"/>
                  <w:rFonts w:cs="Arial"/>
                  <w:sz w:val="22"/>
                  <w:szCs w:val="22"/>
                </w:rPr>
                <w:t>Colorectal cancer</w:t>
              </w:r>
            </w:hyperlink>
            <w:r w:rsidRPr="00FB6960">
              <w:rPr>
                <w:rFonts w:cs="Arial"/>
                <w:sz w:val="22"/>
                <w:szCs w:val="22"/>
              </w:rPr>
              <w:t>’ (2022). NICE quality standard 20.</w:t>
            </w:r>
          </w:p>
          <w:p w14:paraId="4027D530" w14:textId="77777777" w:rsidR="003D5174" w:rsidRPr="00E970E0" w:rsidRDefault="003D5174" w:rsidP="00800634">
            <w:pPr>
              <w:pStyle w:val="BodyText2"/>
              <w:rPr>
                <w:rFonts w:cs="Arial"/>
                <w:sz w:val="22"/>
                <w:szCs w:val="22"/>
                <w:lang w:val="en-GB"/>
              </w:rPr>
            </w:pPr>
            <w:r w:rsidRPr="00FB6960">
              <w:rPr>
                <w:rFonts w:cs="Arial"/>
                <w:sz w:val="22"/>
                <w:szCs w:val="22"/>
              </w:rPr>
              <w:t>‘</w:t>
            </w:r>
            <w:hyperlink r:id="rId36" w:history="1">
              <w:r w:rsidRPr="00FB6960">
                <w:rPr>
                  <w:rStyle w:val="Hyperlink"/>
                  <w:rFonts w:cs="Arial"/>
                  <w:sz w:val="22"/>
                  <w:szCs w:val="22"/>
                </w:rPr>
                <w:t>Suspected Cancer</w:t>
              </w:r>
            </w:hyperlink>
            <w:r w:rsidRPr="00FB6960">
              <w:rPr>
                <w:rFonts w:cs="Arial"/>
                <w:sz w:val="22"/>
                <w:szCs w:val="22"/>
              </w:rPr>
              <w:t>‘ (2017) NICE Quality Standard 124</w:t>
            </w:r>
          </w:p>
        </w:tc>
      </w:tr>
      <w:tr w:rsidR="003D5174" w:rsidRPr="00E970E0" w14:paraId="774F3452" w14:textId="77777777" w:rsidTr="00AC5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19" w:type="dxa"/>
            <w:shd w:val="clear" w:color="auto" w:fill="D9D9D9"/>
          </w:tcPr>
          <w:p w14:paraId="1B6C49C8" w14:textId="77777777" w:rsidR="003D5174" w:rsidRPr="00E970E0" w:rsidRDefault="003D5174" w:rsidP="00800634">
            <w:pPr>
              <w:pStyle w:val="Header"/>
              <w:tabs>
                <w:tab w:val="clear" w:pos="4153"/>
                <w:tab w:val="clear" w:pos="8306"/>
              </w:tabs>
              <w:spacing w:before="120"/>
              <w:rPr>
                <w:rFonts w:cs="Arial"/>
                <w:b/>
                <w:bCs/>
                <w:sz w:val="22"/>
                <w:szCs w:val="22"/>
                <w:lang w:val="en-GB"/>
              </w:rPr>
            </w:pPr>
            <w:r w:rsidRPr="00E970E0">
              <w:rPr>
                <w:rFonts w:cs="Arial"/>
                <w:b/>
                <w:bCs/>
                <w:sz w:val="22"/>
                <w:szCs w:val="22"/>
                <w:lang w:val="en-GB"/>
              </w:rPr>
              <w:lastRenderedPageBreak/>
              <w:t xml:space="preserve">Related National Policy </w:t>
            </w:r>
          </w:p>
        </w:tc>
        <w:tc>
          <w:tcPr>
            <w:tcW w:w="6494" w:type="dxa"/>
          </w:tcPr>
          <w:p w14:paraId="2457382D" w14:textId="77777777" w:rsidR="003D5174" w:rsidRPr="00E970E0" w:rsidRDefault="003D5174" w:rsidP="00800634">
            <w:pPr>
              <w:rPr>
                <w:rFonts w:cs="Arial"/>
                <w:sz w:val="22"/>
                <w:szCs w:val="22"/>
              </w:rPr>
            </w:pPr>
            <w:r w:rsidRPr="00E970E0">
              <w:rPr>
                <w:rFonts w:cs="Arial"/>
                <w:sz w:val="22"/>
                <w:szCs w:val="22"/>
              </w:rPr>
              <w:t xml:space="preserve">The NHS Long Term Plan, 2019. </w:t>
            </w:r>
            <w:hyperlink r:id="rId37" w:history="1">
              <w:r w:rsidRPr="00E970E0">
                <w:rPr>
                  <w:rStyle w:val="Hyperlink"/>
                  <w:rFonts w:cs="Arial"/>
                  <w:sz w:val="22"/>
                  <w:szCs w:val="22"/>
                </w:rPr>
                <w:t>NHS Long Term Plan</w:t>
              </w:r>
            </w:hyperlink>
          </w:p>
          <w:p w14:paraId="4112EADE" w14:textId="77777777" w:rsidR="003D5174" w:rsidRDefault="003D5174" w:rsidP="00800634">
            <w:pPr>
              <w:pStyle w:val="BodyText2"/>
              <w:rPr>
                <w:rStyle w:val="Hyperlink"/>
                <w:rFonts w:cs="Arial"/>
                <w:sz w:val="22"/>
                <w:szCs w:val="22"/>
              </w:rPr>
            </w:pPr>
            <w:r w:rsidRPr="00E970E0">
              <w:rPr>
                <w:rFonts w:cs="Arial"/>
                <w:sz w:val="22"/>
                <w:szCs w:val="22"/>
                <w:lang w:val="en-GB"/>
              </w:rPr>
              <w:t xml:space="preserve">NHS England (2018/2019) </w:t>
            </w:r>
            <w:hyperlink r:id="rId38" w:history="1">
              <w:r w:rsidRPr="00E970E0">
                <w:rPr>
                  <w:rStyle w:val="Hyperlink"/>
                  <w:rFonts w:cs="Arial"/>
                  <w:sz w:val="22"/>
                  <w:szCs w:val="22"/>
                </w:rPr>
                <w:t>NHS manual for prescribed specialist services (2018/2019)</w:t>
              </w:r>
            </w:hyperlink>
          </w:p>
          <w:p w14:paraId="0DC91C4B" w14:textId="77777777" w:rsidR="003D5174" w:rsidRPr="008704E9" w:rsidRDefault="003D5174" w:rsidP="00800634">
            <w:pPr>
              <w:pStyle w:val="BodyText2"/>
              <w:rPr>
                <w:rFonts w:cs="Arial"/>
                <w:sz w:val="22"/>
                <w:szCs w:val="22"/>
              </w:rPr>
            </w:pPr>
            <w:r w:rsidRPr="00CA1E4C">
              <w:rPr>
                <w:sz w:val="22"/>
                <w:szCs w:val="18"/>
                <w:lang w:val="en-GB"/>
              </w:rPr>
              <w:lastRenderedPageBreak/>
              <w:t xml:space="preserve">Department of Health and Social Care, NHS Outcomes Framework 2016-2017: Domains 1 to 5. </w:t>
            </w:r>
            <w:hyperlink r:id="rId39" w:history="1">
              <w:r w:rsidRPr="00CA1E4C">
                <w:rPr>
                  <w:rStyle w:val="Hyperlink"/>
                  <w:sz w:val="22"/>
                  <w:szCs w:val="18"/>
                  <w:lang w:val="en-GB"/>
                </w:rPr>
                <w:t>https://www.gov.uk/government/publications/nhs-outcomes-framework-2016-to-2017</w:t>
              </w:r>
            </w:hyperlink>
            <w:hyperlink w:history="1"/>
          </w:p>
        </w:tc>
      </w:tr>
    </w:tbl>
    <w:p w14:paraId="383A618A" w14:textId="77777777" w:rsidR="00C527C6" w:rsidRPr="00E970E0" w:rsidRDefault="00C527C6" w:rsidP="00223C87">
      <w:pPr>
        <w:rPr>
          <w:rFonts w:cs="Arial"/>
          <w:sz w:val="22"/>
          <w:szCs w:val="22"/>
        </w:rPr>
      </w:pPr>
    </w:p>
    <w:p w14:paraId="2DC5F6B8" w14:textId="77777777" w:rsidR="00D95441" w:rsidRPr="00E970E0" w:rsidRDefault="00D95441" w:rsidP="00D95441">
      <w:pPr>
        <w:pStyle w:val="Heading1"/>
        <w:spacing w:before="240"/>
        <w:rPr>
          <w:rFonts w:cs="Arial"/>
          <w:sz w:val="22"/>
          <w:szCs w:val="22"/>
          <w:lang w:val="en-GB"/>
        </w:rPr>
      </w:pPr>
      <w:r w:rsidRPr="00E970E0">
        <w:rPr>
          <w:rFonts w:cs="Arial"/>
          <w:sz w:val="22"/>
          <w:szCs w:val="22"/>
          <w:lang w:val="en-GB"/>
        </w:rPr>
        <w:t>References</w:t>
      </w:r>
    </w:p>
    <w:p w14:paraId="5082858E" w14:textId="79C05E2D" w:rsidR="005C4804" w:rsidRPr="00CA1E4C" w:rsidRDefault="005C4804" w:rsidP="005C4804">
      <w:pPr>
        <w:pStyle w:val="Heading1"/>
        <w:numPr>
          <w:ilvl w:val="0"/>
          <w:numId w:val="30"/>
        </w:numPr>
        <w:tabs>
          <w:tab w:val="num" w:pos="360"/>
        </w:tabs>
        <w:spacing w:before="240"/>
        <w:ind w:left="0" w:firstLine="0"/>
        <w:rPr>
          <w:rFonts w:cs="Arial"/>
          <w:b w:val="0"/>
          <w:bCs w:val="0"/>
          <w:sz w:val="22"/>
          <w:szCs w:val="22"/>
          <w:lang w:val="en-GB"/>
        </w:rPr>
      </w:pPr>
      <w:r w:rsidRPr="00CA1E4C">
        <w:rPr>
          <w:rFonts w:cs="Arial"/>
          <w:b w:val="0"/>
          <w:bCs w:val="0"/>
          <w:sz w:val="22"/>
          <w:szCs w:val="22"/>
          <w:lang w:val="en-GB"/>
        </w:rPr>
        <w:t xml:space="preserve">United Kingdom Fact sheet, </w:t>
      </w:r>
      <w:hyperlink r:id="rId40" w:history="1">
        <w:r w:rsidRPr="00CA1E4C">
          <w:rPr>
            <w:rStyle w:val="Hyperlink"/>
            <w:rFonts w:cs="Arial"/>
            <w:b w:val="0"/>
            <w:bCs w:val="0"/>
            <w:sz w:val="22"/>
            <w:szCs w:val="22"/>
            <w:lang w:val="en-GB"/>
          </w:rPr>
          <w:t>International Agency for Research on Cancer</w:t>
        </w:r>
      </w:hyperlink>
      <w:r w:rsidRPr="00CA1E4C">
        <w:rPr>
          <w:rFonts w:cs="Arial"/>
          <w:b w:val="0"/>
          <w:bCs w:val="0"/>
          <w:sz w:val="22"/>
          <w:szCs w:val="22"/>
          <w:lang w:val="en-GB"/>
        </w:rPr>
        <w:t xml:space="preserve">. </w:t>
      </w:r>
      <w:r>
        <w:rPr>
          <w:rFonts w:cs="Arial"/>
          <w:b w:val="0"/>
          <w:bCs w:val="0"/>
          <w:sz w:val="22"/>
          <w:szCs w:val="22"/>
          <w:lang w:val="en-GB"/>
        </w:rPr>
        <w:tab/>
      </w:r>
      <w:r w:rsidRPr="00CA1E4C">
        <w:rPr>
          <w:rFonts w:cs="Arial"/>
          <w:b w:val="0"/>
          <w:bCs w:val="0"/>
          <w:sz w:val="22"/>
          <w:szCs w:val="22"/>
          <w:lang w:val="en-GB"/>
        </w:rPr>
        <w:t xml:space="preserve">Accessed </w:t>
      </w:r>
      <w:r w:rsidR="00103FB5">
        <w:rPr>
          <w:rFonts w:cs="Arial"/>
          <w:b w:val="0"/>
          <w:bCs w:val="0"/>
          <w:sz w:val="22"/>
          <w:szCs w:val="22"/>
          <w:lang w:val="en-GB"/>
        </w:rPr>
        <w:t>May</w:t>
      </w:r>
      <w:r>
        <w:rPr>
          <w:rFonts w:cs="Arial"/>
          <w:b w:val="0"/>
          <w:bCs w:val="0"/>
          <w:sz w:val="22"/>
          <w:szCs w:val="22"/>
          <w:lang w:val="en-GB"/>
        </w:rPr>
        <w:t xml:space="preserve"> 2023</w:t>
      </w:r>
      <w:r w:rsidRPr="00CA1E4C">
        <w:rPr>
          <w:rFonts w:cs="Arial"/>
          <w:b w:val="0"/>
          <w:bCs w:val="0"/>
          <w:sz w:val="22"/>
          <w:szCs w:val="22"/>
          <w:lang w:val="en-GB"/>
        </w:rPr>
        <w:t xml:space="preserve">. </w:t>
      </w:r>
    </w:p>
    <w:p w14:paraId="3A4A6D08" w14:textId="087FA48F" w:rsidR="005C4804" w:rsidRDefault="005C4804" w:rsidP="005C4804">
      <w:pPr>
        <w:pStyle w:val="Heading1"/>
        <w:numPr>
          <w:ilvl w:val="0"/>
          <w:numId w:val="30"/>
        </w:numPr>
        <w:tabs>
          <w:tab w:val="num" w:pos="360"/>
        </w:tabs>
        <w:spacing w:before="240"/>
        <w:ind w:left="0" w:firstLine="0"/>
        <w:rPr>
          <w:rFonts w:cs="Arial"/>
          <w:b w:val="0"/>
          <w:bCs w:val="0"/>
          <w:sz w:val="22"/>
          <w:szCs w:val="22"/>
          <w:lang w:val="en-GB"/>
        </w:rPr>
      </w:pPr>
      <w:r w:rsidRPr="00741AFA">
        <w:rPr>
          <w:rFonts w:cs="Arial"/>
          <w:b w:val="0"/>
          <w:bCs w:val="0"/>
          <w:sz w:val="22"/>
          <w:szCs w:val="22"/>
          <w:lang w:val="en-GB"/>
        </w:rPr>
        <w:t xml:space="preserve">Cancer Research UK, </w:t>
      </w:r>
      <w:hyperlink r:id="rId41" w:anchor="heading-Zero" w:history="1">
        <w:r w:rsidRPr="00741AFA">
          <w:rPr>
            <w:rStyle w:val="Hyperlink"/>
            <w:rFonts w:cs="Arial"/>
            <w:b w:val="0"/>
            <w:bCs w:val="0"/>
            <w:sz w:val="22"/>
            <w:szCs w:val="22"/>
            <w:lang w:val="en-GB"/>
          </w:rPr>
          <w:t>Bowel cancer statistics</w:t>
        </w:r>
      </w:hyperlink>
      <w:r w:rsidRPr="00741AFA">
        <w:rPr>
          <w:rFonts w:cs="Arial"/>
          <w:b w:val="0"/>
          <w:bCs w:val="0"/>
          <w:sz w:val="22"/>
          <w:szCs w:val="22"/>
          <w:lang w:val="en-GB"/>
        </w:rPr>
        <w:t xml:space="preserve">. Accessed </w:t>
      </w:r>
      <w:r w:rsidR="00103FB5">
        <w:rPr>
          <w:rFonts w:cs="Arial"/>
          <w:b w:val="0"/>
          <w:bCs w:val="0"/>
          <w:sz w:val="22"/>
          <w:szCs w:val="22"/>
          <w:lang w:val="en-GB"/>
        </w:rPr>
        <w:t>May</w:t>
      </w:r>
      <w:r w:rsidRPr="00741AFA">
        <w:rPr>
          <w:rFonts w:cs="Arial"/>
          <w:b w:val="0"/>
          <w:bCs w:val="0"/>
          <w:sz w:val="22"/>
          <w:szCs w:val="22"/>
          <w:lang w:val="en-GB"/>
        </w:rPr>
        <w:t xml:space="preserve"> 202</w:t>
      </w:r>
      <w:r>
        <w:rPr>
          <w:rFonts w:cs="Arial"/>
          <w:b w:val="0"/>
          <w:bCs w:val="0"/>
          <w:sz w:val="22"/>
          <w:szCs w:val="22"/>
          <w:lang w:val="en-GB"/>
        </w:rPr>
        <w:t>3.</w:t>
      </w:r>
    </w:p>
    <w:p w14:paraId="675E47C8" w14:textId="5C99B1DA" w:rsidR="004C1536" w:rsidRPr="005C4804" w:rsidRDefault="005C4804" w:rsidP="005C4804">
      <w:pPr>
        <w:pStyle w:val="Heading1"/>
        <w:numPr>
          <w:ilvl w:val="0"/>
          <w:numId w:val="30"/>
        </w:numPr>
        <w:tabs>
          <w:tab w:val="num" w:pos="360"/>
        </w:tabs>
        <w:spacing w:before="240"/>
        <w:ind w:left="0" w:firstLine="0"/>
        <w:rPr>
          <w:rFonts w:cs="Arial"/>
          <w:b w:val="0"/>
          <w:bCs w:val="0"/>
          <w:sz w:val="22"/>
          <w:szCs w:val="22"/>
          <w:lang w:val="en-GB"/>
        </w:rPr>
      </w:pPr>
      <w:r w:rsidRPr="00CA1E4C">
        <w:rPr>
          <w:rFonts w:cs="Arial"/>
          <w:b w:val="0"/>
          <w:bCs w:val="0"/>
          <w:sz w:val="22"/>
          <w:szCs w:val="22"/>
          <w:lang w:val="en-GB"/>
        </w:rPr>
        <w:t xml:space="preserve">The Royal Marsden NHS Foundation Trust, </w:t>
      </w:r>
      <w:hyperlink r:id="rId42" w:history="1">
        <w:r w:rsidRPr="00CA1E4C">
          <w:rPr>
            <w:rStyle w:val="Hyperlink"/>
            <w:rFonts w:cs="Arial"/>
            <w:b w:val="0"/>
            <w:bCs w:val="0"/>
            <w:sz w:val="22"/>
            <w:szCs w:val="22"/>
            <w:lang w:val="en-GB"/>
          </w:rPr>
          <w:t>Colorectal cancer</w:t>
        </w:r>
      </w:hyperlink>
      <w:r w:rsidRPr="00CA1E4C">
        <w:rPr>
          <w:rFonts w:cs="Arial"/>
          <w:b w:val="0"/>
          <w:bCs w:val="0"/>
          <w:sz w:val="22"/>
          <w:szCs w:val="22"/>
          <w:lang w:val="en-GB"/>
        </w:rPr>
        <w:t xml:space="preserve">. Accessed </w:t>
      </w:r>
      <w:r>
        <w:rPr>
          <w:rFonts w:cs="Arial"/>
          <w:b w:val="0"/>
          <w:bCs w:val="0"/>
          <w:sz w:val="22"/>
          <w:szCs w:val="22"/>
          <w:lang w:val="en-GB"/>
        </w:rPr>
        <w:tab/>
      </w:r>
      <w:r w:rsidR="00103FB5">
        <w:rPr>
          <w:rFonts w:cs="Arial"/>
          <w:b w:val="0"/>
          <w:bCs w:val="0"/>
          <w:sz w:val="22"/>
          <w:szCs w:val="22"/>
          <w:lang w:val="en-GB"/>
        </w:rPr>
        <w:t xml:space="preserve">May </w:t>
      </w:r>
      <w:r w:rsidRPr="00CA1E4C">
        <w:rPr>
          <w:rFonts w:cs="Arial"/>
          <w:b w:val="0"/>
          <w:bCs w:val="0"/>
          <w:sz w:val="22"/>
          <w:szCs w:val="22"/>
          <w:lang w:val="en-GB"/>
        </w:rPr>
        <w:t>202</w:t>
      </w:r>
      <w:r w:rsidR="00103FB5">
        <w:rPr>
          <w:rFonts w:cs="Arial"/>
          <w:b w:val="0"/>
          <w:bCs w:val="0"/>
          <w:sz w:val="22"/>
          <w:szCs w:val="22"/>
          <w:lang w:val="en-GB"/>
        </w:rPr>
        <w:t>3</w:t>
      </w:r>
      <w:r w:rsidRPr="00CA1E4C">
        <w:rPr>
          <w:rFonts w:cs="Arial"/>
          <w:b w:val="0"/>
          <w:bCs w:val="0"/>
          <w:sz w:val="22"/>
          <w:szCs w:val="22"/>
          <w:lang w:val="en-GB"/>
        </w:rPr>
        <w:t>.</w:t>
      </w:r>
    </w:p>
    <w:sectPr w:rsidR="004C1536" w:rsidRPr="005C4804" w:rsidSect="00792C5C">
      <w:headerReference w:type="default" r:id="rId43"/>
      <w:footerReference w:type="default" r:id="rId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FC2A" w14:textId="77777777" w:rsidR="00D46D5D" w:rsidRDefault="00D46D5D">
      <w:r>
        <w:separator/>
      </w:r>
    </w:p>
  </w:endnote>
  <w:endnote w:type="continuationSeparator" w:id="0">
    <w:p w14:paraId="1C21700D" w14:textId="77777777" w:rsidR="00D46D5D" w:rsidRDefault="00D4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AB64" w14:textId="77777777" w:rsidR="00C67E2F" w:rsidRPr="00E84C07" w:rsidRDefault="00C67E2F">
    <w:pPr>
      <w:pStyle w:val="Footer"/>
      <w:rPr>
        <w:sz w:val="20"/>
      </w:rPr>
    </w:pPr>
  </w:p>
  <w:p w14:paraId="0401E422" w14:textId="41F86AE1" w:rsidR="00300874" w:rsidRPr="00FB37A8" w:rsidRDefault="00223C87" w:rsidP="00300874">
    <w:pPr>
      <w:pStyle w:val="BodyText"/>
      <w:spacing w:after="0"/>
      <w:rPr>
        <w:rFonts w:cs="Arial"/>
        <w:sz w:val="20"/>
        <w:highlight w:val="green"/>
        <w:lang w:val="en-GB"/>
      </w:rPr>
    </w:pPr>
    <w:r>
      <w:rPr>
        <w:sz w:val="20"/>
        <w:lang w:val="en-GB"/>
      </w:rPr>
      <w:t xml:space="preserve">Final </w:t>
    </w:r>
    <w:r w:rsidR="00C67E2F" w:rsidRPr="00E84C07">
      <w:rPr>
        <w:sz w:val="20"/>
      </w:rPr>
      <w:t xml:space="preserve">scope for </w:t>
    </w:r>
    <w:r w:rsidR="00C67E2F" w:rsidRPr="00FB37A8">
      <w:rPr>
        <w:sz w:val="20"/>
      </w:rPr>
      <w:t xml:space="preserve">the </w:t>
    </w:r>
    <w:r w:rsidR="000C52F6" w:rsidRPr="00FB37A8">
      <w:rPr>
        <w:sz w:val="20"/>
      </w:rPr>
      <w:t xml:space="preserve">evaluation </w:t>
    </w:r>
    <w:r w:rsidR="00FB37A8" w:rsidRPr="00FB37A8">
      <w:rPr>
        <w:sz w:val="20"/>
        <w:lang w:val="en-GB"/>
      </w:rPr>
      <w:t xml:space="preserve">of </w:t>
    </w:r>
    <w:r w:rsidR="00FB37A8" w:rsidRPr="00FB37A8">
      <w:rPr>
        <w:rFonts w:cs="Arial"/>
        <w:sz w:val="20"/>
        <w:lang w:val="en-GB"/>
      </w:rPr>
      <w:t>tucatinib with trastuzumab for previously treated HER2-positive</w:t>
    </w:r>
    <w:r w:rsidR="002B275C">
      <w:rPr>
        <w:rFonts w:cs="Arial"/>
        <w:sz w:val="20"/>
        <w:lang w:val="en-GB"/>
      </w:rPr>
      <w:t xml:space="preserve"> </w:t>
    </w:r>
    <w:r w:rsidR="00FB37A8" w:rsidRPr="00FB37A8">
      <w:rPr>
        <w:rFonts w:cs="Arial"/>
        <w:sz w:val="20"/>
        <w:lang w:val="en-GB"/>
      </w:rPr>
      <w:t>colorectal cancer</w:t>
    </w:r>
  </w:p>
  <w:p w14:paraId="42F13AFB" w14:textId="6BCA69A4" w:rsidR="00C67E2F" w:rsidRPr="00E84C07" w:rsidRDefault="00C67E2F">
    <w:pPr>
      <w:pStyle w:val="Footer"/>
      <w:rPr>
        <w:sz w:val="20"/>
      </w:rPr>
    </w:pPr>
    <w:r w:rsidRPr="00E84C07">
      <w:rPr>
        <w:sz w:val="20"/>
      </w:rPr>
      <w:t xml:space="preserve">Issue Date: </w:t>
    </w:r>
    <w:r w:rsidR="00223C87">
      <w:rPr>
        <w:sz w:val="20"/>
      </w:rPr>
      <w:t>October</w:t>
    </w:r>
    <w:r w:rsidR="00C70158" w:rsidRPr="00E84C07">
      <w:rPr>
        <w:sz w:val="20"/>
      </w:rPr>
      <w:t xml:space="preserve"> </w:t>
    </w:r>
    <w:r w:rsidR="00300874" w:rsidRPr="00E84C07">
      <w:rPr>
        <w:sz w:val="20"/>
      </w:rPr>
      <w:t>2023</w:t>
    </w:r>
    <w:r w:rsidRPr="00E84C07">
      <w:rPr>
        <w:sz w:val="20"/>
      </w:rPr>
      <w:tab/>
    </w:r>
    <w:r w:rsidRPr="00E84C07">
      <w:rPr>
        <w:sz w:val="20"/>
      </w:rPr>
      <w:tab/>
      <w:t xml:space="preserve">Page </w:t>
    </w:r>
    <w:r w:rsidRPr="00E84C07">
      <w:rPr>
        <w:sz w:val="20"/>
      </w:rPr>
      <w:fldChar w:fldCharType="begin"/>
    </w:r>
    <w:r w:rsidRPr="00E84C07">
      <w:rPr>
        <w:sz w:val="20"/>
      </w:rPr>
      <w:instrText xml:space="preserve"> PAGE </w:instrText>
    </w:r>
    <w:r w:rsidRPr="00E84C07">
      <w:rPr>
        <w:sz w:val="20"/>
      </w:rPr>
      <w:fldChar w:fldCharType="separate"/>
    </w:r>
    <w:r w:rsidR="006A16FD" w:rsidRPr="00E84C07">
      <w:rPr>
        <w:noProof/>
        <w:sz w:val="20"/>
      </w:rPr>
      <w:t>11</w:t>
    </w:r>
    <w:r w:rsidRPr="00E84C07">
      <w:rPr>
        <w:sz w:val="20"/>
      </w:rPr>
      <w:fldChar w:fldCharType="end"/>
    </w:r>
    <w:r w:rsidRPr="00E84C07">
      <w:rPr>
        <w:sz w:val="20"/>
      </w:rPr>
      <w:t xml:space="preserve"> of </w:t>
    </w:r>
    <w:r w:rsidRPr="00E84C07">
      <w:rPr>
        <w:sz w:val="20"/>
      </w:rPr>
      <w:fldChar w:fldCharType="begin"/>
    </w:r>
    <w:r w:rsidRPr="00E84C07">
      <w:rPr>
        <w:sz w:val="20"/>
      </w:rPr>
      <w:instrText xml:space="preserve"> NUMPAGES </w:instrText>
    </w:r>
    <w:r w:rsidRPr="00E84C07">
      <w:rPr>
        <w:sz w:val="20"/>
      </w:rPr>
      <w:fldChar w:fldCharType="separate"/>
    </w:r>
    <w:r w:rsidR="006A16FD" w:rsidRPr="00E84C07">
      <w:rPr>
        <w:noProof/>
        <w:sz w:val="20"/>
      </w:rPr>
      <w:t>11</w:t>
    </w:r>
    <w:r w:rsidRPr="00E84C07">
      <w:rPr>
        <w:sz w:val="20"/>
      </w:rPr>
      <w:fldChar w:fldCharType="end"/>
    </w:r>
  </w:p>
  <w:p w14:paraId="3B7092C4" w14:textId="74FFA44F" w:rsidR="00B10464" w:rsidRPr="004C25A1" w:rsidRDefault="00B10464">
    <w:pPr>
      <w:pStyle w:val="Footer"/>
      <w:rPr>
        <w:sz w:val="20"/>
      </w:rPr>
    </w:pPr>
    <w:r w:rsidRPr="00E84C07">
      <w:rPr>
        <w:sz w:val="20"/>
      </w:rPr>
      <w:t xml:space="preserve">© National Institute </w:t>
    </w:r>
    <w:r w:rsidRPr="00B10464">
      <w:rPr>
        <w:sz w:val="20"/>
      </w:rPr>
      <w:t xml:space="preserve">for Health and Care Excellence </w:t>
    </w:r>
    <w:r w:rsidR="00300874">
      <w:rPr>
        <w:sz w:val="20"/>
      </w:rPr>
      <w:t>2023</w:t>
    </w:r>
    <w:r w:rsidRPr="00B10464">
      <w:rPr>
        <w:sz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3636" w14:textId="77777777" w:rsidR="00D46D5D" w:rsidRDefault="00D46D5D">
      <w:r>
        <w:separator/>
      </w:r>
    </w:p>
  </w:footnote>
  <w:footnote w:type="continuationSeparator" w:id="0">
    <w:p w14:paraId="76E297AA" w14:textId="77777777" w:rsidR="00D46D5D" w:rsidRDefault="00D4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A1C2" w14:textId="2EA4BE1F" w:rsidR="00C67E2F" w:rsidRDefault="006B5D1A" w:rsidP="00406CE0">
    <w:pPr>
      <w:pStyle w:val="Header"/>
      <w:rPr>
        <w:b/>
      </w:rPr>
    </w:pPr>
    <w:r>
      <w:rPr>
        <w:b/>
      </w:rPr>
      <w:tab/>
    </w:r>
    <w:r w:rsidR="00C67E2F">
      <w:rPr>
        <w:b/>
      </w:rPr>
      <w:tab/>
      <w:t>Appendix B</w:t>
    </w:r>
  </w:p>
  <w:p w14:paraId="55C38C3B" w14:textId="77777777" w:rsidR="00C67E2F" w:rsidRDefault="00C67E2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FDE"/>
    <w:multiLevelType w:val="hybridMultilevel"/>
    <w:tmpl w:val="65E475A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7F5308"/>
    <w:multiLevelType w:val="hybridMultilevel"/>
    <w:tmpl w:val="1D209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D6B99"/>
    <w:multiLevelType w:val="hybridMultilevel"/>
    <w:tmpl w:val="8B687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B4DD9"/>
    <w:multiLevelType w:val="hybridMultilevel"/>
    <w:tmpl w:val="7D16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42F5E"/>
    <w:multiLevelType w:val="hybridMultilevel"/>
    <w:tmpl w:val="ACEC891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51057"/>
    <w:multiLevelType w:val="hybridMultilevel"/>
    <w:tmpl w:val="164484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2B7EB0"/>
    <w:multiLevelType w:val="hybridMultilevel"/>
    <w:tmpl w:val="F996A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C6AEB"/>
    <w:multiLevelType w:val="hybridMultilevel"/>
    <w:tmpl w:val="11400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AA504D"/>
    <w:multiLevelType w:val="hybridMultilevel"/>
    <w:tmpl w:val="3B9AD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46736"/>
    <w:multiLevelType w:val="hybridMultilevel"/>
    <w:tmpl w:val="FFE0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5B1E3E"/>
    <w:multiLevelType w:val="hybridMultilevel"/>
    <w:tmpl w:val="A9ACB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0E2489"/>
    <w:multiLevelType w:val="multilevel"/>
    <w:tmpl w:val="CF7423B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FD60693"/>
    <w:multiLevelType w:val="hybridMultilevel"/>
    <w:tmpl w:val="BDA87E2A"/>
    <w:lvl w:ilvl="0" w:tplc="7DDCFF46">
      <w:start w:val="20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143471"/>
    <w:multiLevelType w:val="hybridMultilevel"/>
    <w:tmpl w:val="2386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6F1851"/>
    <w:multiLevelType w:val="hybridMultilevel"/>
    <w:tmpl w:val="44806604"/>
    <w:lvl w:ilvl="0" w:tplc="984AD822">
      <w:start w:val="1"/>
      <w:numFmt w:val="decimal"/>
      <w:lvlText w:val="%1."/>
      <w:lvlJc w:val="left"/>
      <w:pPr>
        <w:ind w:left="720" w:hanging="360"/>
      </w:pPr>
      <w:rPr>
        <w:rFonts w:cs="Times New Roman"/>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B8305E2"/>
    <w:multiLevelType w:val="hybridMultilevel"/>
    <w:tmpl w:val="C1BE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42D82"/>
    <w:multiLevelType w:val="hybridMultilevel"/>
    <w:tmpl w:val="B05C69F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E2B692E"/>
    <w:multiLevelType w:val="hybridMultilevel"/>
    <w:tmpl w:val="51D4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0C35EAF"/>
    <w:multiLevelType w:val="hybridMultilevel"/>
    <w:tmpl w:val="D31A3F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4214D8"/>
    <w:multiLevelType w:val="hybridMultilevel"/>
    <w:tmpl w:val="1DC0D2AE"/>
    <w:lvl w:ilvl="0" w:tplc="08090001">
      <w:start w:val="1"/>
      <w:numFmt w:val="bullet"/>
      <w:lvlText w:val=""/>
      <w:lvlJc w:val="left"/>
      <w:pPr>
        <w:tabs>
          <w:tab w:val="num" w:pos="720"/>
        </w:tabs>
        <w:ind w:left="720" w:hanging="360"/>
      </w:pPr>
      <w:rPr>
        <w:rFonts w:ascii="Symbol" w:hAnsi="Symbol" w:hint="default"/>
      </w:rPr>
    </w:lvl>
    <w:lvl w:ilvl="1" w:tplc="436E3ED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B69EF"/>
    <w:multiLevelType w:val="hybridMultilevel"/>
    <w:tmpl w:val="6C7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752C5"/>
    <w:multiLevelType w:val="hybridMultilevel"/>
    <w:tmpl w:val="21CAAB2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A11E7"/>
    <w:multiLevelType w:val="hybridMultilevel"/>
    <w:tmpl w:val="130C36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44955"/>
    <w:multiLevelType w:val="hybridMultilevel"/>
    <w:tmpl w:val="012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B2B60"/>
    <w:multiLevelType w:val="hybridMultilevel"/>
    <w:tmpl w:val="541C5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3526A3"/>
    <w:multiLevelType w:val="hybridMultilevel"/>
    <w:tmpl w:val="EF7E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673937">
    <w:abstractNumId w:val="0"/>
  </w:num>
  <w:num w:numId="2" w16cid:durableId="669992671">
    <w:abstractNumId w:val="1"/>
  </w:num>
  <w:num w:numId="3" w16cid:durableId="485391606">
    <w:abstractNumId w:val="21"/>
  </w:num>
  <w:num w:numId="4" w16cid:durableId="798886258">
    <w:abstractNumId w:val="2"/>
  </w:num>
  <w:num w:numId="5" w16cid:durableId="201089443">
    <w:abstractNumId w:val="4"/>
  </w:num>
  <w:num w:numId="6" w16cid:durableId="831873135">
    <w:abstractNumId w:val="5"/>
  </w:num>
  <w:num w:numId="7" w16cid:durableId="301690943">
    <w:abstractNumId w:val="24"/>
  </w:num>
  <w:num w:numId="8" w16cid:durableId="1378428242">
    <w:abstractNumId w:val="6"/>
  </w:num>
  <w:num w:numId="9" w16cid:durableId="9575947">
    <w:abstractNumId w:val="13"/>
  </w:num>
  <w:num w:numId="10" w16cid:durableId="152725062">
    <w:abstractNumId w:val="23"/>
  </w:num>
  <w:num w:numId="11" w16cid:durableId="624895275">
    <w:abstractNumId w:val="25"/>
  </w:num>
  <w:num w:numId="12" w16cid:durableId="976299359">
    <w:abstractNumId w:val="20"/>
  </w:num>
  <w:num w:numId="13" w16cid:durableId="1725832342">
    <w:abstractNumId w:val="26"/>
  </w:num>
  <w:num w:numId="14" w16cid:durableId="103885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3159828">
    <w:abstractNumId w:val="14"/>
  </w:num>
  <w:num w:numId="16" w16cid:durableId="735906767">
    <w:abstractNumId w:val="27"/>
  </w:num>
  <w:num w:numId="17" w16cid:durableId="14011008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829625">
    <w:abstractNumId w:val="12"/>
  </w:num>
  <w:num w:numId="19" w16cid:durableId="1226531784">
    <w:abstractNumId w:val="7"/>
  </w:num>
  <w:num w:numId="20" w16cid:durableId="1873960251">
    <w:abstractNumId w:val="18"/>
  </w:num>
  <w:num w:numId="21" w16cid:durableId="1633752768">
    <w:abstractNumId w:val="18"/>
  </w:num>
  <w:num w:numId="22" w16cid:durableId="681205830">
    <w:abstractNumId w:val="9"/>
  </w:num>
  <w:num w:numId="23" w16cid:durableId="623774881">
    <w:abstractNumId w:val="3"/>
  </w:num>
  <w:num w:numId="24" w16cid:durableId="616913544">
    <w:abstractNumId w:val="11"/>
  </w:num>
  <w:num w:numId="25" w16cid:durableId="845559996">
    <w:abstractNumId w:val="8"/>
  </w:num>
  <w:num w:numId="26" w16cid:durableId="403183799">
    <w:abstractNumId w:val="10"/>
  </w:num>
  <w:num w:numId="27" w16cid:durableId="1543327029">
    <w:abstractNumId w:val="28"/>
  </w:num>
  <w:num w:numId="28" w16cid:durableId="1838112873">
    <w:abstractNumId w:val="22"/>
  </w:num>
  <w:num w:numId="29" w16cid:durableId="1879775536">
    <w:abstractNumId w:val="16"/>
  </w:num>
  <w:num w:numId="30" w16cid:durableId="2019769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oNotDisplayPageBoundaries/>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5D"/>
    <w:rsid w:val="00001A5D"/>
    <w:rsid w:val="00005380"/>
    <w:rsid w:val="00006BF4"/>
    <w:rsid w:val="000177B7"/>
    <w:rsid w:val="00023841"/>
    <w:rsid w:val="00031720"/>
    <w:rsid w:val="000511D1"/>
    <w:rsid w:val="00051A0D"/>
    <w:rsid w:val="00052337"/>
    <w:rsid w:val="00055B33"/>
    <w:rsid w:val="00055E82"/>
    <w:rsid w:val="00056261"/>
    <w:rsid w:val="00056EC4"/>
    <w:rsid w:val="00064F06"/>
    <w:rsid w:val="00065C8F"/>
    <w:rsid w:val="000661B6"/>
    <w:rsid w:val="000737EA"/>
    <w:rsid w:val="00073DC5"/>
    <w:rsid w:val="00077FA3"/>
    <w:rsid w:val="00085BEE"/>
    <w:rsid w:val="0009273A"/>
    <w:rsid w:val="00092AF1"/>
    <w:rsid w:val="00095E14"/>
    <w:rsid w:val="00096B24"/>
    <w:rsid w:val="000A0B10"/>
    <w:rsid w:val="000A2935"/>
    <w:rsid w:val="000A2CE3"/>
    <w:rsid w:val="000A424C"/>
    <w:rsid w:val="000A7EBA"/>
    <w:rsid w:val="000B09BA"/>
    <w:rsid w:val="000B199A"/>
    <w:rsid w:val="000B2758"/>
    <w:rsid w:val="000B57C1"/>
    <w:rsid w:val="000B5B4F"/>
    <w:rsid w:val="000C2E94"/>
    <w:rsid w:val="000C44FC"/>
    <w:rsid w:val="000C52F6"/>
    <w:rsid w:val="000D05D0"/>
    <w:rsid w:val="000D0E48"/>
    <w:rsid w:val="000D2C86"/>
    <w:rsid w:val="000E1E94"/>
    <w:rsid w:val="000E2760"/>
    <w:rsid w:val="000E2FFA"/>
    <w:rsid w:val="000E6D9A"/>
    <w:rsid w:val="000F549C"/>
    <w:rsid w:val="000F54B1"/>
    <w:rsid w:val="000F6101"/>
    <w:rsid w:val="001026B2"/>
    <w:rsid w:val="00103AF4"/>
    <w:rsid w:val="00103FB5"/>
    <w:rsid w:val="001112DA"/>
    <w:rsid w:val="001136C7"/>
    <w:rsid w:val="00121949"/>
    <w:rsid w:val="00123602"/>
    <w:rsid w:val="00123ADE"/>
    <w:rsid w:val="00127D24"/>
    <w:rsid w:val="001308AD"/>
    <w:rsid w:val="00130F12"/>
    <w:rsid w:val="00135469"/>
    <w:rsid w:val="001435D4"/>
    <w:rsid w:val="001502DA"/>
    <w:rsid w:val="00170AFE"/>
    <w:rsid w:val="00171A3A"/>
    <w:rsid w:val="00173B86"/>
    <w:rsid w:val="00175783"/>
    <w:rsid w:val="00180785"/>
    <w:rsid w:val="001876A5"/>
    <w:rsid w:val="00192D7C"/>
    <w:rsid w:val="001951AB"/>
    <w:rsid w:val="001967F4"/>
    <w:rsid w:val="001A2C73"/>
    <w:rsid w:val="001A44DC"/>
    <w:rsid w:val="001B21DD"/>
    <w:rsid w:val="001B2590"/>
    <w:rsid w:val="001C2DEE"/>
    <w:rsid w:val="001C5190"/>
    <w:rsid w:val="001D14E9"/>
    <w:rsid w:val="001D3DB6"/>
    <w:rsid w:val="001D5467"/>
    <w:rsid w:val="001E06A8"/>
    <w:rsid w:val="001E0A33"/>
    <w:rsid w:val="001E1A33"/>
    <w:rsid w:val="001E2112"/>
    <w:rsid w:val="001E6A44"/>
    <w:rsid w:val="001F04FD"/>
    <w:rsid w:val="001F72CD"/>
    <w:rsid w:val="00204AC5"/>
    <w:rsid w:val="00214A4C"/>
    <w:rsid w:val="00215C13"/>
    <w:rsid w:val="00215E38"/>
    <w:rsid w:val="00217ACA"/>
    <w:rsid w:val="00220BB6"/>
    <w:rsid w:val="00220F28"/>
    <w:rsid w:val="002236A0"/>
    <w:rsid w:val="00223C87"/>
    <w:rsid w:val="002246EC"/>
    <w:rsid w:val="00230DA7"/>
    <w:rsid w:val="002325A1"/>
    <w:rsid w:val="002423B0"/>
    <w:rsid w:val="00245358"/>
    <w:rsid w:val="00255E21"/>
    <w:rsid w:val="00256901"/>
    <w:rsid w:val="002569BC"/>
    <w:rsid w:val="002633C1"/>
    <w:rsid w:val="002662BC"/>
    <w:rsid w:val="00267591"/>
    <w:rsid w:val="00274D50"/>
    <w:rsid w:val="00281E93"/>
    <w:rsid w:val="002861D5"/>
    <w:rsid w:val="002A2014"/>
    <w:rsid w:val="002A2BB4"/>
    <w:rsid w:val="002B275C"/>
    <w:rsid w:val="002C2160"/>
    <w:rsid w:val="002C2511"/>
    <w:rsid w:val="002C2706"/>
    <w:rsid w:val="002D02C4"/>
    <w:rsid w:val="002D2D1E"/>
    <w:rsid w:val="002D4894"/>
    <w:rsid w:val="002D7C9D"/>
    <w:rsid w:val="002E00A8"/>
    <w:rsid w:val="002E0758"/>
    <w:rsid w:val="002E36B2"/>
    <w:rsid w:val="002E3A4D"/>
    <w:rsid w:val="002E3C2E"/>
    <w:rsid w:val="002F06BD"/>
    <w:rsid w:val="002F1F0C"/>
    <w:rsid w:val="00300874"/>
    <w:rsid w:val="00301273"/>
    <w:rsid w:val="003106ED"/>
    <w:rsid w:val="00310C93"/>
    <w:rsid w:val="00324643"/>
    <w:rsid w:val="003253DB"/>
    <w:rsid w:val="00325EFD"/>
    <w:rsid w:val="00327E3E"/>
    <w:rsid w:val="00331643"/>
    <w:rsid w:val="003348B9"/>
    <w:rsid w:val="0034745A"/>
    <w:rsid w:val="00355CFB"/>
    <w:rsid w:val="00371AE7"/>
    <w:rsid w:val="003768EB"/>
    <w:rsid w:val="00380788"/>
    <w:rsid w:val="0038582C"/>
    <w:rsid w:val="003872E8"/>
    <w:rsid w:val="00393454"/>
    <w:rsid w:val="003A1D54"/>
    <w:rsid w:val="003A34E7"/>
    <w:rsid w:val="003A4334"/>
    <w:rsid w:val="003A5AFC"/>
    <w:rsid w:val="003A7D5C"/>
    <w:rsid w:val="003B3DD3"/>
    <w:rsid w:val="003B57C9"/>
    <w:rsid w:val="003C1801"/>
    <w:rsid w:val="003C1BB0"/>
    <w:rsid w:val="003C1CDD"/>
    <w:rsid w:val="003C23E7"/>
    <w:rsid w:val="003D01D0"/>
    <w:rsid w:val="003D5174"/>
    <w:rsid w:val="003E10B8"/>
    <w:rsid w:val="003E33EC"/>
    <w:rsid w:val="003E36E8"/>
    <w:rsid w:val="003E7D4F"/>
    <w:rsid w:val="003F1CE2"/>
    <w:rsid w:val="003F1DA0"/>
    <w:rsid w:val="003F365F"/>
    <w:rsid w:val="003F422E"/>
    <w:rsid w:val="003F5D14"/>
    <w:rsid w:val="003F6D5D"/>
    <w:rsid w:val="00400151"/>
    <w:rsid w:val="00401B20"/>
    <w:rsid w:val="00401C06"/>
    <w:rsid w:val="004063B3"/>
    <w:rsid w:val="00406CE0"/>
    <w:rsid w:val="00406E51"/>
    <w:rsid w:val="004073AF"/>
    <w:rsid w:val="00411957"/>
    <w:rsid w:val="00413050"/>
    <w:rsid w:val="00416301"/>
    <w:rsid w:val="00422D57"/>
    <w:rsid w:val="004247C6"/>
    <w:rsid w:val="004250B5"/>
    <w:rsid w:val="00425941"/>
    <w:rsid w:val="004264D6"/>
    <w:rsid w:val="004323CF"/>
    <w:rsid w:val="004328C4"/>
    <w:rsid w:val="00432AEF"/>
    <w:rsid w:val="004335F0"/>
    <w:rsid w:val="00436848"/>
    <w:rsid w:val="004419D6"/>
    <w:rsid w:val="00454898"/>
    <w:rsid w:val="00454C5E"/>
    <w:rsid w:val="00456921"/>
    <w:rsid w:val="00457180"/>
    <w:rsid w:val="00461A4E"/>
    <w:rsid w:val="00462D23"/>
    <w:rsid w:val="00470940"/>
    <w:rsid w:val="004733C8"/>
    <w:rsid w:val="004742F7"/>
    <w:rsid w:val="00476581"/>
    <w:rsid w:val="00476B35"/>
    <w:rsid w:val="00483E50"/>
    <w:rsid w:val="00486199"/>
    <w:rsid w:val="00491BED"/>
    <w:rsid w:val="004A1E6C"/>
    <w:rsid w:val="004A2B79"/>
    <w:rsid w:val="004A2C55"/>
    <w:rsid w:val="004A3658"/>
    <w:rsid w:val="004A413B"/>
    <w:rsid w:val="004A4F98"/>
    <w:rsid w:val="004A7611"/>
    <w:rsid w:val="004C02EF"/>
    <w:rsid w:val="004C1536"/>
    <w:rsid w:val="004C25A1"/>
    <w:rsid w:val="004D20E3"/>
    <w:rsid w:val="004D6213"/>
    <w:rsid w:val="004D6FDF"/>
    <w:rsid w:val="004E74DC"/>
    <w:rsid w:val="004F0836"/>
    <w:rsid w:val="004F0E82"/>
    <w:rsid w:val="004F23E4"/>
    <w:rsid w:val="004F3C42"/>
    <w:rsid w:val="004F4CA2"/>
    <w:rsid w:val="004F4D49"/>
    <w:rsid w:val="004F6CCF"/>
    <w:rsid w:val="00501C57"/>
    <w:rsid w:val="00502583"/>
    <w:rsid w:val="0050422C"/>
    <w:rsid w:val="0050480E"/>
    <w:rsid w:val="00505867"/>
    <w:rsid w:val="00511EEA"/>
    <w:rsid w:val="00513DD1"/>
    <w:rsid w:val="00517C9E"/>
    <w:rsid w:val="0052151C"/>
    <w:rsid w:val="00526C9B"/>
    <w:rsid w:val="00530115"/>
    <w:rsid w:val="005304FF"/>
    <w:rsid w:val="005318C8"/>
    <w:rsid w:val="00533483"/>
    <w:rsid w:val="0053684A"/>
    <w:rsid w:val="0054088D"/>
    <w:rsid w:val="0054193F"/>
    <w:rsid w:val="005451E1"/>
    <w:rsid w:val="0055049C"/>
    <w:rsid w:val="00556857"/>
    <w:rsid w:val="00556D21"/>
    <w:rsid w:val="005570C8"/>
    <w:rsid w:val="005605A4"/>
    <w:rsid w:val="0056172B"/>
    <w:rsid w:val="00564002"/>
    <w:rsid w:val="00565CEE"/>
    <w:rsid w:val="00571C1C"/>
    <w:rsid w:val="005723A3"/>
    <w:rsid w:val="00574C33"/>
    <w:rsid w:val="0057696B"/>
    <w:rsid w:val="005779DB"/>
    <w:rsid w:val="005854A5"/>
    <w:rsid w:val="005858DD"/>
    <w:rsid w:val="0059219C"/>
    <w:rsid w:val="00595BDD"/>
    <w:rsid w:val="00595CDD"/>
    <w:rsid w:val="00595E96"/>
    <w:rsid w:val="005A1A51"/>
    <w:rsid w:val="005A401B"/>
    <w:rsid w:val="005A6E30"/>
    <w:rsid w:val="005B08F0"/>
    <w:rsid w:val="005B1D62"/>
    <w:rsid w:val="005B297F"/>
    <w:rsid w:val="005B3988"/>
    <w:rsid w:val="005B4FFB"/>
    <w:rsid w:val="005B7D32"/>
    <w:rsid w:val="005C38C6"/>
    <w:rsid w:val="005C4804"/>
    <w:rsid w:val="005C509A"/>
    <w:rsid w:val="005C6231"/>
    <w:rsid w:val="005C6410"/>
    <w:rsid w:val="005C68FB"/>
    <w:rsid w:val="005E52DA"/>
    <w:rsid w:val="005E62F9"/>
    <w:rsid w:val="005F2DE8"/>
    <w:rsid w:val="00600F0E"/>
    <w:rsid w:val="006044ED"/>
    <w:rsid w:val="006116CA"/>
    <w:rsid w:val="006169DF"/>
    <w:rsid w:val="00620044"/>
    <w:rsid w:val="006223DA"/>
    <w:rsid w:val="006246E7"/>
    <w:rsid w:val="006312CE"/>
    <w:rsid w:val="006326DA"/>
    <w:rsid w:val="00643BFA"/>
    <w:rsid w:val="00643C40"/>
    <w:rsid w:val="0065509F"/>
    <w:rsid w:val="006604A0"/>
    <w:rsid w:val="00663CD0"/>
    <w:rsid w:val="00664C48"/>
    <w:rsid w:val="00673874"/>
    <w:rsid w:val="00675147"/>
    <w:rsid w:val="0068107B"/>
    <w:rsid w:val="00683DB7"/>
    <w:rsid w:val="006917E3"/>
    <w:rsid w:val="006933EC"/>
    <w:rsid w:val="00695657"/>
    <w:rsid w:val="006A16FD"/>
    <w:rsid w:val="006A364D"/>
    <w:rsid w:val="006A6C98"/>
    <w:rsid w:val="006A7FF5"/>
    <w:rsid w:val="006B5D1A"/>
    <w:rsid w:val="006B79C7"/>
    <w:rsid w:val="006C22AE"/>
    <w:rsid w:val="006C2337"/>
    <w:rsid w:val="006C2654"/>
    <w:rsid w:val="006C3A49"/>
    <w:rsid w:val="006C418B"/>
    <w:rsid w:val="006C5034"/>
    <w:rsid w:val="006C57FB"/>
    <w:rsid w:val="006D0EA5"/>
    <w:rsid w:val="006D142A"/>
    <w:rsid w:val="006D2928"/>
    <w:rsid w:val="006D63CA"/>
    <w:rsid w:val="006E4BB8"/>
    <w:rsid w:val="006E7FF4"/>
    <w:rsid w:val="006F36DD"/>
    <w:rsid w:val="006F7A5B"/>
    <w:rsid w:val="006F7B9A"/>
    <w:rsid w:val="0070098A"/>
    <w:rsid w:val="00701EEE"/>
    <w:rsid w:val="00702D8B"/>
    <w:rsid w:val="00713182"/>
    <w:rsid w:val="007153FC"/>
    <w:rsid w:val="00715783"/>
    <w:rsid w:val="0072175E"/>
    <w:rsid w:val="0072298F"/>
    <w:rsid w:val="00722C21"/>
    <w:rsid w:val="00734FD5"/>
    <w:rsid w:val="007375E5"/>
    <w:rsid w:val="00740274"/>
    <w:rsid w:val="00747737"/>
    <w:rsid w:val="0075179E"/>
    <w:rsid w:val="00753D8D"/>
    <w:rsid w:val="00754398"/>
    <w:rsid w:val="007676E9"/>
    <w:rsid w:val="0077165B"/>
    <w:rsid w:val="00774192"/>
    <w:rsid w:val="00774F1E"/>
    <w:rsid w:val="0078721E"/>
    <w:rsid w:val="00787268"/>
    <w:rsid w:val="00792C5C"/>
    <w:rsid w:val="00793E4F"/>
    <w:rsid w:val="0079526E"/>
    <w:rsid w:val="00795EA3"/>
    <w:rsid w:val="00797B1F"/>
    <w:rsid w:val="007A098D"/>
    <w:rsid w:val="007A40B9"/>
    <w:rsid w:val="007A5122"/>
    <w:rsid w:val="007A5DA7"/>
    <w:rsid w:val="007A75FD"/>
    <w:rsid w:val="007B084A"/>
    <w:rsid w:val="007C2105"/>
    <w:rsid w:val="007D616A"/>
    <w:rsid w:val="007D6B2B"/>
    <w:rsid w:val="007E12C6"/>
    <w:rsid w:val="007E1B95"/>
    <w:rsid w:val="007E3100"/>
    <w:rsid w:val="007E5C05"/>
    <w:rsid w:val="007E67D1"/>
    <w:rsid w:val="007E7E7C"/>
    <w:rsid w:val="007F043C"/>
    <w:rsid w:val="007F2BA7"/>
    <w:rsid w:val="007F3F09"/>
    <w:rsid w:val="007F5886"/>
    <w:rsid w:val="007F6E28"/>
    <w:rsid w:val="0080050F"/>
    <w:rsid w:val="00800634"/>
    <w:rsid w:val="00806641"/>
    <w:rsid w:val="008252AD"/>
    <w:rsid w:val="00826364"/>
    <w:rsid w:val="00830F78"/>
    <w:rsid w:val="00832E10"/>
    <w:rsid w:val="008338E0"/>
    <w:rsid w:val="00835989"/>
    <w:rsid w:val="00837F0D"/>
    <w:rsid w:val="0084696F"/>
    <w:rsid w:val="00850018"/>
    <w:rsid w:val="0085001C"/>
    <w:rsid w:val="00855179"/>
    <w:rsid w:val="00863795"/>
    <w:rsid w:val="0086652B"/>
    <w:rsid w:val="008704E9"/>
    <w:rsid w:val="00876E3F"/>
    <w:rsid w:val="00877B4C"/>
    <w:rsid w:val="008817A7"/>
    <w:rsid w:val="00893DF9"/>
    <w:rsid w:val="00894CE2"/>
    <w:rsid w:val="008A6067"/>
    <w:rsid w:val="008B158F"/>
    <w:rsid w:val="008C03C9"/>
    <w:rsid w:val="008C0E1D"/>
    <w:rsid w:val="008D1B01"/>
    <w:rsid w:val="008D29D7"/>
    <w:rsid w:val="008D4858"/>
    <w:rsid w:val="008D6420"/>
    <w:rsid w:val="008D7CFA"/>
    <w:rsid w:val="008E08DA"/>
    <w:rsid w:val="008E60AA"/>
    <w:rsid w:val="008E6B2F"/>
    <w:rsid w:val="008F7317"/>
    <w:rsid w:val="008F7799"/>
    <w:rsid w:val="009007E2"/>
    <w:rsid w:val="00902C22"/>
    <w:rsid w:val="009122E6"/>
    <w:rsid w:val="00921CC5"/>
    <w:rsid w:val="009221E3"/>
    <w:rsid w:val="0092328B"/>
    <w:rsid w:val="00923340"/>
    <w:rsid w:val="00924CEA"/>
    <w:rsid w:val="00930420"/>
    <w:rsid w:val="00931746"/>
    <w:rsid w:val="00931C24"/>
    <w:rsid w:val="00931C9B"/>
    <w:rsid w:val="00935046"/>
    <w:rsid w:val="0093633E"/>
    <w:rsid w:val="009368E4"/>
    <w:rsid w:val="00940FB4"/>
    <w:rsid w:val="0094232E"/>
    <w:rsid w:val="00943FDF"/>
    <w:rsid w:val="009469F5"/>
    <w:rsid w:val="00956AE4"/>
    <w:rsid w:val="0096406A"/>
    <w:rsid w:val="009655DE"/>
    <w:rsid w:val="00972241"/>
    <w:rsid w:val="00972C6B"/>
    <w:rsid w:val="009750AA"/>
    <w:rsid w:val="009750DE"/>
    <w:rsid w:val="009764F1"/>
    <w:rsid w:val="0097795D"/>
    <w:rsid w:val="00980306"/>
    <w:rsid w:val="00987B0D"/>
    <w:rsid w:val="0099359F"/>
    <w:rsid w:val="00997D36"/>
    <w:rsid w:val="009A1449"/>
    <w:rsid w:val="009A7CD7"/>
    <w:rsid w:val="009B1D30"/>
    <w:rsid w:val="009B3672"/>
    <w:rsid w:val="009C0B9D"/>
    <w:rsid w:val="009C12DA"/>
    <w:rsid w:val="009C2B6E"/>
    <w:rsid w:val="009C3473"/>
    <w:rsid w:val="009C43DA"/>
    <w:rsid w:val="009D2A8F"/>
    <w:rsid w:val="009D6742"/>
    <w:rsid w:val="009E150B"/>
    <w:rsid w:val="009E2CD6"/>
    <w:rsid w:val="009F2CEC"/>
    <w:rsid w:val="009F7F15"/>
    <w:rsid w:val="00A030B3"/>
    <w:rsid w:val="00A120CC"/>
    <w:rsid w:val="00A139A4"/>
    <w:rsid w:val="00A14FC9"/>
    <w:rsid w:val="00A21B1D"/>
    <w:rsid w:val="00A27799"/>
    <w:rsid w:val="00A322B6"/>
    <w:rsid w:val="00A341FE"/>
    <w:rsid w:val="00A34AC7"/>
    <w:rsid w:val="00A34D07"/>
    <w:rsid w:val="00A36D32"/>
    <w:rsid w:val="00A41452"/>
    <w:rsid w:val="00A43457"/>
    <w:rsid w:val="00A543B1"/>
    <w:rsid w:val="00A62EF5"/>
    <w:rsid w:val="00A65926"/>
    <w:rsid w:val="00A702AE"/>
    <w:rsid w:val="00A81315"/>
    <w:rsid w:val="00A91FF8"/>
    <w:rsid w:val="00A941EB"/>
    <w:rsid w:val="00A9643C"/>
    <w:rsid w:val="00AA1B87"/>
    <w:rsid w:val="00AA28BD"/>
    <w:rsid w:val="00AA5710"/>
    <w:rsid w:val="00AB002D"/>
    <w:rsid w:val="00AB082F"/>
    <w:rsid w:val="00AB584C"/>
    <w:rsid w:val="00AC3461"/>
    <w:rsid w:val="00AC55F7"/>
    <w:rsid w:val="00AC79CC"/>
    <w:rsid w:val="00AD1126"/>
    <w:rsid w:val="00AE26EF"/>
    <w:rsid w:val="00AE3851"/>
    <w:rsid w:val="00AE42A7"/>
    <w:rsid w:val="00AE6AB1"/>
    <w:rsid w:val="00AE7AD1"/>
    <w:rsid w:val="00AE7D10"/>
    <w:rsid w:val="00AF0257"/>
    <w:rsid w:val="00AF2442"/>
    <w:rsid w:val="00AF7008"/>
    <w:rsid w:val="00B024D4"/>
    <w:rsid w:val="00B02C53"/>
    <w:rsid w:val="00B05BBB"/>
    <w:rsid w:val="00B06788"/>
    <w:rsid w:val="00B06850"/>
    <w:rsid w:val="00B07F1A"/>
    <w:rsid w:val="00B10464"/>
    <w:rsid w:val="00B1258C"/>
    <w:rsid w:val="00B15040"/>
    <w:rsid w:val="00B24030"/>
    <w:rsid w:val="00B25522"/>
    <w:rsid w:val="00B26243"/>
    <w:rsid w:val="00B31077"/>
    <w:rsid w:val="00B32888"/>
    <w:rsid w:val="00B34617"/>
    <w:rsid w:val="00B37C3B"/>
    <w:rsid w:val="00B37DB3"/>
    <w:rsid w:val="00B400E8"/>
    <w:rsid w:val="00B40F51"/>
    <w:rsid w:val="00B42BB1"/>
    <w:rsid w:val="00B43455"/>
    <w:rsid w:val="00B43567"/>
    <w:rsid w:val="00B74E39"/>
    <w:rsid w:val="00B7518A"/>
    <w:rsid w:val="00B768BF"/>
    <w:rsid w:val="00B83462"/>
    <w:rsid w:val="00B8656F"/>
    <w:rsid w:val="00B86C6D"/>
    <w:rsid w:val="00B87C5C"/>
    <w:rsid w:val="00B87EBF"/>
    <w:rsid w:val="00B9206B"/>
    <w:rsid w:val="00B92932"/>
    <w:rsid w:val="00B93899"/>
    <w:rsid w:val="00BA2A7C"/>
    <w:rsid w:val="00BA7A34"/>
    <w:rsid w:val="00BB3553"/>
    <w:rsid w:val="00BB7F1B"/>
    <w:rsid w:val="00BC0234"/>
    <w:rsid w:val="00BC1B6D"/>
    <w:rsid w:val="00BC25DC"/>
    <w:rsid w:val="00BC35E7"/>
    <w:rsid w:val="00BC432E"/>
    <w:rsid w:val="00BC7BC2"/>
    <w:rsid w:val="00BC7C30"/>
    <w:rsid w:val="00BD207D"/>
    <w:rsid w:val="00BD2C43"/>
    <w:rsid w:val="00BD3DD8"/>
    <w:rsid w:val="00BD44D2"/>
    <w:rsid w:val="00BD5BCF"/>
    <w:rsid w:val="00BE42AD"/>
    <w:rsid w:val="00BE4A73"/>
    <w:rsid w:val="00BF032A"/>
    <w:rsid w:val="00BF1535"/>
    <w:rsid w:val="00BF3A78"/>
    <w:rsid w:val="00BF3D54"/>
    <w:rsid w:val="00BF5BA2"/>
    <w:rsid w:val="00BF67AA"/>
    <w:rsid w:val="00C00E52"/>
    <w:rsid w:val="00C00E63"/>
    <w:rsid w:val="00C035BF"/>
    <w:rsid w:val="00C045BD"/>
    <w:rsid w:val="00C05A72"/>
    <w:rsid w:val="00C06050"/>
    <w:rsid w:val="00C07203"/>
    <w:rsid w:val="00C07AD1"/>
    <w:rsid w:val="00C119C3"/>
    <w:rsid w:val="00C1601B"/>
    <w:rsid w:val="00C24DA1"/>
    <w:rsid w:val="00C256ED"/>
    <w:rsid w:val="00C267E4"/>
    <w:rsid w:val="00C41DFF"/>
    <w:rsid w:val="00C44D14"/>
    <w:rsid w:val="00C51F7C"/>
    <w:rsid w:val="00C527C6"/>
    <w:rsid w:val="00C54723"/>
    <w:rsid w:val="00C5586E"/>
    <w:rsid w:val="00C569C0"/>
    <w:rsid w:val="00C62FAB"/>
    <w:rsid w:val="00C6393E"/>
    <w:rsid w:val="00C65500"/>
    <w:rsid w:val="00C67E2F"/>
    <w:rsid w:val="00C70158"/>
    <w:rsid w:val="00C70CBA"/>
    <w:rsid w:val="00C74567"/>
    <w:rsid w:val="00C77511"/>
    <w:rsid w:val="00C8110A"/>
    <w:rsid w:val="00C83FE5"/>
    <w:rsid w:val="00C8689B"/>
    <w:rsid w:val="00C97A63"/>
    <w:rsid w:val="00CA741D"/>
    <w:rsid w:val="00CB0D20"/>
    <w:rsid w:val="00CB249E"/>
    <w:rsid w:val="00CB44A8"/>
    <w:rsid w:val="00CB5DA8"/>
    <w:rsid w:val="00CC0DA6"/>
    <w:rsid w:val="00CC2A71"/>
    <w:rsid w:val="00CC7424"/>
    <w:rsid w:val="00CD001B"/>
    <w:rsid w:val="00CD1BCF"/>
    <w:rsid w:val="00CD42ED"/>
    <w:rsid w:val="00CE365F"/>
    <w:rsid w:val="00CE5EAE"/>
    <w:rsid w:val="00CF5A07"/>
    <w:rsid w:val="00CF7461"/>
    <w:rsid w:val="00D000D2"/>
    <w:rsid w:val="00D03282"/>
    <w:rsid w:val="00D06E17"/>
    <w:rsid w:val="00D15937"/>
    <w:rsid w:val="00D244EA"/>
    <w:rsid w:val="00D245A1"/>
    <w:rsid w:val="00D25AA1"/>
    <w:rsid w:val="00D27902"/>
    <w:rsid w:val="00D27E95"/>
    <w:rsid w:val="00D31B2C"/>
    <w:rsid w:val="00D31C02"/>
    <w:rsid w:val="00D345BC"/>
    <w:rsid w:val="00D364B0"/>
    <w:rsid w:val="00D36557"/>
    <w:rsid w:val="00D4369D"/>
    <w:rsid w:val="00D44A86"/>
    <w:rsid w:val="00D469C4"/>
    <w:rsid w:val="00D46D5D"/>
    <w:rsid w:val="00D5711F"/>
    <w:rsid w:val="00D60BFA"/>
    <w:rsid w:val="00D60C6D"/>
    <w:rsid w:val="00D610E0"/>
    <w:rsid w:val="00D614DD"/>
    <w:rsid w:val="00D62993"/>
    <w:rsid w:val="00D633F4"/>
    <w:rsid w:val="00D663F3"/>
    <w:rsid w:val="00D667C0"/>
    <w:rsid w:val="00D74287"/>
    <w:rsid w:val="00D914D2"/>
    <w:rsid w:val="00D91C5F"/>
    <w:rsid w:val="00D93A50"/>
    <w:rsid w:val="00D95441"/>
    <w:rsid w:val="00D95EAE"/>
    <w:rsid w:val="00D97C84"/>
    <w:rsid w:val="00DA0174"/>
    <w:rsid w:val="00DA351F"/>
    <w:rsid w:val="00DA4483"/>
    <w:rsid w:val="00DA4E1F"/>
    <w:rsid w:val="00DA5311"/>
    <w:rsid w:val="00DA7B05"/>
    <w:rsid w:val="00DB0D9C"/>
    <w:rsid w:val="00DB4D15"/>
    <w:rsid w:val="00DB6D14"/>
    <w:rsid w:val="00DB7935"/>
    <w:rsid w:val="00DC101A"/>
    <w:rsid w:val="00DC137A"/>
    <w:rsid w:val="00DC3E95"/>
    <w:rsid w:val="00DC5A33"/>
    <w:rsid w:val="00DC68B6"/>
    <w:rsid w:val="00DC69C1"/>
    <w:rsid w:val="00DC7660"/>
    <w:rsid w:val="00DD0885"/>
    <w:rsid w:val="00DD1CEE"/>
    <w:rsid w:val="00DD1D6A"/>
    <w:rsid w:val="00DD7E8C"/>
    <w:rsid w:val="00DE4605"/>
    <w:rsid w:val="00DE6718"/>
    <w:rsid w:val="00DF1722"/>
    <w:rsid w:val="00DF5211"/>
    <w:rsid w:val="00E01D92"/>
    <w:rsid w:val="00E04C4A"/>
    <w:rsid w:val="00E100CD"/>
    <w:rsid w:val="00E13CA3"/>
    <w:rsid w:val="00E15DE9"/>
    <w:rsid w:val="00E1609A"/>
    <w:rsid w:val="00E2261B"/>
    <w:rsid w:val="00E2434F"/>
    <w:rsid w:val="00E27E74"/>
    <w:rsid w:val="00E3430A"/>
    <w:rsid w:val="00E370A5"/>
    <w:rsid w:val="00E46726"/>
    <w:rsid w:val="00E47782"/>
    <w:rsid w:val="00E52AD6"/>
    <w:rsid w:val="00E54C12"/>
    <w:rsid w:val="00E57250"/>
    <w:rsid w:val="00E63084"/>
    <w:rsid w:val="00E64666"/>
    <w:rsid w:val="00E67706"/>
    <w:rsid w:val="00E72A0C"/>
    <w:rsid w:val="00E7523F"/>
    <w:rsid w:val="00E76755"/>
    <w:rsid w:val="00E774F2"/>
    <w:rsid w:val="00E81A6B"/>
    <w:rsid w:val="00E826FF"/>
    <w:rsid w:val="00E84742"/>
    <w:rsid w:val="00E84B66"/>
    <w:rsid w:val="00E84C07"/>
    <w:rsid w:val="00E9238E"/>
    <w:rsid w:val="00E94D6C"/>
    <w:rsid w:val="00E94FC7"/>
    <w:rsid w:val="00E96F29"/>
    <w:rsid w:val="00E970E0"/>
    <w:rsid w:val="00E973CF"/>
    <w:rsid w:val="00EA0ABF"/>
    <w:rsid w:val="00EB09C6"/>
    <w:rsid w:val="00EB0B1F"/>
    <w:rsid w:val="00EB7DE2"/>
    <w:rsid w:val="00EC1E3B"/>
    <w:rsid w:val="00EC2498"/>
    <w:rsid w:val="00EC4D53"/>
    <w:rsid w:val="00EC620A"/>
    <w:rsid w:val="00ED08CD"/>
    <w:rsid w:val="00ED0D7D"/>
    <w:rsid w:val="00ED2A0D"/>
    <w:rsid w:val="00ED2C11"/>
    <w:rsid w:val="00ED3D9D"/>
    <w:rsid w:val="00ED4549"/>
    <w:rsid w:val="00ED5A4F"/>
    <w:rsid w:val="00ED6BDA"/>
    <w:rsid w:val="00EE01C4"/>
    <w:rsid w:val="00EE1521"/>
    <w:rsid w:val="00EE662A"/>
    <w:rsid w:val="00EE70CB"/>
    <w:rsid w:val="00F015DF"/>
    <w:rsid w:val="00F048CE"/>
    <w:rsid w:val="00F04CC4"/>
    <w:rsid w:val="00F11DC1"/>
    <w:rsid w:val="00F1205F"/>
    <w:rsid w:val="00F20158"/>
    <w:rsid w:val="00F274C5"/>
    <w:rsid w:val="00F27920"/>
    <w:rsid w:val="00F33638"/>
    <w:rsid w:val="00F33A58"/>
    <w:rsid w:val="00F362EF"/>
    <w:rsid w:val="00F41649"/>
    <w:rsid w:val="00F44EFA"/>
    <w:rsid w:val="00F57C75"/>
    <w:rsid w:val="00F6050C"/>
    <w:rsid w:val="00F70960"/>
    <w:rsid w:val="00F72362"/>
    <w:rsid w:val="00F74B90"/>
    <w:rsid w:val="00F76164"/>
    <w:rsid w:val="00F807D2"/>
    <w:rsid w:val="00F82DB4"/>
    <w:rsid w:val="00F84999"/>
    <w:rsid w:val="00F91822"/>
    <w:rsid w:val="00FA0C47"/>
    <w:rsid w:val="00FA2EE4"/>
    <w:rsid w:val="00FA3FC8"/>
    <w:rsid w:val="00FA7094"/>
    <w:rsid w:val="00FB37A8"/>
    <w:rsid w:val="00FB3BA2"/>
    <w:rsid w:val="00FB3EBD"/>
    <w:rsid w:val="00FC0550"/>
    <w:rsid w:val="00FC0982"/>
    <w:rsid w:val="00FC0AC3"/>
    <w:rsid w:val="00FC1952"/>
    <w:rsid w:val="00FC4DEE"/>
    <w:rsid w:val="00FD044C"/>
    <w:rsid w:val="00FD0B07"/>
    <w:rsid w:val="00FD2706"/>
    <w:rsid w:val="00FD2DA5"/>
    <w:rsid w:val="00FD6924"/>
    <w:rsid w:val="00FE0CF6"/>
    <w:rsid w:val="00FE1E7B"/>
    <w:rsid w:val="00FE66ED"/>
    <w:rsid w:val="00FE7C8E"/>
    <w:rsid w:val="00FF363F"/>
    <w:rsid w:val="00FF6135"/>
    <w:rsid w:val="00FF622A"/>
    <w:rsid w:val="00FF6981"/>
    <w:rsid w:val="00FF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2F4B6"/>
  <w15:chartTrackingRefBased/>
  <w15:docId w15:val="{820E2AA2-4B23-4529-BCAE-C9882AF1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C5C"/>
    <w:rPr>
      <w:rFonts w:ascii="Arial" w:hAnsi="Arial" w:cs="Courier New"/>
      <w:sz w:val="24"/>
      <w:lang w:eastAsia="en-US"/>
    </w:rPr>
  </w:style>
  <w:style w:type="paragraph" w:styleId="Heading1">
    <w:name w:val="heading 1"/>
    <w:basedOn w:val="BodyText"/>
    <w:next w:val="Normal"/>
    <w:qFormat/>
    <w:rsid w:val="00DC68B6"/>
    <w:pPr>
      <w:keepNext/>
      <w:spacing w:before="360" w:after="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C5C"/>
    <w:pPr>
      <w:jc w:val="center"/>
    </w:pPr>
    <w:rPr>
      <w:rFonts w:cs="Times New Roman"/>
      <w:b/>
      <w:bCs/>
      <w:lang w:val="x-none"/>
    </w:rPr>
  </w:style>
  <w:style w:type="paragraph" w:styleId="Header">
    <w:name w:val="header"/>
    <w:basedOn w:val="Normal"/>
    <w:link w:val="HeaderChar"/>
    <w:rsid w:val="00792C5C"/>
    <w:pPr>
      <w:tabs>
        <w:tab w:val="center" w:pos="4153"/>
        <w:tab w:val="right" w:pos="8306"/>
      </w:tabs>
    </w:pPr>
    <w:rPr>
      <w:rFonts w:cs="Times New Roman"/>
      <w:lang w:val="x-none"/>
    </w:rPr>
  </w:style>
  <w:style w:type="paragraph" w:styleId="Subtitle">
    <w:name w:val="Subtitle"/>
    <w:basedOn w:val="Normal"/>
    <w:qFormat/>
    <w:rsid w:val="00792C5C"/>
    <w:rPr>
      <w:b/>
      <w:bCs/>
    </w:rPr>
  </w:style>
  <w:style w:type="paragraph" w:styleId="FootnoteText">
    <w:name w:val="footnote text"/>
    <w:basedOn w:val="Normal"/>
    <w:semiHidden/>
    <w:rsid w:val="00792C5C"/>
    <w:rPr>
      <w:sz w:val="20"/>
    </w:rPr>
  </w:style>
  <w:style w:type="paragraph" w:styleId="Footer">
    <w:name w:val="footer"/>
    <w:basedOn w:val="Normal"/>
    <w:rsid w:val="00792C5C"/>
    <w:pPr>
      <w:tabs>
        <w:tab w:val="center" w:pos="4153"/>
        <w:tab w:val="right" w:pos="8306"/>
      </w:tabs>
    </w:pPr>
  </w:style>
  <w:style w:type="paragraph" w:styleId="EndnoteText">
    <w:name w:val="endnote text"/>
    <w:basedOn w:val="Normal"/>
    <w:semiHidden/>
    <w:rsid w:val="00792C5C"/>
    <w:rPr>
      <w:sz w:val="20"/>
    </w:rPr>
  </w:style>
  <w:style w:type="character" w:styleId="EndnoteReference">
    <w:name w:val="endnote reference"/>
    <w:semiHidden/>
    <w:rsid w:val="00792C5C"/>
    <w:rPr>
      <w:vertAlign w:val="superscript"/>
    </w:rPr>
  </w:style>
  <w:style w:type="paragraph" w:styleId="BodyText2">
    <w:name w:val="Body Text 2"/>
    <w:basedOn w:val="BodyText"/>
    <w:link w:val="BodyText2Char"/>
    <w:rsid w:val="00DC68B6"/>
    <w:pPr>
      <w:spacing w:before="120" w:after="120"/>
    </w:pPr>
  </w:style>
  <w:style w:type="character" w:styleId="FootnoteReference">
    <w:name w:val="footnote reference"/>
    <w:semiHidden/>
    <w:rsid w:val="00792C5C"/>
    <w:rPr>
      <w:vertAlign w:val="superscript"/>
    </w:rPr>
  </w:style>
  <w:style w:type="character" w:styleId="Hyperlink">
    <w:name w:val="Hyperlink"/>
    <w:rsid w:val="00792C5C"/>
    <w:rPr>
      <w:color w:val="0000FF"/>
      <w:u w:val="single"/>
    </w:rPr>
  </w:style>
  <w:style w:type="paragraph" w:styleId="BodyText">
    <w:name w:val="Body Text"/>
    <w:basedOn w:val="Normal"/>
    <w:link w:val="BodyTextChar"/>
    <w:rsid w:val="00DC68B6"/>
    <w:pPr>
      <w:spacing w:after="240"/>
    </w:pPr>
    <w:rPr>
      <w:rFonts w:cs="Times New Roman"/>
      <w:lang w:val="x-none"/>
    </w:rPr>
  </w:style>
  <w:style w:type="paragraph" w:styleId="BalloonText">
    <w:name w:val="Balloon Text"/>
    <w:basedOn w:val="Normal"/>
    <w:semiHidden/>
    <w:rsid w:val="00792C5C"/>
    <w:rPr>
      <w:rFonts w:ascii="Tahoma" w:hAnsi="Tahoma" w:cs="Tahoma"/>
      <w:sz w:val="16"/>
      <w:szCs w:val="16"/>
    </w:rPr>
  </w:style>
  <w:style w:type="character" w:styleId="CommentReference">
    <w:name w:val="annotation reference"/>
    <w:rsid w:val="00792C5C"/>
    <w:rPr>
      <w:sz w:val="16"/>
      <w:szCs w:val="16"/>
    </w:rPr>
  </w:style>
  <w:style w:type="paragraph" w:styleId="CommentText">
    <w:name w:val="annotation text"/>
    <w:basedOn w:val="Normal"/>
    <w:link w:val="CommentTextChar"/>
    <w:uiPriority w:val="99"/>
    <w:semiHidden/>
    <w:rsid w:val="00792C5C"/>
    <w:rPr>
      <w:rFonts w:cs="Times New Roman"/>
      <w:sz w:val="20"/>
      <w:lang w:val="x-none"/>
    </w:rPr>
  </w:style>
  <w:style w:type="paragraph" w:styleId="CommentSubject">
    <w:name w:val="annotation subject"/>
    <w:basedOn w:val="CommentText"/>
    <w:next w:val="CommentText"/>
    <w:semiHidden/>
    <w:rsid w:val="00792C5C"/>
    <w:rPr>
      <w:b/>
      <w:bCs/>
    </w:rPr>
  </w:style>
  <w:style w:type="character" w:styleId="PageNumber">
    <w:name w:val="page number"/>
    <w:basedOn w:val="DefaultParagraphFont"/>
    <w:rsid w:val="004C25A1"/>
  </w:style>
  <w:style w:type="character" w:styleId="PlaceholderText">
    <w:name w:val="Placeholder Text"/>
    <w:uiPriority w:val="99"/>
    <w:semiHidden/>
    <w:rsid w:val="00F33A58"/>
    <w:rPr>
      <w:color w:val="808080"/>
    </w:rPr>
  </w:style>
  <w:style w:type="character" w:customStyle="1" w:styleId="BodyTextChar">
    <w:name w:val="Body Text Char"/>
    <w:link w:val="BodyText"/>
    <w:rsid w:val="006C22AE"/>
    <w:rPr>
      <w:rFonts w:ascii="Arial" w:hAnsi="Arial" w:cs="Arial"/>
      <w:sz w:val="24"/>
      <w:lang w:eastAsia="en-US"/>
    </w:rPr>
  </w:style>
  <w:style w:type="paragraph" w:styleId="ListParagraph">
    <w:name w:val="List Paragraph"/>
    <w:basedOn w:val="Normal"/>
    <w:uiPriority w:val="34"/>
    <w:qFormat/>
    <w:rsid w:val="00CD1BCF"/>
    <w:pPr>
      <w:ind w:left="720"/>
      <w:contextualSpacing/>
    </w:pPr>
  </w:style>
  <w:style w:type="table" w:styleId="TableGrid">
    <w:name w:val="Table Grid"/>
    <w:basedOn w:val="TableNormal"/>
    <w:rsid w:val="00CD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semiHidden/>
    <w:rsid w:val="006169DF"/>
    <w:rPr>
      <w:rFonts w:ascii="Arial" w:hAnsi="Arial" w:cs="Courier New"/>
      <w:lang w:eastAsia="en-US"/>
    </w:rPr>
  </w:style>
  <w:style w:type="paragraph" w:styleId="DocumentMap">
    <w:name w:val="Document Map"/>
    <w:basedOn w:val="Normal"/>
    <w:link w:val="DocumentMapChar"/>
    <w:rsid w:val="000F549C"/>
    <w:rPr>
      <w:rFonts w:ascii="Tahoma" w:hAnsi="Tahoma" w:cs="Times New Roman"/>
      <w:sz w:val="16"/>
      <w:szCs w:val="16"/>
      <w:lang w:val="x-none"/>
    </w:rPr>
  </w:style>
  <w:style w:type="character" w:customStyle="1" w:styleId="DocumentMapChar">
    <w:name w:val="Document Map Char"/>
    <w:link w:val="DocumentMap"/>
    <w:rsid w:val="000F549C"/>
    <w:rPr>
      <w:rFonts w:ascii="Tahoma" w:hAnsi="Tahoma" w:cs="Tahoma"/>
      <w:sz w:val="16"/>
      <w:szCs w:val="16"/>
      <w:lang w:eastAsia="en-US"/>
    </w:rPr>
  </w:style>
  <w:style w:type="paragraph" w:customStyle="1" w:styleId="Paragraph">
    <w:name w:val="Paragraph"/>
    <w:basedOn w:val="Normal"/>
    <w:uiPriority w:val="4"/>
    <w:qFormat/>
    <w:rsid w:val="000F549C"/>
    <w:pPr>
      <w:numPr>
        <w:numId w:val="15"/>
      </w:numPr>
      <w:spacing w:before="240" w:after="240" w:line="276" w:lineRule="auto"/>
      <w:ind w:left="709" w:hanging="709"/>
    </w:pPr>
    <w:rPr>
      <w:rFonts w:cs="Times New Roman"/>
      <w:szCs w:val="24"/>
      <w:lang w:eastAsia="en-GB"/>
    </w:rPr>
  </w:style>
  <w:style w:type="paragraph" w:customStyle="1" w:styleId="NICEnormal">
    <w:name w:val="NICE normal"/>
    <w:rsid w:val="007F3F09"/>
    <w:pPr>
      <w:spacing w:after="240" w:line="360" w:lineRule="auto"/>
    </w:pPr>
    <w:rPr>
      <w:rFonts w:ascii="Arial" w:hAnsi="Arial"/>
      <w:sz w:val="24"/>
      <w:szCs w:val="24"/>
      <w:lang w:val="en-US" w:eastAsia="en-US"/>
    </w:rPr>
  </w:style>
  <w:style w:type="character" w:customStyle="1" w:styleId="TitleChar">
    <w:name w:val="Title Char"/>
    <w:link w:val="Title"/>
    <w:rsid w:val="00230DA7"/>
    <w:rPr>
      <w:rFonts w:ascii="Arial" w:hAnsi="Arial" w:cs="Courier New"/>
      <w:b/>
      <w:bCs/>
      <w:sz w:val="24"/>
      <w:lang w:eastAsia="en-US"/>
    </w:rPr>
  </w:style>
  <w:style w:type="character" w:customStyle="1" w:styleId="HeaderChar">
    <w:name w:val="Header Char"/>
    <w:link w:val="Header"/>
    <w:rsid w:val="00230DA7"/>
    <w:rPr>
      <w:rFonts w:ascii="Arial" w:hAnsi="Arial" w:cs="Courier New"/>
      <w:sz w:val="24"/>
      <w:lang w:eastAsia="en-US"/>
    </w:rPr>
  </w:style>
  <w:style w:type="character" w:customStyle="1" w:styleId="BodyText2Char">
    <w:name w:val="Body Text 2 Char"/>
    <w:link w:val="BodyText2"/>
    <w:rsid w:val="00230DA7"/>
    <w:rPr>
      <w:rFonts w:ascii="Arial" w:hAnsi="Arial"/>
      <w:sz w:val="24"/>
      <w:lang w:eastAsia="en-US"/>
    </w:rPr>
  </w:style>
  <w:style w:type="character" w:styleId="FollowedHyperlink">
    <w:name w:val="FollowedHyperlink"/>
    <w:rsid w:val="00170AFE"/>
    <w:rPr>
      <w:color w:val="800080"/>
      <w:u w:val="single"/>
    </w:rPr>
  </w:style>
  <w:style w:type="paragraph" w:customStyle="1" w:styleId="Default">
    <w:name w:val="Default"/>
    <w:basedOn w:val="Normal"/>
    <w:rsid w:val="006D0EA5"/>
    <w:pPr>
      <w:autoSpaceDE w:val="0"/>
      <w:autoSpaceDN w:val="0"/>
    </w:pPr>
    <w:rPr>
      <w:rFonts w:eastAsia="Calibri" w:cs="Arial"/>
      <w:color w:val="000000"/>
      <w:szCs w:val="24"/>
      <w:lang w:eastAsia="en-GB"/>
    </w:rPr>
  </w:style>
  <w:style w:type="paragraph" w:styleId="Revision">
    <w:name w:val="Revision"/>
    <w:hidden/>
    <w:uiPriority w:val="99"/>
    <w:semiHidden/>
    <w:rsid w:val="00CC7424"/>
    <w:rPr>
      <w:rFonts w:ascii="Arial" w:hAnsi="Arial" w:cs="Courier New"/>
      <w:sz w:val="24"/>
      <w:lang w:eastAsia="en-US"/>
    </w:rPr>
  </w:style>
  <w:style w:type="paragraph" w:customStyle="1" w:styleId="Bulletindent1">
    <w:name w:val="Bullet indent 1"/>
    <w:basedOn w:val="NICEnormal"/>
    <w:link w:val="Bulletindent1Char"/>
    <w:rsid w:val="00C00E63"/>
    <w:pPr>
      <w:numPr>
        <w:numId w:val="24"/>
      </w:numPr>
      <w:spacing w:after="0"/>
    </w:pPr>
  </w:style>
  <w:style w:type="character" w:customStyle="1" w:styleId="Bulletindent1Char">
    <w:name w:val="Bullet indent 1 Char"/>
    <w:link w:val="Bulletindent1"/>
    <w:rsid w:val="00C00E63"/>
    <w:rPr>
      <w:rFonts w:ascii="Arial" w:hAnsi="Arial"/>
      <w:sz w:val="24"/>
      <w:szCs w:val="24"/>
      <w:lang w:val="en-US" w:eastAsia="en-US"/>
    </w:rPr>
  </w:style>
  <w:style w:type="character" w:styleId="UnresolvedMention">
    <w:name w:val="Unresolved Mention"/>
    <w:uiPriority w:val="99"/>
    <w:semiHidden/>
    <w:unhideWhenUsed/>
    <w:rsid w:val="007375E5"/>
    <w:rPr>
      <w:color w:val="605E5C"/>
      <w:shd w:val="clear" w:color="auto" w:fill="E1DFDD"/>
    </w:rPr>
  </w:style>
  <w:style w:type="paragraph" w:styleId="NormalWeb">
    <w:name w:val="Normal (Web)"/>
    <w:basedOn w:val="Normal"/>
    <w:uiPriority w:val="99"/>
    <w:unhideWhenUsed/>
    <w:rsid w:val="00C70158"/>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7004">
      <w:bodyDiv w:val="1"/>
      <w:marLeft w:val="0"/>
      <w:marRight w:val="0"/>
      <w:marTop w:val="0"/>
      <w:marBottom w:val="0"/>
      <w:divBdr>
        <w:top w:val="none" w:sz="0" w:space="0" w:color="auto"/>
        <w:left w:val="none" w:sz="0" w:space="0" w:color="auto"/>
        <w:bottom w:val="none" w:sz="0" w:space="0" w:color="auto"/>
        <w:right w:val="none" w:sz="0" w:space="0" w:color="auto"/>
      </w:divBdr>
    </w:div>
    <w:div w:id="184440044">
      <w:bodyDiv w:val="1"/>
      <w:marLeft w:val="0"/>
      <w:marRight w:val="0"/>
      <w:marTop w:val="0"/>
      <w:marBottom w:val="0"/>
      <w:divBdr>
        <w:top w:val="none" w:sz="0" w:space="0" w:color="auto"/>
        <w:left w:val="none" w:sz="0" w:space="0" w:color="auto"/>
        <w:bottom w:val="none" w:sz="0" w:space="0" w:color="auto"/>
        <w:right w:val="none" w:sz="0" w:space="0" w:color="auto"/>
      </w:divBdr>
    </w:div>
    <w:div w:id="215437193">
      <w:bodyDiv w:val="1"/>
      <w:marLeft w:val="0"/>
      <w:marRight w:val="0"/>
      <w:marTop w:val="0"/>
      <w:marBottom w:val="0"/>
      <w:divBdr>
        <w:top w:val="none" w:sz="0" w:space="0" w:color="auto"/>
        <w:left w:val="none" w:sz="0" w:space="0" w:color="auto"/>
        <w:bottom w:val="none" w:sz="0" w:space="0" w:color="auto"/>
        <w:right w:val="none" w:sz="0" w:space="0" w:color="auto"/>
      </w:divBdr>
    </w:div>
    <w:div w:id="227620738">
      <w:bodyDiv w:val="1"/>
      <w:marLeft w:val="0"/>
      <w:marRight w:val="0"/>
      <w:marTop w:val="0"/>
      <w:marBottom w:val="0"/>
      <w:divBdr>
        <w:top w:val="none" w:sz="0" w:space="0" w:color="auto"/>
        <w:left w:val="none" w:sz="0" w:space="0" w:color="auto"/>
        <w:bottom w:val="none" w:sz="0" w:space="0" w:color="auto"/>
        <w:right w:val="none" w:sz="0" w:space="0" w:color="auto"/>
      </w:divBdr>
    </w:div>
    <w:div w:id="380598941">
      <w:bodyDiv w:val="1"/>
      <w:marLeft w:val="0"/>
      <w:marRight w:val="0"/>
      <w:marTop w:val="0"/>
      <w:marBottom w:val="0"/>
      <w:divBdr>
        <w:top w:val="none" w:sz="0" w:space="0" w:color="auto"/>
        <w:left w:val="none" w:sz="0" w:space="0" w:color="auto"/>
        <w:bottom w:val="none" w:sz="0" w:space="0" w:color="auto"/>
        <w:right w:val="none" w:sz="0" w:space="0" w:color="auto"/>
      </w:divBdr>
    </w:div>
    <w:div w:id="442922443">
      <w:bodyDiv w:val="1"/>
      <w:marLeft w:val="0"/>
      <w:marRight w:val="0"/>
      <w:marTop w:val="0"/>
      <w:marBottom w:val="0"/>
      <w:divBdr>
        <w:top w:val="none" w:sz="0" w:space="0" w:color="auto"/>
        <w:left w:val="none" w:sz="0" w:space="0" w:color="auto"/>
        <w:bottom w:val="none" w:sz="0" w:space="0" w:color="auto"/>
        <w:right w:val="none" w:sz="0" w:space="0" w:color="auto"/>
      </w:divBdr>
    </w:div>
    <w:div w:id="454786717">
      <w:bodyDiv w:val="1"/>
      <w:marLeft w:val="0"/>
      <w:marRight w:val="0"/>
      <w:marTop w:val="0"/>
      <w:marBottom w:val="0"/>
      <w:divBdr>
        <w:top w:val="none" w:sz="0" w:space="0" w:color="auto"/>
        <w:left w:val="none" w:sz="0" w:space="0" w:color="auto"/>
        <w:bottom w:val="none" w:sz="0" w:space="0" w:color="auto"/>
        <w:right w:val="none" w:sz="0" w:space="0" w:color="auto"/>
      </w:divBdr>
    </w:div>
    <w:div w:id="491414565">
      <w:bodyDiv w:val="1"/>
      <w:marLeft w:val="0"/>
      <w:marRight w:val="0"/>
      <w:marTop w:val="0"/>
      <w:marBottom w:val="0"/>
      <w:divBdr>
        <w:top w:val="none" w:sz="0" w:space="0" w:color="auto"/>
        <w:left w:val="none" w:sz="0" w:space="0" w:color="auto"/>
        <w:bottom w:val="none" w:sz="0" w:space="0" w:color="auto"/>
        <w:right w:val="none" w:sz="0" w:space="0" w:color="auto"/>
      </w:divBdr>
    </w:div>
    <w:div w:id="509297236">
      <w:bodyDiv w:val="1"/>
      <w:marLeft w:val="0"/>
      <w:marRight w:val="0"/>
      <w:marTop w:val="0"/>
      <w:marBottom w:val="0"/>
      <w:divBdr>
        <w:top w:val="none" w:sz="0" w:space="0" w:color="auto"/>
        <w:left w:val="none" w:sz="0" w:space="0" w:color="auto"/>
        <w:bottom w:val="none" w:sz="0" w:space="0" w:color="auto"/>
        <w:right w:val="none" w:sz="0" w:space="0" w:color="auto"/>
      </w:divBdr>
    </w:div>
    <w:div w:id="551576253">
      <w:bodyDiv w:val="1"/>
      <w:marLeft w:val="0"/>
      <w:marRight w:val="0"/>
      <w:marTop w:val="0"/>
      <w:marBottom w:val="0"/>
      <w:divBdr>
        <w:top w:val="none" w:sz="0" w:space="0" w:color="auto"/>
        <w:left w:val="none" w:sz="0" w:space="0" w:color="auto"/>
        <w:bottom w:val="none" w:sz="0" w:space="0" w:color="auto"/>
        <w:right w:val="none" w:sz="0" w:space="0" w:color="auto"/>
      </w:divBdr>
    </w:div>
    <w:div w:id="593050458">
      <w:bodyDiv w:val="1"/>
      <w:marLeft w:val="0"/>
      <w:marRight w:val="0"/>
      <w:marTop w:val="0"/>
      <w:marBottom w:val="0"/>
      <w:divBdr>
        <w:top w:val="none" w:sz="0" w:space="0" w:color="auto"/>
        <w:left w:val="none" w:sz="0" w:space="0" w:color="auto"/>
        <w:bottom w:val="none" w:sz="0" w:space="0" w:color="auto"/>
        <w:right w:val="none" w:sz="0" w:space="0" w:color="auto"/>
      </w:divBdr>
    </w:div>
    <w:div w:id="604115629">
      <w:bodyDiv w:val="1"/>
      <w:marLeft w:val="0"/>
      <w:marRight w:val="0"/>
      <w:marTop w:val="0"/>
      <w:marBottom w:val="0"/>
      <w:divBdr>
        <w:top w:val="none" w:sz="0" w:space="0" w:color="auto"/>
        <w:left w:val="none" w:sz="0" w:space="0" w:color="auto"/>
        <w:bottom w:val="none" w:sz="0" w:space="0" w:color="auto"/>
        <w:right w:val="none" w:sz="0" w:space="0" w:color="auto"/>
      </w:divBdr>
    </w:div>
    <w:div w:id="753093834">
      <w:bodyDiv w:val="1"/>
      <w:marLeft w:val="0"/>
      <w:marRight w:val="0"/>
      <w:marTop w:val="0"/>
      <w:marBottom w:val="0"/>
      <w:divBdr>
        <w:top w:val="none" w:sz="0" w:space="0" w:color="auto"/>
        <w:left w:val="none" w:sz="0" w:space="0" w:color="auto"/>
        <w:bottom w:val="none" w:sz="0" w:space="0" w:color="auto"/>
        <w:right w:val="none" w:sz="0" w:space="0" w:color="auto"/>
      </w:divBdr>
    </w:div>
    <w:div w:id="772866926">
      <w:bodyDiv w:val="1"/>
      <w:marLeft w:val="0"/>
      <w:marRight w:val="0"/>
      <w:marTop w:val="0"/>
      <w:marBottom w:val="0"/>
      <w:divBdr>
        <w:top w:val="none" w:sz="0" w:space="0" w:color="auto"/>
        <w:left w:val="none" w:sz="0" w:space="0" w:color="auto"/>
        <w:bottom w:val="none" w:sz="0" w:space="0" w:color="auto"/>
        <w:right w:val="none" w:sz="0" w:space="0" w:color="auto"/>
      </w:divBdr>
    </w:div>
    <w:div w:id="877355082">
      <w:bodyDiv w:val="1"/>
      <w:marLeft w:val="0"/>
      <w:marRight w:val="0"/>
      <w:marTop w:val="0"/>
      <w:marBottom w:val="0"/>
      <w:divBdr>
        <w:top w:val="none" w:sz="0" w:space="0" w:color="auto"/>
        <w:left w:val="none" w:sz="0" w:space="0" w:color="auto"/>
        <w:bottom w:val="none" w:sz="0" w:space="0" w:color="auto"/>
        <w:right w:val="none" w:sz="0" w:space="0" w:color="auto"/>
      </w:divBdr>
    </w:div>
    <w:div w:id="1007320544">
      <w:bodyDiv w:val="1"/>
      <w:marLeft w:val="0"/>
      <w:marRight w:val="0"/>
      <w:marTop w:val="0"/>
      <w:marBottom w:val="0"/>
      <w:divBdr>
        <w:top w:val="none" w:sz="0" w:space="0" w:color="auto"/>
        <w:left w:val="none" w:sz="0" w:space="0" w:color="auto"/>
        <w:bottom w:val="none" w:sz="0" w:space="0" w:color="auto"/>
        <w:right w:val="none" w:sz="0" w:space="0" w:color="auto"/>
      </w:divBdr>
    </w:div>
    <w:div w:id="1015767959">
      <w:bodyDiv w:val="1"/>
      <w:marLeft w:val="0"/>
      <w:marRight w:val="0"/>
      <w:marTop w:val="0"/>
      <w:marBottom w:val="0"/>
      <w:divBdr>
        <w:top w:val="none" w:sz="0" w:space="0" w:color="auto"/>
        <w:left w:val="none" w:sz="0" w:space="0" w:color="auto"/>
        <w:bottom w:val="none" w:sz="0" w:space="0" w:color="auto"/>
        <w:right w:val="none" w:sz="0" w:space="0" w:color="auto"/>
      </w:divBdr>
    </w:div>
    <w:div w:id="1075859573">
      <w:bodyDiv w:val="1"/>
      <w:marLeft w:val="0"/>
      <w:marRight w:val="0"/>
      <w:marTop w:val="0"/>
      <w:marBottom w:val="0"/>
      <w:divBdr>
        <w:top w:val="none" w:sz="0" w:space="0" w:color="auto"/>
        <w:left w:val="none" w:sz="0" w:space="0" w:color="auto"/>
        <w:bottom w:val="none" w:sz="0" w:space="0" w:color="auto"/>
        <w:right w:val="none" w:sz="0" w:space="0" w:color="auto"/>
      </w:divBdr>
    </w:div>
    <w:div w:id="1144740001">
      <w:bodyDiv w:val="1"/>
      <w:marLeft w:val="0"/>
      <w:marRight w:val="0"/>
      <w:marTop w:val="0"/>
      <w:marBottom w:val="0"/>
      <w:divBdr>
        <w:top w:val="none" w:sz="0" w:space="0" w:color="auto"/>
        <w:left w:val="none" w:sz="0" w:space="0" w:color="auto"/>
        <w:bottom w:val="none" w:sz="0" w:space="0" w:color="auto"/>
        <w:right w:val="none" w:sz="0" w:space="0" w:color="auto"/>
      </w:divBdr>
    </w:div>
    <w:div w:id="1214734801">
      <w:bodyDiv w:val="1"/>
      <w:marLeft w:val="0"/>
      <w:marRight w:val="0"/>
      <w:marTop w:val="0"/>
      <w:marBottom w:val="0"/>
      <w:divBdr>
        <w:top w:val="none" w:sz="0" w:space="0" w:color="auto"/>
        <w:left w:val="none" w:sz="0" w:space="0" w:color="auto"/>
        <w:bottom w:val="none" w:sz="0" w:space="0" w:color="auto"/>
        <w:right w:val="none" w:sz="0" w:space="0" w:color="auto"/>
      </w:divBdr>
    </w:div>
    <w:div w:id="1247035124">
      <w:bodyDiv w:val="1"/>
      <w:marLeft w:val="0"/>
      <w:marRight w:val="0"/>
      <w:marTop w:val="0"/>
      <w:marBottom w:val="0"/>
      <w:divBdr>
        <w:top w:val="none" w:sz="0" w:space="0" w:color="auto"/>
        <w:left w:val="none" w:sz="0" w:space="0" w:color="auto"/>
        <w:bottom w:val="none" w:sz="0" w:space="0" w:color="auto"/>
        <w:right w:val="none" w:sz="0" w:space="0" w:color="auto"/>
      </w:divBdr>
    </w:div>
    <w:div w:id="1265452917">
      <w:bodyDiv w:val="1"/>
      <w:marLeft w:val="0"/>
      <w:marRight w:val="0"/>
      <w:marTop w:val="0"/>
      <w:marBottom w:val="0"/>
      <w:divBdr>
        <w:top w:val="none" w:sz="0" w:space="0" w:color="auto"/>
        <w:left w:val="none" w:sz="0" w:space="0" w:color="auto"/>
        <w:bottom w:val="none" w:sz="0" w:space="0" w:color="auto"/>
        <w:right w:val="none" w:sz="0" w:space="0" w:color="auto"/>
      </w:divBdr>
    </w:div>
    <w:div w:id="1312054168">
      <w:bodyDiv w:val="1"/>
      <w:marLeft w:val="0"/>
      <w:marRight w:val="0"/>
      <w:marTop w:val="0"/>
      <w:marBottom w:val="0"/>
      <w:divBdr>
        <w:top w:val="none" w:sz="0" w:space="0" w:color="auto"/>
        <w:left w:val="none" w:sz="0" w:space="0" w:color="auto"/>
        <w:bottom w:val="none" w:sz="0" w:space="0" w:color="auto"/>
        <w:right w:val="none" w:sz="0" w:space="0" w:color="auto"/>
      </w:divBdr>
    </w:div>
    <w:div w:id="1378360923">
      <w:bodyDiv w:val="1"/>
      <w:marLeft w:val="0"/>
      <w:marRight w:val="0"/>
      <w:marTop w:val="0"/>
      <w:marBottom w:val="0"/>
      <w:divBdr>
        <w:top w:val="none" w:sz="0" w:space="0" w:color="auto"/>
        <w:left w:val="none" w:sz="0" w:space="0" w:color="auto"/>
        <w:bottom w:val="none" w:sz="0" w:space="0" w:color="auto"/>
        <w:right w:val="none" w:sz="0" w:space="0" w:color="auto"/>
      </w:divBdr>
    </w:div>
    <w:div w:id="1380789306">
      <w:bodyDiv w:val="1"/>
      <w:marLeft w:val="0"/>
      <w:marRight w:val="0"/>
      <w:marTop w:val="0"/>
      <w:marBottom w:val="0"/>
      <w:divBdr>
        <w:top w:val="none" w:sz="0" w:space="0" w:color="auto"/>
        <w:left w:val="none" w:sz="0" w:space="0" w:color="auto"/>
        <w:bottom w:val="none" w:sz="0" w:space="0" w:color="auto"/>
        <w:right w:val="none" w:sz="0" w:space="0" w:color="auto"/>
      </w:divBdr>
    </w:div>
    <w:div w:id="1458066272">
      <w:bodyDiv w:val="1"/>
      <w:marLeft w:val="0"/>
      <w:marRight w:val="0"/>
      <w:marTop w:val="0"/>
      <w:marBottom w:val="0"/>
      <w:divBdr>
        <w:top w:val="none" w:sz="0" w:space="0" w:color="auto"/>
        <w:left w:val="none" w:sz="0" w:space="0" w:color="auto"/>
        <w:bottom w:val="none" w:sz="0" w:space="0" w:color="auto"/>
        <w:right w:val="none" w:sz="0" w:space="0" w:color="auto"/>
      </w:divBdr>
    </w:div>
    <w:div w:id="1541937604">
      <w:bodyDiv w:val="1"/>
      <w:marLeft w:val="0"/>
      <w:marRight w:val="0"/>
      <w:marTop w:val="0"/>
      <w:marBottom w:val="0"/>
      <w:divBdr>
        <w:top w:val="none" w:sz="0" w:space="0" w:color="auto"/>
        <w:left w:val="none" w:sz="0" w:space="0" w:color="auto"/>
        <w:bottom w:val="none" w:sz="0" w:space="0" w:color="auto"/>
        <w:right w:val="none" w:sz="0" w:space="0" w:color="auto"/>
      </w:divBdr>
    </w:div>
    <w:div w:id="1580098192">
      <w:bodyDiv w:val="1"/>
      <w:marLeft w:val="0"/>
      <w:marRight w:val="0"/>
      <w:marTop w:val="0"/>
      <w:marBottom w:val="0"/>
      <w:divBdr>
        <w:top w:val="none" w:sz="0" w:space="0" w:color="auto"/>
        <w:left w:val="none" w:sz="0" w:space="0" w:color="auto"/>
        <w:bottom w:val="none" w:sz="0" w:space="0" w:color="auto"/>
        <w:right w:val="none" w:sz="0" w:space="0" w:color="auto"/>
      </w:divBdr>
    </w:div>
    <w:div w:id="1627589060">
      <w:bodyDiv w:val="1"/>
      <w:marLeft w:val="0"/>
      <w:marRight w:val="0"/>
      <w:marTop w:val="0"/>
      <w:marBottom w:val="0"/>
      <w:divBdr>
        <w:top w:val="none" w:sz="0" w:space="0" w:color="auto"/>
        <w:left w:val="none" w:sz="0" w:space="0" w:color="auto"/>
        <w:bottom w:val="none" w:sz="0" w:space="0" w:color="auto"/>
        <w:right w:val="none" w:sz="0" w:space="0" w:color="auto"/>
      </w:divBdr>
    </w:div>
    <w:div w:id="1641838292">
      <w:bodyDiv w:val="1"/>
      <w:marLeft w:val="0"/>
      <w:marRight w:val="0"/>
      <w:marTop w:val="0"/>
      <w:marBottom w:val="0"/>
      <w:divBdr>
        <w:top w:val="none" w:sz="0" w:space="0" w:color="auto"/>
        <w:left w:val="none" w:sz="0" w:space="0" w:color="auto"/>
        <w:bottom w:val="none" w:sz="0" w:space="0" w:color="auto"/>
        <w:right w:val="none" w:sz="0" w:space="0" w:color="auto"/>
      </w:divBdr>
    </w:div>
    <w:div w:id="1682123461">
      <w:bodyDiv w:val="1"/>
      <w:marLeft w:val="0"/>
      <w:marRight w:val="0"/>
      <w:marTop w:val="0"/>
      <w:marBottom w:val="0"/>
      <w:divBdr>
        <w:top w:val="none" w:sz="0" w:space="0" w:color="auto"/>
        <w:left w:val="none" w:sz="0" w:space="0" w:color="auto"/>
        <w:bottom w:val="none" w:sz="0" w:space="0" w:color="auto"/>
        <w:right w:val="none" w:sz="0" w:space="0" w:color="auto"/>
      </w:divBdr>
    </w:div>
    <w:div w:id="1700622303">
      <w:bodyDiv w:val="1"/>
      <w:marLeft w:val="0"/>
      <w:marRight w:val="0"/>
      <w:marTop w:val="0"/>
      <w:marBottom w:val="0"/>
      <w:divBdr>
        <w:top w:val="none" w:sz="0" w:space="0" w:color="auto"/>
        <w:left w:val="none" w:sz="0" w:space="0" w:color="auto"/>
        <w:bottom w:val="none" w:sz="0" w:space="0" w:color="auto"/>
        <w:right w:val="none" w:sz="0" w:space="0" w:color="auto"/>
      </w:divBdr>
    </w:div>
    <w:div w:id="1866554304">
      <w:bodyDiv w:val="1"/>
      <w:marLeft w:val="0"/>
      <w:marRight w:val="0"/>
      <w:marTop w:val="0"/>
      <w:marBottom w:val="0"/>
      <w:divBdr>
        <w:top w:val="none" w:sz="0" w:space="0" w:color="auto"/>
        <w:left w:val="none" w:sz="0" w:space="0" w:color="auto"/>
        <w:bottom w:val="none" w:sz="0" w:space="0" w:color="auto"/>
        <w:right w:val="none" w:sz="0" w:space="0" w:color="auto"/>
      </w:divBdr>
    </w:div>
    <w:div w:id="1890023946">
      <w:bodyDiv w:val="1"/>
      <w:marLeft w:val="0"/>
      <w:marRight w:val="0"/>
      <w:marTop w:val="0"/>
      <w:marBottom w:val="0"/>
      <w:divBdr>
        <w:top w:val="none" w:sz="0" w:space="0" w:color="auto"/>
        <w:left w:val="none" w:sz="0" w:space="0" w:color="auto"/>
        <w:bottom w:val="none" w:sz="0" w:space="0" w:color="auto"/>
        <w:right w:val="none" w:sz="0" w:space="0" w:color="auto"/>
      </w:divBdr>
    </w:div>
    <w:div w:id="1936554097">
      <w:bodyDiv w:val="1"/>
      <w:marLeft w:val="0"/>
      <w:marRight w:val="0"/>
      <w:marTop w:val="0"/>
      <w:marBottom w:val="0"/>
      <w:divBdr>
        <w:top w:val="none" w:sz="0" w:space="0" w:color="auto"/>
        <w:left w:val="none" w:sz="0" w:space="0" w:color="auto"/>
        <w:bottom w:val="none" w:sz="0" w:space="0" w:color="auto"/>
        <w:right w:val="none" w:sz="0" w:space="0" w:color="auto"/>
      </w:divBdr>
    </w:div>
    <w:div w:id="1964649288">
      <w:bodyDiv w:val="1"/>
      <w:marLeft w:val="0"/>
      <w:marRight w:val="0"/>
      <w:marTop w:val="0"/>
      <w:marBottom w:val="0"/>
      <w:divBdr>
        <w:top w:val="none" w:sz="0" w:space="0" w:color="auto"/>
        <w:left w:val="none" w:sz="0" w:space="0" w:color="auto"/>
        <w:bottom w:val="none" w:sz="0" w:space="0" w:color="auto"/>
        <w:right w:val="none" w:sz="0" w:space="0" w:color="auto"/>
      </w:divBdr>
    </w:div>
    <w:div w:id="19814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TA405" TargetMode="External"/><Relationship Id="rId18" Type="http://schemas.openxmlformats.org/officeDocument/2006/relationships/hyperlink" Target="https://www.nice.org.uk/guidance/ta709" TargetMode="External"/><Relationship Id="rId26" Type="http://schemas.openxmlformats.org/officeDocument/2006/relationships/hyperlink" Target="https://www.nice.org.uk/guidance/awaiting-development/gid-ta11020" TargetMode="External"/><Relationship Id="rId39" Type="http://schemas.openxmlformats.org/officeDocument/2006/relationships/hyperlink" Target="https://www.gov.uk/government/publications/nhs-outcomes-framework-2016-to-2017" TargetMode="External"/><Relationship Id="rId21" Type="http://schemas.openxmlformats.org/officeDocument/2006/relationships/hyperlink" Target="https://www.nice.org.uk/guidance/ta405" TargetMode="External"/><Relationship Id="rId34" Type="http://schemas.openxmlformats.org/officeDocument/2006/relationships/hyperlink" Target="https://www.nice.org.uk/guidance/ipg327" TargetMode="External"/><Relationship Id="rId42" Type="http://schemas.openxmlformats.org/officeDocument/2006/relationships/hyperlink" Target="https://www.royalmarsden.nhs.uk/your-care/cancer-types/gastrointestinal/lower-gastrointestinal/colorectal-canc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ta716" TargetMode="External"/><Relationship Id="rId29" Type="http://schemas.openxmlformats.org/officeDocument/2006/relationships/hyperlink" Target="https://www.nice.org.uk/advice/mib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51/resources/colorectal-cancer-pdf-66141835244485" TargetMode="External"/><Relationship Id="rId24" Type="http://schemas.openxmlformats.org/officeDocument/2006/relationships/hyperlink" Target="https://www.nice.org.uk/guidance/ta105" TargetMode="External"/><Relationship Id="rId32" Type="http://schemas.openxmlformats.org/officeDocument/2006/relationships/hyperlink" Target="https://www.nice.org.uk/guidance/cg118" TargetMode="External"/><Relationship Id="rId37" Type="http://schemas.openxmlformats.org/officeDocument/2006/relationships/hyperlink" Target="https://www.longtermplan.nhs.uk/publication/nhs-long-term-plan/" TargetMode="External"/><Relationship Id="rId40" Type="http://schemas.openxmlformats.org/officeDocument/2006/relationships/hyperlink" Target="https://gco.iarc.fr/today/data/factsheets/populations/826-united-kingdom-fact-sheet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TA668" TargetMode="External"/><Relationship Id="rId23" Type="http://schemas.openxmlformats.org/officeDocument/2006/relationships/hyperlink" Target="http://www.nice.org.uk/guidance/ta242" TargetMode="External"/><Relationship Id="rId28" Type="http://schemas.openxmlformats.org/officeDocument/2006/relationships/hyperlink" Target="https://www.nice.org.uk/guidance/ng151" TargetMode="External"/><Relationship Id="rId36" Type="http://schemas.openxmlformats.org/officeDocument/2006/relationships/hyperlink" Target="https://www.nice.org.uk/guidance/qs124" TargetMode="External"/><Relationship Id="rId10" Type="http://schemas.openxmlformats.org/officeDocument/2006/relationships/hyperlink" Target="https://www.nice.org.uk/guidance/ta709" TargetMode="External"/><Relationship Id="rId19" Type="http://schemas.openxmlformats.org/officeDocument/2006/relationships/hyperlink" Target="https://www.nice.org.uk/guidance/ta668" TargetMode="External"/><Relationship Id="rId31" Type="http://schemas.openxmlformats.org/officeDocument/2006/relationships/hyperlink" Target="https://www.nice.org.uk/guidance/dg2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guidance/ng151/resources/colorectal-cancer-pdf-66141835244485" TargetMode="External"/><Relationship Id="rId14" Type="http://schemas.openxmlformats.org/officeDocument/2006/relationships/hyperlink" Target="https://www.nice.org.uk/guidance/TA716" TargetMode="External"/><Relationship Id="rId22" Type="http://schemas.openxmlformats.org/officeDocument/2006/relationships/hyperlink" Target="https://www.nice.org.uk/guidance/ta307" TargetMode="External"/><Relationship Id="rId27" Type="http://schemas.openxmlformats.org/officeDocument/2006/relationships/hyperlink" Target="https://www.nice.org.uk/guidance/indevelopment/gid-ta10165" TargetMode="External"/><Relationship Id="rId30" Type="http://schemas.openxmlformats.org/officeDocument/2006/relationships/hyperlink" Target="https://www.nice.org.uk/guidance/dg30" TargetMode="External"/><Relationship Id="rId35" Type="http://schemas.openxmlformats.org/officeDocument/2006/relationships/hyperlink" Target="https://www.nice.org.uk/guidance/qs20" TargetMode="External"/><Relationship Id="rId43" Type="http://schemas.openxmlformats.org/officeDocument/2006/relationships/header" Target="header1.xml"/><Relationship Id="rId8" Type="http://schemas.openxmlformats.org/officeDocument/2006/relationships/hyperlink" Target="https://www.nice.org.uk/guidance/TA61" TargetMode="External"/><Relationship Id="rId3" Type="http://schemas.openxmlformats.org/officeDocument/2006/relationships/styles" Target="styles.xml"/><Relationship Id="rId12" Type="http://schemas.openxmlformats.org/officeDocument/2006/relationships/hyperlink" Target="https://www.nice.org.uk/guidance/ta866" TargetMode="External"/><Relationship Id="rId17" Type="http://schemas.openxmlformats.org/officeDocument/2006/relationships/hyperlink" Target="https://www.nice.org.uk/guidance/indevelopment/gid-ta10924" TargetMode="External"/><Relationship Id="rId25" Type="http://schemas.openxmlformats.org/officeDocument/2006/relationships/hyperlink" Target="https://www.nice.org.uk/guidance/ta61" TargetMode="External"/><Relationship Id="rId33" Type="http://schemas.openxmlformats.org/officeDocument/2006/relationships/hyperlink" Target="https://www.nice.org.uk/guidance/ipg672" TargetMode="External"/><Relationship Id="rId38" Type="http://schemas.openxmlformats.org/officeDocument/2006/relationships/hyperlink" Target="https://www.england.nhs.uk/publication/manual-for-prescribed-specialised-services/" TargetMode="External"/><Relationship Id="rId46" Type="http://schemas.openxmlformats.org/officeDocument/2006/relationships/theme" Target="theme/theme1.xml"/><Relationship Id="rId20" Type="http://schemas.openxmlformats.org/officeDocument/2006/relationships/hyperlink" Target="https://www.nice.org.uk/guidance/ta439" TargetMode="External"/><Relationship Id="rId41" Type="http://schemas.openxmlformats.org/officeDocument/2006/relationships/hyperlink" Target="https://www.cancerresearchuk.org/health-professional/cancer-statistics/statistics-by-cancer-type/bowel-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D95E-3949-4BF0-862D-70519CA5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10852</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12101</CharactersWithSpaces>
  <SharedDoc>false</SharedDoc>
  <HLinks>
    <vt:vector size="24" baseType="variant">
      <vt:variant>
        <vt:i4>6553637</vt:i4>
      </vt:variant>
      <vt:variant>
        <vt:i4>126</vt:i4>
      </vt:variant>
      <vt:variant>
        <vt:i4>0</vt:i4>
      </vt:variant>
      <vt:variant>
        <vt:i4>5</vt:i4>
      </vt:variant>
      <vt:variant>
        <vt:lpwstr>https://www.england.nhs.uk/publication/manual-for-prescribed-specialised-services/</vt:lpwstr>
      </vt:variant>
      <vt:variant>
        <vt:lpwstr/>
      </vt:variant>
      <vt:variant>
        <vt:i4>2556000</vt:i4>
      </vt:variant>
      <vt:variant>
        <vt:i4>120</vt:i4>
      </vt:variant>
      <vt:variant>
        <vt:i4>0</vt:i4>
      </vt:variant>
      <vt:variant>
        <vt:i4>5</vt:i4>
      </vt:variant>
      <vt:variant>
        <vt:lpwstr>https://www.longtermplan.nhs.uk/publication/nhs-long-term-plan/</vt:lpwstr>
      </vt:variant>
      <vt:variant>
        <vt:lpwstr/>
      </vt:variant>
      <vt:variant>
        <vt:i4>4456532</vt:i4>
      </vt:variant>
      <vt:variant>
        <vt:i4>111</vt:i4>
      </vt:variant>
      <vt:variant>
        <vt:i4>0</vt:i4>
      </vt:variant>
      <vt:variant>
        <vt:i4>5</vt:i4>
      </vt:variant>
      <vt:variant>
        <vt:lpwstr>http://www.nice.org.uk/guidance/qualitystandards/qualitystandards.jsp</vt:lpwstr>
      </vt:variant>
      <vt:variant>
        <vt:lpwstr/>
      </vt:variant>
      <vt:variant>
        <vt:i4>1835076</vt:i4>
      </vt:variant>
      <vt:variant>
        <vt:i4>93</vt:i4>
      </vt:variant>
      <vt:variant>
        <vt:i4>0</vt:i4>
      </vt:variant>
      <vt:variant>
        <vt:i4>5</vt:i4>
      </vt:variant>
      <vt:variant>
        <vt:lpwstr>https://www.nice.org.uk/about/what-we-do/our-programmes/nice-guidance/nice-technology-appraisal-guidance/changes-to-health-technology-evaluation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Michelle Green</dc:creator>
  <cp:keywords/>
  <cp:lastModifiedBy>Wajeeha Asim</cp:lastModifiedBy>
  <cp:revision>2</cp:revision>
  <cp:lastPrinted>2004-04-14T09:59:00Z</cp:lastPrinted>
  <dcterms:created xsi:type="dcterms:W3CDTF">2023-10-04T14:53:00Z</dcterms:created>
  <dcterms:modified xsi:type="dcterms:W3CDTF">2023-10-04T14:53:00Z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2023-04-06T08:29:21Z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6cd06c4a-5ab0-4cb0-b1bc-c92677493bdc</vt:lpwstr>
  </property>
  <property fmtid="{D5CDD505-2E9C-101B-9397-08002B2CF9AE}" pid="8" name="MSIP_Label_c69d85d5-6d9e-4305-a294-1f636ec0f2d6_ContentBits">
    <vt:lpwstr>0</vt:lpwstr>
  </property>
</Properties>
</file>