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01689" w14:textId="7117D376" w:rsidR="00443081" w:rsidRPr="00A4265E" w:rsidRDefault="0098593F" w:rsidP="00181A4A">
      <w:pPr>
        <w:pStyle w:val="Title"/>
      </w:pPr>
      <w:bookmarkStart w:id="0" w:name="_Hlk163459852"/>
      <w:r>
        <w:t>R</w:t>
      </w:r>
      <w:r w:rsidR="00016F2C" w:rsidRPr="00A4265E">
        <w:t xml:space="preserve">eview proposal </w:t>
      </w:r>
      <w:r w:rsidR="008C1624" w:rsidRPr="00A4265E">
        <w:t>of</w:t>
      </w:r>
      <w:r w:rsidR="000C65CC">
        <w:t xml:space="preserve"> </w:t>
      </w:r>
      <w:bookmarkStart w:id="1" w:name="_Hlk162271075"/>
      <w:r w:rsidR="000C65CC" w:rsidRPr="000C65CC">
        <w:t xml:space="preserve">Olaparib for treating BRCA mutation-positive HER2-negative </w:t>
      </w:r>
      <w:r w:rsidR="00B7469D">
        <w:t>advanced</w:t>
      </w:r>
      <w:r w:rsidR="000C65CC" w:rsidRPr="000C65CC">
        <w:t xml:space="preserve"> breast cancer after chemotherapy</w:t>
      </w:r>
      <w:bookmarkEnd w:id="1"/>
      <w:r w:rsidR="000C65CC" w:rsidRPr="000C65CC">
        <w:t xml:space="preserve"> </w:t>
      </w:r>
      <w:bookmarkEnd w:id="0"/>
      <w:r w:rsidR="000C65CC" w:rsidRPr="000C65CC">
        <w:t>(terminated appraisal)</w:t>
      </w:r>
      <w:r w:rsidR="000C65CC">
        <w:t xml:space="preserve"> [TA762]</w:t>
      </w:r>
    </w:p>
    <w:p w14:paraId="3FABC820" w14:textId="59719A39" w:rsidR="00D5571F" w:rsidRPr="00A4265E" w:rsidRDefault="00B90F6E" w:rsidP="008C1624">
      <w:pPr>
        <w:pStyle w:val="Paragraphnonumbers"/>
      </w:pPr>
      <w:r w:rsidRPr="000C65CC">
        <w:t>Olaparib for treating BRCA mutation-positive HER2-negative metastatic breast cancer after chemotherapy</w:t>
      </w:r>
      <w:r>
        <w:t xml:space="preserve"> (</w:t>
      </w:r>
      <w:hyperlink r:id="rId8" w:history="1">
        <w:r w:rsidRPr="007C203B">
          <w:rPr>
            <w:rStyle w:val="Hyperlink"/>
          </w:rPr>
          <w:t>TA762</w:t>
        </w:r>
      </w:hyperlink>
      <w:r>
        <w:t>) was published as terminated guidance in February 2022.</w:t>
      </w:r>
    </w:p>
    <w:p w14:paraId="3F089E8B" w14:textId="08581355" w:rsidR="008C1624" w:rsidRPr="00A4265E" w:rsidRDefault="008C1624" w:rsidP="003844B5">
      <w:pPr>
        <w:pStyle w:val="Heading1numbered"/>
      </w:pPr>
      <w:r w:rsidRPr="00A4265E">
        <w:t>Proposal</w:t>
      </w:r>
    </w:p>
    <w:p w14:paraId="706E38E8" w14:textId="2FB9A09D" w:rsidR="00D90FB9" w:rsidRPr="00A4265E" w:rsidRDefault="00D90FB9" w:rsidP="008D2CB9">
      <w:pPr>
        <w:pStyle w:val="Paragraph"/>
        <w:numPr>
          <w:ilvl w:val="0"/>
          <w:numId w:val="0"/>
        </w:numPr>
        <w:ind w:left="360"/>
      </w:pPr>
      <w:r w:rsidRPr="00D90FB9">
        <w:t>A review of the guidance should be planned into the appraisal work programme</w:t>
      </w:r>
      <w:r>
        <w:t>, which will follow the cost comparison process. W</w:t>
      </w:r>
      <w:r w:rsidR="008C1624" w:rsidRPr="00A4265E">
        <w:t>e</w:t>
      </w:r>
      <w:r>
        <w:t xml:space="preserve"> should</w:t>
      </w:r>
      <w:r w:rsidR="008C1624" w:rsidRPr="00A4265E">
        <w:t xml:space="preserve"> consult on this proposal.</w:t>
      </w:r>
    </w:p>
    <w:p w14:paraId="3126E957" w14:textId="77777777" w:rsidR="008C1624" w:rsidRPr="00A4265E" w:rsidRDefault="008C1624" w:rsidP="003844B5">
      <w:pPr>
        <w:pStyle w:val="Heading1numbered"/>
      </w:pPr>
      <w:r w:rsidRPr="00A4265E">
        <w:t>Rationale</w:t>
      </w:r>
    </w:p>
    <w:p w14:paraId="74ADF8B4" w14:textId="23F0D4CE" w:rsidR="001D62F5" w:rsidRDefault="002C1737" w:rsidP="002545B8">
      <w:pPr>
        <w:pStyle w:val="Paragraph"/>
        <w:numPr>
          <w:ilvl w:val="0"/>
          <w:numId w:val="0"/>
        </w:numPr>
        <w:ind w:left="360"/>
      </w:pPr>
      <w:r>
        <w:t xml:space="preserve">Since publication of the terminated </w:t>
      </w:r>
      <w:r w:rsidR="007C203B">
        <w:t>guidance,</w:t>
      </w:r>
      <w:r w:rsidR="008A1897">
        <w:t xml:space="preserve"> there have been changes </w:t>
      </w:r>
      <w:r w:rsidR="003155F7">
        <w:t>to the treatment pathway for BR</w:t>
      </w:r>
      <w:r w:rsidR="003155F7" w:rsidRPr="003155F7">
        <w:t xml:space="preserve">CA mutation-positive HER2-negative advanced breast cancer </w:t>
      </w:r>
      <w:r w:rsidR="001D62F5">
        <w:t xml:space="preserve">with the recommendation of </w:t>
      </w:r>
      <w:proofErr w:type="spellStart"/>
      <w:r w:rsidR="001D62F5">
        <w:t>t</w:t>
      </w:r>
      <w:r w:rsidR="001D62F5" w:rsidRPr="001D62F5">
        <w:t>alazoparib</w:t>
      </w:r>
      <w:proofErr w:type="spellEnd"/>
      <w:r w:rsidR="005B0306">
        <w:t xml:space="preserve"> </w:t>
      </w:r>
      <w:r w:rsidR="002545B8">
        <w:t>(</w:t>
      </w:r>
      <w:hyperlink r:id="rId9" w:history="1">
        <w:r w:rsidR="002545B8" w:rsidRPr="00B37478">
          <w:rPr>
            <w:rStyle w:val="Hyperlink"/>
          </w:rPr>
          <w:t>TA952</w:t>
        </w:r>
      </w:hyperlink>
      <w:r w:rsidR="002545B8">
        <w:t xml:space="preserve">) </w:t>
      </w:r>
      <w:r w:rsidR="001D62F5">
        <w:t>in th</w:t>
      </w:r>
      <w:r w:rsidR="005B0306">
        <w:t xml:space="preserve">e same </w:t>
      </w:r>
      <w:r w:rsidR="001D62F5">
        <w:t>population</w:t>
      </w:r>
      <w:r w:rsidR="005B0306">
        <w:t xml:space="preserve"> as in </w:t>
      </w:r>
      <w:r w:rsidR="002545B8">
        <w:t>TA762</w:t>
      </w:r>
      <w:r w:rsidR="005B0306">
        <w:t>.</w:t>
      </w:r>
    </w:p>
    <w:p w14:paraId="152A8D6C" w14:textId="11BAB43D" w:rsidR="005B0306" w:rsidRDefault="005B0306" w:rsidP="005B0306">
      <w:pPr>
        <w:pStyle w:val="Paragraph"/>
        <w:numPr>
          <w:ilvl w:val="0"/>
          <w:numId w:val="0"/>
        </w:numPr>
        <w:ind w:left="360"/>
      </w:pPr>
      <w:proofErr w:type="spellStart"/>
      <w:r>
        <w:t>Talazoparib</w:t>
      </w:r>
      <w:proofErr w:type="spellEnd"/>
      <w:r>
        <w:t xml:space="preserve"> is </w:t>
      </w:r>
      <w:r w:rsidR="008D022F">
        <w:t>in the</w:t>
      </w:r>
      <w:r>
        <w:t xml:space="preserve"> same drug class as </w:t>
      </w:r>
      <w:proofErr w:type="spellStart"/>
      <w:r>
        <w:t>olaparib</w:t>
      </w:r>
      <w:proofErr w:type="spellEnd"/>
      <w:r>
        <w:t xml:space="preserve"> (PARP inhibitor</w:t>
      </w:r>
      <w:proofErr w:type="gramStart"/>
      <w:r>
        <w:t>)</w:t>
      </w:r>
      <w:proofErr w:type="gramEnd"/>
      <w:r>
        <w:t xml:space="preserve"> and</w:t>
      </w:r>
      <w:r w:rsidR="008D022F">
        <w:t xml:space="preserve"> </w:t>
      </w:r>
      <w:r>
        <w:t xml:space="preserve">indirect treatment comparisons provide some </w:t>
      </w:r>
      <w:r w:rsidR="00DF5F88">
        <w:t>evidence that</w:t>
      </w:r>
      <w:r>
        <w:t xml:space="preserve"> </w:t>
      </w:r>
      <w:proofErr w:type="spellStart"/>
      <w:r>
        <w:t>olaparib</w:t>
      </w:r>
      <w:proofErr w:type="spellEnd"/>
      <w:r>
        <w:t xml:space="preserve"> and </w:t>
      </w:r>
      <w:proofErr w:type="spellStart"/>
      <w:r>
        <w:t>talazoparib</w:t>
      </w:r>
      <w:proofErr w:type="spellEnd"/>
      <w:r>
        <w:t xml:space="preserve"> provide similar health benefits</w:t>
      </w:r>
      <w:r w:rsidR="008D022F">
        <w:t xml:space="preserve">. Therefore </w:t>
      </w:r>
      <w:proofErr w:type="spellStart"/>
      <w:r>
        <w:t>olaparib</w:t>
      </w:r>
      <w:proofErr w:type="spellEnd"/>
      <w:r>
        <w:t xml:space="preserve"> could potentially be </w:t>
      </w:r>
      <w:r w:rsidR="001D62F5">
        <w:t>appraised in this indication u</w:t>
      </w:r>
      <w:r w:rsidR="008D022F">
        <w:t>sing</w:t>
      </w:r>
      <w:r w:rsidR="001D62F5">
        <w:t xml:space="preserve"> the</w:t>
      </w:r>
      <w:r w:rsidR="002545B8">
        <w:t xml:space="preserve"> </w:t>
      </w:r>
      <w:hyperlink r:id="rId10" w:history="1">
        <w:r w:rsidR="002545B8" w:rsidRPr="00DC1F6C">
          <w:rPr>
            <w:rStyle w:val="Hyperlink"/>
          </w:rPr>
          <w:t xml:space="preserve">cost comparison </w:t>
        </w:r>
      </w:hyperlink>
      <w:r w:rsidR="00E43A09">
        <w:rPr>
          <w:rStyle w:val="Hyperlink"/>
        </w:rPr>
        <w:t>approach</w:t>
      </w:r>
      <w:r w:rsidR="00E43A09" w:rsidRPr="00E43A09">
        <w:rPr>
          <w:rStyle w:val="Hyperlink"/>
          <w:u w:val="none"/>
        </w:rPr>
        <w:t xml:space="preserve"> </w:t>
      </w:r>
      <w:r>
        <w:t xml:space="preserve">with </w:t>
      </w:r>
      <w:proofErr w:type="spellStart"/>
      <w:r>
        <w:t>talazoparib</w:t>
      </w:r>
      <w:proofErr w:type="spellEnd"/>
      <w:r>
        <w:t xml:space="preserve"> as a key comparator.</w:t>
      </w:r>
      <w:r w:rsidR="008D022F">
        <w:t xml:space="preserve"> The company would need to demonstrate that </w:t>
      </w:r>
      <w:proofErr w:type="spellStart"/>
      <w:r w:rsidR="008D022F">
        <w:t>olaparib</w:t>
      </w:r>
      <w:proofErr w:type="spellEnd"/>
      <w:r w:rsidR="008D022F">
        <w:t xml:space="preserve"> provides similar or greater health benefits to </w:t>
      </w:r>
      <w:proofErr w:type="spellStart"/>
      <w:r w:rsidR="008D022F">
        <w:t>talazoparib</w:t>
      </w:r>
      <w:proofErr w:type="spellEnd"/>
      <w:r w:rsidR="00A95E80">
        <w:t>, at a similar or lower cost.</w:t>
      </w:r>
    </w:p>
    <w:p w14:paraId="69EF8184" w14:textId="77777777" w:rsidR="00E43A09" w:rsidRPr="00C654E4" w:rsidRDefault="00E43A09" w:rsidP="00E43A09">
      <w:pPr>
        <w:pStyle w:val="Heading1numbered"/>
      </w:pPr>
      <w:r w:rsidRPr="00A4265E">
        <w:t>Summary of new evidence and implications for review</w:t>
      </w:r>
    </w:p>
    <w:p w14:paraId="6E891C8C" w14:textId="7600B383" w:rsidR="00B11F26" w:rsidRDefault="00DF5F88" w:rsidP="00B11F26">
      <w:pPr>
        <w:pStyle w:val="Paragraph"/>
        <w:numPr>
          <w:ilvl w:val="0"/>
          <w:numId w:val="0"/>
        </w:numPr>
        <w:ind w:left="360"/>
      </w:pPr>
      <w:r>
        <w:t xml:space="preserve">At the time of TA762 publication, the </w:t>
      </w:r>
      <w:proofErr w:type="spellStart"/>
      <w:r>
        <w:t>OlympiAD</w:t>
      </w:r>
      <w:proofErr w:type="spellEnd"/>
      <w:r>
        <w:t xml:space="preserve"> trial had reported </w:t>
      </w:r>
      <w:r w:rsidR="00B11F26">
        <w:t xml:space="preserve">greater progression-free survival (PFS) for </w:t>
      </w:r>
      <w:proofErr w:type="spellStart"/>
      <w:r w:rsidR="00B11F26">
        <w:t>olaparib</w:t>
      </w:r>
      <w:proofErr w:type="spellEnd"/>
      <w:r w:rsidR="00B11F26">
        <w:t xml:space="preserve"> compared with </w:t>
      </w:r>
      <w:r w:rsidR="00B11F26" w:rsidRPr="005C53A7">
        <w:t>chemotherapy treatment of physician’s choice (TPC)</w:t>
      </w:r>
      <w:r w:rsidR="00B11F26">
        <w:t xml:space="preserve"> </w:t>
      </w:r>
      <w:r w:rsidR="00B11F26" w:rsidRPr="003A7A01">
        <w:t xml:space="preserve">(7.0 months vs. 4.2 months; </w:t>
      </w:r>
      <w:r w:rsidR="00B11F26">
        <w:t>HR=0.58</w:t>
      </w:r>
      <w:r w:rsidR="00B11F26" w:rsidRPr="003A7A01">
        <w:t>; 95%</w:t>
      </w:r>
      <w:r w:rsidR="00B11F26">
        <w:t xml:space="preserve"> CI</w:t>
      </w:r>
      <w:r w:rsidR="00B11F26" w:rsidRPr="003A7A01">
        <w:t xml:space="preserve"> 0.43</w:t>
      </w:r>
      <w:r w:rsidR="00B11F26">
        <w:t>-</w:t>
      </w:r>
      <w:r w:rsidR="00B11F26" w:rsidRPr="003A7A01">
        <w:t>0.80; P&lt;0.001)</w:t>
      </w:r>
      <w:r w:rsidR="00B11F26">
        <w:t xml:space="preserve">, and no significant difference in </w:t>
      </w:r>
      <w:r w:rsidR="00B11F26" w:rsidRPr="005C53A7">
        <w:t xml:space="preserve">median overall survival (OS) </w:t>
      </w:r>
      <w:r w:rsidR="00B11F26">
        <w:t>(</w:t>
      </w:r>
      <w:r w:rsidR="00B11F26" w:rsidRPr="005C53A7">
        <w:t xml:space="preserve">19.3 months for </w:t>
      </w:r>
      <w:proofErr w:type="spellStart"/>
      <w:r w:rsidR="00B11F26" w:rsidRPr="005C53A7">
        <w:t>olaparib</w:t>
      </w:r>
      <w:proofErr w:type="spellEnd"/>
      <w:r w:rsidR="00B11F26" w:rsidRPr="005C53A7">
        <w:t xml:space="preserve"> </w:t>
      </w:r>
      <w:r w:rsidR="00B11F26">
        <w:t>vs.</w:t>
      </w:r>
      <w:r w:rsidR="00B11F26" w:rsidRPr="005C53A7">
        <w:t xml:space="preserve"> 17.1 months for </w:t>
      </w:r>
      <w:r w:rsidR="00B11F26">
        <w:t xml:space="preserve">TPC, </w:t>
      </w:r>
      <w:r w:rsidR="00B11F26" w:rsidRPr="005C53A7">
        <w:t>p=0.513</w:t>
      </w:r>
      <w:r w:rsidR="00B11F26">
        <w:t>) (Robson 2017, Robson 2019).</w:t>
      </w:r>
    </w:p>
    <w:p w14:paraId="45D80C51" w14:textId="53391FBF" w:rsidR="002367BB" w:rsidRDefault="002367BB" w:rsidP="002367BB">
      <w:pPr>
        <w:pStyle w:val="Paragraph"/>
        <w:numPr>
          <w:ilvl w:val="0"/>
          <w:numId w:val="0"/>
        </w:numPr>
        <w:ind w:left="360"/>
      </w:pPr>
      <w:r>
        <w:t xml:space="preserve">The results of the literature review found that since publication of TA762, there have been two published subgroup analyses of the </w:t>
      </w:r>
      <w:proofErr w:type="spellStart"/>
      <w:r>
        <w:t>OlympiAD</w:t>
      </w:r>
      <w:proofErr w:type="spellEnd"/>
      <w:r>
        <w:t xml:space="preserve"> trial. A prespecified subgroup analysis of </w:t>
      </w:r>
      <w:proofErr w:type="spellStart"/>
      <w:r>
        <w:t>OlympiAD</w:t>
      </w:r>
      <w:proofErr w:type="spellEnd"/>
      <w:r>
        <w:t xml:space="preserve"> found that the impact of </w:t>
      </w:r>
      <w:proofErr w:type="spellStart"/>
      <w:r>
        <w:t>olaparib</w:t>
      </w:r>
      <w:proofErr w:type="spellEnd"/>
      <w:r>
        <w:t xml:space="preserve"> on PFS and response rates vs TPC was consistent across various subgroups including hormone receptor status, germline BRCA mutation, site of metastases and prior chemotherapy</w:t>
      </w:r>
      <w:r w:rsidR="005413D6">
        <w:t>. Quality of</w:t>
      </w:r>
      <w:r>
        <w:t xml:space="preserve"> life increased in all subgroups with </w:t>
      </w:r>
      <w:proofErr w:type="spellStart"/>
      <w:r>
        <w:t>olaparib</w:t>
      </w:r>
      <w:proofErr w:type="spellEnd"/>
      <w:r>
        <w:t xml:space="preserve"> (</w:t>
      </w:r>
      <w:r w:rsidR="0043352D">
        <w:t>Senkus 2023</w:t>
      </w:r>
      <w:r>
        <w:t xml:space="preserve">). A post-hoc analysis (n=38) with extended follow up reported OS consistent with previous analyses and that long-term exposure to </w:t>
      </w:r>
      <w:proofErr w:type="spellStart"/>
      <w:r>
        <w:t>olaparib</w:t>
      </w:r>
      <w:proofErr w:type="spellEnd"/>
      <w:r>
        <w:t xml:space="preserve"> was </w:t>
      </w:r>
      <w:r>
        <w:lastRenderedPageBreak/>
        <w:t>well tolerated with no new serious adverse events observed and no evidence of cumulative toxicity compared to earlier data cuts</w:t>
      </w:r>
      <w:r w:rsidR="0043352D">
        <w:t xml:space="preserve"> (Robson 2023)</w:t>
      </w:r>
      <w:r>
        <w:t>.</w:t>
      </w:r>
    </w:p>
    <w:p w14:paraId="0C5D54B3" w14:textId="4CB56931" w:rsidR="002367BB" w:rsidRDefault="002367BB" w:rsidP="002367BB">
      <w:pPr>
        <w:pStyle w:val="Paragraph"/>
        <w:numPr>
          <w:ilvl w:val="0"/>
          <w:numId w:val="0"/>
        </w:numPr>
        <w:ind w:left="360"/>
      </w:pPr>
      <w:r>
        <w:t xml:space="preserve">Since publication of TA762, a final analysis of a single-arm phase 3 study evaluating the use of </w:t>
      </w:r>
      <w:proofErr w:type="spellStart"/>
      <w:r>
        <w:t>olaparib</w:t>
      </w:r>
      <w:proofErr w:type="spellEnd"/>
      <w:r>
        <w:t xml:space="preserve"> in people</w:t>
      </w:r>
      <w:r w:rsidR="005B072F">
        <w:t xml:space="preserve"> with</w:t>
      </w:r>
      <w:r>
        <w:t xml:space="preserve"> BRCA-mutated, HER2-negative metastatic breast cancer (LUCY) has also been published</w:t>
      </w:r>
      <w:r w:rsidR="00AA52DD">
        <w:t xml:space="preserve"> which further supports the clinical effectiveness and safety of </w:t>
      </w:r>
      <w:proofErr w:type="spellStart"/>
      <w:r w:rsidR="00AA52DD">
        <w:t>olaparib</w:t>
      </w:r>
      <w:proofErr w:type="spellEnd"/>
      <w:r>
        <w:t xml:space="preserve"> in people with germline BRCA mutations</w:t>
      </w:r>
      <w:r w:rsidR="0043352D">
        <w:t xml:space="preserve"> </w:t>
      </w:r>
      <w:r w:rsidR="00184692">
        <w:t>(</w:t>
      </w:r>
      <w:proofErr w:type="spellStart"/>
      <w:r w:rsidR="00184692" w:rsidRPr="00184692">
        <w:t>Balmaña</w:t>
      </w:r>
      <w:proofErr w:type="spellEnd"/>
      <w:r w:rsidR="00184692" w:rsidRPr="00184692">
        <w:t xml:space="preserve"> </w:t>
      </w:r>
      <w:r w:rsidR="00184692">
        <w:t>2023).</w:t>
      </w:r>
      <w:r>
        <w:t xml:space="preserve"> However, not everyone in the study population </w:t>
      </w:r>
      <w:r w:rsidRPr="001C0733">
        <w:t xml:space="preserve">previously received both </w:t>
      </w:r>
      <w:proofErr w:type="spellStart"/>
      <w:r w:rsidRPr="001C0733">
        <w:t>taxane</w:t>
      </w:r>
      <w:proofErr w:type="spellEnd"/>
      <w:r w:rsidRPr="001C0733">
        <w:t>- and anthracycline-based chemotherapy</w:t>
      </w:r>
      <w:r>
        <w:t xml:space="preserve"> in line with the current marketing authorisation (75.3% of patients enrolled in LUCY had received </w:t>
      </w:r>
      <w:proofErr w:type="gramStart"/>
      <w:r>
        <w:t>both of these</w:t>
      </w:r>
      <w:proofErr w:type="gramEnd"/>
      <w:r>
        <w:t>).</w:t>
      </w:r>
    </w:p>
    <w:p w14:paraId="7386FF43" w14:textId="1C7EDE9C" w:rsidR="002367BB" w:rsidRDefault="002367BB" w:rsidP="002367BB">
      <w:pPr>
        <w:pStyle w:val="Paragraph"/>
        <w:numPr>
          <w:ilvl w:val="0"/>
          <w:numId w:val="0"/>
        </w:numPr>
        <w:ind w:left="360"/>
      </w:pPr>
      <w:r w:rsidRPr="00D16EB8">
        <w:rPr>
          <w:rFonts w:ascii="Helvetica" w:hAnsi="Helvetica"/>
          <w:shd w:val="clear" w:color="auto" w:fill="FFFFFF"/>
        </w:rPr>
        <w:t>The</w:t>
      </w:r>
      <w:r>
        <w:rPr>
          <w:rFonts w:ascii="Helvetica" w:hAnsi="Helvetica"/>
          <w:shd w:val="clear" w:color="auto" w:fill="FFFFFF"/>
        </w:rPr>
        <w:t xml:space="preserve">re is no published </w:t>
      </w:r>
      <w:r>
        <w:t xml:space="preserve">head-to-head evidence comparing the efficacy of </w:t>
      </w:r>
      <w:proofErr w:type="spellStart"/>
      <w:r>
        <w:t>olaparib</w:t>
      </w:r>
      <w:proofErr w:type="spellEnd"/>
      <w:r>
        <w:t xml:space="preserve"> and </w:t>
      </w:r>
      <w:proofErr w:type="spellStart"/>
      <w:r>
        <w:t>t</w:t>
      </w:r>
      <w:r w:rsidRPr="00B37478">
        <w:t>alazoparib</w:t>
      </w:r>
      <w:proofErr w:type="spellEnd"/>
      <w:r>
        <w:t xml:space="preserve"> in this indication, but the results </w:t>
      </w:r>
      <w:r w:rsidR="00BF6A1B">
        <w:t>from</w:t>
      </w:r>
      <w:r>
        <w:t xml:space="preserve"> two published indirect treatment comparisons of data from the </w:t>
      </w:r>
      <w:proofErr w:type="spellStart"/>
      <w:r>
        <w:t>OlympiAD</w:t>
      </w:r>
      <w:proofErr w:type="spellEnd"/>
      <w:r>
        <w:t xml:space="preserve"> and EMBRACA trials comparing </w:t>
      </w:r>
      <w:proofErr w:type="spellStart"/>
      <w:r>
        <w:t>olaparib</w:t>
      </w:r>
      <w:proofErr w:type="spellEnd"/>
      <w:r>
        <w:t xml:space="preserve"> and </w:t>
      </w:r>
      <w:proofErr w:type="spellStart"/>
      <w:r>
        <w:t>talazoparib</w:t>
      </w:r>
      <w:proofErr w:type="spellEnd"/>
      <w:r>
        <w:t xml:space="preserve"> respectively found that there were no statistically significant differences in PFS, OS or overall safety profile between the two interventions</w:t>
      </w:r>
      <w:r w:rsidR="00AA52DD">
        <w:t xml:space="preserve"> (</w:t>
      </w:r>
      <w:r w:rsidR="005C6938">
        <w:t>McCrea 2021,</w:t>
      </w:r>
      <w:r w:rsidR="00821FF7">
        <w:t xml:space="preserve"> Wang 2021)</w:t>
      </w:r>
      <w:r>
        <w:t>, which may support the case for a cost comparison approach.</w:t>
      </w:r>
    </w:p>
    <w:p w14:paraId="7A748C7D" w14:textId="4BBA54DC" w:rsidR="005B0306" w:rsidRDefault="005B0306" w:rsidP="005B0306">
      <w:pPr>
        <w:pStyle w:val="Paragraph"/>
        <w:numPr>
          <w:ilvl w:val="0"/>
          <w:numId w:val="0"/>
        </w:numPr>
        <w:ind w:left="360"/>
      </w:pPr>
    </w:p>
    <w:p w14:paraId="70ACEE39" w14:textId="3F6E13F8" w:rsidR="00CC3C8B" w:rsidRDefault="00CC3C8B" w:rsidP="005B0306">
      <w:pPr>
        <w:pStyle w:val="Paragraph"/>
        <w:numPr>
          <w:ilvl w:val="0"/>
          <w:numId w:val="0"/>
        </w:numPr>
        <w:ind w:left="360"/>
      </w:pPr>
    </w:p>
    <w:p w14:paraId="6B9E556F" w14:textId="44FD3A33" w:rsidR="00CC3C8B" w:rsidRDefault="00CC3C8B" w:rsidP="00CC3C8B">
      <w:pPr>
        <w:pStyle w:val="Paragraph"/>
        <w:numPr>
          <w:ilvl w:val="0"/>
          <w:numId w:val="0"/>
        </w:numPr>
        <w:ind w:left="360"/>
      </w:pPr>
    </w:p>
    <w:p w14:paraId="2764E200" w14:textId="77777777" w:rsidR="00CC3C8B" w:rsidRDefault="00CC3C8B" w:rsidP="00CC3C8B">
      <w:pPr>
        <w:pStyle w:val="Paragraph"/>
        <w:numPr>
          <w:ilvl w:val="0"/>
          <w:numId w:val="0"/>
        </w:numPr>
        <w:ind w:left="360"/>
      </w:pPr>
    </w:p>
    <w:p w14:paraId="1CEDDE6B" w14:textId="77777777" w:rsidR="00B86FDC" w:rsidRDefault="00B86FDC" w:rsidP="003844B5">
      <w:pPr>
        <w:pStyle w:val="Heading1numbered"/>
      </w:pPr>
    </w:p>
    <w:p w14:paraId="3B0E8BD3" w14:textId="77777777" w:rsidR="007C203B" w:rsidRPr="00A4265E" w:rsidRDefault="007C203B" w:rsidP="003844B5">
      <w:pPr>
        <w:pStyle w:val="Heading1numbered"/>
      </w:pPr>
    </w:p>
    <w:p w14:paraId="2BEA6F70" w14:textId="77777777" w:rsidR="0013249D" w:rsidRDefault="0013249D">
      <w:pPr>
        <w:rPr>
          <w:rFonts w:ascii="Arial" w:hAnsi="Arial"/>
          <w:b/>
          <w:bCs/>
          <w:sz w:val="26"/>
          <w:szCs w:val="26"/>
        </w:rPr>
      </w:pPr>
      <w:r>
        <w:rPr>
          <w:i/>
          <w:iCs/>
        </w:rPr>
        <w:br w:type="page"/>
      </w:r>
    </w:p>
    <w:p w14:paraId="3D1BE09B" w14:textId="2AEB9CC8" w:rsidR="008D420D" w:rsidRDefault="008D420D" w:rsidP="000D1204">
      <w:pPr>
        <w:pStyle w:val="Heading2"/>
        <w:rPr>
          <w:i w:val="0"/>
          <w:iCs w:val="0"/>
        </w:rPr>
      </w:pPr>
      <w:r>
        <w:rPr>
          <w:i w:val="0"/>
          <w:iCs w:val="0"/>
        </w:rPr>
        <w:lastRenderedPageBreak/>
        <w:t xml:space="preserve">Proposed review remit </w:t>
      </w:r>
    </w:p>
    <w:p w14:paraId="41F9BF4F" w14:textId="10CA475A" w:rsidR="008D420D" w:rsidRPr="008D420D" w:rsidRDefault="0027248D" w:rsidP="008D420D">
      <w:pPr>
        <w:pStyle w:val="Paragraph"/>
        <w:numPr>
          <w:ilvl w:val="0"/>
          <w:numId w:val="0"/>
        </w:numPr>
      </w:pPr>
      <w:r w:rsidRPr="0027248D">
        <w:t xml:space="preserve">To appraise the clinical and cost-effectiveness of </w:t>
      </w:r>
      <w:proofErr w:type="spellStart"/>
      <w:r w:rsidRPr="0027248D">
        <w:t>olaparib</w:t>
      </w:r>
      <w:proofErr w:type="spellEnd"/>
      <w:r w:rsidRPr="0027248D">
        <w:t xml:space="preserve"> within its marketing authorisation for </w:t>
      </w:r>
      <w:r w:rsidR="005B072F">
        <w:t xml:space="preserve">adults with </w:t>
      </w:r>
      <w:r w:rsidR="005B072F" w:rsidRPr="00035F48">
        <w:t xml:space="preserve">BRCA1/2-mutations, who have HER2 negative </w:t>
      </w:r>
      <w:r>
        <w:t xml:space="preserve">locally advanced or </w:t>
      </w:r>
      <w:r w:rsidRPr="0027248D">
        <w:t>metastatic breast cancer.</w:t>
      </w:r>
    </w:p>
    <w:p w14:paraId="06FB8F72" w14:textId="779F80C4" w:rsidR="000D1204" w:rsidRPr="00B86FDC" w:rsidRDefault="00C654E4" w:rsidP="000D1204">
      <w:pPr>
        <w:pStyle w:val="Heading2"/>
        <w:rPr>
          <w:i w:val="0"/>
          <w:iCs w:val="0"/>
        </w:rPr>
      </w:pPr>
      <w:r w:rsidRPr="00B86FDC">
        <w:rPr>
          <w:i w:val="0"/>
          <w:iCs w:val="0"/>
        </w:rPr>
        <w:t>The technology</w:t>
      </w:r>
    </w:p>
    <w:p w14:paraId="440602AA" w14:textId="199F82AA" w:rsidR="00C654E4" w:rsidRPr="000D1204" w:rsidRDefault="000D1204" w:rsidP="000D1204">
      <w:pPr>
        <w:pStyle w:val="Paragraph"/>
        <w:numPr>
          <w:ilvl w:val="0"/>
          <w:numId w:val="0"/>
        </w:numPr>
        <w:rPr>
          <w:sz w:val="22"/>
          <w:szCs w:val="22"/>
        </w:rPr>
      </w:pPr>
      <w:r w:rsidRPr="00035F48">
        <w:t xml:space="preserve">Olaparib has a marketing authorisation in the UK for monotherapy for the treatment of adult patients with germline BRCA1/2-mutations, who have HER2 negative locally advanced or metastatic breast cancer. Patients should have previously been treated with an anthracycline and a </w:t>
      </w:r>
      <w:proofErr w:type="spellStart"/>
      <w:r w:rsidRPr="00035F48">
        <w:t>taxane</w:t>
      </w:r>
      <w:proofErr w:type="spellEnd"/>
      <w:r w:rsidRPr="00035F48">
        <w:t xml:space="preserve"> in the (neo)adjuvant or metastatic setting unless patients were not suitable for these treatments. Patients with hormone receptor (HR)-positive breast cancer should also have progressed on or after prior endocrine therapy or be considered unsuitable for endocrine therapy</w:t>
      </w:r>
      <w:r>
        <w:rPr>
          <w:sz w:val="22"/>
          <w:szCs w:val="22"/>
        </w:rPr>
        <w:t>.</w:t>
      </w:r>
    </w:p>
    <w:tbl>
      <w:tblPr>
        <w:tblW w:w="86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6237"/>
      </w:tblGrid>
      <w:tr w:rsidR="00C654E4" w:rsidRPr="00E970E0" w14:paraId="1831894F" w14:textId="77777777" w:rsidTr="00697F5B">
        <w:trPr>
          <w:cantSplit/>
        </w:trPr>
        <w:tc>
          <w:tcPr>
            <w:tcW w:w="2376" w:type="dxa"/>
            <w:shd w:val="clear" w:color="auto" w:fill="D9D9D9"/>
          </w:tcPr>
          <w:p w14:paraId="391A9148" w14:textId="77777777" w:rsidR="00C654E4" w:rsidRPr="009B5DE4" w:rsidRDefault="00C654E4" w:rsidP="00697F5B">
            <w:pPr>
              <w:spacing w:before="120"/>
              <w:rPr>
                <w:rFonts w:ascii="Arial" w:hAnsi="Arial" w:cs="Arial"/>
                <w:b/>
                <w:bCs/>
              </w:rPr>
            </w:pPr>
            <w:r w:rsidRPr="009B5DE4">
              <w:rPr>
                <w:rFonts w:ascii="Arial" w:hAnsi="Arial" w:cs="Arial"/>
                <w:b/>
                <w:bCs/>
              </w:rPr>
              <w:t>Intervention(s)</w:t>
            </w:r>
          </w:p>
        </w:tc>
        <w:tc>
          <w:tcPr>
            <w:tcW w:w="6237" w:type="dxa"/>
          </w:tcPr>
          <w:p w14:paraId="4B4459B0" w14:textId="438CC773" w:rsidR="000F2E03" w:rsidRPr="009B5DE4" w:rsidRDefault="000C65CC" w:rsidP="0065006F">
            <w:pPr>
              <w:pStyle w:val="BodyText2"/>
              <w:rPr>
                <w:rFonts w:cs="Arial"/>
                <w:szCs w:val="24"/>
                <w:lang w:val="en-GB" w:eastAsia="en-GB"/>
              </w:rPr>
            </w:pPr>
            <w:r w:rsidRPr="009B5DE4">
              <w:rPr>
                <w:rFonts w:cs="Arial"/>
                <w:szCs w:val="24"/>
                <w:lang w:val="en-GB"/>
              </w:rPr>
              <w:t>Olaparib</w:t>
            </w:r>
          </w:p>
        </w:tc>
      </w:tr>
      <w:tr w:rsidR="00C654E4" w:rsidRPr="00E970E0" w14:paraId="17F29EB0" w14:textId="77777777" w:rsidTr="00697F5B">
        <w:trPr>
          <w:cantSplit/>
        </w:trPr>
        <w:tc>
          <w:tcPr>
            <w:tcW w:w="2376" w:type="dxa"/>
            <w:shd w:val="clear" w:color="auto" w:fill="D9D9D9"/>
          </w:tcPr>
          <w:p w14:paraId="3F6D6368" w14:textId="77777777" w:rsidR="00C654E4" w:rsidRPr="009B5DE4" w:rsidRDefault="00C654E4" w:rsidP="00697F5B">
            <w:pPr>
              <w:pStyle w:val="Header"/>
              <w:spacing w:before="120"/>
              <w:rPr>
                <w:rFonts w:cs="Arial"/>
              </w:rPr>
            </w:pPr>
            <w:r w:rsidRPr="009B5DE4">
              <w:rPr>
                <w:rFonts w:cs="Arial"/>
                <w:b/>
                <w:bCs/>
              </w:rPr>
              <w:t>Population(s)</w:t>
            </w:r>
          </w:p>
        </w:tc>
        <w:tc>
          <w:tcPr>
            <w:tcW w:w="6237" w:type="dxa"/>
          </w:tcPr>
          <w:p w14:paraId="16ABF9B0" w14:textId="77777777" w:rsidR="00B41E82" w:rsidRPr="009B5DE4" w:rsidRDefault="002A07A7" w:rsidP="00697F5B">
            <w:pPr>
              <w:pStyle w:val="BodyText2"/>
              <w:rPr>
                <w:rFonts w:cs="Arial"/>
                <w:szCs w:val="24"/>
                <w:lang w:val="en-GB"/>
              </w:rPr>
            </w:pPr>
            <w:r w:rsidRPr="009B5DE4">
              <w:rPr>
                <w:rFonts w:cs="Arial"/>
                <w:szCs w:val="24"/>
                <w:lang w:val="en-GB"/>
              </w:rPr>
              <w:t xml:space="preserve">Adults with </w:t>
            </w:r>
            <w:r w:rsidRPr="009B5DE4">
              <w:rPr>
                <w:rFonts w:cs="Arial"/>
                <w:szCs w:val="24"/>
              </w:rPr>
              <w:t>HER2-negative locally advanced or metastatic breast cancer with germline BRCA1/2-mutations that has previously been treated with</w:t>
            </w:r>
            <w:r w:rsidR="00B41E82" w:rsidRPr="009B5DE4">
              <w:rPr>
                <w:rFonts w:cs="Arial"/>
                <w:szCs w:val="24"/>
                <w:lang w:val="en-GB"/>
              </w:rPr>
              <w:t>:</w:t>
            </w:r>
          </w:p>
          <w:p w14:paraId="41D345AF" w14:textId="3974E651" w:rsidR="002A07A7" w:rsidRPr="009B5DE4" w:rsidRDefault="002A07A7" w:rsidP="00B41E82">
            <w:pPr>
              <w:pStyle w:val="BodyText2"/>
              <w:numPr>
                <w:ilvl w:val="0"/>
                <w:numId w:val="44"/>
              </w:numPr>
              <w:rPr>
                <w:rFonts w:cs="Arial"/>
                <w:szCs w:val="24"/>
                <w:lang w:val="en-GB"/>
              </w:rPr>
            </w:pPr>
            <w:r w:rsidRPr="009B5DE4">
              <w:rPr>
                <w:rFonts w:cs="Arial"/>
                <w:szCs w:val="24"/>
              </w:rPr>
              <w:t xml:space="preserve">an anthracycline and a </w:t>
            </w:r>
            <w:proofErr w:type="spellStart"/>
            <w:r w:rsidRPr="009B5DE4">
              <w:rPr>
                <w:rFonts w:cs="Arial"/>
                <w:szCs w:val="24"/>
              </w:rPr>
              <w:t>taxane</w:t>
            </w:r>
            <w:proofErr w:type="spellEnd"/>
            <w:r w:rsidRPr="009B5DE4">
              <w:rPr>
                <w:rFonts w:cs="Arial"/>
                <w:szCs w:val="24"/>
              </w:rPr>
              <w:t xml:space="preserve"> in the (neo)adjuvant</w:t>
            </w:r>
            <w:r w:rsidRPr="009B5DE4">
              <w:rPr>
                <w:rFonts w:cs="Arial"/>
                <w:szCs w:val="24"/>
                <w:lang w:val="en-GB"/>
              </w:rPr>
              <w:t xml:space="preserve"> or </w:t>
            </w:r>
            <w:r w:rsidRPr="009B5DE4">
              <w:rPr>
                <w:rFonts w:cs="Arial"/>
                <w:szCs w:val="24"/>
              </w:rPr>
              <w:t>metastatic setting</w:t>
            </w:r>
            <w:r w:rsidR="00B41E82" w:rsidRPr="009B5DE4">
              <w:rPr>
                <w:rFonts w:cs="Arial"/>
                <w:szCs w:val="24"/>
                <w:lang w:val="en-GB"/>
              </w:rPr>
              <w:t>,</w:t>
            </w:r>
            <w:r w:rsidRPr="009B5DE4">
              <w:rPr>
                <w:rFonts w:cs="Arial"/>
                <w:szCs w:val="24"/>
              </w:rPr>
              <w:t xml:space="preserve"> </w:t>
            </w:r>
            <w:r w:rsidR="00B41E82" w:rsidRPr="009B5DE4">
              <w:rPr>
                <w:rFonts w:cs="Arial"/>
                <w:szCs w:val="24"/>
                <w:lang w:val="en-GB"/>
              </w:rPr>
              <w:t xml:space="preserve">unless </w:t>
            </w:r>
            <w:r w:rsidRPr="009B5DE4">
              <w:rPr>
                <w:rFonts w:cs="Arial"/>
                <w:szCs w:val="24"/>
              </w:rPr>
              <w:t>these treatments would not be suitable.</w:t>
            </w:r>
          </w:p>
          <w:p w14:paraId="628B601A" w14:textId="66DD45B4" w:rsidR="000F2E03" w:rsidRPr="009B5DE4" w:rsidRDefault="000E17B7" w:rsidP="00B41E82">
            <w:pPr>
              <w:pStyle w:val="BodyText2"/>
              <w:numPr>
                <w:ilvl w:val="0"/>
                <w:numId w:val="44"/>
              </w:numPr>
              <w:rPr>
                <w:rFonts w:cs="Arial"/>
                <w:szCs w:val="24"/>
                <w:lang w:val="en-GB"/>
              </w:rPr>
            </w:pPr>
            <w:r w:rsidRPr="009B5DE4">
              <w:rPr>
                <w:rFonts w:cs="Arial"/>
                <w:szCs w:val="24"/>
              </w:rPr>
              <w:t>endocrine</w:t>
            </w:r>
            <w:r w:rsidR="00B41E82" w:rsidRPr="009B5DE4">
              <w:rPr>
                <w:rFonts w:cs="Arial"/>
                <w:szCs w:val="24"/>
              </w:rPr>
              <w:t xml:space="preserve"> thera</w:t>
            </w:r>
            <w:r w:rsidR="00B41E82" w:rsidRPr="009B5DE4">
              <w:rPr>
                <w:rFonts w:cs="Arial"/>
                <w:szCs w:val="24"/>
                <w:lang w:val="en-GB"/>
              </w:rPr>
              <w:t xml:space="preserve">py in the case of </w:t>
            </w:r>
            <w:r w:rsidR="002A07A7" w:rsidRPr="009B5DE4">
              <w:rPr>
                <w:rFonts w:cs="Arial"/>
                <w:color w:val="161616"/>
                <w:szCs w:val="24"/>
                <w:shd w:val="clear" w:color="auto" w:fill="FFFFFF"/>
              </w:rPr>
              <w:t xml:space="preserve">hormone receptor (HR)-positive breast cancer, </w:t>
            </w:r>
            <w:r w:rsidR="00B41E82" w:rsidRPr="009B5DE4">
              <w:rPr>
                <w:rFonts w:cs="Arial"/>
                <w:color w:val="161616"/>
                <w:szCs w:val="24"/>
                <w:shd w:val="clear" w:color="auto" w:fill="FFFFFF"/>
                <w:lang w:val="en-GB"/>
              </w:rPr>
              <w:t>unless endocrine therapy is not suitable</w:t>
            </w:r>
            <w:r w:rsidRPr="009B5DE4">
              <w:rPr>
                <w:rFonts w:cs="Arial"/>
                <w:color w:val="161616"/>
                <w:szCs w:val="24"/>
                <w:shd w:val="clear" w:color="auto" w:fill="FFFFFF"/>
                <w:lang w:val="en-GB"/>
              </w:rPr>
              <w:t>.</w:t>
            </w:r>
          </w:p>
        </w:tc>
      </w:tr>
      <w:tr w:rsidR="00C654E4" w:rsidRPr="00E970E0" w14:paraId="541D3D01" w14:textId="77777777" w:rsidTr="00697F5B">
        <w:trPr>
          <w:cantSplit/>
        </w:trPr>
        <w:tc>
          <w:tcPr>
            <w:tcW w:w="2376" w:type="dxa"/>
            <w:shd w:val="clear" w:color="auto" w:fill="D9D9D9"/>
          </w:tcPr>
          <w:p w14:paraId="7C17FD57" w14:textId="77777777" w:rsidR="00C654E4" w:rsidRPr="009B5DE4" w:rsidRDefault="00C654E4" w:rsidP="00697F5B">
            <w:pPr>
              <w:pStyle w:val="Header"/>
              <w:spacing w:before="120"/>
              <w:rPr>
                <w:rFonts w:cs="Arial"/>
              </w:rPr>
            </w:pPr>
            <w:r w:rsidRPr="009B5DE4">
              <w:rPr>
                <w:rFonts w:cs="Arial"/>
                <w:b/>
                <w:bCs/>
              </w:rPr>
              <w:t>Comparators</w:t>
            </w:r>
          </w:p>
        </w:tc>
        <w:tc>
          <w:tcPr>
            <w:tcW w:w="6237" w:type="dxa"/>
          </w:tcPr>
          <w:p w14:paraId="40A1D950" w14:textId="20ECE2E7" w:rsidR="000A7BB5" w:rsidRPr="009B5DE4" w:rsidRDefault="000A7BB5" w:rsidP="000A7BB5">
            <w:pPr>
              <w:numPr>
                <w:ilvl w:val="0"/>
                <w:numId w:val="43"/>
              </w:numPr>
              <w:spacing w:before="120" w:after="120"/>
              <w:rPr>
                <w:rFonts w:ascii="Arial" w:hAnsi="Arial" w:cs="Arial"/>
              </w:rPr>
            </w:pPr>
            <w:proofErr w:type="spellStart"/>
            <w:r w:rsidRPr="009B5DE4">
              <w:rPr>
                <w:rFonts w:ascii="Arial" w:hAnsi="Arial" w:cs="Arial"/>
              </w:rPr>
              <w:t>Talazoparib</w:t>
            </w:r>
            <w:proofErr w:type="spellEnd"/>
          </w:p>
          <w:p w14:paraId="1A355247" w14:textId="322E989F" w:rsidR="000A7BB5" w:rsidRPr="009B5DE4" w:rsidRDefault="000A7BB5" w:rsidP="000A7BB5">
            <w:pPr>
              <w:numPr>
                <w:ilvl w:val="0"/>
                <w:numId w:val="43"/>
              </w:numPr>
              <w:spacing w:before="120" w:after="120"/>
              <w:rPr>
                <w:rFonts w:ascii="Arial" w:hAnsi="Arial" w:cs="Arial"/>
              </w:rPr>
            </w:pPr>
            <w:r w:rsidRPr="009B5DE4">
              <w:rPr>
                <w:rFonts w:ascii="Arial" w:hAnsi="Arial" w:cs="Arial"/>
              </w:rPr>
              <w:t>Vinorelbine</w:t>
            </w:r>
          </w:p>
          <w:p w14:paraId="0AA21DD3" w14:textId="77777777" w:rsidR="000A7BB5" w:rsidRDefault="000A7BB5" w:rsidP="000A7BB5">
            <w:pPr>
              <w:numPr>
                <w:ilvl w:val="0"/>
                <w:numId w:val="43"/>
              </w:numPr>
              <w:spacing w:before="120" w:after="120"/>
              <w:rPr>
                <w:rFonts w:ascii="Arial" w:hAnsi="Arial" w:cs="Arial"/>
              </w:rPr>
            </w:pPr>
            <w:r w:rsidRPr="009B5DE4">
              <w:rPr>
                <w:rFonts w:ascii="Arial" w:hAnsi="Arial" w:cs="Arial"/>
              </w:rPr>
              <w:t>Capecitabine</w:t>
            </w:r>
          </w:p>
          <w:p w14:paraId="6075A0B9" w14:textId="294A0DC5" w:rsidR="00DC1FA0" w:rsidRPr="009B5DE4" w:rsidRDefault="00DC1FA0" w:rsidP="000A7BB5">
            <w:pPr>
              <w:numPr>
                <w:ilvl w:val="0"/>
                <w:numId w:val="43"/>
              </w:numPr>
              <w:spacing w:before="120" w:after="120"/>
              <w:rPr>
                <w:rFonts w:ascii="Arial" w:hAnsi="Arial" w:cs="Arial"/>
              </w:rPr>
            </w:pPr>
            <w:r>
              <w:rPr>
                <w:rFonts w:ascii="Arial" w:hAnsi="Arial" w:cs="Arial"/>
              </w:rPr>
              <w:t>Gemcitabine</w:t>
            </w:r>
          </w:p>
          <w:p w14:paraId="71CDC704" w14:textId="39A3AD1B" w:rsidR="00697F5B" w:rsidRPr="009B5DE4" w:rsidRDefault="00697F5B" w:rsidP="00697F5B">
            <w:pPr>
              <w:spacing w:before="120" w:after="120"/>
              <w:rPr>
                <w:rFonts w:ascii="Arial" w:hAnsi="Arial" w:cs="Arial"/>
              </w:rPr>
            </w:pPr>
            <w:r w:rsidRPr="009B5DE4">
              <w:rPr>
                <w:rFonts w:ascii="Arial" w:hAnsi="Arial" w:cs="Arial"/>
              </w:rPr>
              <w:t>For people who have had 2 or more lines of chemotherapy for metastatic disease:</w:t>
            </w:r>
          </w:p>
          <w:p w14:paraId="691B3716" w14:textId="6332C863" w:rsidR="00B3359D" w:rsidRPr="009B5DE4" w:rsidRDefault="000A7BB5" w:rsidP="00035F48">
            <w:pPr>
              <w:numPr>
                <w:ilvl w:val="0"/>
                <w:numId w:val="43"/>
              </w:numPr>
              <w:spacing w:before="120" w:after="120"/>
              <w:rPr>
                <w:rFonts w:ascii="Arial" w:hAnsi="Arial" w:cs="Arial"/>
              </w:rPr>
            </w:pPr>
            <w:proofErr w:type="spellStart"/>
            <w:r w:rsidRPr="009B5DE4">
              <w:rPr>
                <w:rFonts w:ascii="Arial" w:hAnsi="Arial" w:cs="Arial"/>
              </w:rPr>
              <w:t>Eribuli</w:t>
            </w:r>
            <w:r w:rsidR="000F2E03" w:rsidRPr="009B5DE4">
              <w:rPr>
                <w:rFonts w:ascii="Arial" w:hAnsi="Arial" w:cs="Arial"/>
              </w:rPr>
              <w:t>n</w:t>
            </w:r>
            <w:proofErr w:type="spellEnd"/>
          </w:p>
        </w:tc>
      </w:tr>
      <w:tr w:rsidR="00C654E4" w:rsidRPr="00E970E0" w14:paraId="64A6278A" w14:textId="77777777" w:rsidTr="00697F5B">
        <w:trPr>
          <w:cantSplit/>
        </w:trPr>
        <w:tc>
          <w:tcPr>
            <w:tcW w:w="2376" w:type="dxa"/>
            <w:shd w:val="clear" w:color="auto" w:fill="D9D9D9"/>
          </w:tcPr>
          <w:p w14:paraId="00BA2C6E" w14:textId="77777777" w:rsidR="00C654E4" w:rsidRPr="009B5DE4" w:rsidRDefault="00C654E4" w:rsidP="00697F5B">
            <w:pPr>
              <w:pStyle w:val="Header"/>
              <w:spacing w:before="120"/>
              <w:rPr>
                <w:rFonts w:cs="Arial"/>
              </w:rPr>
            </w:pPr>
            <w:r w:rsidRPr="009B5DE4">
              <w:rPr>
                <w:rFonts w:cs="Arial"/>
                <w:b/>
                <w:bCs/>
              </w:rPr>
              <w:lastRenderedPageBreak/>
              <w:t>Outcomes</w:t>
            </w:r>
          </w:p>
        </w:tc>
        <w:tc>
          <w:tcPr>
            <w:tcW w:w="6237" w:type="dxa"/>
          </w:tcPr>
          <w:p w14:paraId="01471C01" w14:textId="77777777" w:rsidR="00C654E4" w:rsidRPr="009B5DE4" w:rsidRDefault="00C654E4" w:rsidP="00697F5B">
            <w:pPr>
              <w:pStyle w:val="BodyText2"/>
              <w:rPr>
                <w:rFonts w:cs="Arial"/>
                <w:szCs w:val="24"/>
                <w:lang w:val="en-GB"/>
              </w:rPr>
            </w:pPr>
            <w:r w:rsidRPr="009B5DE4">
              <w:rPr>
                <w:rFonts w:cs="Arial"/>
                <w:szCs w:val="24"/>
                <w:lang w:val="en-GB"/>
              </w:rPr>
              <w:t>The outcome measures to be considered include:</w:t>
            </w:r>
          </w:p>
          <w:p w14:paraId="1194794A" w14:textId="77777777" w:rsidR="000F2E03" w:rsidRPr="009B5DE4" w:rsidRDefault="000F2E03" w:rsidP="00C654E4">
            <w:pPr>
              <w:numPr>
                <w:ilvl w:val="0"/>
                <w:numId w:val="38"/>
              </w:numPr>
              <w:spacing w:before="120" w:after="120"/>
              <w:ind w:left="714" w:hanging="357"/>
              <w:rPr>
                <w:rFonts w:ascii="Arial" w:hAnsi="Arial" w:cs="Arial"/>
              </w:rPr>
            </w:pPr>
            <w:r w:rsidRPr="009B5DE4">
              <w:rPr>
                <w:rFonts w:ascii="Arial" w:hAnsi="Arial" w:cs="Arial"/>
                <w:lang w:eastAsia="en-US"/>
              </w:rPr>
              <w:t xml:space="preserve">overall survival </w:t>
            </w:r>
          </w:p>
          <w:p w14:paraId="29168E2E" w14:textId="5494F420" w:rsidR="000F2E03" w:rsidRPr="009B5DE4" w:rsidRDefault="000F2E03" w:rsidP="00C654E4">
            <w:pPr>
              <w:numPr>
                <w:ilvl w:val="0"/>
                <w:numId w:val="38"/>
              </w:numPr>
              <w:spacing w:before="120" w:after="120"/>
              <w:ind w:left="714" w:hanging="357"/>
              <w:rPr>
                <w:rFonts w:ascii="Arial" w:hAnsi="Arial" w:cs="Arial"/>
              </w:rPr>
            </w:pPr>
            <w:r w:rsidRPr="009B5DE4">
              <w:rPr>
                <w:rFonts w:ascii="Arial" w:hAnsi="Arial" w:cs="Arial"/>
                <w:lang w:eastAsia="en-US"/>
              </w:rPr>
              <w:t xml:space="preserve">progression free survival  </w:t>
            </w:r>
          </w:p>
          <w:p w14:paraId="69D889D5" w14:textId="4FD90B57" w:rsidR="000F2E03" w:rsidRPr="009B5DE4" w:rsidRDefault="000F2E03" w:rsidP="00C654E4">
            <w:pPr>
              <w:numPr>
                <w:ilvl w:val="0"/>
                <w:numId w:val="38"/>
              </w:numPr>
              <w:spacing w:before="120" w:after="120"/>
              <w:ind w:left="714" w:hanging="357"/>
              <w:rPr>
                <w:rFonts w:ascii="Arial" w:hAnsi="Arial" w:cs="Arial"/>
              </w:rPr>
            </w:pPr>
            <w:r w:rsidRPr="009B5DE4">
              <w:rPr>
                <w:rFonts w:ascii="Arial" w:hAnsi="Arial" w:cs="Arial"/>
                <w:lang w:eastAsia="en-US"/>
              </w:rPr>
              <w:t>response rate</w:t>
            </w:r>
          </w:p>
          <w:p w14:paraId="7FCE1F97" w14:textId="37058553" w:rsidR="00C654E4" w:rsidRPr="009B5DE4" w:rsidRDefault="00C654E4" w:rsidP="00C654E4">
            <w:pPr>
              <w:numPr>
                <w:ilvl w:val="0"/>
                <w:numId w:val="38"/>
              </w:numPr>
              <w:spacing w:before="120" w:after="120"/>
              <w:ind w:left="714" w:hanging="357"/>
              <w:rPr>
                <w:rFonts w:ascii="Arial" w:hAnsi="Arial" w:cs="Arial"/>
              </w:rPr>
            </w:pPr>
            <w:r w:rsidRPr="009B5DE4">
              <w:rPr>
                <w:rFonts w:ascii="Arial" w:hAnsi="Arial" w:cs="Arial"/>
              </w:rPr>
              <w:t>adverse effects of treatment</w:t>
            </w:r>
          </w:p>
          <w:p w14:paraId="219ED034" w14:textId="77777777" w:rsidR="00C654E4" w:rsidRPr="009B5DE4" w:rsidRDefault="00C654E4" w:rsidP="00C654E4">
            <w:pPr>
              <w:numPr>
                <w:ilvl w:val="0"/>
                <w:numId w:val="38"/>
              </w:numPr>
              <w:spacing w:before="120" w:after="120"/>
              <w:ind w:left="714" w:hanging="357"/>
              <w:rPr>
                <w:rFonts w:ascii="Arial" w:hAnsi="Arial" w:cs="Arial"/>
              </w:rPr>
            </w:pPr>
            <w:r w:rsidRPr="009B5DE4">
              <w:rPr>
                <w:rFonts w:ascii="Arial" w:hAnsi="Arial" w:cs="Arial"/>
              </w:rPr>
              <w:t>health-related quality of life.</w:t>
            </w:r>
          </w:p>
        </w:tc>
      </w:tr>
      <w:tr w:rsidR="00C654E4" w:rsidRPr="00E970E0" w14:paraId="71973B74" w14:textId="77777777" w:rsidTr="00697F5B">
        <w:trPr>
          <w:cantSplit/>
        </w:trPr>
        <w:tc>
          <w:tcPr>
            <w:tcW w:w="2376" w:type="dxa"/>
            <w:shd w:val="clear" w:color="auto" w:fill="D9D9D9"/>
          </w:tcPr>
          <w:p w14:paraId="5547D25E" w14:textId="77777777" w:rsidR="00C654E4" w:rsidRPr="009B5DE4" w:rsidRDefault="00C654E4" w:rsidP="00697F5B">
            <w:pPr>
              <w:pStyle w:val="Header"/>
              <w:spacing w:before="120"/>
              <w:rPr>
                <w:rFonts w:cs="Arial"/>
              </w:rPr>
            </w:pPr>
            <w:r w:rsidRPr="009B5DE4">
              <w:rPr>
                <w:rFonts w:cs="Arial"/>
                <w:b/>
                <w:bCs/>
              </w:rPr>
              <w:t>Economic analysis</w:t>
            </w:r>
          </w:p>
        </w:tc>
        <w:tc>
          <w:tcPr>
            <w:tcW w:w="6237" w:type="dxa"/>
          </w:tcPr>
          <w:p w14:paraId="3F5E35F1" w14:textId="77777777" w:rsidR="00C654E4" w:rsidRPr="009B5DE4" w:rsidRDefault="00C654E4" w:rsidP="00697F5B">
            <w:pPr>
              <w:pStyle w:val="BodyText2"/>
              <w:rPr>
                <w:rFonts w:cs="Arial"/>
                <w:szCs w:val="24"/>
                <w:lang w:val="en-GB"/>
              </w:rPr>
            </w:pPr>
            <w:r w:rsidRPr="009B5DE4">
              <w:rPr>
                <w:rFonts w:cs="Arial"/>
                <w:szCs w:val="24"/>
                <w:lang w:val="en-GB"/>
              </w:rPr>
              <w:t>The reference case stipulates that the cost effectiveness of treatments should be expressed in terms of incremental cost per quality-adjusted life year.</w:t>
            </w:r>
          </w:p>
          <w:p w14:paraId="4CE494B0" w14:textId="0EC65C7B" w:rsidR="000E17B7" w:rsidRPr="009B5DE4" w:rsidRDefault="000E17B7" w:rsidP="00697F5B">
            <w:pPr>
              <w:pStyle w:val="BodyText2"/>
              <w:rPr>
                <w:rFonts w:cs="Arial"/>
                <w:szCs w:val="24"/>
                <w:lang w:val="en-GB"/>
              </w:rPr>
            </w:pPr>
            <w:r w:rsidRPr="009B5DE4">
              <w:rPr>
                <w:rFonts w:cs="Arial"/>
                <w:szCs w:val="24"/>
                <w:lang w:val="en-GB"/>
              </w:rPr>
              <w:t>If the technology is likely to provide similar or greater health benefits at similar or lower cost than technologies recommended in published NICE technology appraisal guidance for the same indication, a cost comparison may be carried out.</w:t>
            </w:r>
          </w:p>
          <w:p w14:paraId="1988876D" w14:textId="77777777" w:rsidR="00C654E4" w:rsidRPr="009B5DE4" w:rsidRDefault="00C654E4" w:rsidP="00697F5B">
            <w:pPr>
              <w:pStyle w:val="BodyText2"/>
              <w:rPr>
                <w:rFonts w:cs="Arial"/>
                <w:szCs w:val="24"/>
                <w:lang w:val="en-GB"/>
              </w:rPr>
            </w:pPr>
            <w:r w:rsidRPr="009B5DE4">
              <w:rPr>
                <w:rFonts w:cs="Arial"/>
                <w:szCs w:val="24"/>
                <w:lang w:val="en-GB"/>
              </w:rPr>
              <w:t>The reference case stipulates that the time horizon for estimating clinical and cost effectiveness should be sufficiently long to reflect any differences in costs or outcomes between the technologies being compared.</w:t>
            </w:r>
          </w:p>
          <w:p w14:paraId="25C01A98" w14:textId="77777777" w:rsidR="00C654E4" w:rsidRPr="009B5DE4" w:rsidRDefault="00C654E4" w:rsidP="00697F5B">
            <w:pPr>
              <w:pStyle w:val="BodyText2"/>
              <w:rPr>
                <w:rFonts w:cs="Arial"/>
                <w:szCs w:val="24"/>
                <w:lang w:val="en-GB"/>
              </w:rPr>
            </w:pPr>
            <w:r w:rsidRPr="009B5DE4">
              <w:rPr>
                <w:rFonts w:cs="Arial"/>
                <w:szCs w:val="24"/>
                <w:lang w:val="en-GB"/>
              </w:rPr>
              <w:t>Costs will be considered from an NHS and Personal Social Services perspective.</w:t>
            </w:r>
          </w:p>
          <w:p w14:paraId="399DC2B9" w14:textId="6AC22748" w:rsidR="000E17B7" w:rsidRPr="009B5DE4" w:rsidRDefault="000E17B7" w:rsidP="00697F5B">
            <w:pPr>
              <w:pStyle w:val="BodyText2"/>
              <w:rPr>
                <w:rFonts w:cs="Arial"/>
                <w:szCs w:val="24"/>
                <w:lang w:val="en-GB"/>
              </w:rPr>
            </w:pPr>
            <w:r w:rsidRPr="009B5DE4">
              <w:rPr>
                <w:rFonts w:cs="Arial"/>
                <w:szCs w:val="24"/>
                <w:lang w:val="en-GB"/>
              </w:rPr>
              <w:t xml:space="preserve">The availability of any commercial arrangements for the intervention, comparator and subsequent treatment technologies will be </w:t>
            </w:r>
            <w:proofErr w:type="gramStart"/>
            <w:r w:rsidRPr="009B5DE4">
              <w:rPr>
                <w:rFonts w:cs="Arial"/>
                <w:szCs w:val="24"/>
                <w:lang w:val="en-GB"/>
              </w:rPr>
              <w:t>taken into account</w:t>
            </w:r>
            <w:proofErr w:type="gramEnd"/>
            <w:r w:rsidRPr="009B5DE4">
              <w:rPr>
                <w:rFonts w:cs="Arial"/>
                <w:szCs w:val="24"/>
                <w:lang w:val="en-GB"/>
              </w:rPr>
              <w:t>.</w:t>
            </w:r>
          </w:p>
          <w:p w14:paraId="732DE616" w14:textId="05ACD79A" w:rsidR="000E17B7" w:rsidRPr="009B5DE4" w:rsidRDefault="000E17B7" w:rsidP="00697F5B">
            <w:pPr>
              <w:pStyle w:val="BodyText2"/>
              <w:rPr>
                <w:rFonts w:cs="Arial"/>
                <w:szCs w:val="24"/>
                <w:lang w:val="en-GB"/>
              </w:rPr>
            </w:pPr>
            <w:r w:rsidRPr="009B5DE4">
              <w:rPr>
                <w:rFonts w:cs="Arial"/>
                <w:szCs w:val="24"/>
                <w:lang w:val="en-GB"/>
              </w:rPr>
              <w:t xml:space="preserve">The availability and cost of biosimilar and generic products should be </w:t>
            </w:r>
            <w:proofErr w:type="gramStart"/>
            <w:r w:rsidRPr="009B5DE4">
              <w:rPr>
                <w:rFonts w:cs="Arial"/>
                <w:szCs w:val="24"/>
                <w:lang w:val="en-GB"/>
              </w:rPr>
              <w:t>taken into account</w:t>
            </w:r>
            <w:proofErr w:type="gramEnd"/>
            <w:r w:rsidRPr="009B5DE4">
              <w:rPr>
                <w:rFonts w:cs="Arial"/>
                <w:szCs w:val="24"/>
                <w:lang w:val="en-GB"/>
              </w:rPr>
              <w:t>.</w:t>
            </w:r>
          </w:p>
          <w:p w14:paraId="4EC18850" w14:textId="3B63FB4F" w:rsidR="00C654E4" w:rsidRPr="009B5DE4" w:rsidRDefault="00AE0225" w:rsidP="00697F5B">
            <w:pPr>
              <w:pStyle w:val="BodyText2"/>
              <w:rPr>
                <w:rFonts w:cs="Arial"/>
                <w:szCs w:val="24"/>
              </w:rPr>
            </w:pPr>
            <w:r w:rsidRPr="009B5DE4">
              <w:rPr>
                <w:rFonts w:cs="Arial"/>
                <w:szCs w:val="24"/>
              </w:rPr>
              <w:t xml:space="preserve">The use of </w:t>
            </w:r>
            <w:proofErr w:type="spellStart"/>
            <w:r w:rsidRPr="009B5DE4">
              <w:rPr>
                <w:rFonts w:cs="Arial"/>
                <w:szCs w:val="24"/>
              </w:rPr>
              <w:t>olaparib</w:t>
            </w:r>
            <w:proofErr w:type="spellEnd"/>
            <w:r w:rsidRPr="009B5DE4">
              <w:rPr>
                <w:rFonts w:cs="Arial"/>
                <w:szCs w:val="24"/>
              </w:rPr>
              <w:t xml:space="preserve"> is conditional on the presence of mutations in the BRCA1 or BRCA2 genes. The economic modelling should include the costs associated with diagnostic testing for BRCA1 or BRCA2 mutations in people with </w:t>
            </w:r>
            <w:r w:rsidR="000A0DE9" w:rsidRPr="009B5DE4">
              <w:rPr>
                <w:rFonts w:cs="Arial"/>
                <w:szCs w:val="24"/>
              </w:rPr>
              <w:t>locally advanced or metastatic breast cancer</w:t>
            </w:r>
            <w:r w:rsidR="000A0DE9" w:rsidRPr="009B5DE4">
              <w:rPr>
                <w:rFonts w:cs="Arial"/>
                <w:szCs w:val="24"/>
                <w:lang w:val="en-GB"/>
              </w:rPr>
              <w:t xml:space="preserve"> </w:t>
            </w:r>
            <w:r w:rsidRPr="009B5DE4">
              <w:rPr>
                <w:rFonts w:cs="Arial"/>
                <w:szCs w:val="24"/>
              </w:rPr>
              <w:t>who would not otherwise have been tested. A sensitivity analysis should be provided without the</w:t>
            </w:r>
            <w:r w:rsidR="000E17B7" w:rsidRPr="009B5DE4">
              <w:rPr>
                <w:rFonts w:cs="Arial"/>
                <w:szCs w:val="24"/>
              </w:rPr>
              <w:t xml:space="preserve"> cost of the diagnostic test. See section 4.8 of the guidance development manual (available here: </w:t>
            </w:r>
            <w:hyperlink r:id="rId11" w:history="1">
              <w:r w:rsidR="00C654E4" w:rsidRPr="009B5DE4">
                <w:rPr>
                  <w:rStyle w:val="Hyperlink"/>
                  <w:rFonts w:cs="Arial"/>
                  <w:szCs w:val="24"/>
                </w:rPr>
                <w:t>https://www.nice.org.uk/process/pmg36/chapter/introduction-to-health-technology-evaluation</w:t>
              </w:r>
            </w:hyperlink>
            <w:r w:rsidR="00C654E4" w:rsidRPr="009B5DE4">
              <w:rPr>
                <w:rFonts w:cs="Arial"/>
                <w:color w:val="000000"/>
                <w:szCs w:val="24"/>
                <w:lang w:val="en-GB"/>
              </w:rPr>
              <w:t xml:space="preserve">). </w:t>
            </w:r>
          </w:p>
        </w:tc>
      </w:tr>
      <w:tr w:rsidR="00C654E4" w:rsidRPr="00E970E0" w14:paraId="7E96E74F" w14:textId="77777777" w:rsidTr="00697F5B">
        <w:trPr>
          <w:cantSplit/>
        </w:trPr>
        <w:tc>
          <w:tcPr>
            <w:tcW w:w="2376" w:type="dxa"/>
            <w:shd w:val="clear" w:color="auto" w:fill="D9D9D9"/>
          </w:tcPr>
          <w:p w14:paraId="51D0BB8A" w14:textId="77777777" w:rsidR="00C654E4" w:rsidRPr="009B5DE4" w:rsidRDefault="00C654E4" w:rsidP="00697F5B">
            <w:pPr>
              <w:pStyle w:val="Header"/>
              <w:spacing w:before="120"/>
              <w:rPr>
                <w:rFonts w:cs="Arial"/>
              </w:rPr>
            </w:pPr>
            <w:r w:rsidRPr="009B5DE4">
              <w:rPr>
                <w:rFonts w:cs="Arial"/>
                <w:b/>
                <w:bCs/>
              </w:rPr>
              <w:lastRenderedPageBreak/>
              <w:t xml:space="preserve">Other considerations </w:t>
            </w:r>
          </w:p>
        </w:tc>
        <w:tc>
          <w:tcPr>
            <w:tcW w:w="6237" w:type="dxa"/>
          </w:tcPr>
          <w:p w14:paraId="4BF484C9" w14:textId="682AE284" w:rsidR="00C654E4" w:rsidRPr="009B5DE4" w:rsidRDefault="00C654E4" w:rsidP="00697F5B">
            <w:pPr>
              <w:pStyle w:val="BodyText2"/>
              <w:rPr>
                <w:rFonts w:cs="Arial"/>
                <w:szCs w:val="24"/>
                <w:lang w:val="en-GB"/>
              </w:rPr>
            </w:pPr>
            <w:r w:rsidRPr="009B5DE4">
              <w:rPr>
                <w:rFonts w:cs="Arial"/>
                <w:szCs w:val="24"/>
                <w:lang w:val="en-GB"/>
              </w:rPr>
              <w:t>Guidance will only be issued in accordance with the marketing authorisation</w:t>
            </w:r>
            <w:bookmarkStart w:id="2" w:name="Text54"/>
            <w:r w:rsidR="002A07A7" w:rsidRPr="009B5DE4">
              <w:rPr>
                <w:rFonts w:cs="Arial"/>
                <w:szCs w:val="24"/>
                <w:lang w:val="en-GB"/>
              </w:rPr>
              <w:t xml:space="preserve">. </w:t>
            </w:r>
            <w:r w:rsidRPr="009B5DE4">
              <w:rPr>
                <w:rFonts w:cs="Arial"/>
                <w:szCs w:val="24"/>
              </w:rPr>
              <w:t>Where the wording of the therapeutic indication does not include specific treatment combinations, guidance will be issued only in the context of the evidence that has underpinned the marketing authorisation granted by the regulator.</w:t>
            </w:r>
            <w:bookmarkEnd w:id="2"/>
          </w:p>
        </w:tc>
      </w:tr>
      <w:tr w:rsidR="00000412" w:rsidRPr="00E970E0" w14:paraId="077C907B" w14:textId="77777777" w:rsidTr="00697F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76" w:type="dxa"/>
            <w:shd w:val="clear" w:color="auto" w:fill="D9D9D9"/>
          </w:tcPr>
          <w:p w14:paraId="26B4D380" w14:textId="05C581D8" w:rsidR="00000412" w:rsidRPr="009B5DE4" w:rsidRDefault="00000412" w:rsidP="00000412">
            <w:pPr>
              <w:pStyle w:val="Header"/>
              <w:spacing w:before="120"/>
              <w:rPr>
                <w:rFonts w:cs="Arial"/>
                <w:b/>
                <w:bCs/>
              </w:rPr>
            </w:pPr>
            <w:r w:rsidRPr="009B5DE4">
              <w:rPr>
                <w:rFonts w:cs="Arial"/>
                <w:b/>
                <w:bCs/>
              </w:rPr>
              <w:t>Related NICE recommendations</w:t>
            </w:r>
          </w:p>
        </w:tc>
        <w:tc>
          <w:tcPr>
            <w:tcW w:w="6237" w:type="dxa"/>
          </w:tcPr>
          <w:p w14:paraId="34DDE29A" w14:textId="586F0D6E" w:rsidR="00786181" w:rsidRPr="009B5DE4" w:rsidRDefault="00000412" w:rsidP="00000412">
            <w:pPr>
              <w:pStyle w:val="BodyText2"/>
              <w:rPr>
                <w:rFonts w:cs="Arial"/>
                <w:b/>
                <w:bCs/>
                <w:szCs w:val="24"/>
                <w:lang w:val="en-GB"/>
              </w:rPr>
            </w:pPr>
            <w:r w:rsidRPr="009B5DE4">
              <w:rPr>
                <w:rFonts w:cs="Arial"/>
                <w:b/>
                <w:bCs/>
                <w:szCs w:val="24"/>
                <w:lang w:val="en-GB"/>
              </w:rPr>
              <w:t>Related Technology Appraisals:</w:t>
            </w:r>
          </w:p>
          <w:p w14:paraId="37C7783C" w14:textId="1A46AF0B" w:rsidR="00C32046" w:rsidRPr="009B5DE4" w:rsidRDefault="002C6A19" w:rsidP="00000412">
            <w:pPr>
              <w:spacing w:before="120" w:after="120"/>
              <w:rPr>
                <w:rFonts w:ascii="Arial" w:hAnsi="Arial" w:cs="Arial"/>
              </w:rPr>
            </w:pPr>
            <w:hyperlink r:id="rId12" w:history="1">
              <w:proofErr w:type="spellStart"/>
              <w:r w:rsidR="00C32046" w:rsidRPr="009B5DE4">
                <w:rPr>
                  <w:rStyle w:val="Hyperlink"/>
                  <w:rFonts w:ascii="Arial" w:hAnsi="Arial" w:cs="Arial"/>
                </w:rPr>
                <w:t>Talazoparib</w:t>
              </w:r>
              <w:proofErr w:type="spellEnd"/>
              <w:r w:rsidR="00C32046" w:rsidRPr="009B5DE4">
                <w:rPr>
                  <w:rStyle w:val="Hyperlink"/>
                  <w:rFonts w:ascii="Arial" w:hAnsi="Arial" w:cs="Arial"/>
                </w:rPr>
                <w:t xml:space="preserve"> for treating HER2-negative advanced breast cancer with germline BRCA mutations</w:t>
              </w:r>
            </w:hyperlink>
            <w:r w:rsidR="00C32046" w:rsidRPr="009B5DE4">
              <w:rPr>
                <w:rFonts w:ascii="Arial" w:hAnsi="Arial" w:cs="Arial"/>
              </w:rPr>
              <w:t xml:space="preserve"> (2024). NICE technology appraisal guidance 952.</w:t>
            </w:r>
          </w:p>
          <w:p w14:paraId="763461F9" w14:textId="7131AAE7" w:rsidR="00C32046" w:rsidRPr="009B5DE4" w:rsidRDefault="002C6A19" w:rsidP="00000412">
            <w:pPr>
              <w:spacing w:before="120" w:after="120"/>
              <w:rPr>
                <w:rFonts w:ascii="Arial" w:hAnsi="Arial" w:cs="Arial"/>
              </w:rPr>
            </w:pPr>
            <w:hyperlink r:id="rId13" w:history="1">
              <w:r w:rsidR="00C32046" w:rsidRPr="009B5DE4">
                <w:rPr>
                  <w:rStyle w:val="Hyperlink"/>
                  <w:rFonts w:ascii="Arial" w:hAnsi="Arial" w:cs="Arial"/>
                </w:rPr>
                <w:t>Olaparib for adjuvant treatment of BRCA mutation-positive HER2-negative high-risk early breast cancer after chemotherapy</w:t>
              </w:r>
            </w:hyperlink>
            <w:r w:rsidR="00C32046" w:rsidRPr="009B5DE4">
              <w:rPr>
                <w:rFonts w:ascii="Arial" w:hAnsi="Arial" w:cs="Arial"/>
              </w:rPr>
              <w:t xml:space="preserve"> (2023). NICE technology appraisal guidance 886.</w:t>
            </w:r>
          </w:p>
          <w:p w14:paraId="5D64DA1E" w14:textId="48D42086" w:rsidR="000D1204" w:rsidRPr="009B5DE4" w:rsidRDefault="002C6A19" w:rsidP="00000412">
            <w:pPr>
              <w:spacing w:before="120" w:after="120"/>
              <w:rPr>
                <w:rFonts w:ascii="Arial" w:hAnsi="Arial" w:cs="Arial"/>
              </w:rPr>
            </w:pPr>
            <w:hyperlink r:id="rId14" w:history="1">
              <w:r w:rsidR="000D1204" w:rsidRPr="009B5DE4">
                <w:rPr>
                  <w:rStyle w:val="Hyperlink"/>
                  <w:rFonts w:ascii="Arial" w:hAnsi="Arial" w:cs="Arial"/>
                </w:rPr>
                <w:t>Pembrolizumab for neoadjuvant and adjuvant treatment of triple-negative early or locally advanced breast cancer</w:t>
              </w:r>
            </w:hyperlink>
            <w:r w:rsidR="000D1204" w:rsidRPr="009B5DE4">
              <w:rPr>
                <w:rFonts w:ascii="Arial" w:hAnsi="Arial" w:cs="Arial"/>
              </w:rPr>
              <w:t xml:space="preserve"> (2022). NICE technology appraisal guidance 851.</w:t>
            </w:r>
          </w:p>
          <w:p w14:paraId="0658964F" w14:textId="3A1262E2" w:rsidR="000D1204" w:rsidRPr="009B5DE4" w:rsidRDefault="002C6A19" w:rsidP="00000412">
            <w:pPr>
              <w:spacing w:before="120" w:after="120"/>
              <w:rPr>
                <w:rFonts w:ascii="Arial" w:hAnsi="Arial" w:cs="Arial"/>
              </w:rPr>
            </w:pPr>
            <w:hyperlink r:id="rId15" w:history="1">
              <w:r w:rsidR="000D1204" w:rsidRPr="009B5DE4">
                <w:rPr>
                  <w:rStyle w:val="Hyperlink"/>
                  <w:rFonts w:ascii="Arial" w:hAnsi="Arial" w:cs="Arial"/>
                </w:rPr>
                <w:t xml:space="preserve">Palbociclib with </w:t>
              </w:r>
              <w:proofErr w:type="spellStart"/>
              <w:r w:rsidR="000D1204" w:rsidRPr="009B5DE4">
                <w:rPr>
                  <w:rStyle w:val="Hyperlink"/>
                  <w:rFonts w:ascii="Arial" w:hAnsi="Arial" w:cs="Arial"/>
                </w:rPr>
                <w:t>fulvestrant</w:t>
              </w:r>
              <w:proofErr w:type="spellEnd"/>
              <w:r w:rsidR="000D1204" w:rsidRPr="009B5DE4">
                <w:rPr>
                  <w:rStyle w:val="Hyperlink"/>
                  <w:rFonts w:ascii="Arial" w:hAnsi="Arial" w:cs="Arial"/>
                </w:rPr>
                <w:t xml:space="preserve"> for treating hormone receptor-positive, HER2-negative advanced breast cancer after endocrine therapy</w:t>
              </w:r>
            </w:hyperlink>
            <w:r w:rsidR="000D1204" w:rsidRPr="009B5DE4">
              <w:rPr>
                <w:rFonts w:ascii="Arial" w:hAnsi="Arial" w:cs="Arial"/>
              </w:rPr>
              <w:t xml:space="preserve"> (2022). NICE technology appraisal guidance 836.</w:t>
            </w:r>
          </w:p>
          <w:p w14:paraId="2FF7806F" w14:textId="3900CF30" w:rsidR="000D1204" w:rsidRPr="009B5DE4" w:rsidRDefault="002C6A19" w:rsidP="00000412">
            <w:pPr>
              <w:spacing w:before="120" w:after="120"/>
              <w:rPr>
                <w:rFonts w:ascii="Arial" w:hAnsi="Arial" w:cs="Arial"/>
              </w:rPr>
            </w:pPr>
            <w:hyperlink r:id="rId16" w:history="1">
              <w:r w:rsidR="000D1204" w:rsidRPr="009B5DE4">
                <w:rPr>
                  <w:rStyle w:val="Hyperlink"/>
                  <w:rFonts w:ascii="Arial" w:hAnsi="Arial" w:cs="Arial"/>
                </w:rPr>
                <w:t xml:space="preserve">Sacituzumab </w:t>
              </w:r>
              <w:proofErr w:type="spellStart"/>
              <w:r w:rsidR="000D1204" w:rsidRPr="009B5DE4">
                <w:rPr>
                  <w:rStyle w:val="Hyperlink"/>
                  <w:rFonts w:ascii="Arial" w:hAnsi="Arial" w:cs="Arial"/>
                </w:rPr>
                <w:t>govitecan</w:t>
              </w:r>
              <w:proofErr w:type="spellEnd"/>
              <w:r w:rsidR="000D1204" w:rsidRPr="009B5DE4">
                <w:rPr>
                  <w:rStyle w:val="Hyperlink"/>
                  <w:rFonts w:ascii="Arial" w:hAnsi="Arial" w:cs="Arial"/>
                </w:rPr>
                <w:t xml:space="preserve"> for treating unresectable triple-negative advanced breast cancer after 2 or more therapies</w:t>
              </w:r>
            </w:hyperlink>
            <w:r w:rsidR="000D1204" w:rsidRPr="009B5DE4">
              <w:rPr>
                <w:rFonts w:ascii="Arial" w:hAnsi="Arial" w:cs="Arial"/>
              </w:rPr>
              <w:t xml:space="preserve"> (2022). NICE technology appraisal guidance </w:t>
            </w:r>
            <w:r w:rsidR="006A6117" w:rsidRPr="009B5DE4">
              <w:rPr>
                <w:rFonts w:ascii="Arial" w:hAnsi="Arial" w:cs="Arial"/>
              </w:rPr>
              <w:t>819.</w:t>
            </w:r>
          </w:p>
          <w:p w14:paraId="35858654" w14:textId="6AAF8BD1" w:rsidR="006A6117" w:rsidRPr="009B5DE4" w:rsidRDefault="002C6A19" w:rsidP="00000412">
            <w:pPr>
              <w:spacing w:before="120" w:after="120"/>
              <w:rPr>
                <w:rFonts w:ascii="Arial" w:hAnsi="Arial" w:cs="Arial"/>
              </w:rPr>
            </w:pPr>
            <w:hyperlink r:id="rId17" w:history="1">
              <w:proofErr w:type="spellStart"/>
              <w:r w:rsidR="006A6117" w:rsidRPr="009B5DE4">
                <w:rPr>
                  <w:rStyle w:val="Hyperlink"/>
                  <w:rFonts w:ascii="Arial" w:hAnsi="Arial" w:cs="Arial"/>
                </w:rPr>
                <w:t>Alpelisib</w:t>
              </w:r>
              <w:proofErr w:type="spellEnd"/>
              <w:r w:rsidR="006A6117" w:rsidRPr="009B5DE4">
                <w:rPr>
                  <w:rStyle w:val="Hyperlink"/>
                  <w:rFonts w:ascii="Arial" w:hAnsi="Arial" w:cs="Arial"/>
                </w:rPr>
                <w:t xml:space="preserve"> with </w:t>
              </w:r>
              <w:proofErr w:type="spellStart"/>
              <w:r w:rsidR="006A6117" w:rsidRPr="009B5DE4">
                <w:rPr>
                  <w:rStyle w:val="Hyperlink"/>
                  <w:rFonts w:ascii="Arial" w:hAnsi="Arial" w:cs="Arial"/>
                </w:rPr>
                <w:t>fulvestrant</w:t>
              </w:r>
              <w:proofErr w:type="spellEnd"/>
              <w:r w:rsidR="006A6117" w:rsidRPr="009B5DE4">
                <w:rPr>
                  <w:rStyle w:val="Hyperlink"/>
                  <w:rFonts w:ascii="Arial" w:hAnsi="Arial" w:cs="Arial"/>
                </w:rPr>
                <w:t xml:space="preserve"> for treating hormone receptor-positive, HER2-negative, PIK3CA-mutated advanced breast cancer</w:t>
              </w:r>
            </w:hyperlink>
            <w:r w:rsidR="006A6117" w:rsidRPr="009B5DE4">
              <w:rPr>
                <w:rFonts w:ascii="Arial" w:hAnsi="Arial" w:cs="Arial"/>
              </w:rPr>
              <w:t xml:space="preserve"> (2022). NICE technology appraisal guidance 816.</w:t>
            </w:r>
          </w:p>
          <w:p w14:paraId="55CA7FFC" w14:textId="763C6F3D" w:rsidR="006A6117" w:rsidRPr="009B5DE4" w:rsidRDefault="002C6A19" w:rsidP="00000412">
            <w:pPr>
              <w:spacing w:before="120" w:after="120"/>
              <w:rPr>
                <w:rFonts w:ascii="Arial" w:hAnsi="Arial" w:cs="Arial"/>
              </w:rPr>
            </w:pPr>
            <w:hyperlink r:id="rId18" w:history="1">
              <w:r w:rsidR="006A6117" w:rsidRPr="009B5DE4">
                <w:rPr>
                  <w:rStyle w:val="Hyperlink"/>
                  <w:rFonts w:ascii="Arial" w:hAnsi="Arial" w:cs="Arial"/>
                </w:rPr>
                <w:t>Pembrolizumab plus chemotherapy for untreated, triple-negative, locally recurrent unresectable or metastatic breast cancer</w:t>
              </w:r>
            </w:hyperlink>
            <w:r w:rsidR="006A6117" w:rsidRPr="009B5DE4">
              <w:rPr>
                <w:rFonts w:ascii="Arial" w:hAnsi="Arial" w:cs="Arial"/>
              </w:rPr>
              <w:t xml:space="preserve"> (2022). NICE technology appraisal guidance 801.</w:t>
            </w:r>
          </w:p>
          <w:p w14:paraId="7C3571E1" w14:textId="74428A7B" w:rsidR="00000412" w:rsidRPr="009B5DE4" w:rsidRDefault="002C6A19" w:rsidP="00000412">
            <w:pPr>
              <w:spacing w:before="120" w:after="120"/>
              <w:rPr>
                <w:rFonts w:ascii="Arial" w:hAnsi="Arial" w:cs="Arial"/>
              </w:rPr>
            </w:pPr>
            <w:hyperlink r:id="rId19" w:history="1">
              <w:proofErr w:type="spellStart"/>
              <w:r w:rsidR="00000412" w:rsidRPr="009B5DE4">
                <w:rPr>
                  <w:rStyle w:val="Hyperlink"/>
                  <w:rFonts w:ascii="Arial" w:hAnsi="Arial" w:cs="Arial"/>
                </w:rPr>
                <w:t>Abemaciclib</w:t>
              </w:r>
              <w:proofErr w:type="spellEnd"/>
              <w:r w:rsidR="00000412" w:rsidRPr="009B5DE4">
                <w:rPr>
                  <w:rStyle w:val="Hyperlink"/>
                  <w:rFonts w:ascii="Arial" w:hAnsi="Arial" w:cs="Arial"/>
                </w:rPr>
                <w:t xml:space="preserve"> with </w:t>
              </w:r>
              <w:proofErr w:type="spellStart"/>
              <w:r w:rsidR="00000412" w:rsidRPr="009B5DE4">
                <w:rPr>
                  <w:rStyle w:val="Hyperlink"/>
                  <w:rFonts w:ascii="Arial" w:hAnsi="Arial" w:cs="Arial"/>
                </w:rPr>
                <w:t>fulvestrant</w:t>
              </w:r>
              <w:proofErr w:type="spellEnd"/>
              <w:r w:rsidR="00000412" w:rsidRPr="009B5DE4">
                <w:rPr>
                  <w:rStyle w:val="Hyperlink"/>
                  <w:rFonts w:ascii="Arial" w:hAnsi="Arial" w:cs="Arial"/>
                </w:rPr>
                <w:t xml:space="preserve"> for treating hormone receptor-positive, HER2-negative advanced breast cancer after endocrine therapy</w:t>
              </w:r>
            </w:hyperlink>
            <w:r w:rsidR="00000412" w:rsidRPr="009B5DE4">
              <w:rPr>
                <w:rFonts w:ascii="Arial" w:hAnsi="Arial" w:cs="Arial"/>
              </w:rPr>
              <w:t xml:space="preserve"> (2021) NICE technology appraisal guidance 725.</w:t>
            </w:r>
          </w:p>
          <w:p w14:paraId="295ECADD" w14:textId="1EEED3D2" w:rsidR="00000412" w:rsidRPr="009B5DE4" w:rsidRDefault="002C6A19" w:rsidP="00000412">
            <w:pPr>
              <w:spacing w:before="120" w:after="120"/>
              <w:rPr>
                <w:rFonts w:ascii="Arial" w:hAnsi="Arial" w:cs="Arial"/>
              </w:rPr>
            </w:pPr>
            <w:hyperlink r:id="rId20" w:history="1">
              <w:proofErr w:type="spellStart"/>
              <w:r w:rsidR="00000412" w:rsidRPr="009B5DE4">
                <w:rPr>
                  <w:rStyle w:val="Hyperlink"/>
                  <w:rFonts w:ascii="Arial" w:hAnsi="Arial" w:cs="Arial"/>
                </w:rPr>
                <w:t>Ribociclib</w:t>
              </w:r>
              <w:proofErr w:type="spellEnd"/>
              <w:r w:rsidR="00000412" w:rsidRPr="009B5DE4">
                <w:rPr>
                  <w:rStyle w:val="Hyperlink"/>
                  <w:rFonts w:ascii="Arial" w:hAnsi="Arial" w:cs="Arial"/>
                </w:rPr>
                <w:t xml:space="preserve"> with </w:t>
              </w:r>
              <w:proofErr w:type="spellStart"/>
              <w:r w:rsidR="00000412" w:rsidRPr="009B5DE4">
                <w:rPr>
                  <w:rStyle w:val="Hyperlink"/>
                  <w:rFonts w:ascii="Arial" w:hAnsi="Arial" w:cs="Arial"/>
                </w:rPr>
                <w:t>fulvestrant</w:t>
              </w:r>
              <w:proofErr w:type="spellEnd"/>
              <w:r w:rsidR="00000412" w:rsidRPr="009B5DE4">
                <w:rPr>
                  <w:rStyle w:val="Hyperlink"/>
                  <w:rFonts w:ascii="Arial" w:hAnsi="Arial" w:cs="Arial"/>
                </w:rPr>
                <w:t xml:space="preserve"> for treating hormone receptor-positive, HER2-negative advanced breast cancer after endocrine therapy</w:t>
              </w:r>
            </w:hyperlink>
            <w:r w:rsidR="00000412" w:rsidRPr="009B5DE4">
              <w:rPr>
                <w:rFonts w:ascii="Arial" w:hAnsi="Arial" w:cs="Arial"/>
              </w:rPr>
              <w:t xml:space="preserve"> (2021</w:t>
            </w:r>
            <w:bookmarkStart w:id="3" w:name="_Hlk85107497"/>
            <w:r w:rsidR="00000412" w:rsidRPr="009B5DE4">
              <w:rPr>
                <w:rFonts w:ascii="Arial" w:hAnsi="Arial" w:cs="Arial"/>
              </w:rPr>
              <w:t xml:space="preserve">) NICE technology appraisal guidance </w:t>
            </w:r>
            <w:bookmarkEnd w:id="3"/>
            <w:r w:rsidR="00000412" w:rsidRPr="009B5DE4">
              <w:rPr>
                <w:rFonts w:ascii="Arial" w:hAnsi="Arial" w:cs="Arial"/>
              </w:rPr>
              <w:t>687.</w:t>
            </w:r>
          </w:p>
          <w:p w14:paraId="34993928" w14:textId="2931A735" w:rsidR="00000412" w:rsidRPr="009B5DE4" w:rsidRDefault="002C6A19" w:rsidP="00000412">
            <w:pPr>
              <w:spacing w:before="120" w:after="120"/>
              <w:rPr>
                <w:rFonts w:ascii="Arial" w:hAnsi="Arial" w:cs="Arial"/>
              </w:rPr>
            </w:pPr>
            <w:hyperlink r:id="rId21" w:history="1">
              <w:r w:rsidR="00000412" w:rsidRPr="009B5DE4">
                <w:rPr>
                  <w:rStyle w:val="Hyperlink"/>
                  <w:rFonts w:ascii="Arial" w:hAnsi="Arial" w:cs="Arial"/>
                </w:rPr>
                <w:t xml:space="preserve">Palbociclib with </w:t>
              </w:r>
              <w:proofErr w:type="spellStart"/>
              <w:r w:rsidR="00000412" w:rsidRPr="009B5DE4">
                <w:rPr>
                  <w:rStyle w:val="Hyperlink"/>
                  <w:rFonts w:ascii="Arial" w:hAnsi="Arial" w:cs="Arial"/>
                </w:rPr>
                <w:t>fulvestrant</w:t>
              </w:r>
              <w:proofErr w:type="spellEnd"/>
              <w:r w:rsidR="00000412" w:rsidRPr="009B5DE4">
                <w:rPr>
                  <w:rStyle w:val="Hyperlink"/>
                  <w:rFonts w:ascii="Arial" w:hAnsi="Arial" w:cs="Arial"/>
                </w:rPr>
                <w:t xml:space="preserve"> for treating hormone receptor-positive, HER2-negative, advanced breast cancer</w:t>
              </w:r>
            </w:hyperlink>
            <w:r w:rsidR="00000412" w:rsidRPr="009B5DE4">
              <w:rPr>
                <w:rFonts w:ascii="Arial" w:hAnsi="Arial" w:cs="Arial"/>
              </w:rPr>
              <w:t xml:space="preserve"> (2020) NICE technology appraisal guidance 619.</w:t>
            </w:r>
          </w:p>
          <w:p w14:paraId="75328833" w14:textId="70E87784" w:rsidR="00000412" w:rsidRPr="009B5DE4" w:rsidRDefault="002C6A19" w:rsidP="00000412">
            <w:pPr>
              <w:spacing w:before="120" w:after="120"/>
              <w:rPr>
                <w:rFonts w:ascii="Arial" w:hAnsi="Arial" w:cs="Arial"/>
              </w:rPr>
            </w:pPr>
            <w:hyperlink r:id="rId22" w:history="1">
              <w:proofErr w:type="spellStart"/>
              <w:r w:rsidR="00000412" w:rsidRPr="009B5DE4">
                <w:rPr>
                  <w:rStyle w:val="Hyperlink"/>
                  <w:rFonts w:ascii="Arial" w:hAnsi="Arial" w:cs="Arial"/>
                </w:rPr>
                <w:t>Eribulin</w:t>
              </w:r>
              <w:proofErr w:type="spellEnd"/>
              <w:r w:rsidR="00000412" w:rsidRPr="009B5DE4">
                <w:rPr>
                  <w:rStyle w:val="Hyperlink"/>
                  <w:rFonts w:ascii="Arial" w:hAnsi="Arial" w:cs="Arial"/>
                </w:rPr>
                <w:t xml:space="preserve"> for treating locally advanced or metastatic breast cancer after 2 or more chemotherapy regimens</w:t>
              </w:r>
            </w:hyperlink>
            <w:r w:rsidR="00000412" w:rsidRPr="009B5DE4">
              <w:rPr>
                <w:rFonts w:ascii="Arial" w:hAnsi="Arial" w:cs="Arial"/>
              </w:rPr>
              <w:t xml:space="preserve"> (2016) NICE technology appraisal guidance 423. </w:t>
            </w:r>
          </w:p>
          <w:p w14:paraId="2E9FF01C" w14:textId="5EAAD9B7" w:rsidR="00000412" w:rsidRPr="009B5DE4" w:rsidRDefault="002C6A19" w:rsidP="00000412">
            <w:pPr>
              <w:spacing w:before="120" w:after="120"/>
              <w:rPr>
                <w:rFonts w:ascii="Arial" w:hAnsi="Arial" w:cs="Arial"/>
              </w:rPr>
            </w:pPr>
            <w:hyperlink r:id="rId23" w:history="1">
              <w:proofErr w:type="spellStart"/>
              <w:r w:rsidR="00000412" w:rsidRPr="009B5DE4">
                <w:rPr>
                  <w:rStyle w:val="Hyperlink"/>
                  <w:rFonts w:ascii="Arial" w:hAnsi="Arial" w:cs="Arial"/>
                </w:rPr>
                <w:t>Everolimus</w:t>
              </w:r>
              <w:proofErr w:type="spellEnd"/>
              <w:r w:rsidR="00000412" w:rsidRPr="009B5DE4">
                <w:rPr>
                  <w:rStyle w:val="Hyperlink"/>
                  <w:rFonts w:ascii="Arial" w:hAnsi="Arial" w:cs="Arial"/>
                </w:rPr>
                <w:t xml:space="preserve"> with exemestane for treating advanced breast cancer after endocrine therapy</w:t>
              </w:r>
            </w:hyperlink>
            <w:r w:rsidR="00000412" w:rsidRPr="009B5DE4">
              <w:rPr>
                <w:rFonts w:ascii="Arial" w:hAnsi="Arial" w:cs="Arial"/>
              </w:rPr>
              <w:t xml:space="preserve"> (2016). NICE technology appraisal guidance 421.</w:t>
            </w:r>
          </w:p>
          <w:p w14:paraId="7BFE8954" w14:textId="3E7245A9" w:rsidR="006A6117" w:rsidRPr="009B5DE4" w:rsidRDefault="006A6117" w:rsidP="00000412">
            <w:pPr>
              <w:spacing w:before="120" w:after="120"/>
              <w:rPr>
                <w:rFonts w:ascii="Arial" w:hAnsi="Arial" w:cs="Arial"/>
                <w:b/>
                <w:bCs/>
              </w:rPr>
            </w:pPr>
            <w:r w:rsidRPr="009B5DE4">
              <w:rPr>
                <w:rFonts w:ascii="Arial" w:hAnsi="Arial" w:cs="Arial"/>
                <w:b/>
                <w:bCs/>
              </w:rPr>
              <w:t>Related technology appraisals in development:</w:t>
            </w:r>
          </w:p>
          <w:p w14:paraId="2754CB0C" w14:textId="1752455E" w:rsidR="006A6117" w:rsidRPr="009B5DE4" w:rsidRDefault="002C6A19" w:rsidP="00C711AC">
            <w:pPr>
              <w:spacing w:before="120" w:after="120"/>
              <w:rPr>
                <w:rFonts w:ascii="Arial" w:hAnsi="Arial" w:cs="Arial"/>
              </w:rPr>
            </w:pPr>
            <w:hyperlink r:id="rId24" w:history="1">
              <w:proofErr w:type="spellStart"/>
              <w:r w:rsidR="00C711AC" w:rsidRPr="009B5DE4">
                <w:rPr>
                  <w:rStyle w:val="Hyperlink"/>
                  <w:rFonts w:ascii="Arial" w:hAnsi="Arial" w:cs="Arial"/>
                </w:rPr>
                <w:t>Capivasertib</w:t>
              </w:r>
              <w:proofErr w:type="spellEnd"/>
              <w:r w:rsidR="00C711AC" w:rsidRPr="009B5DE4">
                <w:rPr>
                  <w:rStyle w:val="Hyperlink"/>
                  <w:rFonts w:ascii="Arial" w:hAnsi="Arial" w:cs="Arial"/>
                </w:rPr>
                <w:t xml:space="preserve"> with </w:t>
              </w:r>
              <w:proofErr w:type="spellStart"/>
              <w:r w:rsidR="00C711AC" w:rsidRPr="009B5DE4">
                <w:rPr>
                  <w:rStyle w:val="Hyperlink"/>
                  <w:rFonts w:ascii="Arial" w:hAnsi="Arial" w:cs="Arial"/>
                </w:rPr>
                <w:t>fulvestrant</w:t>
              </w:r>
              <w:proofErr w:type="spellEnd"/>
              <w:r w:rsidR="00C711AC" w:rsidRPr="009B5DE4">
                <w:rPr>
                  <w:rStyle w:val="Hyperlink"/>
                  <w:rFonts w:ascii="Arial" w:hAnsi="Arial" w:cs="Arial"/>
                </w:rPr>
                <w:t xml:space="preserve"> for treating hormone receptor-positive HER2-negative advanced breast cancer after endocrine treatment</w:t>
              </w:r>
            </w:hyperlink>
            <w:r w:rsidR="00C711AC" w:rsidRPr="009B5DE4">
              <w:rPr>
                <w:rFonts w:ascii="Arial" w:hAnsi="Arial" w:cs="Arial"/>
              </w:rPr>
              <w:t xml:space="preserve">. NICE technology appraisal guidance [ID6370]. Publication date </w:t>
            </w:r>
            <w:r w:rsidR="00B365C9">
              <w:rPr>
                <w:rFonts w:ascii="Arial" w:hAnsi="Arial" w:cs="Arial"/>
              </w:rPr>
              <w:t xml:space="preserve">to be </w:t>
            </w:r>
            <w:proofErr w:type="gramStart"/>
            <w:r w:rsidR="00B365C9">
              <w:rPr>
                <w:rFonts w:ascii="Arial" w:hAnsi="Arial" w:cs="Arial"/>
              </w:rPr>
              <w:t>confirmed</w:t>
            </w:r>
            <w:proofErr w:type="gramEnd"/>
          </w:p>
          <w:p w14:paraId="4D6527E0" w14:textId="1F555D7A" w:rsidR="00C711AC" w:rsidRPr="009B5DE4" w:rsidRDefault="002C6A19" w:rsidP="00C711AC">
            <w:pPr>
              <w:spacing w:before="120" w:after="120"/>
              <w:rPr>
                <w:rFonts w:ascii="Arial" w:hAnsi="Arial" w:cs="Arial"/>
              </w:rPr>
            </w:pPr>
            <w:hyperlink r:id="rId25" w:history="1">
              <w:proofErr w:type="spellStart"/>
              <w:r w:rsidR="00C711AC" w:rsidRPr="009B5DE4">
                <w:rPr>
                  <w:rStyle w:val="Hyperlink"/>
                  <w:rFonts w:ascii="Arial" w:hAnsi="Arial" w:cs="Arial"/>
                </w:rPr>
                <w:t>Datopotamab</w:t>
              </w:r>
              <w:proofErr w:type="spellEnd"/>
              <w:r w:rsidR="00C711AC" w:rsidRPr="009B5DE4">
                <w:rPr>
                  <w:rStyle w:val="Hyperlink"/>
                  <w:rFonts w:ascii="Arial" w:hAnsi="Arial" w:cs="Arial"/>
                </w:rPr>
                <w:t xml:space="preserve"> </w:t>
              </w:r>
              <w:proofErr w:type="spellStart"/>
              <w:r w:rsidR="00C711AC" w:rsidRPr="009B5DE4">
                <w:rPr>
                  <w:rStyle w:val="Hyperlink"/>
                  <w:rFonts w:ascii="Arial" w:hAnsi="Arial" w:cs="Arial"/>
                </w:rPr>
                <w:t>deruxtecan</w:t>
              </w:r>
              <w:proofErr w:type="spellEnd"/>
              <w:r w:rsidR="00C711AC" w:rsidRPr="009B5DE4">
                <w:rPr>
                  <w:rStyle w:val="Hyperlink"/>
                  <w:rFonts w:ascii="Arial" w:hAnsi="Arial" w:cs="Arial"/>
                </w:rPr>
                <w:t xml:space="preserve"> for previously treated hormone receptor-positive HER2-negative unresectable or metastatic breast cancer</w:t>
              </w:r>
            </w:hyperlink>
            <w:r w:rsidR="00C711AC" w:rsidRPr="009B5DE4">
              <w:rPr>
                <w:rFonts w:ascii="Arial" w:hAnsi="Arial" w:cs="Arial"/>
              </w:rPr>
              <w:t xml:space="preserve">. NICE technology appraisal guidance [ID6348]. </w:t>
            </w:r>
            <w:r w:rsidR="00B365C9" w:rsidRPr="009B5DE4">
              <w:rPr>
                <w:rFonts w:ascii="Arial" w:hAnsi="Arial" w:cs="Arial"/>
              </w:rPr>
              <w:t xml:space="preserve">Publication date </w:t>
            </w:r>
            <w:r w:rsidR="00B365C9">
              <w:rPr>
                <w:rFonts w:ascii="Arial" w:hAnsi="Arial" w:cs="Arial"/>
              </w:rPr>
              <w:t>to be confirmed</w:t>
            </w:r>
            <w:r w:rsidR="00C711AC" w:rsidRPr="009B5DE4">
              <w:rPr>
                <w:rFonts w:ascii="Arial" w:hAnsi="Arial" w:cs="Arial"/>
              </w:rPr>
              <w:t>.</w:t>
            </w:r>
          </w:p>
          <w:p w14:paraId="3554825D" w14:textId="776C2DA6" w:rsidR="00C711AC" w:rsidRPr="00BF3AA6" w:rsidRDefault="002C6A19" w:rsidP="00C711AC">
            <w:pPr>
              <w:spacing w:before="120" w:after="120"/>
              <w:rPr>
                <w:rStyle w:val="Hyperlink"/>
                <w:rFonts w:ascii="Arial" w:hAnsi="Arial" w:cs="Arial"/>
                <w:color w:val="auto"/>
                <w:u w:val="none"/>
              </w:rPr>
            </w:pPr>
            <w:hyperlink r:id="rId26" w:anchor=":~:text=Ribociclib%20in%20combination%20with%20endocrine%20therapy%20and%20goserelin%20for%20previously%20untreated%20hormone%20receptor%2Dpositive%2C%20HER2%2Dnegative%20advanced%20breast%20cancer%20in%20premenopausal%20women%20(ID1307)" w:history="1">
              <w:proofErr w:type="spellStart"/>
              <w:r w:rsidR="00C711AC" w:rsidRPr="009B5DE4">
                <w:rPr>
                  <w:rStyle w:val="Hyperlink"/>
                  <w:rFonts w:ascii="Arial" w:hAnsi="Arial" w:cs="Arial"/>
                </w:rPr>
                <w:t>Ribociclib</w:t>
              </w:r>
              <w:proofErr w:type="spellEnd"/>
              <w:r w:rsidR="00C711AC" w:rsidRPr="009B5DE4">
                <w:rPr>
                  <w:rStyle w:val="Hyperlink"/>
                  <w:rFonts w:ascii="Arial" w:hAnsi="Arial" w:cs="Arial"/>
                </w:rPr>
                <w:t xml:space="preserve"> in combination with endocrine therapy and goserelin for previously untreated hormone receptor-positive, HER2-negative advanced breast cancer in premenopausal women</w:t>
              </w:r>
              <w:r w:rsidR="00BF3AA6">
                <w:rPr>
                  <w:rStyle w:val="Hyperlink"/>
                  <w:rFonts w:ascii="Arial" w:hAnsi="Arial" w:cs="Arial"/>
                </w:rPr>
                <w:t>.</w:t>
              </w:r>
            </w:hyperlink>
            <w:r w:rsidR="00BF3AA6">
              <w:rPr>
                <w:rStyle w:val="Hyperlink"/>
                <w:rFonts w:ascii="Arial" w:hAnsi="Arial" w:cs="Arial"/>
              </w:rPr>
              <w:t xml:space="preserve"> </w:t>
            </w:r>
            <w:r w:rsidR="00BF3AA6" w:rsidRPr="009B5DE4">
              <w:rPr>
                <w:rFonts w:ascii="Arial" w:hAnsi="Arial" w:cs="Arial"/>
              </w:rPr>
              <w:t>NICE technology appraisal guidance [ID</w:t>
            </w:r>
            <w:r w:rsidR="00BF3AA6">
              <w:rPr>
                <w:rFonts w:ascii="Arial" w:hAnsi="Arial" w:cs="Arial"/>
              </w:rPr>
              <w:t>1307</w:t>
            </w:r>
            <w:r w:rsidR="00BF3AA6" w:rsidRPr="009B5DE4">
              <w:rPr>
                <w:rFonts w:ascii="Arial" w:hAnsi="Arial" w:cs="Arial"/>
              </w:rPr>
              <w:t xml:space="preserve">]. </w:t>
            </w:r>
            <w:r w:rsidR="00B365C9" w:rsidRPr="009B5DE4">
              <w:rPr>
                <w:rFonts w:ascii="Arial" w:hAnsi="Arial" w:cs="Arial"/>
              </w:rPr>
              <w:t xml:space="preserve">Publication date </w:t>
            </w:r>
            <w:r w:rsidR="00B365C9">
              <w:rPr>
                <w:rFonts w:ascii="Arial" w:hAnsi="Arial" w:cs="Arial"/>
              </w:rPr>
              <w:t>to be confirmed.</w:t>
            </w:r>
          </w:p>
          <w:p w14:paraId="77A68719" w14:textId="70B19C59" w:rsidR="00BF3AA6" w:rsidRPr="00BF3AA6" w:rsidRDefault="002C6A19" w:rsidP="00B365C9">
            <w:pPr>
              <w:spacing w:before="120" w:after="120"/>
              <w:rPr>
                <w:rFonts w:ascii="Arial" w:hAnsi="Arial" w:cs="Arial"/>
              </w:rPr>
            </w:pPr>
            <w:hyperlink r:id="rId27" w:history="1">
              <w:r w:rsidR="00BF3AA6" w:rsidRPr="00BF3AA6">
                <w:rPr>
                  <w:rStyle w:val="Hyperlink"/>
                  <w:rFonts w:ascii="Arial" w:hAnsi="Arial" w:cs="Arial"/>
                </w:rPr>
                <w:t xml:space="preserve">Sacituzumab </w:t>
              </w:r>
              <w:proofErr w:type="spellStart"/>
              <w:r w:rsidR="00BF3AA6" w:rsidRPr="00BF3AA6">
                <w:rPr>
                  <w:rStyle w:val="Hyperlink"/>
                  <w:rFonts w:ascii="Arial" w:hAnsi="Arial" w:cs="Arial"/>
                </w:rPr>
                <w:t>govitecan</w:t>
              </w:r>
              <w:proofErr w:type="spellEnd"/>
              <w:r w:rsidR="00BF3AA6" w:rsidRPr="00BF3AA6">
                <w:rPr>
                  <w:rStyle w:val="Hyperlink"/>
                  <w:rFonts w:ascii="Arial" w:hAnsi="Arial" w:cs="Arial"/>
                </w:rPr>
                <w:t xml:space="preserve"> for treating hormone receptor-positive HER2-negative metastatic breast cancer after 2 or more therapies</w:t>
              </w:r>
            </w:hyperlink>
            <w:r w:rsidR="00BF3AA6">
              <w:rPr>
                <w:rFonts w:ascii="Arial" w:hAnsi="Arial" w:cs="Arial"/>
              </w:rPr>
              <w:t xml:space="preserve">. </w:t>
            </w:r>
            <w:r w:rsidR="00BF3AA6" w:rsidRPr="009B5DE4">
              <w:rPr>
                <w:rFonts w:ascii="Arial" w:hAnsi="Arial" w:cs="Arial"/>
              </w:rPr>
              <w:t>NICE technology appraisal guidance [ID</w:t>
            </w:r>
            <w:r w:rsidR="00BF3AA6">
              <w:rPr>
                <w:rFonts w:ascii="Arial" w:hAnsi="Arial" w:cs="Arial"/>
              </w:rPr>
              <w:t>4033</w:t>
            </w:r>
            <w:r w:rsidR="00BF3AA6" w:rsidRPr="009B5DE4">
              <w:rPr>
                <w:rFonts w:ascii="Arial" w:hAnsi="Arial" w:cs="Arial"/>
              </w:rPr>
              <w:t xml:space="preserve">]. </w:t>
            </w:r>
            <w:r w:rsidR="00B365C9" w:rsidRPr="009B5DE4">
              <w:rPr>
                <w:rFonts w:ascii="Arial" w:hAnsi="Arial" w:cs="Arial"/>
              </w:rPr>
              <w:t xml:space="preserve">Publication date </w:t>
            </w:r>
            <w:r w:rsidR="00B365C9">
              <w:rPr>
                <w:rFonts w:ascii="Arial" w:hAnsi="Arial" w:cs="Arial"/>
              </w:rPr>
              <w:t>to be confirmed.</w:t>
            </w:r>
          </w:p>
          <w:p w14:paraId="05BB0CB5" w14:textId="03A95C5B" w:rsidR="00BF3AA6" w:rsidRPr="00BF3AA6" w:rsidRDefault="002C6A19" w:rsidP="00B365C9">
            <w:pPr>
              <w:spacing w:before="120" w:after="120"/>
              <w:rPr>
                <w:rFonts w:ascii="Arial" w:hAnsi="Arial" w:cs="Arial"/>
              </w:rPr>
            </w:pPr>
            <w:hyperlink r:id="rId28" w:history="1">
              <w:proofErr w:type="spellStart"/>
              <w:r w:rsidR="00BF3AA6" w:rsidRPr="00BF3AA6">
                <w:rPr>
                  <w:rStyle w:val="Hyperlink"/>
                  <w:rFonts w:ascii="Arial" w:hAnsi="Arial" w:cs="Arial"/>
                </w:rPr>
                <w:t>Vepdegestrant</w:t>
              </w:r>
              <w:proofErr w:type="spellEnd"/>
              <w:r w:rsidR="00BF3AA6" w:rsidRPr="00BF3AA6">
                <w:rPr>
                  <w:rStyle w:val="Hyperlink"/>
                  <w:rFonts w:ascii="Arial" w:hAnsi="Arial" w:cs="Arial"/>
                </w:rPr>
                <w:t xml:space="preserve"> for treating hormone receptor-positive HER2-negative metastatic breast cancer after endocrine treatment</w:t>
              </w:r>
            </w:hyperlink>
            <w:r w:rsidR="00BF3AA6">
              <w:rPr>
                <w:rFonts w:ascii="Arial" w:hAnsi="Arial" w:cs="Arial"/>
              </w:rPr>
              <w:t xml:space="preserve">. </w:t>
            </w:r>
            <w:r w:rsidR="00BF3AA6" w:rsidRPr="009B5DE4">
              <w:rPr>
                <w:rFonts w:ascii="Arial" w:hAnsi="Arial" w:cs="Arial"/>
              </w:rPr>
              <w:t>NICE technology appraisal guidance [ID</w:t>
            </w:r>
            <w:r w:rsidR="00BF3AA6">
              <w:rPr>
                <w:rFonts w:ascii="Arial" w:hAnsi="Arial" w:cs="Arial"/>
              </w:rPr>
              <w:t>6360</w:t>
            </w:r>
            <w:r w:rsidR="00BF3AA6" w:rsidRPr="009B5DE4">
              <w:rPr>
                <w:rFonts w:ascii="Arial" w:hAnsi="Arial" w:cs="Arial"/>
              </w:rPr>
              <w:t xml:space="preserve">]. </w:t>
            </w:r>
            <w:r w:rsidR="00B365C9" w:rsidRPr="009B5DE4">
              <w:rPr>
                <w:rFonts w:ascii="Arial" w:hAnsi="Arial" w:cs="Arial"/>
              </w:rPr>
              <w:t xml:space="preserve">Publication date </w:t>
            </w:r>
            <w:r w:rsidR="00B365C9">
              <w:rPr>
                <w:rFonts w:ascii="Arial" w:hAnsi="Arial" w:cs="Arial"/>
              </w:rPr>
              <w:t xml:space="preserve">to be </w:t>
            </w:r>
            <w:proofErr w:type="gramStart"/>
            <w:r w:rsidR="00B365C9">
              <w:rPr>
                <w:rFonts w:ascii="Arial" w:hAnsi="Arial" w:cs="Arial"/>
              </w:rPr>
              <w:t>confirmed</w:t>
            </w:r>
            <w:proofErr w:type="gramEnd"/>
          </w:p>
          <w:p w14:paraId="55E6DC46" w14:textId="73E33AEA" w:rsidR="00BF3AA6" w:rsidRPr="00BF3AA6" w:rsidRDefault="00BF3AA6" w:rsidP="00BF3AA6">
            <w:pPr>
              <w:rPr>
                <w:rFonts w:ascii="Arial" w:hAnsi="Arial" w:cs="Arial"/>
              </w:rPr>
            </w:pPr>
          </w:p>
          <w:p w14:paraId="48CB2515" w14:textId="16F35923" w:rsidR="00000412" w:rsidRPr="009B5DE4" w:rsidRDefault="00000412" w:rsidP="00000412">
            <w:pPr>
              <w:pStyle w:val="BodyText2"/>
              <w:rPr>
                <w:rFonts w:cs="Arial"/>
                <w:b/>
                <w:bCs/>
                <w:szCs w:val="24"/>
                <w:lang w:val="en-GB"/>
              </w:rPr>
            </w:pPr>
            <w:r w:rsidRPr="009B5DE4">
              <w:rPr>
                <w:rFonts w:cs="Arial"/>
                <w:b/>
                <w:bCs/>
                <w:szCs w:val="24"/>
                <w:lang w:val="en-GB"/>
              </w:rPr>
              <w:t xml:space="preserve">Related </w:t>
            </w:r>
            <w:r w:rsidR="00B365C9">
              <w:rPr>
                <w:rFonts w:cs="Arial"/>
                <w:b/>
                <w:bCs/>
                <w:szCs w:val="24"/>
                <w:lang w:val="en-GB"/>
              </w:rPr>
              <w:t>NICE g</w:t>
            </w:r>
            <w:r w:rsidRPr="009B5DE4">
              <w:rPr>
                <w:rFonts w:cs="Arial"/>
                <w:b/>
                <w:bCs/>
                <w:szCs w:val="24"/>
                <w:lang w:val="en-GB"/>
              </w:rPr>
              <w:t>uidelines:</w:t>
            </w:r>
          </w:p>
          <w:p w14:paraId="345A7856" w14:textId="77777777" w:rsidR="00000412" w:rsidRPr="009B5DE4" w:rsidRDefault="002C6A19" w:rsidP="00000412">
            <w:pPr>
              <w:spacing w:before="120" w:after="120"/>
              <w:rPr>
                <w:rFonts w:ascii="Arial" w:hAnsi="Arial" w:cs="Arial"/>
              </w:rPr>
            </w:pPr>
            <w:hyperlink r:id="rId29" w:history="1">
              <w:r w:rsidR="00000412" w:rsidRPr="009B5DE4">
                <w:rPr>
                  <w:rStyle w:val="Hyperlink"/>
                  <w:rFonts w:ascii="Arial" w:hAnsi="Arial" w:cs="Arial"/>
                </w:rPr>
                <w:t>Advanced breast cancer diagnosis and treatment</w:t>
              </w:r>
            </w:hyperlink>
            <w:r w:rsidR="00000412" w:rsidRPr="009B5DE4">
              <w:rPr>
                <w:rFonts w:ascii="Arial" w:hAnsi="Arial" w:cs="Arial"/>
              </w:rPr>
              <w:t xml:space="preserve"> (2009; updated 2017) NICE guideline [CG81]</w:t>
            </w:r>
          </w:p>
          <w:p w14:paraId="0DC74FB1" w14:textId="242DAFBA" w:rsidR="00000412" w:rsidRPr="009B5DE4" w:rsidRDefault="002C6A19" w:rsidP="00000412">
            <w:pPr>
              <w:spacing w:before="120" w:after="120"/>
              <w:rPr>
                <w:rFonts w:ascii="Arial" w:hAnsi="Arial" w:cs="Arial"/>
              </w:rPr>
            </w:pPr>
            <w:hyperlink r:id="rId30" w:history="1">
              <w:r w:rsidR="00000412" w:rsidRPr="009B5DE4">
                <w:rPr>
                  <w:rStyle w:val="Hyperlink"/>
                  <w:rFonts w:ascii="Arial" w:hAnsi="Arial" w:cs="Arial"/>
                </w:rPr>
                <w:t>Familial breast cancer: classification, care and managing breast cancer and related risks in people with a family history of breast cancer</w:t>
              </w:r>
            </w:hyperlink>
            <w:r w:rsidR="00000412" w:rsidRPr="009B5DE4">
              <w:rPr>
                <w:rFonts w:ascii="Arial" w:hAnsi="Arial" w:cs="Arial"/>
              </w:rPr>
              <w:t xml:space="preserve"> (2013; updated 20</w:t>
            </w:r>
            <w:r w:rsidR="00B365C9">
              <w:rPr>
                <w:rFonts w:ascii="Arial" w:hAnsi="Arial" w:cs="Arial"/>
              </w:rPr>
              <w:t>23</w:t>
            </w:r>
            <w:r w:rsidR="00000412" w:rsidRPr="009B5DE4">
              <w:rPr>
                <w:rFonts w:ascii="Arial" w:hAnsi="Arial" w:cs="Arial"/>
              </w:rPr>
              <w:t xml:space="preserve">) NICE guidance </w:t>
            </w:r>
            <w:proofErr w:type="gramStart"/>
            <w:r w:rsidR="00000412" w:rsidRPr="009B5DE4">
              <w:rPr>
                <w:rFonts w:ascii="Arial" w:hAnsi="Arial" w:cs="Arial"/>
              </w:rPr>
              <w:t>CG164</w:t>
            </w:r>
            <w:proofErr w:type="gramEnd"/>
          </w:p>
          <w:p w14:paraId="3248E19D" w14:textId="77777777" w:rsidR="00000412" w:rsidRPr="009B5DE4" w:rsidRDefault="002C6A19" w:rsidP="00000412">
            <w:pPr>
              <w:spacing w:before="120" w:after="120"/>
              <w:rPr>
                <w:rFonts w:ascii="Arial" w:hAnsi="Arial" w:cs="Arial"/>
              </w:rPr>
            </w:pPr>
            <w:hyperlink r:id="rId31" w:history="1">
              <w:r w:rsidR="00000412" w:rsidRPr="009B5DE4">
                <w:rPr>
                  <w:rStyle w:val="Hyperlink"/>
                  <w:rFonts w:ascii="Arial" w:hAnsi="Arial" w:cs="Arial"/>
                </w:rPr>
                <w:t>Improving outcomes in breast cancer</w:t>
              </w:r>
            </w:hyperlink>
            <w:r w:rsidR="00000412" w:rsidRPr="009B5DE4">
              <w:rPr>
                <w:rFonts w:ascii="Arial" w:hAnsi="Arial" w:cs="Arial"/>
              </w:rPr>
              <w:t xml:space="preserve"> (2002; checked 2014) NICE guideline </w:t>
            </w:r>
            <w:proofErr w:type="gramStart"/>
            <w:r w:rsidR="00000412" w:rsidRPr="009B5DE4">
              <w:rPr>
                <w:rFonts w:ascii="Arial" w:hAnsi="Arial" w:cs="Arial"/>
              </w:rPr>
              <w:t>CSG1</w:t>
            </w:r>
            <w:proofErr w:type="gramEnd"/>
          </w:p>
          <w:p w14:paraId="3104133C" w14:textId="77777777" w:rsidR="00000412" w:rsidRDefault="002C6A19" w:rsidP="00000412">
            <w:pPr>
              <w:spacing w:before="120" w:after="120"/>
              <w:rPr>
                <w:rFonts w:ascii="Arial" w:hAnsi="Arial" w:cs="Arial"/>
              </w:rPr>
            </w:pPr>
            <w:hyperlink r:id="rId32" w:history="1">
              <w:proofErr w:type="spellStart"/>
              <w:r w:rsidR="00000412" w:rsidRPr="009B5DE4">
                <w:rPr>
                  <w:rStyle w:val="Hyperlink"/>
                  <w:rFonts w:ascii="Arial" w:hAnsi="Arial" w:cs="Arial"/>
                </w:rPr>
                <w:t>MammaTyper</w:t>
              </w:r>
              <w:proofErr w:type="spellEnd"/>
              <w:r w:rsidR="00000412" w:rsidRPr="009B5DE4">
                <w:rPr>
                  <w:rStyle w:val="Hyperlink"/>
                  <w:rFonts w:ascii="Arial" w:hAnsi="Arial" w:cs="Arial"/>
                </w:rPr>
                <w:t xml:space="preserve"> in vitro diagnostic test for determining breast cancer subtypes</w:t>
              </w:r>
            </w:hyperlink>
            <w:r w:rsidR="00000412" w:rsidRPr="009B5DE4">
              <w:rPr>
                <w:rFonts w:ascii="Arial" w:hAnsi="Arial" w:cs="Arial"/>
              </w:rPr>
              <w:t xml:space="preserve"> (2018) NICE </w:t>
            </w:r>
            <w:proofErr w:type="spellStart"/>
            <w:r w:rsidR="00000412" w:rsidRPr="009B5DE4">
              <w:rPr>
                <w:rFonts w:ascii="Arial" w:hAnsi="Arial" w:cs="Arial"/>
              </w:rPr>
              <w:t>Medtech</w:t>
            </w:r>
            <w:proofErr w:type="spellEnd"/>
            <w:r w:rsidR="00000412" w:rsidRPr="009B5DE4">
              <w:rPr>
                <w:rFonts w:ascii="Arial" w:hAnsi="Arial" w:cs="Arial"/>
              </w:rPr>
              <w:t xml:space="preserve"> Innovation Briefing 135</w:t>
            </w:r>
          </w:p>
          <w:p w14:paraId="3FFD8B62" w14:textId="77777777" w:rsidR="00786181" w:rsidRPr="009B5DE4" w:rsidRDefault="00786181" w:rsidP="00000412">
            <w:pPr>
              <w:spacing w:before="120" w:after="120"/>
              <w:rPr>
                <w:rFonts w:ascii="Arial" w:hAnsi="Arial" w:cs="Arial"/>
              </w:rPr>
            </w:pPr>
          </w:p>
          <w:p w14:paraId="0462BE6A" w14:textId="77777777" w:rsidR="00000412" w:rsidRPr="009B5DE4" w:rsidRDefault="00000412" w:rsidP="00000412">
            <w:pPr>
              <w:pStyle w:val="BodyText2"/>
              <w:rPr>
                <w:rFonts w:cs="Arial"/>
                <w:b/>
                <w:bCs/>
                <w:szCs w:val="24"/>
                <w:lang w:val="en-GB"/>
              </w:rPr>
            </w:pPr>
            <w:r w:rsidRPr="009B5DE4">
              <w:rPr>
                <w:rFonts w:cs="Arial"/>
                <w:b/>
                <w:bCs/>
                <w:szCs w:val="24"/>
                <w:lang w:val="en-GB"/>
              </w:rPr>
              <w:t>Related Quality Standards:</w:t>
            </w:r>
          </w:p>
          <w:p w14:paraId="0222AE12" w14:textId="7AFB8C44" w:rsidR="00000412" w:rsidRPr="009B5DE4" w:rsidRDefault="002C6A19" w:rsidP="00000412">
            <w:pPr>
              <w:pStyle w:val="BodyText2"/>
              <w:rPr>
                <w:rFonts w:cs="Arial"/>
                <w:b/>
                <w:bCs/>
                <w:szCs w:val="24"/>
                <w:lang w:val="en-GB"/>
              </w:rPr>
            </w:pPr>
            <w:hyperlink r:id="rId33" w:history="1">
              <w:r w:rsidR="00000412" w:rsidRPr="009B5DE4">
                <w:rPr>
                  <w:rStyle w:val="Hyperlink"/>
                  <w:rFonts w:cs="Arial"/>
                  <w:bCs/>
                  <w:szCs w:val="24"/>
                </w:rPr>
                <w:t>Breast cancer</w:t>
              </w:r>
            </w:hyperlink>
            <w:r w:rsidR="00000412" w:rsidRPr="009B5DE4">
              <w:rPr>
                <w:rFonts w:cs="Arial"/>
                <w:bCs/>
                <w:szCs w:val="24"/>
              </w:rPr>
              <w:t xml:space="preserve"> (2011</w:t>
            </w:r>
            <w:r w:rsidR="00BF3AA6">
              <w:rPr>
                <w:rFonts w:cs="Arial"/>
                <w:bCs/>
                <w:szCs w:val="24"/>
                <w:lang w:val="en-GB"/>
              </w:rPr>
              <w:t>; updated 2016</w:t>
            </w:r>
            <w:r w:rsidR="00000412" w:rsidRPr="009B5DE4">
              <w:rPr>
                <w:rFonts w:cs="Arial"/>
                <w:bCs/>
                <w:szCs w:val="24"/>
              </w:rPr>
              <w:t>) NICE quality standard 12</w:t>
            </w:r>
          </w:p>
        </w:tc>
      </w:tr>
      <w:tr w:rsidR="00000412" w:rsidRPr="00E970E0" w14:paraId="65EE5548" w14:textId="77777777" w:rsidTr="00697F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76" w:type="dxa"/>
            <w:shd w:val="clear" w:color="auto" w:fill="D9D9D9"/>
          </w:tcPr>
          <w:p w14:paraId="3316DFB2" w14:textId="77777777" w:rsidR="00000412" w:rsidRPr="009B5DE4" w:rsidRDefault="00000412" w:rsidP="00000412">
            <w:pPr>
              <w:pStyle w:val="Header"/>
              <w:spacing w:before="120"/>
              <w:rPr>
                <w:rFonts w:cs="Arial"/>
                <w:b/>
                <w:bCs/>
              </w:rPr>
            </w:pPr>
            <w:r w:rsidRPr="009B5DE4">
              <w:rPr>
                <w:rFonts w:cs="Arial"/>
                <w:b/>
                <w:bCs/>
              </w:rPr>
              <w:lastRenderedPageBreak/>
              <w:t xml:space="preserve">Related National Policy </w:t>
            </w:r>
          </w:p>
        </w:tc>
        <w:tc>
          <w:tcPr>
            <w:tcW w:w="6237" w:type="dxa"/>
          </w:tcPr>
          <w:p w14:paraId="07D128F0" w14:textId="77777777" w:rsidR="00000412" w:rsidRPr="009B5DE4" w:rsidRDefault="00000412" w:rsidP="00000412">
            <w:pPr>
              <w:rPr>
                <w:rFonts w:ascii="Arial" w:hAnsi="Arial" w:cs="Arial"/>
              </w:rPr>
            </w:pPr>
            <w:r w:rsidRPr="009B5DE4">
              <w:rPr>
                <w:rFonts w:ascii="Arial" w:hAnsi="Arial" w:cs="Arial"/>
              </w:rPr>
              <w:t xml:space="preserve">The NHS Long Term Plan (2019) </w:t>
            </w:r>
            <w:hyperlink r:id="rId34" w:history="1">
              <w:r w:rsidRPr="009B5DE4">
                <w:rPr>
                  <w:rStyle w:val="Hyperlink"/>
                  <w:rFonts w:ascii="Arial" w:hAnsi="Arial" w:cs="Arial"/>
                </w:rPr>
                <w:t>NHS Long Term Plan</w:t>
              </w:r>
            </w:hyperlink>
          </w:p>
          <w:p w14:paraId="19E79FE8" w14:textId="77777777" w:rsidR="00000412" w:rsidRPr="009B5DE4" w:rsidRDefault="00000412" w:rsidP="00000412">
            <w:pPr>
              <w:pStyle w:val="BodyText2"/>
              <w:rPr>
                <w:rFonts w:cs="Arial"/>
                <w:szCs w:val="24"/>
              </w:rPr>
            </w:pPr>
            <w:r w:rsidRPr="009B5DE4">
              <w:rPr>
                <w:rFonts w:cs="Arial"/>
                <w:szCs w:val="24"/>
                <w:lang w:val="en-GB"/>
              </w:rPr>
              <w:t xml:space="preserve">NHS England (2023) </w:t>
            </w:r>
            <w:hyperlink r:id="rId35" w:history="1">
              <w:r w:rsidRPr="009B5DE4">
                <w:rPr>
                  <w:rStyle w:val="Hyperlink"/>
                  <w:rFonts w:cs="Arial"/>
                  <w:szCs w:val="24"/>
                </w:rPr>
                <w:t>Manual for prescribed specialist services (2023/2024)</w:t>
              </w:r>
            </w:hyperlink>
            <w:hyperlink w:history="1"/>
          </w:p>
        </w:tc>
      </w:tr>
    </w:tbl>
    <w:p w14:paraId="3F3AFCC7" w14:textId="77777777" w:rsidR="00C654E4" w:rsidRDefault="00C654E4" w:rsidP="00C654E4">
      <w:pPr>
        <w:pStyle w:val="Paragraph"/>
        <w:numPr>
          <w:ilvl w:val="0"/>
          <w:numId w:val="0"/>
        </w:numPr>
      </w:pPr>
    </w:p>
    <w:p w14:paraId="22EFAB0C" w14:textId="3C80589A" w:rsidR="008C1624" w:rsidRDefault="008C1624" w:rsidP="008C1624">
      <w:pPr>
        <w:pStyle w:val="Heading2"/>
      </w:pPr>
      <w:r w:rsidRPr="00A4265E">
        <w:t>Has there been any change to the price of the technology since the guidance was published?</w:t>
      </w:r>
    </w:p>
    <w:p w14:paraId="044070B4" w14:textId="43BF8ADC" w:rsidR="009D07E5" w:rsidRPr="009D07E5" w:rsidRDefault="009D07E5" w:rsidP="00605FCB">
      <w:pPr>
        <w:pStyle w:val="Paragraph"/>
        <w:numPr>
          <w:ilvl w:val="0"/>
          <w:numId w:val="0"/>
        </w:numPr>
      </w:pPr>
      <w:r>
        <w:t xml:space="preserve">There </w:t>
      </w:r>
      <w:r w:rsidRPr="009D07E5">
        <w:t>have been no changes to the list price since guidance publication</w:t>
      </w:r>
      <w:r w:rsidR="00344377">
        <w:t xml:space="preserve">, which is </w:t>
      </w:r>
      <w:r w:rsidR="00344377" w:rsidRPr="00344377">
        <w:t>£2,317.50 for 56 capsul</w:t>
      </w:r>
      <w:r w:rsidR="00344377">
        <w:t xml:space="preserve">es. </w:t>
      </w:r>
      <w:r w:rsidR="00605FCB">
        <w:t>Since TA762 was published, NHS England</w:t>
      </w:r>
      <w:r w:rsidR="00AF7895">
        <w:t xml:space="preserve"> and the company have agreed a commercial access agreement (CAA) for </w:t>
      </w:r>
      <w:proofErr w:type="spellStart"/>
      <w:proofErr w:type="gramStart"/>
      <w:r w:rsidR="00AF7895">
        <w:t>olaparib</w:t>
      </w:r>
      <w:proofErr w:type="spellEnd"/>
      <w:r w:rsidR="00AF7895">
        <w:t xml:space="preserve"> </w:t>
      </w:r>
      <w:r w:rsidRPr="009D07E5">
        <w:t>.</w:t>
      </w:r>
      <w:proofErr w:type="gramEnd"/>
    </w:p>
    <w:p w14:paraId="21635306" w14:textId="77777777" w:rsidR="001B3FA6" w:rsidRDefault="008C1624" w:rsidP="001B3FA6">
      <w:pPr>
        <w:pStyle w:val="Heading2"/>
      </w:pPr>
      <w:r w:rsidRPr="00A4265E">
        <w:t>Are there any existing or proposed changes to the marketing authorisation that would affect the existing guidance?</w:t>
      </w:r>
    </w:p>
    <w:p w14:paraId="0474993B" w14:textId="0258BD50" w:rsidR="008C1624" w:rsidRPr="001B3FA6" w:rsidRDefault="005E0EB9" w:rsidP="001B3FA6">
      <w:pPr>
        <w:pStyle w:val="Heading2"/>
        <w:rPr>
          <w:b w:val="0"/>
          <w:bCs w:val="0"/>
          <w:i w:val="0"/>
          <w:iCs w:val="0"/>
          <w:sz w:val="24"/>
          <w:szCs w:val="24"/>
        </w:rPr>
      </w:pPr>
      <w:r w:rsidRPr="001B3FA6">
        <w:rPr>
          <w:b w:val="0"/>
          <w:bCs w:val="0"/>
          <w:i w:val="0"/>
          <w:iCs w:val="0"/>
          <w:sz w:val="24"/>
          <w:szCs w:val="24"/>
        </w:rPr>
        <w:t xml:space="preserve">There </w:t>
      </w:r>
      <w:r w:rsidR="00657442" w:rsidRPr="001B3FA6">
        <w:rPr>
          <w:b w:val="0"/>
          <w:bCs w:val="0"/>
          <w:i w:val="0"/>
          <w:iCs w:val="0"/>
          <w:sz w:val="24"/>
          <w:szCs w:val="24"/>
        </w:rPr>
        <w:t xml:space="preserve">are no existing or proposed </w:t>
      </w:r>
      <w:r w:rsidRPr="001B3FA6">
        <w:rPr>
          <w:b w:val="0"/>
          <w:bCs w:val="0"/>
          <w:i w:val="0"/>
          <w:iCs w:val="0"/>
          <w:sz w:val="24"/>
          <w:szCs w:val="24"/>
        </w:rPr>
        <w:t xml:space="preserve">changes to the </w:t>
      </w:r>
      <w:hyperlink r:id="rId36" w:anchor="about-medicine" w:history="1">
        <w:r w:rsidRPr="001B3FA6">
          <w:rPr>
            <w:rStyle w:val="Hyperlink"/>
            <w:b w:val="0"/>
            <w:bCs w:val="0"/>
            <w:i w:val="0"/>
            <w:iCs w:val="0"/>
            <w:sz w:val="24"/>
            <w:szCs w:val="24"/>
          </w:rPr>
          <w:t>marketing authorisation</w:t>
        </w:r>
      </w:hyperlink>
      <w:r w:rsidRPr="001B3FA6">
        <w:rPr>
          <w:b w:val="0"/>
          <w:bCs w:val="0"/>
          <w:i w:val="0"/>
          <w:iCs w:val="0"/>
          <w:sz w:val="24"/>
          <w:szCs w:val="24"/>
        </w:rPr>
        <w:t xml:space="preserve"> since publication of TA762 </w:t>
      </w:r>
      <w:r w:rsidR="00807320" w:rsidRPr="001B3FA6">
        <w:rPr>
          <w:b w:val="0"/>
          <w:bCs w:val="0"/>
          <w:i w:val="0"/>
          <w:iCs w:val="0"/>
          <w:sz w:val="24"/>
          <w:szCs w:val="24"/>
        </w:rPr>
        <w:t>that would</w:t>
      </w:r>
      <w:r w:rsidRPr="001B3FA6">
        <w:rPr>
          <w:b w:val="0"/>
          <w:bCs w:val="0"/>
          <w:i w:val="0"/>
          <w:iCs w:val="0"/>
          <w:sz w:val="24"/>
          <w:szCs w:val="24"/>
        </w:rPr>
        <w:t xml:space="preserve"> affect the existing guidance</w:t>
      </w:r>
      <w:r w:rsidR="00807320" w:rsidRPr="001B3FA6">
        <w:rPr>
          <w:b w:val="0"/>
          <w:bCs w:val="0"/>
          <w:i w:val="0"/>
          <w:iCs w:val="0"/>
          <w:sz w:val="24"/>
          <w:szCs w:val="24"/>
        </w:rPr>
        <w:t>.</w:t>
      </w:r>
    </w:p>
    <w:p w14:paraId="5344209D" w14:textId="77777777" w:rsidR="001B3FA6" w:rsidRDefault="00A4265E" w:rsidP="001B3FA6">
      <w:pPr>
        <w:pStyle w:val="Heading2"/>
      </w:pPr>
      <w:r w:rsidRPr="00A4265E">
        <w:t>Are there any related pieces of NICE guidance relevant to this appraisal? If so, what implications might this have for the existing guidance?</w:t>
      </w:r>
    </w:p>
    <w:p w14:paraId="5E050D8B" w14:textId="77777777" w:rsidR="001B3FA6" w:rsidRPr="001B3FA6" w:rsidRDefault="00EC55B7" w:rsidP="001B3FA6">
      <w:pPr>
        <w:pStyle w:val="Heading2"/>
        <w:rPr>
          <w:b w:val="0"/>
          <w:bCs w:val="0"/>
          <w:i w:val="0"/>
          <w:iCs w:val="0"/>
          <w:sz w:val="24"/>
          <w:szCs w:val="24"/>
        </w:rPr>
      </w:pPr>
      <w:proofErr w:type="spellStart"/>
      <w:r w:rsidRPr="001B3FA6">
        <w:rPr>
          <w:b w:val="0"/>
          <w:bCs w:val="0"/>
          <w:i w:val="0"/>
          <w:iCs w:val="0"/>
          <w:sz w:val="24"/>
          <w:szCs w:val="24"/>
        </w:rPr>
        <w:t>Talazoparib</w:t>
      </w:r>
      <w:proofErr w:type="spellEnd"/>
      <w:r w:rsidRPr="001B3FA6">
        <w:rPr>
          <w:b w:val="0"/>
          <w:bCs w:val="0"/>
          <w:i w:val="0"/>
          <w:iCs w:val="0"/>
          <w:sz w:val="24"/>
          <w:szCs w:val="24"/>
        </w:rPr>
        <w:t xml:space="preserve"> for treating HER2-negative advanced breast cancer with germline BRCA mutations</w:t>
      </w:r>
      <w:r w:rsidR="00B37478" w:rsidRPr="001B3FA6">
        <w:rPr>
          <w:b w:val="0"/>
          <w:bCs w:val="0"/>
          <w:i w:val="0"/>
          <w:iCs w:val="0"/>
          <w:sz w:val="24"/>
          <w:szCs w:val="24"/>
        </w:rPr>
        <w:t xml:space="preserve"> (</w:t>
      </w:r>
      <w:hyperlink r:id="rId37" w:history="1">
        <w:r w:rsidR="00B37478" w:rsidRPr="001B3FA6">
          <w:rPr>
            <w:rStyle w:val="Hyperlink"/>
            <w:b w:val="0"/>
            <w:bCs w:val="0"/>
            <w:i w:val="0"/>
            <w:iCs w:val="0"/>
            <w:sz w:val="24"/>
            <w:szCs w:val="24"/>
          </w:rPr>
          <w:t>TA952</w:t>
        </w:r>
      </w:hyperlink>
      <w:r w:rsidR="00B37478" w:rsidRPr="001B3FA6">
        <w:rPr>
          <w:b w:val="0"/>
          <w:bCs w:val="0"/>
          <w:i w:val="0"/>
          <w:iCs w:val="0"/>
          <w:sz w:val="24"/>
          <w:szCs w:val="24"/>
        </w:rPr>
        <w:t>)</w:t>
      </w:r>
      <w:r w:rsidR="00484890" w:rsidRPr="001B3FA6">
        <w:rPr>
          <w:b w:val="0"/>
          <w:bCs w:val="0"/>
          <w:i w:val="0"/>
          <w:iCs w:val="0"/>
          <w:sz w:val="24"/>
          <w:szCs w:val="24"/>
        </w:rPr>
        <w:t xml:space="preserve"> </w:t>
      </w:r>
      <w:r w:rsidR="00B37478" w:rsidRPr="001B3FA6">
        <w:rPr>
          <w:b w:val="0"/>
          <w:bCs w:val="0"/>
          <w:i w:val="0"/>
          <w:iCs w:val="0"/>
          <w:sz w:val="24"/>
          <w:szCs w:val="24"/>
        </w:rPr>
        <w:t xml:space="preserve">- </w:t>
      </w:r>
      <w:r w:rsidR="00484890" w:rsidRPr="001B3FA6">
        <w:rPr>
          <w:b w:val="0"/>
          <w:bCs w:val="0"/>
          <w:i w:val="0"/>
          <w:iCs w:val="0"/>
          <w:sz w:val="24"/>
          <w:szCs w:val="24"/>
        </w:rPr>
        <w:t>published February 2024</w:t>
      </w:r>
      <w:r w:rsidRPr="001B3FA6">
        <w:rPr>
          <w:b w:val="0"/>
          <w:bCs w:val="0"/>
          <w:i w:val="0"/>
          <w:iCs w:val="0"/>
          <w:sz w:val="24"/>
          <w:szCs w:val="24"/>
        </w:rPr>
        <w:t xml:space="preserve">. </w:t>
      </w:r>
      <w:proofErr w:type="spellStart"/>
      <w:r w:rsidR="00B37478" w:rsidRPr="001B3FA6">
        <w:rPr>
          <w:b w:val="0"/>
          <w:bCs w:val="0"/>
          <w:i w:val="0"/>
          <w:iCs w:val="0"/>
          <w:sz w:val="24"/>
          <w:szCs w:val="24"/>
        </w:rPr>
        <w:t>Talazoparib</w:t>
      </w:r>
      <w:proofErr w:type="spellEnd"/>
      <w:r w:rsidR="00B37478" w:rsidRPr="001B3FA6">
        <w:rPr>
          <w:b w:val="0"/>
          <w:bCs w:val="0"/>
          <w:i w:val="0"/>
          <w:iCs w:val="0"/>
          <w:sz w:val="24"/>
          <w:szCs w:val="24"/>
        </w:rPr>
        <w:t xml:space="preserve"> would be a direct comparator</w:t>
      </w:r>
      <w:r w:rsidR="008A1897" w:rsidRPr="001B3FA6">
        <w:rPr>
          <w:b w:val="0"/>
          <w:bCs w:val="0"/>
          <w:i w:val="0"/>
          <w:iCs w:val="0"/>
          <w:sz w:val="24"/>
          <w:szCs w:val="24"/>
        </w:rPr>
        <w:t xml:space="preserve"> of </w:t>
      </w:r>
      <w:proofErr w:type="spellStart"/>
      <w:r w:rsidR="008A1897" w:rsidRPr="001B3FA6">
        <w:rPr>
          <w:b w:val="0"/>
          <w:bCs w:val="0"/>
          <w:i w:val="0"/>
          <w:iCs w:val="0"/>
          <w:sz w:val="24"/>
          <w:szCs w:val="24"/>
        </w:rPr>
        <w:t>olaparib</w:t>
      </w:r>
      <w:proofErr w:type="spellEnd"/>
      <w:r w:rsidR="00B37478" w:rsidRPr="001B3FA6">
        <w:rPr>
          <w:b w:val="0"/>
          <w:bCs w:val="0"/>
          <w:i w:val="0"/>
          <w:iCs w:val="0"/>
          <w:sz w:val="24"/>
          <w:szCs w:val="24"/>
        </w:rPr>
        <w:t xml:space="preserve"> in this appraisal</w:t>
      </w:r>
      <w:r w:rsidR="001B3FA6" w:rsidRPr="001B3FA6">
        <w:rPr>
          <w:b w:val="0"/>
          <w:bCs w:val="0"/>
          <w:i w:val="0"/>
          <w:iCs w:val="0"/>
          <w:sz w:val="24"/>
          <w:szCs w:val="24"/>
        </w:rPr>
        <w:t>.</w:t>
      </w:r>
    </w:p>
    <w:p w14:paraId="4580480F" w14:textId="4399F82A" w:rsidR="001B3FA6" w:rsidRPr="001B3FA6" w:rsidRDefault="00B34714" w:rsidP="001B3FA6">
      <w:pPr>
        <w:pStyle w:val="Heading2"/>
        <w:rPr>
          <w:b w:val="0"/>
          <w:bCs w:val="0"/>
          <w:i w:val="0"/>
          <w:iCs w:val="0"/>
          <w:sz w:val="24"/>
          <w:szCs w:val="24"/>
        </w:rPr>
      </w:pPr>
      <w:r w:rsidRPr="001B3FA6">
        <w:rPr>
          <w:b w:val="0"/>
          <w:bCs w:val="0"/>
          <w:i w:val="0"/>
          <w:iCs w:val="0"/>
          <w:sz w:val="24"/>
          <w:szCs w:val="24"/>
        </w:rPr>
        <w:t xml:space="preserve">According to the </w:t>
      </w:r>
      <w:r w:rsidR="00DE6865">
        <w:rPr>
          <w:b w:val="0"/>
          <w:bCs w:val="0"/>
          <w:i w:val="0"/>
          <w:iCs w:val="0"/>
          <w:sz w:val="24"/>
          <w:szCs w:val="24"/>
        </w:rPr>
        <w:t>health technology evaluation manual</w:t>
      </w:r>
      <w:r w:rsidRPr="001B3FA6">
        <w:rPr>
          <w:b w:val="0"/>
          <w:bCs w:val="0"/>
          <w:i w:val="0"/>
          <w:iCs w:val="0"/>
          <w:sz w:val="24"/>
          <w:szCs w:val="24"/>
        </w:rPr>
        <w:t xml:space="preserve">, a </w:t>
      </w:r>
      <w:hyperlink r:id="rId38" w:history="1">
        <w:r w:rsidRPr="001B3FA6">
          <w:rPr>
            <w:rStyle w:val="Hyperlink"/>
            <w:b w:val="0"/>
            <w:bCs w:val="0"/>
            <w:i w:val="0"/>
            <w:iCs w:val="0"/>
            <w:sz w:val="24"/>
            <w:szCs w:val="24"/>
          </w:rPr>
          <w:t xml:space="preserve">cost comparison </w:t>
        </w:r>
      </w:hyperlink>
      <w:r w:rsidRPr="001B3FA6">
        <w:rPr>
          <w:b w:val="0"/>
          <w:bCs w:val="0"/>
          <w:i w:val="0"/>
          <w:iCs w:val="0"/>
          <w:sz w:val="24"/>
          <w:szCs w:val="24"/>
        </w:rPr>
        <w:t>case can be made if a health technology is likely to provide similar or greater health benefits at similar or lower cost than technologies recommended in published NICE technology appraisal guidance for the same indication.</w:t>
      </w:r>
    </w:p>
    <w:p w14:paraId="7D0EAE7C" w14:textId="3A96C7EB" w:rsidR="00A4265E" w:rsidRPr="001B3FA6" w:rsidRDefault="00B34714" w:rsidP="001B3FA6">
      <w:pPr>
        <w:pStyle w:val="Heading2"/>
        <w:rPr>
          <w:b w:val="0"/>
          <w:bCs w:val="0"/>
          <w:i w:val="0"/>
          <w:iCs w:val="0"/>
          <w:sz w:val="24"/>
          <w:szCs w:val="24"/>
        </w:rPr>
      </w:pPr>
      <w:r w:rsidRPr="001B3FA6">
        <w:rPr>
          <w:b w:val="0"/>
          <w:bCs w:val="0"/>
          <w:i w:val="0"/>
          <w:iCs w:val="0"/>
          <w:sz w:val="24"/>
          <w:szCs w:val="24"/>
        </w:rPr>
        <w:t xml:space="preserve">Since </w:t>
      </w:r>
      <w:proofErr w:type="spellStart"/>
      <w:r w:rsidRPr="001B3FA6">
        <w:rPr>
          <w:b w:val="0"/>
          <w:bCs w:val="0"/>
          <w:i w:val="0"/>
          <w:iCs w:val="0"/>
          <w:sz w:val="24"/>
          <w:szCs w:val="24"/>
        </w:rPr>
        <w:t>olaparib</w:t>
      </w:r>
      <w:proofErr w:type="spellEnd"/>
      <w:r w:rsidRPr="001B3FA6">
        <w:rPr>
          <w:b w:val="0"/>
          <w:bCs w:val="0"/>
          <w:i w:val="0"/>
          <w:iCs w:val="0"/>
          <w:sz w:val="24"/>
          <w:szCs w:val="24"/>
        </w:rPr>
        <w:t xml:space="preserve"> has a similar mechanism of action to </w:t>
      </w:r>
      <w:proofErr w:type="spellStart"/>
      <w:r w:rsidR="00B37478" w:rsidRPr="001B3FA6">
        <w:rPr>
          <w:b w:val="0"/>
          <w:bCs w:val="0"/>
          <w:i w:val="0"/>
          <w:iCs w:val="0"/>
          <w:sz w:val="24"/>
          <w:szCs w:val="24"/>
        </w:rPr>
        <w:t>talazoparib</w:t>
      </w:r>
      <w:proofErr w:type="spellEnd"/>
      <w:r w:rsidR="00B37478" w:rsidRPr="001B3FA6">
        <w:rPr>
          <w:b w:val="0"/>
          <w:bCs w:val="0"/>
          <w:i w:val="0"/>
          <w:iCs w:val="0"/>
          <w:sz w:val="24"/>
          <w:szCs w:val="24"/>
        </w:rPr>
        <w:t xml:space="preserve"> </w:t>
      </w:r>
      <w:r w:rsidR="00FD7B12" w:rsidRPr="001B3FA6">
        <w:rPr>
          <w:b w:val="0"/>
          <w:bCs w:val="0"/>
          <w:i w:val="0"/>
          <w:iCs w:val="0"/>
          <w:sz w:val="24"/>
          <w:szCs w:val="24"/>
        </w:rPr>
        <w:t xml:space="preserve">(PARP inhibitor), </w:t>
      </w:r>
      <w:proofErr w:type="spellStart"/>
      <w:r w:rsidR="008A1897" w:rsidRPr="001B3FA6">
        <w:rPr>
          <w:b w:val="0"/>
          <w:bCs w:val="0"/>
          <w:i w:val="0"/>
          <w:iCs w:val="0"/>
          <w:sz w:val="24"/>
          <w:szCs w:val="24"/>
        </w:rPr>
        <w:t>olaparib</w:t>
      </w:r>
      <w:proofErr w:type="spellEnd"/>
      <w:r w:rsidR="008A1897" w:rsidRPr="001B3FA6">
        <w:rPr>
          <w:b w:val="0"/>
          <w:bCs w:val="0"/>
          <w:i w:val="0"/>
          <w:iCs w:val="0"/>
          <w:sz w:val="24"/>
          <w:szCs w:val="24"/>
        </w:rPr>
        <w:t xml:space="preserve"> may now be suitable for cost comparison in this indication provided there is evidence to support health benefits that are similar or greater to those of </w:t>
      </w:r>
      <w:proofErr w:type="spellStart"/>
      <w:r w:rsidR="008A1897" w:rsidRPr="001B3FA6">
        <w:rPr>
          <w:b w:val="0"/>
          <w:bCs w:val="0"/>
          <w:i w:val="0"/>
          <w:iCs w:val="0"/>
          <w:sz w:val="24"/>
          <w:szCs w:val="24"/>
        </w:rPr>
        <w:t>talazoparib</w:t>
      </w:r>
      <w:proofErr w:type="spellEnd"/>
      <w:r w:rsidR="005C53A7" w:rsidRPr="001B3FA6">
        <w:rPr>
          <w:b w:val="0"/>
          <w:bCs w:val="0"/>
          <w:i w:val="0"/>
          <w:iCs w:val="0"/>
          <w:sz w:val="24"/>
          <w:szCs w:val="24"/>
        </w:rPr>
        <w:t>,</w:t>
      </w:r>
      <w:r w:rsidR="008A1897" w:rsidRPr="001B3FA6">
        <w:rPr>
          <w:b w:val="0"/>
          <w:bCs w:val="0"/>
          <w:i w:val="0"/>
          <w:iCs w:val="0"/>
          <w:sz w:val="24"/>
          <w:szCs w:val="24"/>
        </w:rPr>
        <w:t xml:space="preserve"> or any other relevant comparators, at a similar or lower cost.</w:t>
      </w:r>
    </w:p>
    <w:p w14:paraId="2EF93D9B" w14:textId="56AA7F3B" w:rsidR="00C654E4" w:rsidRDefault="00C654E4" w:rsidP="00A4265E">
      <w:pPr>
        <w:pStyle w:val="Heading2"/>
      </w:pPr>
      <w:r>
        <w:t>Questions for consultation</w:t>
      </w:r>
    </w:p>
    <w:p w14:paraId="2E0D8188" w14:textId="537DAB9A" w:rsidR="00FD7B12" w:rsidRDefault="00BE5BE4" w:rsidP="00934E40">
      <w:pPr>
        <w:spacing w:before="120" w:after="120"/>
        <w:rPr>
          <w:rFonts w:ascii="Arial" w:hAnsi="Arial" w:cs="Arial"/>
          <w:lang w:eastAsia="en-US"/>
        </w:rPr>
      </w:pPr>
      <w:r>
        <w:rPr>
          <w:rFonts w:ascii="Arial" w:hAnsi="Arial" w:cs="Arial"/>
          <w:lang w:eastAsia="en-US"/>
        </w:rPr>
        <w:t>Is testing for BRCA mutations in locally advanced or metastatic breast cancer currently part of routine NHS practice?</w:t>
      </w:r>
    </w:p>
    <w:p w14:paraId="50793D49" w14:textId="52A80629" w:rsidR="00863176" w:rsidRDefault="00863176" w:rsidP="00934E40">
      <w:pPr>
        <w:spacing w:before="120" w:after="120"/>
        <w:rPr>
          <w:rFonts w:ascii="Arial" w:hAnsi="Arial" w:cs="Arial"/>
          <w:lang w:eastAsia="en-US"/>
        </w:rPr>
      </w:pPr>
      <w:r>
        <w:rPr>
          <w:rFonts w:ascii="Arial" w:hAnsi="Arial" w:cs="Arial"/>
          <w:lang w:eastAsia="en-US"/>
        </w:rPr>
        <w:t xml:space="preserve">Would gemcitabine be considered a relevant comparator? </w:t>
      </w:r>
    </w:p>
    <w:p w14:paraId="262A1273" w14:textId="0FAB4F3D" w:rsidR="00934E40" w:rsidRPr="00934E40" w:rsidRDefault="00934E40" w:rsidP="00934E40">
      <w:pPr>
        <w:spacing w:before="120" w:after="120"/>
        <w:rPr>
          <w:rFonts w:ascii="Arial" w:hAnsi="Arial" w:cs="Arial"/>
          <w:lang w:eastAsia="en-US"/>
        </w:rPr>
      </w:pPr>
      <w:r w:rsidRPr="00934E40">
        <w:rPr>
          <w:rFonts w:ascii="Arial" w:hAnsi="Arial" w:cs="Arial"/>
          <w:lang w:eastAsia="en-US"/>
        </w:rPr>
        <w:lastRenderedPageBreak/>
        <w:t xml:space="preserve">Where do you consider </w:t>
      </w:r>
      <w:proofErr w:type="spellStart"/>
      <w:r w:rsidR="00F37E04">
        <w:rPr>
          <w:rFonts w:ascii="Arial" w:hAnsi="Arial" w:cs="Arial"/>
          <w:lang w:eastAsia="en-US"/>
        </w:rPr>
        <w:t>olaparib</w:t>
      </w:r>
      <w:proofErr w:type="spellEnd"/>
      <w:r w:rsidR="00F37E04">
        <w:rPr>
          <w:rFonts w:ascii="Arial" w:hAnsi="Arial" w:cs="Arial"/>
          <w:lang w:eastAsia="en-US"/>
        </w:rPr>
        <w:t xml:space="preserve"> </w:t>
      </w:r>
      <w:r w:rsidRPr="00934E40">
        <w:rPr>
          <w:rFonts w:ascii="Arial" w:hAnsi="Arial" w:cs="Arial"/>
          <w:lang w:eastAsia="en-US"/>
        </w:rPr>
        <w:t xml:space="preserve">will fit into the existing care pathway for </w:t>
      </w:r>
      <w:r w:rsidR="00484890">
        <w:rPr>
          <w:rFonts w:ascii="Arial" w:hAnsi="Arial" w:cs="Arial"/>
          <w:lang w:eastAsia="en-US"/>
        </w:rPr>
        <w:t>locally advanced or metastatic breast cancer</w:t>
      </w:r>
      <w:r w:rsidRPr="00934E40">
        <w:rPr>
          <w:rFonts w:ascii="Arial" w:hAnsi="Arial" w:cs="Arial"/>
          <w:lang w:eastAsia="en-US"/>
        </w:rPr>
        <w:t>?</w:t>
      </w:r>
    </w:p>
    <w:p w14:paraId="5AEDA258" w14:textId="3CA191C2" w:rsidR="00934E40" w:rsidRPr="00934E40" w:rsidRDefault="00934E40" w:rsidP="00934E40">
      <w:pPr>
        <w:spacing w:before="120" w:after="120"/>
        <w:rPr>
          <w:rFonts w:ascii="Arial" w:hAnsi="Arial" w:cs="Arial"/>
          <w:lang w:eastAsia="en-US"/>
        </w:rPr>
      </w:pPr>
      <w:r w:rsidRPr="00934E40">
        <w:rPr>
          <w:rFonts w:ascii="Arial" w:hAnsi="Arial" w:cs="Arial"/>
          <w:lang w:eastAsia="en-US"/>
        </w:rPr>
        <w:t>Do you consider that the use of</w:t>
      </w:r>
      <w:r w:rsidR="00F37E04">
        <w:rPr>
          <w:rFonts w:ascii="Arial" w:hAnsi="Arial" w:cs="Arial"/>
          <w:lang w:eastAsia="en-US"/>
        </w:rPr>
        <w:t xml:space="preserve"> </w:t>
      </w:r>
      <w:proofErr w:type="spellStart"/>
      <w:r w:rsidR="00F37E04">
        <w:rPr>
          <w:rFonts w:ascii="Arial" w:hAnsi="Arial" w:cs="Arial"/>
          <w:lang w:eastAsia="en-US"/>
        </w:rPr>
        <w:t>olaparib</w:t>
      </w:r>
      <w:proofErr w:type="spellEnd"/>
      <w:r w:rsidRPr="00934E40">
        <w:rPr>
          <w:rFonts w:ascii="Arial" w:hAnsi="Arial" w:cs="Arial"/>
          <w:lang w:eastAsia="en-US"/>
        </w:rPr>
        <w:t xml:space="preserve"> can result in any potential substantial health-related benefits that are unlikely to be included in the QALY calculation? </w:t>
      </w:r>
    </w:p>
    <w:p w14:paraId="065014EA" w14:textId="5CACC114" w:rsidR="00934E40" w:rsidRPr="00934E40" w:rsidRDefault="00934E40" w:rsidP="00B86FDC">
      <w:pPr>
        <w:spacing w:before="120" w:after="120"/>
        <w:rPr>
          <w:rFonts w:ascii="Arial" w:hAnsi="Arial" w:cs="Arial"/>
          <w:lang w:eastAsia="en-US"/>
        </w:rPr>
      </w:pPr>
      <w:r w:rsidRPr="00934E40">
        <w:rPr>
          <w:rFonts w:ascii="Arial" w:hAnsi="Arial" w:cs="Arial"/>
          <w:lang w:eastAsia="en-US"/>
        </w:rPr>
        <w:t>Please identify the nature of the data which you understand to be available to enable the committee to take account of these benefits.</w:t>
      </w:r>
    </w:p>
    <w:p w14:paraId="493F124D" w14:textId="77777777" w:rsidR="00934E40" w:rsidRPr="00F37E04" w:rsidRDefault="00934E40" w:rsidP="00934E40">
      <w:pPr>
        <w:spacing w:after="240"/>
        <w:rPr>
          <w:rFonts w:ascii="Arial" w:hAnsi="Arial" w:cs="Arial"/>
          <w:lang w:val="x-none" w:eastAsia="en-US"/>
        </w:rPr>
      </w:pPr>
      <w:r w:rsidRPr="00934E40">
        <w:rPr>
          <w:rFonts w:ascii="Arial" w:hAnsi="Arial" w:cs="Arial"/>
          <w:lang w:val="x-none" w:eastAsia="en-US"/>
        </w:rPr>
        <w:t xml:space="preserve">NICE is committed to promoting equality of opportunity, eliminating unlawful discrimination </w:t>
      </w:r>
      <w:r w:rsidRPr="00F37E04">
        <w:rPr>
          <w:rFonts w:ascii="Arial" w:hAnsi="Arial" w:cs="Arial"/>
          <w:lang w:val="x-none" w:eastAsia="en-US"/>
        </w:rPr>
        <w:t>and fostering good relations between people with particular protected characteristics and others.  Please let us know if you think that the proposed remit and scope may need changing in order to meet these aims.  In particular, please tell us if the proposed remit and scope: </w:t>
      </w:r>
    </w:p>
    <w:p w14:paraId="13ADDDC8" w14:textId="5288EABE" w:rsidR="00934E40" w:rsidRPr="00F37E04" w:rsidRDefault="00934E40" w:rsidP="00934E40">
      <w:pPr>
        <w:numPr>
          <w:ilvl w:val="0"/>
          <w:numId w:val="41"/>
        </w:numPr>
        <w:spacing w:after="240"/>
        <w:rPr>
          <w:rFonts w:ascii="Arial" w:hAnsi="Arial" w:cs="Arial"/>
          <w:lang w:val="x-none" w:eastAsia="en-US"/>
        </w:rPr>
      </w:pPr>
      <w:r w:rsidRPr="00F37E04">
        <w:rPr>
          <w:rFonts w:ascii="Arial" w:hAnsi="Arial" w:cs="Arial"/>
          <w:lang w:val="x-none" w:eastAsia="en-US"/>
        </w:rPr>
        <w:t>could exclude from full consideration any people protected by the equality legislation who fall within the patient population for which</w:t>
      </w:r>
      <w:r w:rsidR="00F37E04" w:rsidRPr="00F37E04">
        <w:rPr>
          <w:rFonts w:ascii="Arial" w:hAnsi="Arial" w:cs="Arial"/>
          <w:lang w:eastAsia="en-US"/>
        </w:rPr>
        <w:t xml:space="preserve"> </w:t>
      </w:r>
      <w:proofErr w:type="spellStart"/>
      <w:r w:rsidR="00F37E04" w:rsidRPr="00F37E04">
        <w:rPr>
          <w:rFonts w:ascii="Arial" w:hAnsi="Arial" w:cs="Arial"/>
          <w:lang w:eastAsia="en-US"/>
        </w:rPr>
        <w:t>olaparib</w:t>
      </w:r>
      <w:proofErr w:type="spellEnd"/>
      <w:r w:rsidR="00F37E04" w:rsidRPr="00F37E04">
        <w:rPr>
          <w:rFonts w:ascii="Arial" w:hAnsi="Arial" w:cs="Arial"/>
          <w:lang w:eastAsia="en-US"/>
        </w:rPr>
        <w:t xml:space="preserve"> is</w:t>
      </w:r>
      <w:r w:rsidRPr="00F37E04">
        <w:rPr>
          <w:rFonts w:ascii="Arial" w:hAnsi="Arial" w:cs="Arial"/>
          <w:lang w:val="x-none" w:eastAsia="en-US"/>
        </w:rPr>
        <w:t xml:space="preserve"> licensed; </w:t>
      </w:r>
    </w:p>
    <w:p w14:paraId="1021F1EA" w14:textId="77777777" w:rsidR="00934E40" w:rsidRPr="00934E40" w:rsidRDefault="00934E40" w:rsidP="00934E40">
      <w:pPr>
        <w:numPr>
          <w:ilvl w:val="0"/>
          <w:numId w:val="41"/>
        </w:numPr>
        <w:spacing w:after="240"/>
        <w:rPr>
          <w:rFonts w:ascii="Arial" w:hAnsi="Arial" w:cs="Arial"/>
          <w:lang w:val="x-none" w:eastAsia="en-US"/>
        </w:rPr>
      </w:pPr>
      <w:r w:rsidRPr="00F37E04">
        <w:rPr>
          <w:rFonts w:ascii="Arial" w:hAnsi="Arial" w:cs="Arial"/>
          <w:lang w:val="x-none" w:eastAsia="en-US"/>
        </w:rPr>
        <w:t>could lead to recommendations that have a different impact on people protected</w:t>
      </w:r>
      <w:r w:rsidRPr="00934E40">
        <w:rPr>
          <w:rFonts w:ascii="Arial" w:hAnsi="Arial" w:cs="Arial"/>
          <w:lang w:val="x-none" w:eastAsia="en-US"/>
        </w:rPr>
        <w:t xml:space="preserve"> by the equality legislation than on the wider population, e.g. by making it more difficult in practice for a specific group to access the technology; </w:t>
      </w:r>
    </w:p>
    <w:p w14:paraId="014A5097" w14:textId="77777777" w:rsidR="00934E40" w:rsidRPr="00934E40" w:rsidRDefault="00934E40" w:rsidP="00934E40">
      <w:pPr>
        <w:numPr>
          <w:ilvl w:val="0"/>
          <w:numId w:val="41"/>
        </w:numPr>
        <w:spacing w:after="240"/>
        <w:rPr>
          <w:rFonts w:ascii="Arial" w:hAnsi="Arial" w:cs="Arial"/>
          <w:lang w:val="x-none" w:eastAsia="en-US"/>
        </w:rPr>
      </w:pPr>
      <w:r w:rsidRPr="00934E40">
        <w:rPr>
          <w:rFonts w:ascii="Arial" w:hAnsi="Arial" w:cs="Arial"/>
          <w:lang w:val="x-none" w:eastAsia="en-US"/>
        </w:rPr>
        <w:t xml:space="preserve">could have any adverse impact on people with a particular disability or disabilities.  </w:t>
      </w:r>
    </w:p>
    <w:p w14:paraId="3BB46035" w14:textId="4B43AF9A" w:rsidR="00934E40" w:rsidRPr="00035F48" w:rsidRDefault="00934E40" w:rsidP="00035F48">
      <w:pPr>
        <w:spacing w:after="240"/>
        <w:rPr>
          <w:rFonts w:ascii="Arial" w:hAnsi="Arial" w:cs="Arial"/>
          <w:lang w:val="x-none" w:eastAsia="en-US"/>
        </w:rPr>
      </w:pPr>
      <w:r w:rsidRPr="00934E40">
        <w:rPr>
          <w:rFonts w:ascii="Arial" w:hAnsi="Arial" w:cs="Arial"/>
          <w:lang w:val="x-none" w:eastAsia="en-US"/>
        </w:rPr>
        <w:t xml:space="preserve">Please tell us what evidence should be obtained to enable the </w:t>
      </w:r>
      <w:r w:rsidR="00F37E04" w:rsidRPr="00934E40">
        <w:rPr>
          <w:rFonts w:ascii="Arial" w:hAnsi="Arial" w:cs="Arial"/>
          <w:lang w:val="x-none" w:eastAsia="en-US"/>
        </w:rPr>
        <w:t>committee</w:t>
      </w:r>
      <w:r w:rsidRPr="00934E40">
        <w:rPr>
          <w:rFonts w:ascii="Arial" w:hAnsi="Arial" w:cs="Arial"/>
          <w:lang w:val="x-none" w:eastAsia="en-US"/>
        </w:rPr>
        <w:t xml:space="preserve"> to identify and consider such impacts.</w:t>
      </w:r>
    </w:p>
    <w:p w14:paraId="11DB9DAF" w14:textId="77777777" w:rsidR="00934E40" w:rsidRPr="00EC55B7" w:rsidRDefault="00934E40" w:rsidP="00934E40">
      <w:pPr>
        <w:rPr>
          <w:rFonts w:ascii="Arial" w:hAnsi="Arial" w:cs="Arial"/>
          <w:lang w:eastAsia="en-US"/>
        </w:rPr>
      </w:pPr>
      <w:r w:rsidRPr="00EC55B7">
        <w:rPr>
          <w:rFonts w:ascii="Arial" w:hAnsi="Arial" w:cs="Arial"/>
          <w:lang w:eastAsia="en-US"/>
        </w:rPr>
        <w:t xml:space="preserve">NICE is considering evaluating this technology through its cost comparison evaluation process. </w:t>
      </w:r>
    </w:p>
    <w:p w14:paraId="313D008B" w14:textId="77777777" w:rsidR="00934E40" w:rsidRPr="00EC55B7" w:rsidRDefault="00934E40" w:rsidP="00934E40">
      <w:pPr>
        <w:rPr>
          <w:rFonts w:ascii="Arial" w:hAnsi="Arial" w:cs="Arial"/>
          <w:lang w:eastAsia="en-US"/>
        </w:rPr>
      </w:pPr>
      <w:r w:rsidRPr="00EC55B7">
        <w:rPr>
          <w:rFonts w:ascii="Arial" w:hAnsi="Arial" w:cs="Arial"/>
          <w:lang w:eastAsia="en-US"/>
        </w:rPr>
        <w:t xml:space="preserve">Please provide comments on the appropriateness of appraising this topic through this process. </w:t>
      </w:r>
    </w:p>
    <w:p w14:paraId="0C4A904B" w14:textId="77777777" w:rsidR="00934E40" w:rsidRPr="00EC55B7" w:rsidRDefault="00934E40" w:rsidP="00934E40">
      <w:pPr>
        <w:rPr>
          <w:rFonts w:ascii="Arial" w:hAnsi="Arial" w:cs="Arial"/>
          <w:lang w:eastAsia="en-US"/>
        </w:rPr>
      </w:pPr>
      <w:r w:rsidRPr="00EC55B7">
        <w:rPr>
          <w:rFonts w:ascii="Arial" w:hAnsi="Arial" w:cs="Arial"/>
          <w:lang w:eastAsia="en-US"/>
        </w:rPr>
        <w:t xml:space="preserve">(Information on NICE’s health technology evaluation processes is available at </w:t>
      </w:r>
      <w:hyperlink r:id="rId39" w:history="1">
        <w:r w:rsidRPr="00EC55B7">
          <w:rPr>
            <w:rFonts w:ascii="Arial" w:hAnsi="Arial" w:cs="Arial"/>
            <w:color w:val="0000FF"/>
            <w:u w:val="single"/>
            <w:lang w:eastAsia="en-US"/>
          </w:rPr>
          <w:t>https://www.nice.org.uk/about/what-we-do/our-programmes/nice-guidance/nice-technology-appraisal-guidance/changes-to-health-technology-evaluation</w:t>
        </w:r>
      </w:hyperlink>
      <w:r w:rsidRPr="00EC55B7">
        <w:rPr>
          <w:rFonts w:ascii="Arial" w:hAnsi="Arial" w:cs="Arial"/>
          <w:lang w:eastAsia="en-US"/>
        </w:rPr>
        <w:t>).</w:t>
      </w:r>
    </w:p>
    <w:p w14:paraId="238E3EC7" w14:textId="77777777" w:rsidR="00934E40" w:rsidRPr="00EC55B7" w:rsidRDefault="00934E40" w:rsidP="00934E40">
      <w:pPr>
        <w:rPr>
          <w:rFonts w:ascii="Arial" w:hAnsi="Arial" w:cs="Arial"/>
          <w:lang w:eastAsia="en-US"/>
        </w:rPr>
      </w:pPr>
    </w:p>
    <w:p w14:paraId="230B0E3E" w14:textId="77777777" w:rsidR="00934E40" w:rsidRPr="00EC55B7" w:rsidRDefault="00934E40" w:rsidP="00934E40">
      <w:pPr>
        <w:rPr>
          <w:rFonts w:ascii="Arial" w:hAnsi="Arial" w:cs="Arial"/>
          <w:lang w:eastAsia="en-US"/>
        </w:rPr>
      </w:pPr>
      <w:r w:rsidRPr="00EC55B7">
        <w:rPr>
          <w:rFonts w:ascii="Arial" w:hAnsi="Arial" w:cs="Arial"/>
          <w:lang w:eastAsia="en-US"/>
        </w:rPr>
        <w:t>Technologies can be evaluated through the cost-comparison process if they are expected to provide similar or greater health benefits, at a similar or lower cost, compared with technologies that have been previously recommended (as an option) in published NICE guidance for the same indication. Companies can propose cost-comparison topics to NICE at any stage during topic selection and scoping. NICE will route technologies for evaluation through the cost-comparison process if it is agreed during scoping that the process is an appropriate route to establish the clinical and cost effectiveness of the technology.</w:t>
      </w:r>
    </w:p>
    <w:p w14:paraId="7A2E31F8" w14:textId="77777777" w:rsidR="00934E40" w:rsidRPr="00EC55B7" w:rsidRDefault="00934E40" w:rsidP="00934E40">
      <w:pPr>
        <w:rPr>
          <w:rFonts w:ascii="Arial" w:hAnsi="Arial" w:cs="Arial"/>
          <w:lang w:eastAsia="en-US"/>
        </w:rPr>
      </w:pPr>
    </w:p>
    <w:p w14:paraId="593FE1F1" w14:textId="77777777" w:rsidR="00934E40" w:rsidRPr="00EC55B7" w:rsidRDefault="00934E40" w:rsidP="00934E40">
      <w:pPr>
        <w:rPr>
          <w:rFonts w:ascii="Arial" w:hAnsi="Arial" w:cs="Arial"/>
          <w:lang w:eastAsia="en-US"/>
        </w:rPr>
      </w:pPr>
      <w:r w:rsidRPr="00EC55B7">
        <w:rPr>
          <w:rFonts w:ascii="Arial" w:hAnsi="Arial" w:cs="Arial"/>
          <w:lang w:eastAsia="en-US"/>
        </w:rPr>
        <w:t xml:space="preserve">NICE’s </w:t>
      </w:r>
      <w:hyperlink r:id="rId40" w:history="1">
        <w:r w:rsidRPr="00EC55B7">
          <w:rPr>
            <w:rFonts w:ascii="Arial" w:hAnsi="Arial" w:cs="Arial"/>
            <w:color w:val="0000FF"/>
            <w:u w:val="single"/>
            <w:lang w:eastAsia="en-US"/>
          </w:rPr>
          <w:t>health technology evaluations: the manual</w:t>
        </w:r>
      </w:hyperlink>
      <w:r w:rsidRPr="00EC55B7">
        <w:rPr>
          <w:rFonts w:ascii="Arial" w:hAnsi="Arial" w:cs="Arial"/>
          <w:lang w:eastAsia="en-US"/>
        </w:rPr>
        <w:t xml:space="preserve"> states the methods to be used where a cost comparison case is made.</w:t>
      </w:r>
    </w:p>
    <w:p w14:paraId="02CBB54B" w14:textId="77777777" w:rsidR="00934E40" w:rsidRPr="00EC55B7" w:rsidRDefault="00934E40" w:rsidP="00934E40">
      <w:pPr>
        <w:rPr>
          <w:rFonts w:ascii="Arial" w:hAnsi="Arial" w:cs="Arial"/>
          <w:lang w:eastAsia="en-US"/>
        </w:rPr>
      </w:pPr>
    </w:p>
    <w:p w14:paraId="5BF6B072" w14:textId="77777777" w:rsidR="00934E40" w:rsidRPr="00EC55B7" w:rsidRDefault="00934E40" w:rsidP="00934E40">
      <w:pPr>
        <w:numPr>
          <w:ilvl w:val="0"/>
          <w:numId w:val="42"/>
        </w:numPr>
        <w:spacing w:after="120" w:line="360" w:lineRule="auto"/>
        <w:ind w:left="714" w:hanging="357"/>
        <w:rPr>
          <w:rFonts w:ascii="Arial" w:hAnsi="Arial" w:cs="Arial"/>
          <w:lang w:eastAsia="en-US"/>
        </w:rPr>
      </w:pPr>
      <w:r w:rsidRPr="00EC55B7">
        <w:rPr>
          <w:rFonts w:ascii="Arial" w:hAnsi="Arial" w:cs="Arial"/>
          <w:lang w:eastAsia="en-US"/>
        </w:rPr>
        <w:lastRenderedPageBreak/>
        <w:t xml:space="preserve">Is the technology likely to be similar in its clinical effectiveness and resource use to any of the comparators? Or in what way is it different to the comparators? </w:t>
      </w:r>
    </w:p>
    <w:p w14:paraId="21DBFA15" w14:textId="77777777" w:rsidR="00934E40" w:rsidRPr="00EC55B7" w:rsidRDefault="00934E40" w:rsidP="00934E40">
      <w:pPr>
        <w:numPr>
          <w:ilvl w:val="0"/>
          <w:numId w:val="42"/>
        </w:numPr>
        <w:spacing w:after="120" w:line="360" w:lineRule="auto"/>
        <w:ind w:left="714" w:hanging="357"/>
        <w:rPr>
          <w:rFonts w:ascii="Arial" w:hAnsi="Arial" w:cs="Arial"/>
          <w:lang w:eastAsia="en-US"/>
        </w:rPr>
      </w:pPr>
      <w:r w:rsidRPr="00EC55B7">
        <w:rPr>
          <w:rFonts w:ascii="Arial" w:hAnsi="Arial" w:cs="Arial"/>
          <w:lang w:eastAsia="en-US"/>
        </w:rPr>
        <w:t xml:space="preserve">Will the intervention be used in the same place in the treatment pathway as the comparator(s)? Have there been any major changes to the treatment pathway recently? If so, please describe. </w:t>
      </w:r>
    </w:p>
    <w:p w14:paraId="0F15BAFE" w14:textId="77777777" w:rsidR="00934E40" w:rsidRPr="00EC55B7" w:rsidRDefault="00934E40" w:rsidP="00934E40">
      <w:pPr>
        <w:numPr>
          <w:ilvl w:val="0"/>
          <w:numId w:val="42"/>
        </w:numPr>
        <w:spacing w:after="120" w:line="360" w:lineRule="auto"/>
        <w:ind w:left="714" w:hanging="357"/>
        <w:rPr>
          <w:rFonts w:ascii="Arial" w:hAnsi="Arial" w:cs="Arial"/>
          <w:lang w:eastAsia="en-US"/>
        </w:rPr>
      </w:pPr>
      <w:r w:rsidRPr="00EC55B7">
        <w:rPr>
          <w:rFonts w:ascii="Arial" w:hAnsi="Arial" w:cs="Arial"/>
          <w:lang w:eastAsia="en-US"/>
        </w:rPr>
        <w:t>Will the intervention be used to treat the same population as the comparator(s)?</w:t>
      </w:r>
    </w:p>
    <w:p w14:paraId="4FB36110" w14:textId="77777777" w:rsidR="00934E40" w:rsidRPr="00EC55B7" w:rsidRDefault="00934E40" w:rsidP="00934E40">
      <w:pPr>
        <w:numPr>
          <w:ilvl w:val="0"/>
          <w:numId w:val="42"/>
        </w:numPr>
        <w:spacing w:after="120" w:line="360" w:lineRule="auto"/>
        <w:ind w:left="714" w:hanging="357"/>
        <w:rPr>
          <w:rFonts w:ascii="Arial" w:hAnsi="Arial" w:cs="Arial"/>
          <w:lang w:eastAsia="en-US"/>
        </w:rPr>
      </w:pPr>
      <w:r w:rsidRPr="00EC55B7">
        <w:rPr>
          <w:rFonts w:ascii="Arial" w:hAnsi="Arial" w:cs="Arial"/>
          <w:lang w:eastAsia="en-US"/>
        </w:rPr>
        <w:t xml:space="preserve">Overall is the technology likely to offer similar or improved health benefits compared with the </w:t>
      </w:r>
      <w:proofErr w:type="gramStart"/>
      <w:r w:rsidRPr="00EC55B7">
        <w:rPr>
          <w:rFonts w:ascii="Arial" w:hAnsi="Arial" w:cs="Arial"/>
          <w:lang w:eastAsia="en-US"/>
        </w:rPr>
        <w:t>comparators?</w:t>
      </w:r>
      <w:proofErr w:type="gramEnd"/>
      <w:r w:rsidRPr="00EC55B7">
        <w:rPr>
          <w:rFonts w:ascii="Arial" w:hAnsi="Arial" w:cs="Arial"/>
          <w:lang w:eastAsia="en-US"/>
        </w:rPr>
        <w:t xml:space="preserve"> </w:t>
      </w:r>
    </w:p>
    <w:p w14:paraId="2F9F84E5" w14:textId="77777777" w:rsidR="00934E40" w:rsidRDefault="00934E40" w:rsidP="00934E40">
      <w:pPr>
        <w:numPr>
          <w:ilvl w:val="0"/>
          <w:numId w:val="42"/>
        </w:numPr>
        <w:rPr>
          <w:rFonts w:ascii="Arial" w:hAnsi="Arial" w:cs="Arial"/>
          <w:lang w:eastAsia="en-US"/>
        </w:rPr>
      </w:pPr>
      <w:r w:rsidRPr="00EC55B7">
        <w:rPr>
          <w:rFonts w:ascii="Arial" w:hAnsi="Arial" w:cs="Arial"/>
          <w:lang w:eastAsia="en-US"/>
        </w:rPr>
        <w:t>Would it be appropriate to use the cost-comparison methodology for this topic?</w:t>
      </w:r>
    </w:p>
    <w:p w14:paraId="7ABB7832" w14:textId="2382D27F" w:rsidR="00AF7895" w:rsidRPr="00EC55B7" w:rsidRDefault="00AF7895" w:rsidP="00934E40">
      <w:pPr>
        <w:numPr>
          <w:ilvl w:val="0"/>
          <w:numId w:val="42"/>
        </w:numPr>
        <w:rPr>
          <w:rFonts w:ascii="Arial" w:hAnsi="Arial" w:cs="Arial"/>
          <w:lang w:eastAsia="en-US"/>
        </w:rPr>
      </w:pPr>
      <w:r>
        <w:rPr>
          <w:rFonts w:ascii="Arial" w:hAnsi="Arial" w:cs="Arial"/>
          <w:lang w:eastAsia="en-US"/>
        </w:rPr>
        <w:t xml:space="preserve">Does </w:t>
      </w:r>
      <w:proofErr w:type="spellStart"/>
      <w:r>
        <w:rPr>
          <w:rFonts w:ascii="Arial" w:hAnsi="Arial" w:cs="Arial"/>
          <w:lang w:eastAsia="en-US"/>
        </w:rPr>
        <w:t>talazoparib</w:t>
      </w:r>
      <w:proofErr w:type="spellEnd"/>
      <w:r>
        <w:rPr>
          <w:rFonts w:ascii="Arial" w:hAnsi="Arial" w:cs="Arial"/>
          <w:lang w:eastAsia="en-US"/>
        </w:rPr>
        <w:t xml:space="preserve"> currently have </w:t>
      </w:r>
      <w:r w:rsidRPr="00AF7895">
        <w:rPr>
          <w:rFonts w:ascii="Arial" w:hAnsi="Arial" w:cs="Arial"/>
          <w:lang w:eastAsia="en-US"/>
        </w:rPr>
        <w:t>a substantial market share?</w:t>
      </w:r>
    </w:p>
    <w:p w14:paraId="15BA161E" w14:textId="77777777" w:rsidR="00934E40" w:rsidRPr="00934E40" w:rsidRDefault="00934E40" w:rsidP="00934E40">
      <w:pPr>
        <w:ind w:left="720"/>
        <w:rPr>
          <w:rFonts w:ascii="Arial" w:hAnsi="Arial" w:cs="Arial"/>
          <w:lang w:eastAsia="en-US"/>
        </w:rPr>
      </w:pPr>
    </w:p>
    <w:p w14:paraId="3084F78A" w14:textId="77777777" w:rsidR="003A4176" w:rsidRDefault="00A4265E" w:rsidP="003A4176">
      <w:pPr>
        <w:pStyle w:val="Heading2"/>
        <w:rPr>
          <w:sz w:val="24"/>
          <w:szCs w:val="24"/>
        </w:rPr>
      </w:pPr>
      <w:r w:rsidRPr="00934E40">
        <w:rPr>
          <w:sz w:val="24"/>
          <w:szCs w:val="24"/>
        </w:rPr>
        <w:t>Additional comments</w:t>
      </w:r>
    </w:p>
    <w:p w14:paraId="55127367" w14:textId="2F7A8904" w:rsidR="003A4176" w:rsidRPr="003A4176" w:rsidRDefault="003A4176" w:rsidP="003A4176">
      <w:pPr>
        <w:pStyle w:val="Heading2"/>
        <w:rPr>
          <w:b w:val="0"/>
          <w:bCs w:val="0"/>
          <w:i w:val="0"/>
          <w:iCs w:val="0"/>
          <w:sz w:val="24"/>
          <w:szCs w:val="24"/>
        </w:rPr>
      </w:pPr>
      <w:r w:rsidRPr="003A4176">
        <w:rPr>
          <w:b w:val="0"/>
          <w:bCs w:val="0"/>
          <w:i w:val="0"/>
          <w:iCs w:val="0"/>
          <w:sz w:val="24"/>
          <w:szCs w:val="24"/>
        </w:rPr>
        <w:t>The search strategy reviewed references from the Cochrane Library, Embase, Medline and INAHTA</w:t>
      </w:r>
      <w:r>
        <w:rPr>
          <w:b w:val="0"/>
          <w:bCs w:val="0"/>
          <w:i w:val="0"/>
          <w:iCs w:val="0"/>
          <w:sz w:val="24"/>
          <w:szCs w:val="24"/>
        </w:rPr>
        <w:t xml:space="preserve"> up to</w:t>
      </w:r>
      <w:r w:rsidRPr="003A4176">
        <w:rPr>
          <w:b w:val="0"/>
          <w:bCs w:val="0"/>
          <w:i w:val="0"/>
          <w:iCs w:val="0"/>
          <w:sz w:val="24"/>
          <w:szCs w:val="24"/>
        </w:rPr>
        <w:t xml:space="preserve"> February 2024</w:t>
      </w:r>
      <w:r>
        <w:rPr>
          <w:b w:val="0"/>
          <w:bCs w:val="0"/>
          <w:i w:val="0"/>
          <w:iCs w:val="0"/>
          <w:sz w:val="24"/>
          <w:szCs w:val="24"/>
        </w:rPr>
        <w:t xml:space="preserve">. </w:t>
      </w:r>
      <w:r w:rsidRPr="003A4176">
        <w:rPr>
          <w:b w:val="0"/>
          <w:bCs w:val="0"/>
          <w:i w:val="0"/>
          <w:iCs w:val="0"/>
          <w:sz w:val="24"/>
          <w:szCs w:val="24"/>
        </w:rPr>
        <w:t>Additional searches of clinical trials registries and other sources were also carried out.</w:t>
      </w:r>
    </w:p>
    <w:p w14:paraId="45A3E488" w14:textId="18F12134" w:rsidR="003A4176" w:rsidRPr="003A4176" w:rsidRDefault="003A4176" w:rsidP="003A4176">
      <w:pPr>
        <w:pStyle w:val="Paragraph"/>
        <w:numPr>
          <w:ilvl w:val="0"/>
          <w:numId w:val="0"/>
        </w:numPr>
      </w:pPr>
      <w:r w:rsidRPr="003A4176">
        <w:t>The results of the literature search are discussed in the ‘Summary of evidence and</w:t>
      </w:r>
      <w:r w:rsidR="00286EF2">
        <w:t xml:space="preserve"> </w:t>
      </w:r>
      <w:r w:rsidRPr="003A4176">
        <w:t>implications for review’ section above. See Appendix C for further details of ongoing and unpublished studies.</w:t>
      </w:r>
    </w:p>
    <w:p w14:paraId="1190D20A" w14:textId="2DBB92A5" w:rsidR="00035F48" w:rsidRPr="00A4265E" w:rsidRDefault="00A4265E" w:rsidP="00035F48">
      <w:pPr>
        <w:pStyle w:val="Heading1numbered"/>
      </w:pPr>
      <w:r w:rsidRPr="00A4265E">
        <w:t>Equality issues</w:t>
      </w:r>
    </w:p>
    <w:p w14:paraId="7DA08164" w14:textId="0FF59338" w:rsidR="00035F48" w:rsidRDefault="00035F48" w:rsidP="00035F48">
      <w:pPr>
        <w:pStyle w:val="Paragraph"/>
        <w:numPr>
          <w:ilvl w:val="0"/>
          <w:numId w:val="0"/>
        </w:numPr>
        <w:ind w:left="360"/>
      </w:pPr>
      <w:r>
        <w:t>No equality issues were identified in the original appraisal.</w:t>
      </w:r>
    </w:p>
    <w:p w14:paraId="2C279C6C" w14:textId="77777777" w:rsidR="00934E40" w:rsidRPr="00A4265E" w:rsidRDefault="00934E40" w:rsidP="00934E40">
      <w:pPr>
        <w:pStyle w:val="Paragraph"/>
        <w:numPr>
          <w:ilvl w:val="0"/>
          <w:numId w:val="0"/>
        </w:numPr>
        <w:ind w:left="360"/>
      </w:pPr>
    </w:p>
    <w:p w14:paraId="36BE962A" w14:textId="79133FE0" w:rsidR="00A4265E" w:rsidRPr="00A4265E" w:rsidRDefault="00A4265E" w:rsidP="009937C4">
      <w:pPr>
        <w:pStyle w:val="Heading1"/>
      </w:pPr>
      <w:r w:rsidRPr="00A4265E">
        <w:t>Proposal</w:t>
      </w:r>
      <w:r w:rsidR="007C3669" w:rsidRPr="00A4265E">
        <w:t xml:space="preserve"> </w:t>
      </w:r>
      <w:r w:rsidRPr="00A4265E">
        <w:t xml:space="preserve">paper sign </w:t>
      </w:r>
      <w:proofErr w:type="gramStart"/>
      <w:r w:rsidRPr="00A4265E">
        <w:t>off</w:t>
      </w:r>
      <w:proofErr w:type="gramEnd"/>
    </w:p>
    <w:p w14:paraId="362DB3DD" w14:textId="2D303224" w:rsidR="00A4265E" w:rsidRDefault="0051778A" w:rsidP="003D3D3F">
      <w:pPr>
        <w:pStyle w:val="Paragraphnonumbers"/>
        <w:spacing w:line="240" w:lineRule="auto"/>
      </w:pPr>
      <w:r>
        <w:t>Emily Crowe</w:t>
      </w:r>
      <w:r w:rsidR="00A4265E">
        <w:t xml:space="preserve"> – Associate Director, Technology Appraisals and Highly Specialised Technologies</w:t>
      </w:r>
    </w:p>
    <w:p w14:paraId="1259F649" w14:textId="3159A00F" w:rsidR="00A4265E" w:rsidRPr="00A4265E" w:rsidRDefault="0051778A" w:rsidP="003D3D3F">
      <w:pPr>
        <w:pStyle w:val="Paragraphnonumbers"/>
        <w:spacing w:line="240" w:lineRule="auto"/>
      </w:pPr>
      <w:r>
        <w:t>04/04/2024</w:t>
      </w:r>
    </w:p>
    <w:p w14:paraId="204A0F8F" w14:textId="77777777" w:rsidR="00A4265E" w:rsidRDefault="00A4265E" w:rsidP="009937C4">
      <w:pPr>
        <w:pStyle w:val="Heading1"/>
      </w:pPr>
      <w:r>
        <w:t xml:space="preserve">Contributors to this paper </w:t>
      </w:r>
    </w:p>
    <w:p w14:paraId="43733F4C" w14:textId="59FA8C31" w:rsidR="00A4265E" w:rsidRDefault="00A4265E" w:rsidP="003D3D3F">
      <w:pPr>
        <w:pStyle w:val="Paragraphnonumbers"/>
        <w:spacing w:line="240" w:lineRule="auto"/>
      </w:pPr>
      <w:r>
        <w:t xml:space="preserve">Technical Analyst: </w:t>
      </w:r>
      <w:r w:rsidR="000C65CC">
        <w:t xml:space="preserve">Emma McCarthy </w:t>
      </w:r>
    </w:p>
    <w:p w14:paraId="37503248" w14:textId="14CD6CBA" w:rsidR="00A4265E" w:rsidRDefault="00A4265E" w:rsidP="003D3D3F">
      <w:pPr>
        <w:pStyle w:val="Paragraphnonumbers"/>
        <w:spacing w:line="240" w:lineRule="auto"/>
      </w:pPr>
      <w:r>
        <w:t xml:space="preserve">Technical Adviser: </w:t>
      </w:r>
      <w:r w:rsidR="009B5DE4">
        <w:t>Claire Hawksworth</w:t>
      </w:r>
    </w:p>
    <w:p w14:paraId="707D00F7" w14:textId="05EF486F" w:rsidR="00CF624E" w:rsidRDefault="00CF624E" w:rsidP="003D3D3F">
      <w:pPr>
        <w:pStyle w:val="Paragraphnonumbers"/>
        <w:spacing w:line="240" w:lineRule="auto"/>
      </w:pPr>
      <w:r>
        <w:t>Project Manager: Charlotte Downing</w:t>
      </w:r>
    </w:p>
    <w:p w14:paraId="3C6378C8" w14:textId="77777777" w:rsidR="00CF624E" w:rsidRDefault="003D3D3F" w:rsidP="002C1737">
      <w:pPr>
        <w:pStyle w:val="Paragraphnonumbers"/>
        <w:spacing w:line="240" w:lineRule="auto"/>
      </w:pPr>
      <w:r>
        <w:lastRenderedPageBreak/>
        <w:t xml:space="preserve">Programme Manager: </w:t>
      </w:r>
      <w:r w:rsidR="002C1737">
        <w:t>Gavin Kenny</w:t>
      </w:r>
    </w:p>
    <w:p w14:paraId="7A9AA733" w14:textId="47BA6EE4" w:rsidR="0053533C" w:rsidRDefault="0053533C" w:rsidP="002C1737">
      <w:pPr>
        <w:pStyle w:val="Paragraphnonumbers"/>
        <w:spacing w:line="240" w:lineRule="auto"/>
      </w:pPr>
      <w:r>
        <w:br w:type="page"/>
      </w:r>
    </w:p>
    <w:p w14:paraId="1A0D483D" w14:textId="77777777" w:rsidR="0053533C" w:rsidRDefault="0053533C" w:rsidP="0053533C">
      <w:pPr>
        <w:pStyle w:val="Title"/>
      </w:pPr>
      <w:r>
        <w:lastRenderedPageBreak/>
        <w:t>Appendix A – Information from existing guidance</w:t>
      </w:r>
    </w:p>
    <w:p w14:paraId="0A99179E" w14:textId="77777777" w:rsidR="0053533C" w:rsidRDefault="0053533C" w:rsidP="003844B5">
      <w:pPr>
        <w:pStyle w:val="Heading1numbered"/>
      </w:pPr>
      <w:r>
        <w:t>Original remit</w:t>
      </w:r>
    </w:p>
    <w:p w14:paraId="0C189368" w14:textId="15FD2C8B" w:rsidR="000C632E" w:rsidRDefault="000C632E" w:rsidP="006B15CA">
      <w:pPr>
        <w:pStyle w:val="Paragraphnonumbers"/>
        <w:rPr>
          <w:bCs/>
        </w:rPr>
      </w:pPr>
      <w:bookmarkStart w:id="4" w:name="_Hlk161842998"/>
      <w:r w:rsidRPr="004A036F">
        <w:t>T</w:t>
      </w:r>
      <w:r w:rsidRPr="00033C84">
        <w:t xml:space="preserve">o appraise the clinical and cost-effectiveness of </w:t>
      </w:r>
      <w:proofErr w:type="spellStart"/>
      <w:r w:rsidRPr="00033C84">
        <w:t>olaparib</w:t>
      </w:r>
      <w:proofErr w:type="spellEnd"/>
      <w:r w:rsidRPr="00033C84">
        <w:t xml:space="preserve"> within its marketing authorisation for metastatic breast cancer</w:t>
      </w:r>
      <w:r w:rsidR="00F37E04">
        <w:t>.</w:t>
      </w:r>
    </w:p>
    <w:bookmarkEnd w:id="4"/>
    <w:p w14:paraId="5E51F7DD" w14:textId="77777777" w:rsidR="0053533C" w:rsidRDefault="0053533C" w:rsidP="003844B5">
      <w:pPr>
        <w:pStyle w:val="Heading1numbered"/>
      </w:pPr>
      <w:r>
        <w:t xml:space="preserve">Current guidance </w:t>
      </w:r>
    </w:p>
    <w:p w14:paraId="05C3497C" w14:textId="7A618EE5" w:rsidR="000C632E" w:rsidRDefault="007B0924" w:rsidP="006B15CA">
      <w:pPr>
        <w:pStyle w:val="Paragraphnonumbers"/>
        <w:rPr>
          <w:b/>
          <w:bCs/>
        </w:rPr>
      </w:pPr>
      <w:r>
        <w:t xml:space="preserve">NICE is unable to make a recommendation about the use in the NHS of </w:t>
      </w:r>
      <w:proofErr w:type="spellStart"/>
      <w:r>
        <w:t>olaparib</w:t>
      </w:r>
      <w:proofErr w:type="spellEnd"/>
      <w:r>
        <w:t xml:space="preserve"> for treating BRCA mutation-positive HER2-negative metastatic breast cancer after chemotherapy. This is because AstraZeneca has confirmed that it does not intend to make a submission for the appraisal. AstraZeneca considers that there is unlikely to be enough evidence that the technology is a cost-effective use of NHS resources for this population.</w:t>
      </w:r>
    </w:p>
    <w:p w14:paraId="2D04CDDA" w14:textId="77777777" w:rsidR="009937C4" w:rsidRDefault="009937C4" w:rsidP="00770A0B">
      <w:pPr>
        <w:pStyle w:val="Heading1numbered"/>
      </w:pPr>
      <w:r>
        <w:t xml:space="preserve">Research recommendations from original </w:t>
      </w:r>
      <w:proofErr w:type="gramStart"/>
      <w:r>
        <w:t>guidance</w:t>
      </w:r>
      <w:proofErr w:type="gramEnd"/>
    </w:p>
    <w:p w14:paraId="66DB8AED" w14:textId="28E41182" w:rsidR="00E5761A" w:rsidRDefault="00484890" w:rsidP="003D3D3F">
      <w:pPr>
        <w:pStyle w:val="Paragraphnonumbers"/>
        <w:spacing w:line="240" w:lineRule="auto"/>
      </w:pPr>
      <w:r>
        <w:t>None</w:t>
      </w:r>
    </w:p>
    <w:p w14:paraId="2C59F4F8" w14:textId="5D009503" w:rsidR="009937C4" w:rsidRDefault="009937C4" w:rsidP="003D3D3F">
      <w:pPr>
        <w:pStyle w:val="Paragraphnonumbers"/>
        <w:spacing w:line="240" w:lineRule="auto"/>
      </w:pPr>
      <w:r>
        <w:br w:type="page"/>
      </w:r>
    </w:p>
    <w:p w14:paraId="1217A098" w14:textId="77777777" w:rsidR="0053533C" w:rsidRDefault="009937C4" w:rsidP="009937C4">
      <w:pPr>
        <w:pStyle w:val="Title"/>
      </w:pPr>
      <w:r>
        <w:lastRenderedPageBreak/>
        <w:t>Appendix B – Explanation of options</w:t>
      </w:r>
    </w:p>
    <w:p w14:paraId="2F789A2C" w14:textId="6980E837" w:rsidR="009937C4" w:rsidRDefault="009937C4" w:rsidP="003D3D3F">
      <w:pPr>
        <w:pStyle w:val="Paragraphnonumbers"/>
        <w:spacing w:line="240" w:lineRule="auto"/>
        <w:rPr>
          <w:b/>
          <w:color w:val="FF0000"/>
        </w:rPr>
      </w:pPr>
      <w:r>
        <w:t>When considering whether to review one of its Technology Appraisals NICE must select one of the options in the table below</w:t>
      </w:r>
      <w:r w:rsidR="005E0EB9">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4395"/>
        <w:gridCol w:w="1304"/>
      </w:tblGrid>
      <w:tr w:rsidR="003751CC" w:rsidRPr="003751CC" w14:paraId="18E25470" w14:textId="77777777" w:rsidTr="003751CC">
        <w:trPr>
          <w:cantSplit/>
          <w:tblHeader/>
        </w:trPr>
        <w:tc>
          <w:tcPr>
            <w:tcW w:w="3510" w:type="dxa"/>
            <w:shd w:val="clear" w:color="auto" w:fill="004650"/>
          </w:tcPr>
          <w:p w14:paraId="40BF513E" w14:textId="77777777" w:rsidR="009937C4" w:rsidRPr="003751CC" w:rsidRDefault="009937C4" w:rsidP="00A75474">
            <w:pPr>
              <w:keepNext/>
              <w:spacing w:before="120" w:after="120"/>
              <w:rPr>
                <w:rFonts w:ascii="Arial" w:hAnsi="Arial" w:cs="Arial"/>
                <w:b/>
                <w:bCs/>
                <w:color w:val="FFFFFF" w:themeColor="background1"/>
                <w:sz w:val="22"/>
                <w:szCs w:val="22"/>
              </w:rPr>
            </w:pPr>
            <w:r w:rsidRPr="003751CC">
              <w:rPr>
                <w:rFonts w:ascii="Arial" w:hAnsi="Arial" w:cs="Arial"/>
                <w:b/>
                <w:color w:val="FFFFFF" w:themeColor="background1"/>
                <w:sz w:val="22"/>
                <w:szCs w:val="22"/>
              </w:rPr>
              <w:t>Options</w:t>
            </w:r>
          </w:p>
        </w:tc>
        <w:tc>
          <w:tcPr>
            <w:tcW w:w="4395" w:type="dxa"/>
            <w:shd w:val="clear" w:color="auto" w:fill="004650"/>
          </w:tcPr>
          <w:p w14:paraId="069C8767" w14:textId="77777777" w:rsidR="009937C4" w:rsidRPr="003751CC" w:rsidRDefault="009937C4" w:rsidP="00A75474">
            <w:pPr>
              <w:keepNext/>
              <w:spacing w:before="120" w:after="120"/>
              <w:rPr>
                <w:rFonts w:ascii="Arial" w:hAnsi="Arial" w:cs="Arial"/>
                <w:b/>
                <w:bCs/>
                <w:color w:val="FFFFFF" w:themeColor="background1"/>
                <w:sz w:val="22"/>
                <w:szCs w:val="22"/>
              </w:rPr>
            </w:pPr>
            <w:r w:rsidRPr="003751CC">
              <w:rPr>
                <w:rFonts w:ascii="Arial" w:hAnsi="Arial" w:cs="Arial"/>
                <w:b/>
                <w:color w:val="FFFFFF" w:themeColor="background1"/>
                <w:sz w:val="22"/>
                <w:szCs w:val="22"/>
              </w:rPr>
              <w:t>Consequence</w:t>
            </w:r>
          </w:p>
        </w:tc>
        <w:tc>
          <w:tcPr>
            <w:tcW w:w="1304" w:type="dxa"/>
            <w:shd w:val="clear" w:color="auto" w:fill="004650"/>
          </w:tcPr>
          <w:p w14:paraId="3E031FA8" w14:textId="77777777" w:rsidR="009937C4" w:rsidRPr="003751CC" w:rsidRDefault="009937C4" w:rsidP="00A75474">
            <w:pPr>
              <w:keepNext/>
              <w:spacing w:before="120" w:after="120"/>
              <w:rPr>
                <w:rFonts w:ascii="Arial" w:hAnsi="Arial" w:cs="Arial"/>
                <w:b/>
                <w:color w:val="FFFFFF" w:themeColor="background1"/>
                <w:sz w:val="22"/>
                <w:szCs w:val="22"/>
              </w:rPr>
            </w:pPr>
            <w:r w:rsidRPr="003751CC">
              <w:rPr>
                <w:rFonts w:ascii="Arial" w:hAnsi="Arial" w:cs="Arial"/>
                <w:b/>
                <w:color w:val="FFFFFF" w:themeColor="background1"/>
                <w:sz w:val="22"/>
                <w:szCs w:val="22"/>
              </w:rPr>
              <w:t>Selected – ‘Yes/No’</w:t>
            </w:r>
          </w:p>
        </w:tc>
      </w:tr>
      <w:tr w:rsidR="009937C4" w:rsidRPr="009937C4" w14:paraId="49FEF643" w14:textId="77777777" w:rsidTr="00A75474">
        <w:trPr>
          <w:cantSplit/>
        </w:trPr>
        <w:tc>
          <w:tcPr>
            <w:tcW w:w="3510" w:type="dxa"/>
          </w:tcPr>
          <w:p w14:paraId="3DCE0F73" w14:textId="7D6AA3DE" w:rsidR="009937C4" w:rsidRPr="00A54A64" w:rsidRDefault="009937C4" w:rsidP="00A75474">
            <w:pPr>
              <w:spacing w:before="120" w:after="120"/>
              <w:rPr>
                <w:rFonts w:ascii="Arial" w:hAnsi="Arial" w:cs="Arial"/>
                <w:b/>
                <w:bCs/>
                <w:sz w:val="22"/>
                <w:szCs w:val="22"/>
              </w:rPr>
            </w:pPr>
            <w:r w:rsidRPr="00A54A64">
              <w:rPr>
                <w:rFonts w:ascii="Arial" w:hAnsi="Arial" w:cs="Arial"/>
                <w:b/>
                <w:bCs/>
                <w:sz w:val="22"/>
                <w:szCs w:val="22"/>
              </w:rPr>
              <w:t xml:space="preserve">A review of the guidance should be planned into the appraisal work programme. The review will be conducted through the </w:t>
            </w:r>
            <w:r w:rsidR="0042095C" w:rsidRPr="00A54A64">
              <w:rPr>
                <w:rFonts w:ascii="Arial" w:hAnsi="Arial" w:cs="Arial"/>
                <w:b/>
                <w:bCs/>
                <w:sz w:val="22"/>
                <w:szCs w:val="22"/>
              </w:rPr>
              <w:t xml:space="preserve">STA </w:t>
            </w:r>
            <w:r w:rsidRPr="00A54A64">
              <w:rPr>
                <w:rFonts w:ascii="Arial" w:hAnsi="Arial" w:cs="Arial"/>
                <w:b/>
                <w:bCs/>
                <w:sz w:val="22"/>
                <w:szCs w:val="22"/>
              </w:rPr>
              <w:t>process.</w:t>
            </w:r>
          </w:p>
        </w:tc>
        <w:tc>
          <w:tcPr>
            <w:tcW w:w="4395" w:type="dxa"/>
          </w:tcPr>
          <w:p w14:paraId="2533828D" w14:textId="77777777" w:rsidR="009937C4" w:rsidRPr="00A54A64" w:rsidRDefault="009937C4" w:rsidP="00A75474">
            <w:pPr>
              <w:spacing w:before="120" w:after="120"/>
              <w:rPr>
                <w:rFonts w:ascii="Arial" w:hAnsi="Arial" w:cs="Arial"/>
                <w:b/>
                <w:bCs/>
                <w:sz w:val="22"/>
                <w:szCs w:val="22"/>
              </w:rPr>
            </w:pPr>
            <w:r w:rsidRPr="00A54A64">
              <w:rPr>
                <w:rFonts w:ascii="Arial" w:hAnsi="Arial" w:cs="Arial"/>
                <w:b/>
                <w:bCs/>
                <w:sz w:val="22"/>
                <w:szCs w:val="22"/>
              </w:rPr>
              <w:t>A review of the appraisal will be planned into the NICE’s work programme.</w:t>
            </w:r>
          </w:p>
          <w:p w14:paraId="4424118C" w14:textId="77777777" w:rsidR="000D1D10" w:rsidRPr="00A54A64" w:rsidRDefault="000D1D10" w:rsidP="00A75474">
            <w:pPr>
              <w:spacing w:before="120" w:after="120"/>
              <w:rPr>
                <w:rFonts w:ascii="Arial" w:hAnsi="Arial" w:cs="Arial"/>
                <w:b/>
                <w:bCs/>
                <w:sz w:val="22"/>
                <w:szCs w:val="22"/>
              </w:rPr>
            </w:pPr>
          </w:p>
        </w:tc>
        <w:tc>
          <w:tcPr>
            <w:tcW w:w="1304" w:type="dxa"/>
          </w:tcPr>
          <w:p w14:paraId="36C1F5C9" w14:textId="4F9A4309" w:rsidR="009937C4" w:rsidRPr="00A54A64" w:rsidRDefault="00EC55B7" w:rsidP="00A75474">
            <w:pPr>
              <w:spacing w:before="120" w:after="120"/>
              <w:rPr>
                <w:rFonts w:ascii="Arial" w:hAnsi="Arial" w:cs="Arial"/>
                <w:b/>
                <w:bCs/>
                <w:sz w:val="22"/>
                <w:szCs w:val="22"/>
              </w:rPr>
            </w:pPr>
            <w:r w:rsidRPr="00A54A64">
              <w:rPr>
                <w:rFonts w:ascii="Arial" w:hAnsi="Arial" w:cs="Arial"/>
                <w:b/>
                <w:bCs/>
                <w:sz w:val="22"/>
                <w:szCs w:val="22"/>
              </w:rPr>
              <w:t>Yes</w:t>
            </w:r>
          </w:p>
        </w:tc>
      </w:tr>
      <w:tr w:rsidR="009937C4" w:rsidRPr="009937C4" w14:paraId="2B5D6D99" w14:textId="77777777" w:rsidTr="00A75474">
        <w:trPr>
          <w:cantSplit/>
        </w:trPr>
        <w:tc>
          <w:tcPr>
            <w:tcW w:w="3510" w:type="dxa"/>
          </w:tcPr>
          <w:p w14:paraId="553A44CD" w14:textId="68DDFE5E" w:rsidR="009937C4" w:rsidRPr="009937C4" w:rsidRDefault="009937C4" w:rsidP="00A75474">
            <w:pPr>
              <w:spacing w:before="120" w:after="120"/>
              <w:rPr>
                <w:rFonts w:ascii="Arial" w:hAnsi="Arial" w:cs="Arial"/>
                <w:bCs/>
                <w:sz w:val="22"/>
                <w:szCs w:val="22"/>
              </w:rPr>
            </w:pPr>
            <w:r w:rsidRPr="009937C4">
              <w:rPr>
                <w:rFonts w:ascii="Arial" w:hAnsi="Arial" w:cs="Arial"/>
                <w:sz w:val="22"/>
                <w:szCs w:val="22"/>
              </w:rPr>
              <w:t>The decision to review the guidance should be deferred</w:t>
            </w:r>
            <w:r w:rsidR="00EC55B7">
              <w:rPr>
                <w:rFonts w:ascii="Arial" w:hAnsi="Arial" w:cs="Arial"/>
                <w:sz w:val="22"/>
                <w:szCs w:val="22"/>
              </w:rPr>
              <w:t>.</w:t>
            </w:r>
          </w:p>
        </w:tc>
        <w:tc>
          <w:tcPr>
            <w:tcW w:w="4395" w:type="dxa"/>
          </w:tcPr>
          <w:p w14:paraId="376E4BDB" w14:textId="77777777" w:rsidR="009937C4" w:rsidRPr="009937C4" w:rsidRDefault="009937C4" w:rsidP="00A75474">
            <w:pPr>
              <w:spacing w:before="120" w:after="120"/>
              <w:rPr>
                <w:rFonts w:ascii="Arial" w:hAnsi="Arial" w:cs="Arial"/>
                <w:bCs/>
                <w:sz w:val="22"/>
                <w:szCs w:val="22"/>
              </w:rPr>
            </w:pPr>
            <w:r w:rsidRPr="009937C4">
              <w:rPr>
                <w:rFonts w:ascii="Arial" w:hAnsi="Arial" w:cs="Arial"/>
                <w:bCs/>
                <w:sz w:val="22"/>
                <w:szCs w:val="22"/>
              </w:rPr>
              <w:t>NICE will reconsider whether a review is necessary at the specified date.</w:t>
            </w:r>
          </w:p>
        </w:tc>
        <w:tc>
          <w:tcPr>
            <w:tcW w:w="1304" w:type="dxa"/>
          </w:tcPr>
          <w:p w14:paraId="1D60F32B" w14:textId="6EF05CD8" w:rsidR="009937C4" w:rsidRPr="009937C4" w:rsidDel="00B51A60" w:rsidRDefault="00EC55B7" w:rsidP="00A75474">
            <w:pPr>
              <w:spacing w:before="120" w:after="120"/>
              <w:rPr>
                <w:rFonts w:ascii="Arial" w:hAnsi="Arial" w:cs="Arial"/>
                <w:bCs/>
                <w:sz w:val="22"/>
                <w:szCs w:val="22"/>
              </w:rPr>
            </w:pPr>
            <w:r>
              <w:rPr>
                <w:rFonts w:ascii="Arial" w:hAnsi="Arial" w:cs="Arial"/>
                <w:bCs/>
                <w:sz w:val="22"/>
                <w:szCs w:val="22"/>
              </w:rPr>
              <w:t>No</w:t>
            </w:r>
          </w:p>
        </w:tc>
      </w:tr>
      <w:tr w:rsidR="009937C4" w:rsidRPr="009937C4" w14:paraId="18369E48" w14:textId="77777777" w:rsidTr="00A75474">
        <w:trPr>
          <w:cantSplit/>
        </w:trPr>
        <w:tc>
          <w:tcPr>
            <w:tcW w:w="3510" w:type="dxa"/>
          </w:tcPr>
          <w:p w14:paraId="3A424A2B" w14:textId="77777777" w:rsidR="009937C4" w:rsidRPr="009937C4" w:rsidRDefault="009937C4" w:rsidP="00A75474">
            <w:pPr>
              <w:spacing w:before="120" w:after="120"/>
              <w:rPr>
                <w:rFonts w:ascii="Arial" w:hAnsi="Arial" w:cs="Arial"/>
                <w:sz w:val="22"/>
                <w:szCs w:val="22"/>
              </w:rPr>
            </w:pPr>
            <w:r w:rsidRPr="009937C4">
              <w:rPr>
                <w:rFonts w:ascii="Arial" w:hAnsi="Arial" w:cs="Arial"/>
                <w:sz w:val="22"/>
                <w:szCs w:val="22"/>
              </w:rPr>
              <w:t xml:space="preserve">The guidance should be </w:t>
            </w:r>
            <w:r w:rsidR="002022A2">
              <w:rPr>
                <w:rFonts w:ascii="Arial" w:hAnsi="Arial" w:cs="Arial"/>
                <w:sz w:val="22"/>
                <w:szCs w:val="22"/>
              </w:rPr>
              <w:t>Cross referred</w:t>
            </w:r>
            <w:r w:rsidRPr="009937C4">
              <w:rPr>
                <w:rFonts w:ascii="Arial" w:hAnsi="Arial" w:cs="Arial"/>
                <w:sz w:val="22"/>
                <w:szCs w:val="22"/>
              </w:rPr>
              <w:t xml:space="preserve"> into an on-going clinical guideline.</w:t>
            </w:r>
          </w:p>
        </w:tc>
        <w:tc>
          <w:tcPr>
            <w:tcW w:w="4395" w:type="dxa"/>
          </w:tcPr>
          <w:p w14:paraId="1C242752" w14:textId="77777777" w:rsidR="009937C4" w:rsidRPr="009937C4" w:rsidRDefault="009937C4" w:rsidP="00A75474">
            <w:pPr>
              <w:spacing w:before="120" w:after="120"/>
              <w:rPr>
                <w:rFonts w:ascii="Arial" w:hAnsi="Arial" w:cs="Arial"/>
                <w:bCs/>
                <w:sz w:val="22"/>
                <w:szCs w:val="22"/>
              </w:rPr>
            </w:pPr>
            <w:r w:rsidRPr="009937C4">
              <w:rPr>
                <w:rFonts w:ascii="Arial" w:hAnsi="Arial" w:cs="Arial"/>
                <w:bCs/>
                <w:sz w:val="22"/>
                <w:szCs w:val="22"/>
              </w:rPr>
              <w:t>The on-going guideline will include the recommendations of the technology appraisal. The technology appraisal will remain extant alongside the guideline. Normally it will also be recommended that the technology appraisal guidance is moved to the static list until such time as the clinical guideline is considered for review.</w:t>
            </w:r>
          </w:p>
          <w:p w14:paraId="32052425" w14:textId="77777777" w:rsidR="009937C4" w:rsidRPr="009937C4" w:rsidRDefault="009937C4" w:rsidP="00A75474">
            <w:pPr>
              <w:spacing w:before="120" w:after="120"/>
              <w:rPr>
                <w:rFonts w:ascii="Arial" w:hAnsi="Arial" w:cs="Arial"/>
                <w:bCs/>
                <w:sz w:val="22"/>
                <w:szCs w:val="22"/>
              </w:rPr>
            </w:pPr>
            <w:r w:rsidRPr="009937C4">
              <w:rPr>
                <w:rFonts w:ascii="Arial" w:hAnsi="Arial" w:cs="Arial"/>
                <w:bCs/>
                <w:sz w:val="22"/>
                <w:szCs w:val="22"/>
              </w:rPr>
              <w:t>This option has the effect of preserving the funding direction associated with a positive recommendation in a NICE technology appraisal.</w:t>
            </w:r>
          </w:p>
        </w:tc>
        <w:tc>
          <w:tcPr>
            <w:tcW w:w="1304" w:type="dxa"/>
          </w:tcPr>
          <w:p w14:paraId="0A48717E" w14:textId="33C5F45D" w:rsidR="009937C4" w:rsidRPr="009937C4" w:rsidRDefault="00EC55B7" w:rsidP="00A75474">
            <w:pPr>
              <w:spacing w:before="120" w:after="120"/>
              <w:rPr>
                <w:rFonts w:ascii="Arial" w:hAnsi="Arial" w:cs="Arial"/>
                <w:bCs/>
                <w:sz w:val="22"/>
                <w:szCs w:val="22"/>
              </w:rPr>
            </w:pPr>
            <w:r>
              <w:rPr>
                <w:rFonts w:ascii="Arial" w:hAnsi="Arial" w:cs="Arial"/>
                <w:bCs/>
                <w:sz w:val="22"/>
                <w:szCs w:val="22"/>
              </w:rPr>
              <w:t>No</w:t>
            </w:r>
          </w:p>
        </w:tc>
      </w:tr>
      <w:tr w:rsidR="009937C4" w:rsidRPr="009937C4" w14:paraId="74DDC882" w14:textId="77777777" w:rsidTr="00A75474">
        <w:trPr>
          <w:cantSplit/>
        </w:trPr>
        <w:tc>
          <w:tcPr>
            <w:tcW w:w="3510" w:type="dxa"/>
          </w:tcPr>
          <w:p w14:paraId="0262E9C8" w14:textId="77777777" w:rsidR="009937C4" w:rsidRPr="009937C4" w:rsidRDefault="009937C4" w:rsidP="00A75474">
            <w:pPr>
              <w:spacing w:before="120" w:after="120"/>
              <w:rPr>
                <w:rFonts w:ascii="Arial" w:hAnsi="Arial" w:cs="Arial"/>
                <w:sz w:val="22"/>
                <w:szCs w:val="22"/>
              </w:rPr>
            </w:pPr>
            <w:r w:rsidRPr="009937C4">
              <w:rPr>
                <w:rFonts w:ascii="Arial" w:hAnsi="Arial" w:cs="Arial"/>
                <w:sz w:val="22"/>
                <w:szCs w:val="22"/>
              </w:rPr>
              <w:t xml:space="preserve">The guidance should be </w:t>
            </w:r>
            <w:r w:rsidRPr="009937C4">
              <w:rPr>
                <w:rFonts w:ascii="Arial" w:hAnsi="Arial" w:cs="Arial"/>
                <w:bCs/>
                <w:sz w:val="22"/>
                <w:szCs w:val="22"/>
              </w:rPr>
              <w:t>updated</w:t>
            </w:r>
            <w:r w:rsidRPr="009937C4">
              <w:rPr>
                <w:rFonts w:ascii="Arial" w:hAnsi="Arial" w:cs="Arial"/>
                <w:sz w:val="22"/>
                <w:szCs w:val="22"/>
              </w:rPr>
              <w:t xml:space="preserve"> in an on-going clinical guideline</w:t>
            </w:r>
            <w:r w:rsidRPr="009937C4">
              <w:rPr>
                <w:rStyle w:val="FootnoteReference"/>
                <w:rFonts w:ascii="Arial" w:hAnsi="Arial" w:cs="Arial"/>
                <w:sz w:val="22"/>
                <w:szCs w:val="22"/>
              </w:rPr>
              <w:footnoteReference w:id="1"/>
            </w:r>
            <w:r w:rsidRPr="009937C4">
              <w:rPr>
                <w:rFonts w:ascii="Arial" w:hAnsi="Arial" w:cs="Arial"/>
                <w:sz w:val="22"/>
                <w:szCs w:val="22"/>
              </w:rPr>
              <w:t>.</w:t>
            </w:r>
          </w:p>
        </w:tc>
        <w:tc>
          <w:tcPr>
            <w:tcW w:w="4395" w:type="dxa"/>
          </w:tcPr>
          <w:p w14:paraId="27AF44EC" w14:textId="77777777" w:rsidR="009937C4" w:rsidRPr="009937C4" w:rsidRDefault="009937C4" w:rsidP="00A75474">
            <w:pPr>
              <w:spacing w:before="120" w:after="120"/>
              <w:rPr>
                <w:rFonts w:ascii="Arial" w:hAnsi="Arial" w:cs="Arial"/>
                <w:bCs/>
                <w:sz w:val="22"/>
                <w:szCs w:val="22"/>
              </w:rPr>
            </w:pPr>
            <w:r w:rsidRPr="009937C4">
              <w:rPr>
                <w:rFonts w:ascii="Arial" w:hAnsi="Arial" w:cs="Arial"/>
                <w:bCs/>
                <w:sz w:val="22"/>
                <w:szCs w:val="22"/>
              </w:rPr>
              <w:t>Responsibility for the updating the technology appraisal passes to the NICE Clinical Guidelines programme. Once the guideline is published the technology appraisal will be withdrawn.</w:t>
            </w:r>
          </w:p>
          <w:p w14:paraId="09F3CC1C" w14:textId="77777777" w:rsidR="009937C4" w:rsidRPr="009937C4" w:rsidRDefault="009937C4" w:rsidP="00A75474">
            <w:pPr>
              <w:spacing w:before="120" w:after="120"/>
              <w:rPr>
                <w:rFonts w:ascii="Arial" w:hAnsi="Arial" w:cs="Arial"/>
                <w:bCs/>
                <w:sz w:val="22"/>
                <w:szCs w:val="22"/>
              </w:rPr>
            </w:pPr>
            <w:r w:rsidRPr="009937C4">
              <w:rPr>
                <w:rFonts w:ascii="Arial" w:hAnsi="Arial" w:cs="Arial"/>
                <w:bCs/>
                <w:sz w:val="22"/>
                <w:szCs w:val="22"/>
              </w:rPr>
              <w:t>Note that this option does not preserve the funding direction associated with a positive recommendation in a NICE Technology Appraisal. However, if the recommendations are unchanged from the technology appraisal, the technology appraisal can be left in place (effectively the same as incorporation).</w:t>
            </w:r>
          </w:p>
        </w:tc>
        <w:tc>
          <w:tcPr>
            <w:tcW w:w="1304" w:type="dxa"/>
          </w:tcPr>
          <w:p w14:paraId="68EA0564" w14:textId="6E9EE647" w:rsidR="009937C4" w:rsidRPr="009937C4" w:rsidRDefault="00484890" w:rsidP="00A75474">
            <w:pPr>
              <w:spacing w:before="120" w:after="120"/>
              <w:rPr>
                <w:rFonts w:ascii="Arial" w:hAnsi="Arial" w:cs="Arial"/>
                <w:bCs/>
                <w:sz w:val="22"/>
                <w:szCs w:val="22"/>
              </w:rPr>
            </w:pPr>
            <w:r>
              <w:rPr>
                <w:rFonts w:ascii="Arial" w:hAnsi="Arial" w:cs="Arial"/>
                <w:bCs/>
                <w:sz w:val="22"/>
                <w:szCs w:val="22"/>
              </w:rPr>
              <w:t>No</w:t>
            </w:r>
          </w:p>
        </w:tc>
      </w:tr>
      <w:tr w:rsidR="009937C4" w:rsidRPr="009937C4" w14:paraId="1BC82A32" w14:textId="77777777" w:rsidTr="00A75474">
        <w:trPr>
          <w:cantSplit/>
        </w:trPr>
        <w:tc>
          <w:tcPr>
            <w:tcW w:w="3510" w:type="dxa"/>
          </w:tcPr>
          <w:p w14:paraId="7B6214BD" w14:textId="77777777" w:rsidR="009937C4" w:rsidRPr="009937C4" w:rsidRDefault="009937C4" w:rsidP="00A75474">
            <w:pPr>
              <w:spacing w:before="120" w:after="120"/>
              <w:rPr>
                <w:rFonts w:ascii="Arial" w:hAnsi="Arial" w:cs="Arial"/>
                <w:sz w:val="22"/>
                <w:szCs w:val="22"/>
              </w:rPr>
            </w:pPr>
            <w:r w:rsidRPr="009937C4">
              <w:rPr>
                <w:rFonts w:ascii="Arial" w:hAnsi="Arial" w:cs="Arial"/>
                <w:sz w:val="22"/>
                <w:szCs w:val="22"/>
              </w:rPr>
              <w:lastRenderedPageBreak/>
              <w:t xml:space="preserve">The guidance </w:t>
            </w:r>
            <w:r w:rsidR="00EF3D38">
              <w:rPr>
                <w:rFonts w:ascii="Arial" w:hAnsi="Arial" w:cs="Arial"/>
                <w:sz w:val="22"/>
                <w:szCs w:val="22"/>
              </w:rPr>
              <w:t>remains relevant, and an update is not needed.</w:t>
            </w:r>
            <w:r w:rsidRPr="009937C4">
              <w:rPr>
                <w:rFonts w:ascii="Arial" w:hAnsi="Arial" w:cs="Arial"/>
                <w:sz w:val="22"/>
                <w:szCs w:val="22"/>
              </w:rPr>
              <w:t xml:space="preserve"> </w:t>
            </w:r>
          </w:p>
          <w:p w14:paraId="7CC29E0D" w14:textId="77777777" w:rsidR="009937C4" w:rsidRPr="009937C4" w:rsidRDefault="009937C4" w:rsidP="00A75474">
            <w:pPr>
              <w:spacing w:before="120" w:after="120"/>
              <w:rPr>
                <w:rFonts w:ascii="Arial" w:hAnsi="Arial" w:cs="Arial"/>
                <w:sz w:val="22"/>
                <w:szCs w:val="22"/>
              </w:rPr>
            </w:pPr>
          </w:p>
          <w:p w14:paraId="5136619E" w14:textId="77777777" w:rsidR="009937C4" w:rsidRPr="009937C4" w:rsidRDefault="009937C4" w:rsidP="00A75474">
            <w:pPr>
              <w:spacing w:before="120" w:after="120"/>
              <w:rPr>
                <w:rFonts w:ascii="Arial" w:hAnsi="Arial" w:cs="Arial"/>
                <w:sz w:val="22"/>
                <w:szCs w:val="22"/>
              </w:rPr>
            </w:pPr>
          </w:p>
          <w:p w14:paraId="2E4BBED8" w14:textId="77777777" w:rsidR="009937C4" w:rsidRPr="009937C4" w:rsidRDefault="009937C4" w:rsidP="00A75474">
            <w:pPr>
              <w:spacing w:before="120" w:after="120"/>
              <w:rPr>
                <w:rFonts w:ascii="Arial" w:hAnsi="Arial" w:cs="Arial"/>
                <w:color w:val="FF0000"/>
                <w:sz w:val="22"/>
                <w:szCs w:val="22"/>
              </w:rPr>
            </w:pPr>
          </w:p>
        </w:tc>
        <w:tc>
          <w:tcPr>
            <w:tcW w:w="4395" w:type="dxa"/>
          </w:tcPr>
          <w:p w14:paraId="2AE53325" w14:textId="77777777" w:rsidR="009937C4" w:rsidRPr="009937C4" w:rsidRDefault="009937C4" w:rsidP="00A75474">
            <w:pPr>
              <w:spacing w:before="120" w:after="120"/>
              <w:rPr>
                <w:rFonts w:ascii="Arial" w:hAnsi="Arial" w:cs="Arial"/>
                <w:bCs/>
                <w:sz w:val="22"/>
                <w:szCs w:val="22"/>
              </w:rPr>
            </w:pPr>
            <w:r w:rsidRPr="009937C4">
              <w:rPr>
                <w:rFonts w:ascii="Arial" w:hAnsi="Arial" w:cs="Arial"/>
                <w:bCs/>
                <w:sz w:val="22"/>
                <w:szCs w:val="22"/>
              </w:rPr>
              <w:t xml:space="preserve">The guidance will remain in place, in its current form, unless NICE becomes aware of substantive information which would make it reconsider. </w:t>
            </w:r>
          </w:p>
        </w:tc>
        <w:tc>
          <w:tcPr>
            <w:tcW w:w="1304" w:type="dxa"/>
          </w:tcPr>
          <w:p w14:paraId="35E7E1A4" w14:textId="1EC90422" w:rsidR="009937C4" w:rsidRPr="009937C4" w:rsidRDefault="00EC55B7" w:rsidP="00A75474">
            <w:pPr>
              <w:spacing w:before="120" w:after="120"/>
              <w:rPr>
                <w:rFonts w:ascii="Arial" w:hAnsi="Arial" w:cs="Arial"/>
                <w:bCs/>
                <w:sz w:val="22"/>
                <w:szCs w:val="22"/>
              </w:rPr>
            </w:pPr>
            <w:r>
              <w:rPr>
                <w:rFonts w:ascii="Arial" w:hAnsi="Arial" w:cs="Arial"/>
                <w:bCs/>
                <w:sz w:val="22"/>
                <w:szCs w:val="22"/>
              </w:rPr>
              <w:t>No</w:t>
            </w:r>
          </w:p>
        </w:tc>
      </w:tr>
      <w:tr w:rsidR="00C96FD3" w:rsidRPr="009937C4" w14:paraId="7F43D977" w14:textId="77777777" w:rsidTr="00A75474">
        <w:trPr>
          <w:cantSplit/>
        </w:trPr>
        <w:tc>
          <w:tcPr>
            <w:tcW w:w="3510" w:type="dxa"/>
          </w:tcPr>
          <w:p w14:paraId="35D40853" w14:textId="27FE926A" w:rsidR="00C96FD3" w:rsidRPr="009937C4" w:rsidRDefault="00C96FD3" w:rsidP="00C96FD3">
            <w:pPr>
              <w:spacing w:before="120" w:after="120"/>
              <w:rPr>
                <w:rFonts w:ascii="Arial" w:hAnsi="Arial" w:cs="Arial"/>
                <w:sz w:val="22"/>
                <w:szCs w:val="22"/>
              </w:rPr>
            </w:pPr>
            <w:r w:rsidRPr="009937C4">
              <w:rPr>
                <w:rFonts w:ascii="Arial" w:hAnsi="Arial" w:cs="Arial"/>
                <w:sz w:val="22"/>
                <w:szCs w:val="22"/>
              </w:rPr>
              <w:t>The guidance should be withdrawn</w:t>
            </w:r>
            <w:r>
              <w:rPr>
                <w:rFonts w:ascii="Arial" w:hAnsi="Arial" w:cs="Arial"/>
                <w:sz w:val="22"/>
                <w:szCs w:val="22"/>
              </w:rPr>
              <w:t>.</w:t>
            </w:r>
          </w:p>
        </w:tc>
        <w:tc>
          <w:tcPr>
            <w:tcW w:w="4395" w:type="dxa"/>
          </w:tcPr>
          <w:p w14:paraId="22502D7F" w14:textId="77777777" w:rsidR="00C96FD3" w:rsidRPr="009937C4" w:rsidRDefault="00C96FD3" w:rsidP="00C96FD3">
            <w:pPr>
              <w:spacing w:before="120" w:after="120"/>
              <w:rPr>
                <w:rFonts w:ascii="Arial" w:hAnsi="Arial" w:cs="Arial"/>
                <w:bCs/>
                <w:sz w:val="22"/>
                <w:szCs w:val="22"/>
              </w:rPr>
            </w:pPr>
            <w:r w:rsidRPr="009937C4">
              <w:rPr>
                <w:rFonts w:ascii="Arial" w:hAnsi="Arial" w:cs="Arial"/>
                <w:bCs/>
                <w:sz w:val="22"/>
                <w:szCs w:val="22"/>
              </w:rPr>
              <w:t xml:space="preserve">The guidance is no longer </w:t>
            </w:r>
            <w:proofErr w:type="gramStart"/>
            <w:r w:rsidRPr="009937C4">
              <w:rPr>
                <w:rFonts w:ascii="Arial" w:hAnsi="Arial" w:cs="Arial"/>
                <w:bCs/>
                <w:sz w:val="22"/>
                <w:szCs w:val="22"/>
              </w:rPr>
              <w:t>relevant</w:t>
            </w:r>
            <w:proofErr w:type="gramEnd"/>
            <w:r w:rsidRPr="009937C4">
              <w:rPr>
                <w:rFonts w:ascii="Arial" w:hAnsi="Arial" w:cs="Arial"/>
                <w:bCs/>
                <w:sz w:val="22"/>
                <w:szCs w:val="22"/>
              </w:rPr>
              <w:t xml:space="preserve"> and an update of the existing recommendations would not add value to the NHS.</w:t>
            </w:r>
          </w:p>
          <w:p w14:paraId="78EE36B4" w14:textId="77777777" w:rsidR="00C96FD3" w:rsidRPr="009937C4" w:rsidRDefault="00C96FD3" w:rsidP="00C96FD3">
            <w:pPr>
              <w:spacing w:before="120" w:after="120"/>
              <w:rPr>
                <w:rFonts w:ascii="Arial" w:hAnsi="Arial" w:cs="Arial"/>
                <w:bCs/>
                <w:sz w:val="22"/>
                <w:szCs w:val="22"/>
              </w:rPr>
            </w:pPr>
            <w:r w:rsidRPr="009937C4">
              <w:rPr>
                <w:rFonts w:ascii="Arial" w:hAnsi="Arial" w:cs="Arial"/>
                <w:bCs/>
                <w:sz w:val="22"/>
                <w:szCs w:val="22"/>
              </w:rPr>
              <w:t>The guidance will be stood down and any funding direction associated with a positive recommendation will not be preserved.</w:t>
            </w:r>
          </w:p>
        </w:tc>
        <w:tc>
          <w:tcPr>
            <w:tcW w:w="1304" w:type="dxa"/>
          </w:tcPr>
          <w:p w14:paraId="65B581DD" w14:textId="4B9189CE" w:rsidR="00C96FD3" w:rsidRPr="00EC55B7" w:rsidRDefault="00C96FD3" w:rsidP="00C96FD3">
            <w:pPr>
              <w:spacing w:before="120" w:after="120"/>
              <w:rPr>
                <w:rFonts w:ascii="Arial" w:hAnsi="Arial" w:cs="Arial"/>
                <w:bCs/>
                <w:iCs/>
                <w:sz w:val="22"/>
                <w:szCs w:val="22"/>
              </w:rPr>
            </w:pPr>
            <w:r>
              <w:rPr>
                <w:rFonts w:ascii="Arial" w:hAnsi="Arial" w:cs="Arial"/>
                <w:bCs/>
                <w:iCs/>
                <w:sz w:val="22"/>
                <w:szCs w:val="22"/>
              </w:rPr>
              <w:t>No.</w:t>
            </w:r>
          </w:p>
        </w:tc>
      </w:tr>
    </w:tbl>
    <w:p w14:paraId="3DF48C90" w14:textId="77777777" w:rsidR="009937C4" w:rsidRDefault="009937C4" w:rsidP="009937C4">
      <w:pPr>
        <w:pStyle w:val="Paragraphnonumbers"/>
      </w:pPr>
    </w:p>
    <w:p w14:paraId="69C13EC3" w14:textId="77777777" w:rsidR="009937C4" w:rsidRDefault="009937C4">
      <w:pPr>
        <w:rPr>
          <w:rFonts w:ascii="Arial" w:hAnsi="Arial"/>
        </w:rPr>
      </w:pPr>
      <w:r>
        <w:br w:type="page"/>
      </w:r>
    </w:p>
    <w:p w14:paraId="35919F80" w14:textId="73B459CB" w:rsidR="009937C4" w:rsidRPr="009937C4" w:rsidRDefault="009937C4" w:rsidP="009937C4">
      <w:pPr>
        <w:pStyle w:val="Title"/>
      </w:pPr>
      <w:r>
        <w:lastRenderedPageBreak/>
        <w:t xml:space="preserve">Appendix C </w:t>
      </w:r>
    </w:p>
    <w:p w14:paraId="44156BF4" w14:textId="399F6C67" w:rsidR="0060431A" w:rsidRPr="00286EF2" w:rsidRDefault="00A01E60" w:rsidP="00286EF2">
      <w:pPr>
        <w:pStyle w:val="Heading1"/>
        <w:rPr>
          <w:rStyle w:val="Heading1Char"/>
          <w:b/>
          <w:bCs/>
        </w:rPr>
      </w:pPr>
      <w:r>
        <w:t>Registered and unpublished trials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3"/>
        <w:gridCol w:w="4919"/>
      </w:tblGrid>
      <w:tr w:rsidR="00A01E60" w:rsidRPr="003751CC" w14:paraId="302EA985" w14:textId="77777777" w:rsidTr="00286EF2">
        <w:trPr>
          <w:tblHeader/>
        </w:trPr>
        <w:tc>
          <w:tcPr>
            <w:tcW w:w="4153" w:type="dxa"/>
            <w:shd w:val="clear" w:color="auto" w:fill="004650"/>
          </w:tcPr>
          <w:p w14:paraId="7CFB7EC9" w14:textId="77777777" w:rsidR="00A01E60" w:rsidRPr="003751CC" w:rsidRDefault="00A01E60" w:rsidP="00EA1F59">
            <w:pPr>
              <w:keepNext/>
              <w:spacing w:before="120" w:after="120"/>
              <w:rPr>
                <w:rFonts w:ascii="Arial" w:hAnsi="Arial" w:cs="Arial"/>
                <w:b/>
                <w:color w:val="FFFFFF" w:themeColor="background1"/>
                <w:sz w:val="22"/>
                <w:szCs w:val="22"/>
              </w:rPr>
            </w:pPr>
            <w:r w:rsidRPr="003751CC">
              <w:rPr>
                <w:rFonts w:ascii="Arial" w:hAnsi="Arial" w:cs="Arial"/>
                <w:b/>
                <w:color w:val="FFFFFF" w:themeColor="background1"/>
                <w:sz w:val="22"/>
                <w:szCs w:val="22"/>
              </w:rPr>
              <w:t>Trial name and registration number</w:t>
            </w:r>
          </w:p>
        </w:tc>
        <w:tc>
          <w:tcPr>
            <w:tcW w:w="4919" w:type="dxa"/>
            <w:shd w:val="clear" w:color="auto" w:fill="004650"/>
          </w:tcPr>
          <w:p w14:paraId="573BE78B" w14:textId="77777777" w:rsidR="00A01E60" w:rsidRPr="003751CC" w:rsidRDefault="00A01E60" w:rsidP="00EA1F59">
            <w:pPr>
              <w:keepNext/>
              <w:spacing w:before="120" w:after="120"/>
              <w:rPr>
                <w:rFonts w:ascii="Arial" w:hAnsi="Arial" w:cs="Arial"/>
                <w:b/>
                <w:color w:val="FFFFFF" w:themeColor="background1"/>
                <w:sz w:val="22"/>
                <w:szCs w:val="22"/>
              </w:rPr>
            </w:pPr>
            <w:r w:rsidRPr="003751CC">
              <w:rPr>
                <w:rFonts w:ascii="Arial" w:hAnsi="Arial" w:cs="Arial"/>
                <w:b/>
                <w:color w:val="FFFFFF" w:themeColor="background1"/>
                <w:sz w:val="22"/>
                <w:szCs w:val="22"/>
              </w:rPr>
              <w:t>Details</w:t>
            </w:r>
          </w:p>
        </w:tc>
      </w:tr>
      <w:tr w:rsidR="00B330AD" w:rsidRPr="003751CC" w14:paraId="754E32D9" w14:textId="77777777" w:rsidTr="00286EF2">
        <w:tc>
          <w:tcPr>
            <w:tcW w:w="4153" w:type="dxa"/>
          </w:tcPr>
          <w:p w14:paraId="342A2BFE" w14:textId="6A92F354" w:rsidR="00B330AD" w:rsidRPr="00B330AD" w:rsidRDefault="00B330AD" w:rsidP="00B330AD">
            <w:pPr>
              <w:pStyle w:val="Paragraphnonumbers"/>
              <w:rPr>
                <w:rStyle w:val="Heading1Char"/>
                <w:rFonts w:cs="Arial"/>
                <w:b w:val="0"/>
                <w:bCs w:val="0"/>
                <w:iCs/>
                <w:kern w:val="0"/>
                <w:sz w:val="22"/>
                <w:szCs w:val="22"/>
              </w:rPr>
            </w:pPr>
            <w:r w:rsidRPr="00B330AD">
              <w:rPr>
                <w:rStyle w:val="Heading1Char"/>
                <w:rFonts w:cs="Arial"/>
                <w:b w:val="0"/>
                <w:bCs w:val="0"/>
                <w:iCs/>
                <w:kern w:val="0"/>
                <w:sz w:val="22"/>
                <w:szCs w:val="22"/>
              </w:rPr>
              <w:t xml:space="preserve">A Phase III, Open Label, Randomised, Controlled, Multi-centre Study to Assess the Efficacy and Safety of Olaparib Monotherapy Versus Physicians Choice Chemotherapy in the Treatment of Metastatic Breast Cancer Patients </w:t>
            </w:r>
            <w:proofErr w:type="gramStart"/>
            <w:r w:rsidRPr="00B330AD">
              <w:rPr>
                <w:rStyle w:val="Heading1Char"/>
                <w:rFonts w:cs="Arial"/>
                <w:b w:val="0"/>
                <w:bCs w:val="0"/>
                <w:iCs/>
                <w:kern w:val="0"/>
                <w:sz w:val="22"/>
                <w:szCs w:val="22"/>
              </w:rPr>
              <w:t>With</w:t>
            </w:r>
            <w:proofErr w:type="gramEnd"/>
            <w:r w:rsidRPr="00B330AD">
              <w:rPr>
                <w:rStyle w:val="Heading1Char"/>
                <w:rFonts w:cs="Arial"/>
                <w:b w:val="0"/>
                <w:bCs w:val="0"/>
                <w:iCs/>
                <w:kern w:val="0"/>
                <w:sz w:val="22"/>
                <w:szCs w:val="22"/>
              </w:rPr>
              <w:t xml:space="preserve"> Germline BRCA1/2 Mutations (</w:t>
            </w:r>
            <w:proofErr w:type="spellStart"/>
            <w:r w:rsidRPr="00B330AD">
              <w:rPr>
                <w:rStyle w:val="Heading1Char"/>
                <w:rFonts w:cs="Arial"/>
                <w:b w:val="0"/>
                <w:bCs w:val="0"/>
                <w:iCs/>
                <w:kern w:val="0"/>
                <w:sz w:val="22"/>
                <w:szCs w:val="22"/>
              </w:rPr>
              <w:t>OlympiAD</w:t>
            </w:r>
            <w:proofErr w:type="spellEnd"/>
            <w:r w:rsidRPr="00B330AD">
              <w:rPr>
                <w:rStyle w:val="Heading1Char"/>
                <w:rFonts w:cs="Arial"/>
                <w:b w:val="0"/>
                <w:bCs w:val="0"/>
                <w:iCs/>
                <w:kern w:val="0"/>
                <w:sz w:val="22"/>
                <w:szCs w:val="22"/>
              </w:rPr>
              <w:t>).</w:t>
            </w:r>
          </w:p>
          <w:p w14:paraId="13B17B93" w14:textId="2BDD18F2" w:rsidR="00B330AD" w:rsidRPr="00B330AD" w:rsidRDefault="002C6A19" w:rsidP="00B330AD">
            <w:pPr>
              <w:spacing w:before="120" w:after="120"/>
              <w:rPr>
                <w:rFonts w:ascii="Arial" w:hAnsi="Arial" w:cs="Arial"/>
                <w:color w:val="1B1B1B"/>
                <w:sz w:val="22"/>
                <w:szCs w:val="22"/>
                <w:shd w:val="clear" w:color="auto" w:fill="FFFFFF"/>
              </w:rPr>
            </w:pPr>
            <w:hyperlink r:id="rId41" w:anchor="study-plan" w:history="1">
              <w:r w:rsidR="00B330AD" w:rsidRPr="00B54B80">
                <w:rPr>
                  <w:rStyle w:val="Hyperlink"/>
                  <w:rFonts w:ascii="Arial" w:hAnsi="Arial" w:cs="Arial"/>
                  <w:sz w:val="22"/>
                  <w:szCs w:val="22"/>
                  <w:shd w:val="clear" w:color="auto" w:fill="FFFFFF"/>
                </w:rPr>
                <w:t>NCT02000622</w:t>
              </w:r>
            </w:hyperlink>
          </w:p>
          <w:p w14:paraId="61271613" w14:textId="42297936" w:rsidR="00B330AD" w:rsidRPr="003751CC" w:rsidRDefault="00B330AD" w:rsidP="00B330AD">
            <w:pPr>
              <w:spacing w:before="120" w:after="120"/>
              <w:rPr>
                <w:rFonts w:ascii="Arial" w:hAnsi="Arial" w:cs="Arial"/>
                <w:sz w:val="22"/>
                <w:szCs w:val="22"/>
              </w:rPr>
            </w:pPr>
          </w:p>
        </w:tc>
        <w:tc>
          <w:tcPr>
            <w:tcW w:w="4919" w:type="dxa"/>
          </w:tcPr>
          <w:p w14:paraId="1EB23167" w14:textId="65661E46" w:rsidR="00B330AD" w:rsidRDefault="00B330AD" w:rsidP="00B330AD">
            <w:pPr>
              <w:spacing w:before="120" w:after="120"/>
              <w:rPr>
                <w:rFonts w:ascii="Arial" w:hAnsi="Arial" w:cs="Arial"/>
                <w:sz w:val="22"/>
                <w:szCs w:val="22"/>
              </w:rPr>
            </w:pPr>
            <w:r w:rsidRPr="00B84EE3">
              <w:rPr>
                <w:rFonts w:ascii="Arial" w:hAnsi="Arial" w:cs="Arial"/>
                <w:sz w:val="22"/>
                <w:szCs w:val="22"/>
              </w:rPr>
              <w:t>Population</w:t>
            </w:r>
            <w:r w:rsidR="00821FF7">
              <w:rPr>
                <w:rFonts w:ascii="Arial" w:hAnsi="Arial" w:cs="Arial"/>
                <w:sz w:val="22"/>
                <w:szCs w:val="22"/>
              </w:rPr>
              <w:t xml:space="preserve"> (n=302)</w:t>
            </w:r>
            <w:r w:rsidRPr="00B84EE3">
              <w:rPr>
                <w:rFonts w:ascii="Arial" w:hAnsi="Arial" w:cs="Arial"/>
                <w:sz w:val="22"/>
                <w:szCs w:val="22"/>
              </w:rPr>
              <w:t xml:space="preserve">: 18 years and older, germline mutation in BRCA1 or BRCA2 that is predicted to be deleterious or suspected deleterious, histologically or cytologically confirmed breast cancer with evidence of metastatic disease, prior therapy with an anthracycline and a </w:t>
            </w:r>
            <w:proofErr w:type="spellStart"/>
            <w:r w:rsidRPr="00B84EE3">
              <w:rPr>
                <w:rFonts w:ascii="Arial" w:hAnsi="Arial" w:cs="Arial"/>
                <w:sz w:val="22"/>
                <w:szCs w:val="22"/>
              </w:rPr>
              <w:t>taxane</w:t>
            </w:r>
            <w:proofErr w:type="spellEnd"/>
            <w:r w:rsidRPr="00B84EE3">
              <w:rPr>
                <w:rFonts w:ascii="Arial" w:hAnsi="Arial" w:cs="Arial"/>
                <w:sz w:val="22"/>
                <w:szCs w:val="22"/>
              </w:rPr>
              <w:t xml:space="preserve"> in either an adjuvant or metastatic setting, prior platinum as long as no breast cancer progression occurred, no prior treatment with a PARP inhibitor, no HER2 positive disease, no more than 2 prior lines of therapy, no untreated brain metastases</w:t>
            </w:r>
          </w:p>
          <w:p w14:paraId="63F22EA2" w14:textId="11AA0184" w:rsidR="00821FF7" w:rsidRDefault="00821FF7" w:rsidP="00821FF7">
            <w:pPr>
              <w:spacing w:before="120" w:after="120"/>
              <w:rPr>
                <w:rFonts w:ascii="Arial" w:hAnsi="Arial" w:cs="Arial"/>
                <w:sz w:val="22"/>
                <w:szCs w:val="22"/>
              </w:rPr>
            </w:pPr>
            <w:r>
              <w:rPr>
                <w:rFonts w:ascii="Arial" w:hAnsi="Arial" w:cs="Arial"/>
                <w:sz w:val="22"/>
                <w:szCs w:val="22"/>
              </w:rPr>
              <w:t xml:space="preserve">Intervention: </w:t>
            </w:r>
            <w:r w:rsidRPr="00821FF7">
              <w:rPr>
                <w:rFonts w:ascii="Arial" w:hAnsi="Arial" w:cs="Arial"/>
                <w:sz w:val="22"/>
                <w:szCs w:val="22"/>
              </w:rPr>
              <w:t>Olaparib</w:t>
            </w:r>
            <w:r>
              <w:rPr>
                <w:rFonts w:ascii="Arial" w:hAnsi="Arial" w:cs="Arial"/>
                <w:sz w:val="22"/>
                <w:szCs w:val="22"/>
              </w:rPr>
              <w:t xml:space="preserve"> (300 mg oral tablets twice daily)</w:t>
            </w:r>
          </w:p>
          <w:p w14:paraId="7B447D4D" w14:textId="375C49A2" w:rsidR="00821FF7" w:rsidRDefault="00821FF7" w:rsidP="00821FF7">
            <w:pPr>
              <w:spacing w:before="120" w:after="120"/>
              <w:rPr>
                <w:rFonts w:ascii="Arial" w:hAnsi="Arial" w:cs="Arial"/>
                <w:sz w:val="22"/>
                <w:szCs w:val="22"/>
              </w:rPr>
            </w:pPr>
            <w:r>
              <w:rPr>
                <w:rFonts w:ascii="Arial" w:hAnsi="Arial" w:cs="Arial"/>
                <w:sz w:val="22"/>
                <w:szCs w:val="22"/>
              </w:rPr>
              <w:t>Comparator: C</w:t>
            </w:r>
            <w:r w:rsidRPr="00821FF7">
              <w:rPr>
                <w:rFonts w:ascii="Arial" w:hAnsi="Arial" w:cs="Arial"/>
                <w:sz w:val="22"/>
                <w:szCs w:val="22"/>
              </w:rPr>
              <w:t>hemotherapy treatment of physician’s choice</w:t>
            </w:r>
            <w:r>
              <w:rPr>
                <w:rFonts w:ascii="Arial" w:hAnsi="Arial" w:cs="Arial"/>
                <w:sz w:val="22"/>
                <w:szCs w:val="22"/>
              </w:rPr>
              <w:t xml:space="preserve"> (TPC) – one of:</w:t>
            </w:r>
          </w:p>
          <w:p w14:paraId="71858AC7" w14:textId="7599B8EE" w:rsidR="00821FF7" w:rsidRPr="00821FF7" w:rsidRDefault="00821FF7" w:rsidP="00821FF7">
            <w:pPr>
              <w:pStyle w:val="ListParagraph"/>
              <w:numPr>
                <w:ilvl w:val="0"/>
                <w:numId w:val="42"/>
              </w:numPr>
              <w:rPr>
                <w:rFonts w:ascii="Arial" w:hAnsi="Arial" w:cs="Arial"/>
                <w:sz w:val="22"/>
                <w:szCs w:val="22"/>
              </w:rPr>
            </w:pPr>
            <w:r w:rsidRPr="00821FF7">
              <w:rPr>
                <w:rFonts w:ascii="Arial" w:hAnsi="Arial" w:cs="Arial"/>
                <w:sz w:val="22"/>
                <w:szCs w:val="22"/>
              </w:rPr>
              <w:t xml:space="preserve">Capecitabine 2500 mg/m2 po daily (divided in 2 doses) x 14 days, repeat every 21 </w:t>
            </w:r>
            <w:proofErr w:type="gramStart"/>
            <w:r w:rsidRPr="00821FF7">
              <w:rPr>
                <w:rFonts w:ascii="Arial" w:hAnsi="Arial" w:cs="Arial"/>
                <w:sz w:val="22"/>
                <w:szCs w:val="22"/>
              </w:rPr>
              <w:t>days</w:t>
            </w:r>
            <w:proofErr w:type="gramEnd"/>
          </w:p>
          <w:p w14:paraId="2B29E6B6" w14:textId="2306634E" w:rsidR="00821FF7" w:rsidRPr="00821FF7" w:rsidRDefault="00821FF7" w:rsidP="00821FF7">
            <w:pPr>
              <w:pStyle w:val="ListParagraph"/>
              <w:numPr>
                <w:ilvl w:val="0"/>
                <w:numId w:val="42"/>
              </w:numPr>
              <w:rPr>
                <w:rFonts w:ascii="Arial" w:hAnsi="Arial" w:cs="Arial"/>
                <w:sz w:val="22"/>
                <w:szCs w:val="22"/>
              </w:rPr>
            </w:pPr>
            <w:r w:rsidRPr="00821FF7">
              <w:rPr>
                <w:rFonts w:ascii="Arial" w:hAnsi="Arial" w:cs="Arial"/>
                <w:sz w:val="22"/>
                <w:szCs w:val="22"/>
              </w:rPr>
              <w:t xml:space="preserve">Vinorelbine 30 mg/m2 IV Day 1 and Day 8, repeat every 21 </w:t>
            </w:r>
            <w:proofErr w:type="gramStart"/>
            <w:r w:rsidRPr="00821FF7">
              <w:rPr>
                <w:rFonts w:ascii="Arial" w:hAnsi="Arial" w:cs="Arial"/>
                <w:sz w:val="22"/>
                <w:szCs w:val="22"/>
              </w:rPr>
              <w:t>days</w:t>
            </w:r>
            <w:proofErr w:type="gramEnd"/>
          </w:p>
          <w:p w14:paraId="0C173975" w14:textId="32F465A2" w:rsidR="00821FF7" w:rsidRPr="00821FF7" w:rsidRDefault="00821FF7" w:rsidP="00821FF7">
            <w:pPr>
              <w:pStyle w:val="ListParagraph"/>
              <w:numPr>
                <w:ilvl w:val="0"/>
                <w:numId w:val="42"/>
              </w:numPr>
              <w:spacing w:before="120" w:after="120"/>
              <w:rPr>
                <w:rFonts w:ascii="Arial" w:hAnsi="Arial" w:cs="Arial"/>
                <w:sz w:val="20"/>
                <w:szCs w:val="20"/>
              </w:rPr>
            </w:pPr>
            <w:proofErr w:type="spellStart"/>
            <w:r w:rsidRPr="00821FF7">
              <w:rPr>
                <w:rFonts w:ascii="Arial" w:hAnsi="Arial" w:cs="Arial"/>
                <w:sz w:val="22"/>
                <w:szCs w:val="22"/>
              </w:rPr>
              <w:t>Eribulin</w:t>
            </w:r>
            <w:proofErr w:type="spellEnd"/>
            <w:r w:rsidRPr="00821FF7">
              <w:rPr>
                <w:rFonts w:ascii="Arial" w:hAnsi="Arial" w:cs="Arial"/>
                <w:sz w:val="22"/>
                <w:szCs w:val="22"/>
              </w:rPr>
              <w:t xml:space="preserve"> 1.4 mg/m2 IV Day 1 and Day 8, repeat every 21 </w:t>
            </w:r>
            <w:proofErr w:type="gramStart"/>
            <w:r w:rsidRPr="00821FF7">
              <w:rPr>
                <w:rFonts w:ascii="Arial" w:hAnsi="Arial" w:cs="Arial"/>
                <w:sz w:val="22"/>
                <w:szCs w:val="22"/>
              </w:rPr>
              <w:t>days</w:t>
            </w:r>
            <w:proofErr w:type="gramEnd"/>
          </w:p>
          <w:p w14:paraId="68E7FFAE" w14:textId="55097653" w:rsidR="00821FF7" w:rsidRDefault="00821FF7" w:rsidP="00B330AD">
            <w:pPr>
              <w:spacing w:before="120" w:after="120"/>
              <w:rPr>
                <w:rFonts w:ascii="Arial" w:hAnsi="Arial" w:cs="Arial"/>
                <w:sz w:val="22"/>
                <w:szCs w:val="22"/>
              </w:rPr>
            </w:pPr>
            <w:r>
              <w:rPr>
                <w:rFonts w:ascii="Arial" w:hAnsi="Arial" w:cs="Arial"/>
                <w:sz w:val="22"/>
                <w:szCs w:val="22"/>
              </w:rPr>
              <w:t>Outcomes: progression-free survival (primary outcome), overall survival,</w:t>
            </w:r>
            <w:r w:rsidR="00B54B80">
              <w:rPr>
                <w:rFonts w:ascii="Arial" w:hAnsi="Arial" w:cs="Arial"/>
                <w:sz w:val="22"/>
                <w:szCs w:val="22"/>
              </w:rPr>
              <w:t xml:space="preserve"> time to second progression or death, overall response rate, quality of life</w:t>
            </w:r>
          </w:p>
          <w:p w14:paraId="51E3AC37" w14:textId="77777777" w:rsidR="00B330AD" w:rsidRPr="00B84EE3" w:rsidRDefault="00B330AD" w:rsidP="00B330AD">
            <w:pPr>
              <w:spacing w:before="120" w:after="120"/>
              <w:rPr>
                <w:rFonts w:ascii="Arial" w:hAnsi="Arial" w:cs="Arial"/>
                <w:sz w:val="22"/>
                <w:szCs w:val="22"/>
              </w:rPr>
            </w:pPr>
            <w:r w:rsidRPr="00B84EE3">
              <w:rPr>
                <w:rFonts w:ascii="Arial" w:hAnsi="Arial" w:cs="Arial"/>
                <w:sz w:val="22"/>
                <w:szCs w:val="22"/>
              </w:rPr>
              <w:t>Start date: March 2014</w:t>
            </w:r>
          </w:p>
          <w:p w14:paraId="26529D6A" w14:textId="77777777" w:rsidR="00B330AD" w:rsidRPr="00B84EE3" w:rsidRDefault="00B330AD" w:rsidP="00B330AD">
            <w:pPr>
              <w:spacing w:before="120" w:after="120"/>
              <w:rPr>
                <w:rFonts w:ascii="Arial" w:hAnsi="Arial" w:cs="Arial"/>
                <w:sz w:val="22"/>
                <w:szCs w:val="22"/>
              </w:rPr>
            </w:pPr>
            <w:r w:rsidRPr="00B84EE3">
              <w:rPr>
                <w:rFonts w:ascii="Arial" w:hAnsi="Arial" w:cs="Arial"/>
                <w:sz w:val="22"/>
                <w:szCs w:val="22"/>
              </w:rPr>
              <w:t xml:space="preserve">Primary Completion date: December 2016 </w:t>
            </w:r>
          </w:p>
          <w:p w14:paraId="48260302" w14:textId="2063F0B3" w:rsidR="00B330AD" w:rsidRPr="003751CC" w:rsidRDefault="00B330AD" w:rsidP="00B330AD">
            <w:pPr>
              <w:spacing w:before="120" w:after="120"/>
              <w:rPr>
                <w:rFonts w:ascii="Arial" w:hAnsi="Arial" w:cs="Arial"/>
                <w:sz w:val="22"/>
                <w:szCs w:val="22"/>
              </w:rPr>
            </w:pPr>
            <w:r w:rsidRPr="00B84EE3">
              <w:rPr>
                <w:rFonts w:ascii="Arial" w:hAnsi="Arial" w:cs="Arial"/>
                <w:sz w:val="22"/>
                <w:szCs w:val="22"/>
              </w:rPr>
              <w:t xml:space="preserve">Study completion date: </w:t>
            </w:r>
            <w:r w:rsidR="00821FF7">
              <w:rPr>
                <w:rFonts w:ascii="Arial" w:hAnsi="Arial" w:cs="Arial"/>
                <w:sz w:val="22"/>
                <w:szCs w:val="22"/>
              </w:rPr>
              <w:t>Estimated December 2024</w:t>
            </w:r>
          </w:p>
        </w:tc>
      </w:tr>
    </w:tbl>
    <w:p w14:paraId="5401A7D7" w14:textId="77777777" w:rsidR="00A01E60" w:rsidRDefault="00A01E60" w:rsidP="00A01E60">
      <w:pPr>
        <w:pStyle w:val="Paragraphnonumbers"/>
      </w:pPr>
    </w:p>
    <w:p w14:paraId="5E90CA6E" w14:textId="77777777" w:rsidR="00A01E60" w:rsidRDefault="00A01E60" w:rsidP="00A01E60">
      <w:pPr>
        <w:pStyle w:val="Heading1"/>
      </w:pPr>
      <w:r>
        <w:t>Additional information</w:t>
      </w:r>
    </w:p>
    <w:p w14:paraId="49B8E9C0" w14:textId="7DC60F4B" w:rsidR="00821FF7" w:rsidRPr="00821FF7" w:rsidRDefault="00821FF7" w:rsidP="00821FF7">
      <w:pPr>
        <w:pStyle w:val="Paragraphnonumbers"/>
      </w:pPr>
      <w:r>
        <w:t>None.</w:t>
      </w:r>
    </w:p>
    <w:p w14:paraId="2D080534" w14:textId="77777777" w:rsidR="00A01E60" w:rsidRDefault="00A01E60" w:rsidP="00A01E60">
      <w:pPr>
        <w:pStyle w:val="Heading1"/>
      </w:pPr>
      <w:r>
        <w:t>References</w:t>
      </w:r>
    </w:p>
    <w:p w14:paraId="04FE1061" w14:textId="77777777" w:rsidR="001B3FA6" w:rsidRDefault="002C6A19" w:rsidP="001B3FA6">
      <w:pPr>
        <w:pStyle w:val="Paragraphnonumbers"/>
        <w:rPr>
          <w:rFonts w:cs="Arial"/>
          <w:color w:val="222222"/>
          <w:sz w:val="22"/>
          <w:szCs w:val="22"/>
          <w:shd w:val="clear" w:color="auto" w:fill="FFFFFF"/>
        </w:rPr>
      </w:pPr>
      <w:hyperlink r:id="rId42" w:history="1">
        <w:proofErr w:type="spellStart"/>
        <w:r w:rsidR="001B3FA6" w:rsidRPr="005C6938">
          <w:rPr>
            <w:rStyle w:val="Hyperlink"/>
            <w:rFonts w:cs="Arial"/>
            <w:sz w:val="22"/>
            <w:szCs w:val="22"/>
            <w:shd w:val="clear" w:color="auto" w:fill="FFFFFF"/>
          </w:rPr>
          <w:t>Balmaña</w:t>
        </w:r>
        <w:proofErr w:type="spellEnd"/>
        <w:r w:rsidR="001B3FA6" w:rsidRPr="005C6938">
          <w:rPr>
            <w:rStyle w:val="Hyperlink"/>
            <w:rFonts w:cs="Arial"/>
            <w:sz w:val="22"/>
            <w:szCs w:val="22"/>
            <w:shd w:val="clear" w:color="auto" w:fill="FFFFFF"/>
          </w:rPr>
          <w:t xml:space="preserve"> J, Fasching PA, Couch FJ et al (2023) Clinical effectiveness and safety of </w:t>
        </w:r>
        <w:proofErr w:type="spellStart"/>
        <w:r w:rsidR="001B3FA6" w:rsidRPr="005C6938">
          <w:rPr>
            <w:rStyle w:val="Hyperlink"/>
            <w:rFonts w:cs="Arial"/>
            <w:sz w:val="22"/>
            <w:szCs w:val="22"/>
            <w:shd w:val="clear" w:color="auto" w:fill="FFFFFF"/>
          </w:rPr>
          <w:t>olaparib</w:t>
        </w:r>
        <w:proofErr w:type="spellEnd"/>
        <w:r w:rsidR="001B3FA6" w:rsidRPr="005C6938">
          <w:rPr>
            <w:rStyle w:val="Hyperlink"/>
            <w:rFonts w:cs="Arial"/>
            <w:sz w:val="22"/>
            <w:szCs w:val="22"/>
            <w:shd w:val="clear" w:color="auto" w:fill="FFFFFF"/>
          </w:rPr>
          <w:t xml:space="preserve"> in BRCA-mutated, HER2-negative metastatic breast cancer in a real-world setting: final analysis of LUCY</w:t>
        </w:r>
      </w:hyperlink>
      <w:r w:rsidR="001B3FA6" w:rsidRPr="005C6938">
        <w:rPr>
          <w:rFonts w:cs="Arial"/>
          <w:color w:val="222222"/>
          <w:sz w:val="22"/>
          <w:szCs w:val="22"/>
          <w:shd w:val="clear" w:color="auto" w:fill="FFFFFF"/>
        </w:rPr>
        <w:t>. Breast Cancer Research and Treatment. 19:1-2.</w:t>
      </w:r>
    </w:p>
    <w:p w14:paraId="5B5AF889" w14:textId="77777777" w:rsidR="001B3FA6" w:rsidRPr="005C6938" w:rsidRDefault="001B3FA6" w:rsidP="001B3FA6">
      <w:pPr>
        <w:pStyle w:val="Paragraphnonumbers"/>
        <w:rPr>
          <w:rStyle w:val="Hyperlink"/>
          <w:rFonts w:cs="Arial"/>
          <w:sz w:val="22"/>
          <w:szCs w:val="22"/>
          <w:shd w:val="clear" w:color="auto" w:fill="FFFFFF"/>
        </w:rPr>
      </w:pPr>
      <w:r>
        <w:rPr>
          <w:rFonts w:cs="Arial"/>
          <w:color w:val="222222"/>
          <w:sz w:val="22"/>
          <w:szCs w:val="22"/>
          <w:shd w:val="clear" w:color="auto" w:fill="FFFFFF"/>
        </w:rPr>
        <w:lastRenderedPageBreak/>
        <w:fldChar w:fldCharType="begin"/>
      </w:r>
      <w:r>
        <w:rPr>
          <w:rFonts w:cs="Arial"/>
          <w:color w:val="222222"/>
          <w:sz w:val="22"/>
          <w:szCs w:val="22"/>
          <w:shd w:val="clear" w:color="auto" w:fill="FFFFFF"/>
        </w:rPr>
        <w:instrText>HYPERLINK "https://becarispublishing.com/doi/abs/10.2217/cer-2021-0097"</w:instrText>
      </w:r>
      <w:r>
        <w:rPr>
          <w:rFonts w:cs="Arial"/>
          <w:color w:val="222222"/>
          <w:sz w:val="22"/>
          <w:szCs w:val="22"/>
          <w:shd w:val="clear" w:color="auto" w:fill="FFFFFF"/>
        </w:rPr>
      </w:r>
      <w:r>
        <w:rPr>
          <w:rFonts w:cs="Arial"/>
          <w:color w:val="222222"/>
          <w:sz w:val="22"/>
          <w:szCs w:val="22"/>
          <w:shd w:val="clear" w:color="auto" w:fill="FFFFFF"/>
        </w:rPr>
        <w:fldChar w:fldCharType="separate"/>
      </w:r>
    </w:p>
    <w:p w14:paraId="4BFD8765" w14:textId="77777777" w:rsidR="001B3FA6" w:rsidRPr="005C6938" w:rsidRDefault="001B3FA6" w:rsidP="001B3FA6">
      <w:pPr>
        <w:pStyle w:val="Paragraphnonumbers"/>
        <w:rPr>
          <w:rFonts w:cs="Arial"/>
          <w:color w:val="222222"/>
          <w:sz w:val="22"/>
          <w:szCs w:val="22"/>
          <w:shd w:val="clear" w:color="auto" w:fill="FFFFFF"/>
        </w:rPr>
      </w:pPr>
      <w:r w:rsidRPr="005C6938">
        <w:rPr>
          <w:rStyle w:val="Hyperlink"/>
          <w:rFonts w:cs="Arial"/>
          <w:sz w:val="22"/>
          <w:szCs w:val="22"/>
          <w:shd w:val="clear" w:color="auto" w:fill="FFFFFF"/>
        </w:rPr>
        <w:t xml:space="preserve">McCrea C, Hettle R, Gulati P et al (2021) Indirect treatment comparison of </w:t>
      </w:r>
      <w:proofErr w:type="spellStart"/>
      <w:r w:rsidRPr="005C6938">
        <w:rPr>
          <w:rStyle w:val="Hyperlink"/>
          <w:rFonts w:cs="Arial"/>
          <w:sz w:val="22"/>
          <w:szCs w:val="22"/>
          <w:shd w:val="clear" w:color="auto" w:fill="FFFFFF"/>
        </w:rPr>
        <w:t>olaparib</w:t>
      </w:r>
      <w:proofErr w:type="spellEnd"/>
      <w:r w:rsidRPr="005C6938">
        <w:rPr>
          <w:rStyle w:val="Hyperlink"/>
          <w:rFonts w:cs="Arial"/>
          <w:sz w:val="22"/>
          <w:szCs w:val="22"/>
          <w:shd w:val="clear" w:color="auto" w:fill="FFFFFF"/>
        </w:rPr>
        <w:t xml:space="preserve"> and </w:t>
      </w:r>
      <w:proofErr w:type="spellStart"/>
      <w:r w:rsidRPr="005C6938">
        <w:rPr>
          <w:rStyle w:val="Hyperlink"/>
          <w:rFonts w:cs="Arial"/>
          <w:sz w:val="22"/>
          <w:szCs w:val="22"/>
          <w:shd w:val="clear" w:color="auto" w:fill="FFFFFF"/>
        </w:rPr>
        <w:t>talazoparib</w:t>
      </w:r>
      <w:proofErr w:type="spellEnd"/>
      <w:r w:rsidRPr="005C6938">
        <w:rPr>
          <w:rStyle w:val="Hyperlink"/>
          <w:rFonts w:cs="Arial"/>
          <w:sz w:val="22"/>
          <w:szCs w:val="22"/>
          <w:shd w:val="clear" w:color="auto" w:fill="FFFFFF"/>
        </w:rPr>
        <w:t xml:space="preserve"> in germline BRCA-mutated HER2-negative metastatic breast cancer</w:t>
      </w:r>
      <w:r>
        <w:rPr>
          <w:rFonts w:cs="Arial"/>
          <w:color w:val="222222"/>
          <w:sz w:val="22"/>
          <w:szCs w:val="22"/>
          <w:shd w:val="clear" w:color="auto" w:fill="FFFFFF"/>
        </w:rPr>
        <w:fldChar w:fldCharType="end"/>
      </w:r>
      <w:r w:rsidRPr="005C6938">
        <w:rPr>
          <w:rFonts w:cs="Arial"/>
          <w:color w:val="222222"/>
          <w:sz w:val="22"/>
          <w:szCs w:val="22"/>
          <w:shd w:val="clear" w:color="auto" w:fill="FFFFFF"/>
        </w:rPr>
        <w:t>. Journal of Comparative Effectiveness Research. 10(13):1021-30.</w:t>
      </w:r>
    </w:p>
    <w:p w14:paraId="751B4867" w14:textId="7EAF28E0" w:rsidR="0043352D" w:rsidRDefault="002C6A19" w:rsidP="00A01E60">
      <w:pPr>
        <w:pStyle w:val="Paragraphnonumbers"/>
        <w:rPr>
          <w:rFonts w:cs="Arial"/>
          <w:color w:val="222222"/>
          <w:sz w:val="22"/>
          <w:szCs w:val="22"/>
          <w:shd w:val="clear" w:color="auto" w:fill="FFFFFF"/>
        </w:rPr>
      </w:pPr>
      <w:hyperlink r:id="rId43" w:history="1">
        <w:r w:rsidR="0043352D" w:rsidRPr="005C6938">
          <w:rPr>
            <w:rStyle w:val="Hyperlink"/>
            <w:rFonts w:cs="Arial"/>
            <w:sz w:val="22"/>
            <w:szCs w:val="22"/>
            <w:shd w:val="clear" w:color="auto" w:fill="FFFFFF"/>
          </w:rPr>
          <w:t xml:space="preserve">Robson M, </w:t>
        </w:r>
        <w:proofErr w:type="spellStart"/>
        <w:r w:rsidR="0043352D" w:rsidRPr="005C6938">
          <w:rPr>
            <w:rStyle w:val="Hyperlink"/>
            <w:rFonts w:cs="Arial"/>
            <w:sz w:val="22"/>
            <w:szCs w:val="22"/>
            <w:shd w:val="clear" w:color="auto" w:fill="FFFFFF"/>
          </w:rPr>
          <w:t>Im</w:t>
        </w:r>
        <w:proofErr w:type="spellEnd"/>
        <w:r w:rsidR="0043352D" w:rsidRPr="005C6938">
          <w:rPr>
            <w:rStyle w:val="Hyperlink"/>
            <w:rFonts w:cs="Arial"/>
            <w:sz w:val="22"/>
            <w:szCs w:val="22"/>
            <w:shd w:val="clear" w:color="auto" w:fill="FFFFFF"/>
          </w:rPr>
          <w:t xml:space="preserve"> SA, Senkus E et al (2017). Olaparib for metastatic breast cancer in patients with a germline BRCA mutation</w:t>
        </w:r>
      </w:hyperlink>
      <w:r w:rsidR="0043352D" w:rsidRPr="005C6938">
        <w:rPr>
          <w:rFonts w:cs="Arial"/>
          <w:color w:val="222222"/>
          <w:sz w:val="22"/>
          <w:szCs w:val="22"/>
          <w:shd w:val="clear" w:color="auto" w:fill="FFFFFF"/>
        </w:rPr>
        <w:t>. New England Journal of Medicine 377(6):523-33</w:t>
      </w:r>
    </w:p>
    <w:p w14:paraId="45110A56" w14:textId="079138F4" w:rsidR="001B3FA6" w:rsidRPr="005C6938" w:rsidRDefault="002C6A19" w:rsidP="00A01E60">
      <w:pPr>
        <w:pStyle w:val="Paragraphnonumbers"/>
        <w:rPr>
          <w:rFonts w:cs="Arial"/>
          <w:color w:val="222222"/>
          <w:sz w:val="22"/>
          <w:szCs w:val="22"/>
          <w:shd w:val="clear" w:color="auto" w:fill="FFFFFF"/>
        </w:rPr>
      </w:pPr>
      <w:hyperlink r:id="rId44" w:history="1">
        <w:r w:rsidR="001B3FA6" w:rsidRPr="005C6938">
          <w:rPr>
            <w:rStyle w:val="Hyperlink"/>
            <w:rFonts w:cs="Arial"/>
            <w:sz w:val="22"/>
            <w:szCs w:val="22"/>
            <w:shd w:val="clear" w:color="auto" w:fill="FFFFFF"/>
          </w:rPr>
          <w:t xml:space="preserve">Robson ME, </w:t>
        </w:r>
        <w:proofErr w:type="spellStart"/>
        <w:r w:rsidR="001B3FA6" w:rsidRPr="005C6938">
          <w:rPr>
            <w:rStyle w:val="Hyperlink"/>
            <w:rFonts w:cs="Arial"/>
            <w:sz w:val="22"/>
            <w:szCs w:val="22"/>
            <w:shd w:val="clear" w:color="auto" w:fill="FFFFFF"/>
          </w:rPr>
          <w:t>Im</w:t>
        </w:r>
        <w:proofErr w:type="spellEnd"/>
        <w:r w:rsidR="001B3FA6" w:rsidRPr="005C6938">
          <w:rPr>
            <w:rStyle w:val="Hyperlink"/>
            <w:rFonts w:cs="Arial"/>
            <w:sz w:val="22"/>
            <w:szCs w:val="22"/>
            <w:shd w:val="clear" w:color="auto" w:fill="FFFFFF"/>
          </w:rPr>
          <w:t xml:space="preserve"> SA, Senkus E et al (2023). </w:t>
        </w:r>
        <w:proofErr w:type="spellStart"/>
        <w:r w:rsidR="001B3FA6" w:rsidRPr="005C6938">
          <w:rPr>
            <w:rStyle w:val="Hyperlink"/>
            <w:rFonts w:cs="Arial"/>
            <w:sz w:val="22"/>
            <w:szCs w:val="22"/>
            <w:shd w:val="clear" w:color="auto" w:fill="FFFFFF"/>
          </w:rPr>
          <w:t>OlympiAD</w:t>
        </w:r>
        <w:proofErr w:type="spellEnd"/>
        <w:r w:rsidR="001B3FA6" w:rsidRPr="005C6938">
          <w:rPr>
            <w:rStyle w:val="Hyperlink"/>
            <w:rFonts w:cs="Arial"/>
            <w:sz w:val="22"/>
            <w:szCs w:val="22"/>
            <w:shd w:val="clear" w:color="auto" w:fill="FFFFFF"/>
          </w:rPr>
          <w:t xml:space="preserve"> extended follow-up for overall survival and safety: Olaparib versus chemotherapy treatment of physician's choice in patients with a germline BRCA mutation and HER2-negative metastatic breast cancer</w:t>
        </w:r>
      </w:hyperlink>
      <w:r w:rsidR="001B3FA6" w:rsidRPr="005C6938">
        <w:rPr>
          <w:rFonts w:cs="Arial"/>
          <w:color w:val="222222"/>
          <w:sz w:val="22"/>
          <w:szCs w:val="22"/>
          <w:shd w:val="clear" w:color="auto" w:fill="FFFFFF"/>
        </w:rPr>
        <w:t>. European Journal of Cancer 184:39-47.</w:t>
      </w:r>
    </w:p>
    <w:p w14:paraId="2BB3D1D5" w14:textId="707B4647" w:rsidR="0043352D" w:rsidRPr="005C6938" w:rsidRDefault="002C6A19" w:rsidP="00A01E60">
      <w:pPr>
        <w:pStyle w:val="Paragraphnonumbers"/>
        <w:rPr>
          <w:rFonts w:cs="Arial"/>
          <w:color w:val="222222"/>
          <w:sz w:val="22"/>
          <w:szCs w:val="22"/>
          <w:shd w:val="clear" w:color="auto" w:fill="FFFFFF"/>
        </w:rPr>
      </w:pPr>
      <w:hyperlink r:id="rId45" w:history="1">
        <w:r w:rsidR="00062CDA" w:rsidRPr="005C6938">
          <w:rPr>
            <w:rStyle w:val="Hyperlink"/>
            <w:rFonts w:cs="Arial"/>
            <w:sz w:val="22"/>
            <w:szCs w:val="22"/>
            <w:shd w:val="clear" w:color="auto" w:fill="FFFFFF"/>
          </w:rPr>
          <w:t xml:space="preserve">Robson ME, Tung N, Conte P et al (2019). </w:t>
        </w:r>
        <w:proofErr w:type="spellStart"/>
        <w:r w:rsidR="00062CDA" w:rsidRPr="005C6938">
          <w:rPr>
            <w:rStyle w:val="Hyperlink"/>
            <w:rFonts w:cs="Arial"/>
            <w:sz w:val="22"/>
            <w:szCs w:val="22"/>
            <w:shd w:val="clear" w:color="auto" w:fill="FFFFFF"/>
          </w:rPr>
          <w:t>OlympiAD</w:t>
        </w:r>
        <w:proofErr w:type="spellEnd"/>
        <w:r w:rsidR="00062CDA" w:rsidRPr="005C6938">
          <w:rPr>
            <w:rStyle w:val="Hyperlink"/>
            <w:rFonts w:cs="Arial"/>
            <w:sz w:val="22"/>
            <w:szCs w:val="22"/>
            <w:shd w:val="clear" w:color="auto" w:fill="FFFFFF"/>
          </w:rPr>
          <w:t xml:space="preserve"> final overall survival and tolerability results: Olaparib versus chemotherapy treatment of physician’s choice in patients with a germline BRCA mutation and HER2-negative metastatic breast cancer</w:t>
        </w:r>
      </w:hyperlink>
      <w:r w:rsidR="00062CDA" w:rsidRPr="005C6938">
        <w:rPr>
          <w:rFonts w:cs="Arial"/>
          <w:color w:val="222222"/>
          <w:sz w:val="22"/>
          <w:szCs w:val="22"/>
          <w:shd w:val="clear" w:color="auto" w:fill="FFFFFF"/>
        </w:rPr>
        <w:t>. Annals of Oncology. 30(4):558-66</w:t>
      </w:r>
    </w:p>
    <w:p w14:paraId="439020F5" w14:textId="29DC3137" w:rsidR="001B3FA6" w:rsidRPr="005C6938" w:rsidRDefault="002C6A19" w:rsidP="00A01E60">
      <w:pPr>
        <w:pStyle w:val="Paragraphnonumbers"/>
        <w:rPr>
          <w:rFonts w:cs="Arial"/>
          <w:color w:val="222222"/>
          <w:sz w:val="22"/>
          <w:szCs w:val="22"/>
          <w:shd w:val="clear" w:color="auto" w:fill="FFFFFF"/>
        </w:rPr>
      </w:pPr>
      <w:hyperlink r:id="rId46" w:history="1">
        <w:r w:rsidR="001B3FA6" w:rsidRPr="005C6938">
          <w:rPr>
            <w:rStyle w:val="Hyperlink"/>
            <w:rFonts w:cs="Arial"/>
            <w:sz w:val="22"/>
            <w:szCs w:val="22"/>
            <w:shd w:val="clear" w:color="auto" w:fill="FFFFFF"/>
          </w:rPr>
          <w:t xml:space="preserve">Senkus E, </w:t>
        </w:r>
        <w:proofErr w:type="spellStart"/>
        <w:r w:rsidR="001B3FA6" w:rsidRPr="005C6938">
          <w:rPr>
            <w:rStyle w:val="Hyperlink"/>
            <w:rFonts w:cs="Arial"/>
            <w:sz w:val="22"/>
            <w:szCs w:val="22"/>
            <w:shd w:val="clear" w:color="auto" w:fill="FFFFFF"/>
          </w:rPr>
          <w:t>Delaloge</w:t>
        </w:r>
        <w:proofErr w:type="spellEnd"/>
        <w:r w:rsidR="001B3FA6" w:rsidRPr="005C6938">
          <w:rPr>
            <w:rStyle w:val="Hyperlink"/>
            <w:rFonts w:cs="Arial"/>
            <w:sz w:val="22"/>
            <w:szCs w:val="22"/>
            <w:shd w:val="clear" w:color="auto" w:fill="FFFFFF"/>
          </w:rPr>
          <w:t xml:space="preserve"> S, </w:t>
        </w:r>
        <w:proofErr w:type="spellStart"/>
        <w:r w:rsidR="001B3FA6" w:rsidRPr="005C6938">
          <w:rPr>
            <w:rStyle w:val="Hyperlink"/>
            <w:rFonts w:cs="Arial"/>
            <w:sz w:val="22"/>
            <w:szCs w:val="22"/>
            <w:shd w:val="clear" w:color="auto" w:fill="FFFFFF"/>
          </w:rPr>
          <w:t>Domchek</w:t>
        </w:r>
        <w:proofErr w:type="spellEnd"/>
        <w:r w:rsidR="001B3FA6" w:rsidRPr="005C6938">
          <w:rPr>
            <w:rStyle w:val="Hyperlink"/>
            <w:rFonts w:cs="Arial"/>
            <w:sz w:val="22"/>
            <w:szCs w:val="22"/>
            <w:shd w:val="clear" w:color="auto" w:fill="FFFFFF"/>
          </w:rPr>
          <w:t xml:space="preserve"> SM et al (2023). Olaparib efficacy in patients with germline BRCA</w:t>
        </w:r>
        <w:r w:rsidR="001B3FA6" w:rsidRPr="005C6938">
          <w:rPr>
            <w:rStyle w:val="Hyperlink"/>
            <w:rFonts w:ascii="Cambria Math" w:hAnsi="Cambria Math" w:cs="Cambria Math"/>
            <w:sz w:val="22"/>
            <w:szCs w:val="22"/>
            <w:shd w:val="clear" w:color="auto" w:fill="FFFFFF"/>
          </w:rPr>
          <w:t>‐</w:t>
        </w:r>
        <w:r w:rsidR="001B3FA6" w:rsidRPr="005C6938">
          <w:rPr>
            <w:rStyle w:val="Hyperlink"/>
            <w:rFonts w:cs="Arial"/>
            <w:sz w:val="22"/>
            <w:szCs w:val="22"/>
            <w:shd w:val="clear" w:color="auto" w:fill="FFFFFF"/>
          </w:rPr>
          <w:t>mutated, HER2</w:t>
        </w:r>
        <w:r w:rsidR="001B3FA6" w:rsidRPr="005C6938">
          <w:rPr>
            <w:rStyle w:val="Hyperlink"/>
            <w:rFonts w:ascii="Cambria Math" w:hAnsi="Cambria Math" w:cs="Cambria Math"/>
            <w:sz w:val="22"/>
            <w:szCs w:val="22"/>
            <w:shd w:val="clear" w:color="auto" w:fill="FFFFFF"/>
          </w:rPr>
          <w:t>‐</w:t>
        </w:r>
        <w:r w:rsidR="001B3FA6" w:rsidRPr="005C6938">
          <w:rPr>
            <w:rStyle w:val="Hyperlink"/>
            <w:rFonts w:cs="Arial"/>
            <w:sz w:val="22"/>
            <w:szCs w:val="22"/>
            <w:shd w:val="clear" w:color="auto" w:fill="FFFFFF"/>
          </w:rPr>
          <w:t xml:space="preserve">negative metastatic breast cancer: subgroup analyses from the phase III </w:t>
        </w:r>
        <w:proofErr w:type="spellStart"/>
        <w:r w:rsidR="001B3FA6" w:rsidRPr="005C6938">
          <w:rPr>
            <w:rStyle w:val="Hyperlink"/>
            <w:rFonts w:cs="Arial"/>
            <w:sz w:val="22"/>
            <w:szCs w:val="22"/>
            <w:shd w:val="clear" w:color="auto" w:fill="FFFFFF"/>
          </w:rPr>
          <w:t>OlympiAD</w:t>
        </w:r>
        <w:proofErr w:type="spellEnd"/>
        <w:r w:rsidR="001B3FA6" w:rsidRPr="005C6938">
          <w:rPr>
            <w:rStyle w:val="Hyperlink"/>
            <w:rFonts w:cs="Arial"/>
            <w:sz w:val="22"/>
            <w:szCs w:val="22"/>
            <w:shd w:val="clear" w:color="auto" w:fill="FFFFFF"/>
          </w:rPr>
          <w:t xml:space="preserve"> trial</w:t>
        </w:r>
      </w:hyperlink>
      <w:r w:rsidR="001B3FA6" w:rsidRPr="005C6938">
        <w:rPr>
          <w:rFonts w:cs="Arial"/>
          <w:color w:val="222222"/>
          <w:sz w:val="22"/>
          <w:szCs w:val="22"/>
          <w:shd w:val="clear" w:color="auto" w:fill="FFFFFF"/>
        </w:rPr>
        <w:t>. International Journal of Cancer 153(4):803-14</w:t>
      </w:r>
    </w:p>
    <w:p w14:paraId="21C038C3" w14:textId="7CEAEB9F" w:rsidR="005C6938" w:rsidRPr="005C6938" w:rsidRDefault="002C6A19" w:rsidP="00A01E60">
      <w:pPr>
        <w:pStyle w:val="Paragraphnonumbers"/>
        <w:rPr>
          <w:b/>
          <w:bCs/>
          <w:color w:val="FF0000"/>
          <w:sz w:val="28"/>
          <w:szCs w:val="28"/>
        </w:rPr>
      </w:pPr>
      <w:hyperlink r:id="rId47" w:history="1">
        <w:r w:rsidR="005C6938" w:rsidRPr="00821FF7">
          <w:rPr>
            <w:rStyle w:val="Hyperlink"/>
            <w:rFonts w:cs="Arial"/>
            <w:sz w:val="22"/>
            <w:szCs w:val="22"/>
            <w:shd w:val="clear" w:color="auto" w:fill="FFFFFF"/>
          </w:rPr>
          <w:t>Wang J, Zhang Y, Yuan L et al (2021) Comparative efficacy, safety, and acceptability of single-agent poly (ADP-ribose) polymerase (PARP) inhibitors in BRCA-mutated HER2-negative metastatic or advanced breast cancer: a network meta-analysis</w:t>
        </w:r>
      </w:hyperlink>
      <w:r w:rsidR="005C6938" w:rsidRPr="005C6938">
        <w:rPr>
          <w:rFonts w:cs="Arial"/>
          <w:color w:val="222222"/>
          <w:sz w:val="22"/>
          <w:szCs w:val="22"/>
          <w:shd w:val="clear" w:color="auto" w:fill="FFFFFF"/>
        </w:rPr>
        <w:t>. Aging 1;13(1):450.</w:t>
      </w:r>
    </w:p>
    <w:p w14:paraId="79BCBA29" w14:textId="77777777" w:rsidR="00BB200E" w:rsidRDefault="00BB200E" w:rsidP="002C56D0">
      <w:pPr>
        <w:pStyle w:val="Title"/>
      </w:pPr>
    </w:p>
    <w:p w14:paraId="771D41C2" w14:textId="77777777" w:rsidR="00BB200E" w:rsidRDefault="00BB200E" w:rsidP="002C56D0">
      <w:pPr>
        <w:pStyle w:val="Title"/>
      </w:pPr>
    </w:p>
    <w:p w14:paraId="533938C0" w14:textId="77777777" w:rsidR="00BB200E" w:rsidRDefault="00BB200E" w:rsidP="002C56D0">
      <w:pPr>
        <w:pStyle w:val="Title"/>
      </w:pPr>
    </w:p>
    <w:p w14:paraId="082C2A7C" w14:textId="77777777" w:rsidR="00BB200E" w:rsidRDefault="00BB200E" w:rsidP="002C56D0">
      <w:pPr>
        <w:pStyle w:val="Title"/>
      </w:pPr>
    </w:p>
    <w:p w14:paraId="7527F07F" w14:textId="77777777" w:rsidR="00BB200E" w:rsidRDefault="00BB200E" w:rsidP="002C56D0">
      <w:pPr>
        <w:pStyle w:val="Title"/>
      </w:pPr>
    </w:p>
    <w:p w14:paraId="3E10E398" w14:textId="77777777" w:rsidR="00BB200E" w:rsidRDefault="00BB200E" w:rsidP="002C56D0">
      <w:pPr>
        <w:pStyle w:val="Title"/>
      </w:pPr>
    </w:p>
    <w:p w14:paraId="4F7AF7BC" w14:textId="77777777" w:rsidR="00BB200E" w:rsidRDefault="00BB200E" w:rsidP="002C56D0">
      <w:pPr>
        <w:pStyle w:val="Title"/>
      </w:pPr>
    </w:p>
    <w:p w14:paraId="097F04FC" w14:textId="77777777" w:rsidR="00BB200E" w:rsidRDefault="00BB200E" w:rsidP="002C56D0">
      <w:pPr>
        <w:pStyle w:val="Title"/>
      </w:pPr>
    </w:p>
    <w:p w14:paraId="0A77D8D0" w14:textId="3CA566E0" w:rsidR="000A60AC" w:rsidRPr="00AD6FA2" w:rsidRDefault="000A60AC" w:rsidP="007C3669">
      <w:pPr>
        <w:rPr>
          <w:rFonts w:ascii="Arial" w:hAnsi="Arial"/>
          <w:b/>
          <w:bCs/>
          <w:kern w:val="28"/>
          <w:sz w:val="32"/>
          <w:szCs w:val="32"/>
        </w:rPr>
      </w:pPr>
    </w:p>
    <w:sectPr w:rsidR="000A60AC" w:rsidRPr="00AD6FA2" w:rsidSect="00A40AAD">
      <w:footerReference w:type="default" r:id="rId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9E480" w14:textId="77777777" w:rsidR="005B1A4E" w:rsidRDefault="005B1A4E" w:rsidP="00446BEE">
      <w:r>
        <w:separator/>
      </w:r>
    </w:p>
  </w:endnote>
  <w:endnote w:type="continuationSeparator" w:id="0">
    <w:p w14:paraId="17DAAC61" w14:textId="77777777" w:rsidR="005B1A4E" w:rsidRDefault="005B1A4E"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64FCB" w14:textId="1EE71FD1" w:rsidR="00A31718" w:rsidRPr="00A31718" w:rsidRDefault="00A31718" w:rsidP="00A31718">
    <w:pPr>
      <w:rPr>
        <w:rFonts w:ascii="Arial" w:hAnsi="Arial" w:cs="Arial"/>
        <w:sz w:val="20"/>
        <w:szCs w:val="20"/>
      </w:rPr>
    </w:pPr>
    <w:r w:rsidRPr="00A31718">
      <w:rPr>
        <w:rFonts w:ascii="Arial" w:hAnsi="Arial" w:cs="Arial"/>
        <w:sz w:val="20"/>
        <w:szCs w:val="20"/>
      </w:rPr>
      <w:t xml:space="preserve">Review proposal paper and draft scope for </w:t>
    </w:r>
    <w:proofErr w:type="spellStart"/>
    <w:r w:rsidRPr="00A31718">
      <w:rPr>
        <w:rFonts w:ascii="Arial" w:hAnsi="Arial" w:cs="Arial"/>
        <w:sz w:val="20"/>
        <w:szCs w:val="20"/>
      </w:rPr>
      <w:t>olaparib</w:t>
    </w:r>
    <w:proofErr w:type="spellEnd"/>
    <w:r w:rsidRPr="00A31718">
      <w:rPr>
        <w:rFonts w:ascii="Arial" w:hAnsi="Arial" w:cs="Arial"/>
        <w:sz w:val="20"/>
        <w:szCs w:val="20"/>
      </w:rPr>
      <w:t xml:space="preserve"> for treating BRCA mutation-positive HER2-negative </w:t>
    </w:r>
    <w:r w:rsidR="00B7469D">
      <w:rPr>
        <w:rFonts w:ascii="Arial" w:hAnsi="Arial" w:cs="Arial"/>
        <w:sz w:val="20"/>
        <w:szCs w:val="20"/>
      </w:rPr>
      <w:t>advanced</w:t>
    </w:r>
    <w:r w:rsidRPr="00A31718">
      <w:rPr>
        <w:rFonts w:ascii="Arial" w:hAnsi="Arial" w:cs="Arial"/>
        <w:sz w:val="20"/>
        <w:szCs w:val="20"/>
      </w:rPr>
      <w:t xml:space="preserve"> breast cancer after chemotherapy (Review of TA762) [ID6336]</w:t>
    </w:r>
  </w:p>
  <w:p w14:paraId="51FD2F7A" w14:textId="6F30076B" w:rsidR="0021354C" w:rsidRDefault="0021354C">
    <w:pPr>
      <w:pStyle w:val="Footer"/>
    </w:pPr>
  </w:p>
  <w:p w14:paraId="79133216" w14:textId="5C1C69D0" w:rsidR="0021354C" w:rsidRPr="00BF405E" w:rsidRDefault="0021354C" w:rsidP="00BF405E">
    <w:pPr>
      <w:pStyle w:val="Paragraphnonumbers"/>
      <w:rPr>
        <w:lang w:val="en-US"/>
      </w:rPr>
    </w:pPr>
    <w:r>
      <w:rPr>
        <w:sz w:val="20"/>
        <w:szCs w:val="20"/>
      </w:rPr>
      <w:t>© NICE 202</w:t>
    </w:r>
    <w:r w:rsidR="00AD2FD3">
      <w:rPr>
        <w:sz w:val="20"/>
        <w:szCs w:val="20"/>
      </w:rPr>
      <w:t>4</w:t>
    </w:r>
    <w:r>
      <w:rPr>
        <w:sz w:val="20"/>
        <w:szCs w:val="20"/>
      </w:rPr>
      <w:t xml:space="preserve">. All rights reserved. </w:t>
    </w:r>
    <w:hyperlink r:id="rId1" w:anchor="notice-of-rights" w:history="1">
      <w:r w:rsidRPr="00025653">
        <w:rPr>
          <w:rStyle w:val="Hyperlink"/>
          <w:sz w:val="20"/>
          <w:szCs w:val="20"/>
        </w:rPr>
        <w:t>Subject to Notice of rights.</w:t>
      </w:r>
    </w:hyperlink>
    <w:r>
      <w:tab/>
    </w:r>
    <w:r>
      <w:tab/>
    </w:r>
    <w:r>
      <w:tab/>
    </w:r>
    <w:r>
      <w:tab/>
    </w:r>
    <w:r>
      <w:fldChar w:fldCharType="begin"/>
    </w:r>
    <w:r>
      <w:instrText xml:space="preserve"> PAGE </w:instrText>
    </w:r>
    <w:r>
      <w:fldChar w:fldCharType="separate"/>
    </w:r>
    <w:r>
      <w:rPr>
        <w:noProof/>
      </w:rPr>
      <w:t>1</w:t>
    </w:r>
    <w:r>
      <w:fldChar w:fldCharType="end"/>
    </w:r>
    <w:r>
      <w:t xml:space="preserve"> of </w:t>
    </w:r>
    <w:r w:rsidR="00AF7895">
      <w:fldChar w:fldCharType="begin"/>
    </w:r>
    <w:r w:rsidR="00AF7895">
      <w:instrText xml:space="preserve"> NUMPAGES  </w:instrText>
    </w:r>
    <w:r w:rsidR="00AF7895">
      <w:fldChar w:fldCharType="separate"/>
    </w:r>
    <w:r>
      <w:rPr>
        <w:noProof/>
      </w:rPr>
      <w:t>1</w:t>
    </w:r>
    <w:r w:rsidR="00AF789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4258D" w14:textId="77777777" w:rsidR="005B1A4E" w:rsidRDefault="005B1A4E" w:rsidP="00446BEE">
      <w:r>
        <w:separator/>
      </w:r>
    </w:p>
  </w:footnote>
  <w:footnote w:type="continuationSeparator" w:id="0">
    <w:p w14:paraId="459B92B1" w14:textId="77777777" w:rsidR="005B1A4E" w:rsidRDefault="005B1A4E" w:rsidP="00446BEE">
      <w:r>
        <w:continuationSeparator/>
      </w:r>
    </w:p>
  </w:footnote>
  <w:footnote w:id="1">
    <w:p w14:paraId="29187199" w14:textId="77777777" w:rsidR="0021354C" w:rsidRPr="009937C4" w:rsidRDefault="0021354C" w:rsidP="009937C4">
      <w:pPr>
        <w:pStyle w:val="FootnoteText"/>
        <w:rPr>
          <w:lang w:val="en-GB"/>
        </w:rPr>
      </w:pPr>
      <w:r w:rsidRPr="009937C4">
        <w:rPr>
          <w:rStyle w:val="FootnoteReference"/>
        </w:rPr>
        <w:footnoteRef/>
      </w:r>
      <w:r w:rsidRPr="009937C4">
        <w:t xml:space="preserve"> </w:t>
      </w:r>
      <w:r w:rsidRPr="009937C4">
        <w:rPr>
          <w:lang w:val="en-GB"/>
        </w:rPr>
        <w:t xml:space="preserve">Information on the criteria for NICE allowing a technology appraisal in an ongoing clinical guideline can be found in section 6.20 of the </w:t>
      </w:r>
      <w:hyperlink r:id="rId1" w:anchor="updating-technology-appraisals-in-the-context-of-a-clinical-guideline" w:history="1">
        <w:r w:rsidRPr="009937C4">
          <w:rPr>
            <w:rStyle w:val="Hyperlink"/>
            <w:lang w:val="en-GB"/>
          </w:rPr>
          <w:t>guide to the processes of technology appraisal</w:t>
        </w:r>
      </w:hyperlink>
      <w:r w:rsidRPr="009937C4">
        <w:rPr>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44AC3"/>
    <w:multiLevelType w:val="hybridMultilevel"/>
    <w:tmpl w:val="CACEE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DB6B4A"/>
    <w:multiLevelType w:val="hybridMultilevel"/>
    <w:tmpl w:val="828CB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B04B32"/>
    <w:multiLevelType w:val="hybridMultilevel"/>
    <w:tmpl w:val="95BCBCE4"/>
    <w:lvl w:ilvl="0" w:tplc="EC0AD8CE">
      <w:start w:val="1"/>
      <w:numFmt w:val="decimal"/>
      <w:pStyle w:val="Sectionheading"/>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FF023AB"/>
    <w:multiLevelType w:val="hybridMultilevel"/>
    <w:tmpl w:val="1B282A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D74B9F"/>
    <w:multiLevelType w:val="hybridMultilevel"/>
    <w:tmpl w:val="90D6E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CC3584"/>
    <w:multiLevelType w:val="multilevel"/>
    <w:tmpl w:val="892E44BE"/>
    <w:lvl w:ilvl="0">
      <w:start w:val="1"/>
      <w:numFmt w:val="decimal"/>
      <w:pStyle w:val="Numberedheading1"/>
      <w:lvlText w:val="%1"/>
      <w:lvlJc w:val="left"/>
      <w:pPr>
        <w:tabs>
          <w:tab w:val="num" w:pos="1134"/>
        </w:tabs>
        <w:ind w:left="1134" w:hanging="1134"/>
      </w:pPr>
      <w:rPr>
        <w:rFonts w:hint="default"/>
      </w:rPr>
    </w:lvl>
    <w:lvl w:ilvl="1">
      <w:start w:val="1"/>
      <w:numFmt w:val="decimal"/>
      <w:pStyle w:val="Numberedlevel2text"/>
      <w:lvlText w:val="%1.%2"/>
      <w:lvlJc w:val="left"/>
      <w:pPr>
        <w:tabs>
          <w:tab w:val="num" w:pos="1134"/>
        </w:tabs>
        <w:ind w:left="1134" w:hanging="1134"/>
      </w:p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8" w15:restartNumberingAfterBreak="0">
    <w:nsid w:val="3D716899"/>
    <w:multiLevelType w:val="hybridMultilevel"/>
    <w:tmpl w:val="EF90F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04001E"/>
    <w:multiLevelType w:val="hybridMultilevel"/>
    <w:tmpl w:val="2C7623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175A07"/>
    <w:multiLevelType w:val="hybridMultilevel"/>
    <w:tmpl w:val="2D487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4B5233"/>
    <w:multiLevelType w:val="hybridMultilevel"/>
    <w:tmpl w:val="6CBC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8C1F1C"/>
    <w:multiLevelType w:val="hybridMultilevel"/>
    <w:tmpl w:val="417224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2B692E"/>
    <w:multiLevelType w:val="hybridMultilevel"/>
    <w:tmpl w:val="51D48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680CE7"/>
    <w:multiLevelType w:val="hybridMultilevel"/>
    <w:tmpl w:val="4F68D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B035BF"/>
    <w:multiLevelType w:val="hybridMultilevel"/>
    <w:tmpl w:val="327AEBE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62867D28"/>
    <w:multiLevelType w:val="hybridMultilevel"/>
    <w:tmpl w:val="57F0F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6F2189"/>
    <w:multiLevelType w:val="hybridMultilevel"/>
    <w:tmpl w:val="C57245A2"/>
    <w:lvl w:ilvl="0" w:tplc="D6D67F26">
      <w:start w:val="1"/>
      <w:numFmt w:val="bullet"/>
      <w:pStyle w:val="Bullets"/>
      <w:lvlText w:val=""/>
      <w:lvlJc w:val="left"/>
      <w:pPr>
        <w:ind w:left="454" w:hanging="454"/>
      </w:pPr>
      <w:rPr>
        <w:rFonts w:ascii="Symbol" w:hAnsi="Symbol" w:hint="default"/>
      </w:rPr>
    </w:lvl>
    <w:lvl w:ilvl="1" w:tplc="08090003" w:tentative="1">
      <w:start w:val="1"/>
      <w:numFmt w:val="bullet"/>
      <w:lvlText w:val="o"/>
      <w:lvlJc w:val="left"/>
      <w:pPr>
        <w:ind w:left="760" w:hanging="360"/>
      </w:pPr>
      <w:rPr>
        <w:rFonts w:ascii="Courier New" w:hAnsi="Courier New" w:cs="Courier New" w:hint="default"/>
      </w:rPr>
    </w:lvl>
    <w:lvl w:ilvl="2" w:tplc="08090005" w:tentative="1">
      <w:start w:val="1"/>
      <w:numFmt w:val="bullet"/>
      <w:lvlText w:val=""/>
      <w:lvlJc w:val="left"/>
      <w:pPr>
        <w:ind w:left="1480" w:hanging="360"/>
      </w:pPr>
      <w:rPr>
        <w:rFonts w:ascii="Wingdings" w:hAnsi="Wingdings" w:hint="default"/>
      </w:rPr>
    </w:lvl>
    <w:lvl w:ilvl="3" w:tplc="08090001" w:tentative="1">
      <w:start w:val="1"/>
      <w:numFmt w:val="bullet"/>
      <w:lvlText w:val=""/>
      <w:lvlJc w:val="left"/>
      <w:pPr>
        <w:ind w:left="2200" w:hanging="360"/>
      </w:pPr>
      <w:rPr>
        <w:rFonts w:ascii="Symbol" w:hAnsi="Symbol" w:hint="default"/>
      </w:rPr>
    </w:lvl>
    <w:lvl w:ilvl="4" w:tplc="08090003" w:tentative="1">
      <w:start w:val="1"/>
      <w:numFmt w:val="bullet"/>
      <w:lvlText w:val="o"/>
      <w:lvlJc w:val="left"/>
      <w:pPr>
        <w:ind w:left="2920" w:hanging="360"/>
      </w:pPr>
      <w:rPr>
        <w:rFonts w:ascii="Courier New" w:hAnsi="Courier New" w:cs="Courier New" w:hint="default"/>
      </w:rPr>
    </w:lvl>
    <w:lvl w:ilvl="5" w:tplc="08090005" w:tentative="1">
      <w:start w:val="1"/>
      <w:numFmt w:val="bullet"/>
      <w:lvlText w:val=""/>
      <w:lvlJc w:val="left"/>
      <w:pPr>
        <w:ind w:left="3640" w:hanging="360"/>
      </w:pPr>
      <w:rPr>
        <w:rFonts w:ascii="Wingdings" w:hAnsi="Wingdings" w:hint="default"/>
      </w:rPr>
    </w:lvl>
    <w:lvl w:ilvl="6" w:tplc="08090001" w:tentative="1">
      <w:start w:val="1"/>
      <w:numFmt w:val="bullet"/>
      <w:lvlText w:val=""/>
      <w:lvlJc w:val="left"/>
      <w:pPr>
        <w:ind w:left="4360" w:hanging="360"/>
      </w:pPr>
      <w:rPr>
        <w:rFonts w:ascii="Symbol" w:hAnsi="Symbol" w:hint="default"/>
      </w:rPr>
    </w:lvl>
    <w:lvl w:ilvl="7" w:tplc="08090003" w:tentative="1">
      <w:start w:val="1"/>
      <w:numFmt w:val="bullet"/>
      <w:lvlText w:val="o"/>
      <w:lvlJc w:val="left"/>
      <w:pPr>
        <w:ind w:left="5080" w:hanging="360"/>
      </w:pPr>
      <w:rPr>
        <w:rFonts w:ascii="Courier New" w:hAnsi="Courier New" w:cs="Courier New" w:hint="default"/>
      </w:rPr>
    </w:lvl>
    <w:lvl w:ilvl="8" w:tplc="08090005" w:tentative="1">
      <w:start w:val="1"/>
      <w:numFmt w:val="bullet"/>
      <w:lvlText w:val=""/>
      <w:lvlJc w:val="left"/>
      <w:pPr>
        <w:ind w:left="5800" w:hanging="360"/>
      </w:pPr>
      <w:rPr>
        <w:rFonts w:ascii="Wingdings" w:hAnsi="Wingdings" w:hint="default"/>
      </w:rPr>
    </w:lvl>
  </w:abstractNum>
  <w:abstractNum w:abstractNumId="29" w15:restartNumberingAfterBreak="0">
    <w:nsid w:val="69FF2E44"/>
    <w:multiLevelType w:val="hybridMultilevel"/>
    <w:tmpl w:val="33E64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160906"/>
    <w:multiLevelType w:val="hybridMultilevel"/>
    <w:tmpl w:val="A9D24B4A"/>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1" w15:restartNumberingAfterBreak="0">
    <w:nsid w:val="6AF910A9"/>
    <w:multiLevelType w:val="hybridMultilevel"/>
    <w:tmpl w:val="90E04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2A071E"/>
    <w:multiLevelType w:val="hybridMultilevel"/>
    <w:tmpl w:val="71309702"/>
    <w:lvl w:ilvl="0" w:tplc="436E3ED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6C41DA"/>
    <w:multiLevelType w:val="hybridMultilevel"/>
    <w:tmpl w:val="1250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C25F5B"/>
    <w:multiLevelType w:val="hybridMultilevel"/>
    <w:tmpl w:val="E152BEBA"/>
    <w:lvl w:ilvl="0" w:tplc="59A22A6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E9A1E9A"/>
    <w:multiLevelType w:val="hybridMultilevel"/>
    <w:tmpl w:val="ED7C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314162">
    <w:abstractNumId w:val="23"/>
  </w:num>
  <w:num w:numId="2" w16cid:durableId="620691757">
    <w:abstractNumId w:val="28"/>
  </w:num>
  <w:num w:numId="3" w16cid:durableId="6256708">
    <w:abstractNumId w:val="28"/>
    <w:lvlOverride w:ilvl="0">
      <w:startOverride w:val="1"/>
    </w:lvlOverride>
  </w:num>
  <w:num w:numId="4" w16cid:durableId="994838084">
    <w:abstractNumId w:val="28"/>
    <w:lvlOverride w:ilvl="0">
      <w:startOverride w:val="1"/>
    </w:lvlOverride>
  </w:num>
  <w:num w:numId="5" w16cid:durableId="1295215124">
    <w:abstractNumId w:val="28"/>
    <w:lvlOverride w:ilvl="0">
      <w:startOverride w:val="1"/>
    </w:lvlOverride>
  </w:num>
  <w:num w:numId="6" w16cid:durableId="1220946265">
    <w:abstractNumId w:val="28"/>
    <w:lvlOverride w:ilvl="0">
      <w:startOverride w:val="1"/>
    </w:lvlOverride>
  </w:num>
  <w:num w:numId="7" w16cid:durableId="1885942900">
    <w:abstractNumId w:val="28"/>
    <w:lvlOverride w:ilvl="0">
      <w:startOverride w:val="1"/>
    </w:lvlOverride>
  </w:num>
  <w:num w:numId="8" w16cid:durableId="761410971">
    <w:abstractNumId w:val="9"/>
  </w:num>
  <w:num w:numId="9" w16cid:durableId="620115468">
    <w:abstractNumId w:val="7"/>
  </w:num>
  <w:num w:numId="10" w16cid:durableId="697198881">
    <w:abstractNumId w:val="6"/>
  </w:num>
  <w:num w:numId="11" w16cid:durableId="1558780489">
    <w:abstractNumId w:val="5"/>
  </w:num>
  <w:num w:numId="12" w16cid:durableId="956252322">
    <w:abstractNumId w:val="4"/>
  </w:num>
  <w:num w:numId="13" w16cid:durableId="171066286">
    <w:abstractNumId w:val="8"/>
  </w:num>
  <w:num w:numId="14" w16cid:durableId="1054965015">
    <w:abstractNumId w:val="3"/>
  </w:num>
  <w:num w:numId="15" w16cid:durableId="417098740">
    <w:abstractNumId w:val="2"/>
  </w:num>
  <w:num w:numId="16" w16cid:durableId="1598051033">
    <w:abstractNumId w:val="1"/>
  </w:num>
  <w:num w:numId="17" w16cid:durableId="1041518103">
    <w:abstractNumId w:val="0"/>
  </w:num>
  <w:num w:numId="18" w16cid:durableId="275719882">
    <w:abstractNumId w:val="16"/>
  </w:num>
  <w:num w:numId="19" w16cid:durableId="2025670835">
    <w:abstractNumId w:val="16"/>
    <w:lvlOverride w:ilvl="0">
      <w:startOverride w:val="1"/>
    </w:lvlOverride>
  </w:num>
  <w:num w:numId="20" w16cid:durableId="1781412406">
    <w:abstractNumId w:val="14"/>
  </w:num>
  <w:num w:numId="21" w16cid:durableId="65566781">
    <w:abstractNumId w:val="12"/>
  </w:num>
  <w:num w:numId="22" w16cid:durableId="1289966241">
    <w:abstractNumId w:val="34"/>
  </w:num>
  <w:num w:numId="23" w16cid:durableId="1024482398">
    <w:abstractNumId w:val="34"/>
    <w:lvlOverride w:ilvl="0">
      <w:startOverride w:val="1"/>
    </w:lvlOverride>
  </w:num>
  <w:num w:numId="24" w16cid:durableId="298070986">
    <w:abstractNumId w:val="30"/>
  </w:num>
  <w:num w:numId="25" w16cid:durableId="852451429">
    <w:abstractNumId w:val="22"/>
  </w:num>
  <w:num w:numId="26" w16cid:durableId="32006900">
    <w:abstractNumId w:val="21"/>
  </w:num>
  <w:num w:numId="27" w16cid:durableId="1593587089">
    <w:abstractNumId w:val="27"/>
  </w:num>
  <w:num w:numId="28" w16cid:durableId="51005015">
    <w:abstractNumId w:val="15"/>
  </w:num>
  <w:num w:numId="29" w16cid:durableId="416295574">
    <w:abstractNumId w:val="13"/>
  </w:num>
  <w:num w:numId="30" w16cid:durableId="1043753998">
    <w:abstractNumId w:val="11"/>
  </w:num>
  <w:num w:numId="31" w16cid:durableId="255596514">
    <w:abstractNumId w:val="35"/>
  </w:num>
  <w:num w:numId="32" w16cid:durableId="1568538808">
    <w:abstractNumId w:val="19"/>
  </w:num>
  <w:num w:numId="33" w16cid:durableId="999575985">
    <w:abstractNumId w:val="20"/>
  </w:num>
  <w:num w:numId="34" w16cid:durableId="980573140">
    <w:abstractNumId w:val="31"/>
  </w:num>
  <w:num w:numId="35" w16cid:durableId="1799180445">
    <w:abstractNumId w:val="29"/>
  </w:num>
  <w:num w:numId="36" w16cid:durableId="489906643">
    <w:abstractNumId w:val="14"/>
  </w:num>
  <w:num w:numId="37" w16cid:durableId="1374500512">
    <w:abstractNumId w:val="14"/>
  </w:num>
  <w:num w:numId="38" w16cid:durableId="624895275">
    <w:abstractNumId w:val="32"/>
  </w:num>
  <w:num w:numId="39" w16cid:durableId="1006900905">
    <w:abstractNumId w:val="14"/>
    <w:lvlOverride w:ilvl="0">
      <w:startOverride w:val="1"/>
    </w:lvlOverride>
  </w:num>
  <w:num w:numId="40" w16cid:durableId="201283514">
    <w:abstractNumId w:val="14"/>
    <w:lvlOverride w:ilvl="0">
      <w:startOverride w:val="1"/>
    </w:lvlOverride>
  </w:num>
  <w:num w:numId="41" w16cid:durableId="140110088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73960251">
    <w:abstractNumId w:val="24"/>
  </w:num>
  <w:num w:numId="43" w16cid:durableId="1084644267">
    <w:abstractNumId w:val="10"/>
  </w:num>
  <w:num w:numId="44" w16cid:durableId="1459838431">
    <w:abstractNumId w:val="33"/>
  </w:num>
  <w:num w:numId="45" w16cid:durableId="1050767206">
    <w:abstractNumId w:val="25"/>
  </w:num>
  <w:num w:numId="46" w16cid:durableId="228855928">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17971849">
    <w:abstractNumId w:val="17"/>
  </w:num>
  <w:num w:numId="48" w16cid:durableId="10702747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A4E"/>
    <w:rsid w:val="00000412"/>
    <w:rsid w:val="000053F8"/>
    <w:rsid w:val="00007800"/>
    <w:rsid w:val="00013198"/>
    <w:rsid w:val="0001656B"/>
    <w:rsid w:val="00016F2C"/>
    <w:rsid w:val="00024D0A"/>
    <w:rsid w:val="00026F79"/>
    <w:rsid w:val="0003096D"/>
    <w:rsid w:val="00035F48"/>
    <w:rsid w:val="00037565"/>
    <w:rsid w:val="000472DC"/>
    <w:rsid w:val="00062CDA"/>
    <w:rsid w:val="00070065"/>
    <w:rsid w:val="00085E83"/>
    <w:rsid w:val="000959F0"/>
    <w:rsid w:val="000A0DE9"/>
    <w:rsid w:val="000A4C9F"/>
    <w:rsid w:val="000A4FEE"/>
    <w:rsid w:val="000A60AC"/>
    <w:rsid w:val="000A7BB5"/>
    <w:rsid w:val="000B5939"/>
    <w:rsid w:val="000C632E"/>
    <w:rsid w:val="000C65CC"/>
    <w:rsid w:val="000C7032"/>
    <w:rsid w:val="000D1204"/>
    <w:rsid w:val="000D1D10"/>
    <w:rsid w:val="000D25A9"/>
    <w:rsid w:val="000E17B7"/>
    <w:rsid w:val="000E185D"/>
    <w:rsid w:val="000E7FDC"/>
    <w:rsid w:val="000F0B94"/>
    <w:rsid w:val="000F2E03"/>
    <w:rsid w:val="00111CCE"/>
    <w:rsid w:val="001134E7"/>
    <w:rsid w:val="001319D2"/>
    <w:rsid w:val="0013249D"/>
    <w:rsid w:val="00137281"/>
    <w:rsid w:val="001411B7"/>
    <w:rsid w:val="0014379D"/>
    <w:rsid w:val="0015449E"/>
    <w:rsid w:val="00162E18"/>
    <w:rsid w:val="0017149E"/>
    <w:rsid w:val="0017169E"/>
    <w:rsid w:val="00171950"/>
    <w:rsid w:val="001736EB"/>
    <w:rsid w:val="00181A4A"/>
    <w:rsid w:val="00184692"/>
    <w:rsid w:val="001851E6"/>
    <w:rsid w:val="00187F9C"/>
    <w:rsid w:val="001A53F2"/>
    <w:rsid w:val="001B0EE9"/>
    <w:rsid w:val="001B3FA6"/>
    <w:rsid w:val="001B4ECE"/>
    <w:rsid w:val="001B65B3"/>
    <w:rsid w:val="001C0733"/>
    <w:rsid w:val="001C65A9"/>
    <w:rsid w:val="001D013E"/>
    <w:rsid w:val="001D62F5"/>
    <w:rsid w:val="001F08BB"/>
    <w:rsid w:val="002022A2"/>
    <w:rsid w:val="002029A6"/>
    <w:rsid w:val="0021354C"/>
    <w:rsid w:val="00214E02"/>
    <w:rsid w:val="00217AC7"/>
    <w:rsid w:val="0022647D"/>
    <w:rsid w:val="002367BB"/>
    <w:rsid w:val="002408EA"/>
    <w:rsid w:val="00241808"/>
    <w:rsid w:val="0024310A"/>
    <w:rsid w:val="00244819"/>
    <w:rsid w:val="002545B8"/>
    <w:rsid w:val="0027248D"/>
    <w:rsid w:val="002819D7"/>
    <w:rsid w:val="00282AEB"/>
    <w:rsid w:val="002839FA"/>
    <w:rsid w:val="00286EF2"/>
    <w:rsid w:val="00294270"/>
    <w:rsid w:val="002A07A7"/>
    <w:rsid w:val="002A2707"/>
    <w:rsid w:val="002A7088"/>
    <w:rsid w:val="002B21F3"/>
    <w:rsid w:val="002B7E84"/>
    <w:rsid w:val="002C1737"/>
    <w:rsid w:val="002C1A7E"/>
    <w:rsid w:val="002C22D7"/>
    <w:rsid w:val="002C56D0"/>
    <w:rsid w:val="002C6A19"/>
    <w:rsid w:val="002D3376"/>
    <w:rsid w:val="002E73F1"/>
    <w:rsid w:val="002F00A0"/>
    <w:rsid w:val="00311ED0"/>
    <w:rsid w:val="003155F7"/>
    <w:rsid w:val="00322A4E"/>
    <w:rsid w:val="003422B1"/>
    <w:rsid w:val="00344377"/>
    <w:rsid w:val="00344897"/>
    <w:rsid w:val="003648C5"/>
    <w:rsid w:val="00364B76"/>
    <w:rsid w:val="003722FA"/>
    <w:rsid w:val="003751CC"/>
    <w:rsid w:val="00375906"/>
    <w:rsid w:val="003844B5"/>
    <w:rsid w:val="00384B58"/>
    <w:rsid w:val="003A4176"/>
    <w:rsid w:val="003A7A01"/>
    <w:rsid w:val="003B267B"/>
    <w:rsid w:val="003B2A00"/>
    <w:rsid w:val="003C7AAF"/>
    <w:rsid w:val="003D3D3F"/>
    <w:rsid w:val="004049E7"/>
    <w:rsid w:val="004075B6"/>
    <w:rsid w:val="00410C81"/>
    <w:rsid w:val="00412A80"/>
    <w:rsid w:val="00420952"/>
    <w:rsid w:val="0042095C"/>
    <w:rsid w:val="0043352D"/>
    <w:rsid w:val="00433EFF"/>
    <w:rsid w:val="00437F3A"/>
    <w:rsid w:val="00443081"/>
    <w:rsid w:val="00445E8E"/>
    <w:rsid w:val="00446BEE"/>
    <w:rsid w:val="0045283F"/>
    <w:rsid w:val="0045575E"/>
    <w:rsid w:val="004700A2"/>
    <w:rsid w:val="00477367"/>
    <w:rsid w:val="00480B8B"/>
    <w:rsid w:val="00484890"/>
    <w:rsid w:val="00493444"/>
    <w:rsid w:val="0049374A"/>
    <w:rsid w:val="004A003F"/>
    <w:rsid w:val="004C7F8A"/>
    <w:rsid w:val="004F6E79"/>
    <w:rsid w:val="005025A1"/>
    <w:rsid w:val="00502CA9"/>
    <w:rsid w:val="0050472A"/>
    <w:rsid w:val="0051550A"/>
    <w:rsid w:val="0051778A"/>
    <w:rsid w:val="0053533C"/>
    <w:rsid w:val="005413D6"/>
    <w:rsid w:val="005462EC"/>
    <w:rsid w:val="00556EE7"/>
    <w:rsid w:val="00572C40"/>
    <w:rsid w:val="00592428"/>
    <w:rsid w:val="005B0306"/>
    <w:rsid w:val="005B072F"/>
    <w:rsid w:val="005B138C"/>
    <w:rsid w:val="005B1A4E"/>
    <w:rsid w:val="005C53A7"/>
    <w:rsid w:val="005C6938"/>
    <w:rsid w:val="005D259D"/>
    <w:rsid w:val="005E0EB9"/>
    <w:rsid w:val="00603543"/>
    <w:rsid w:val="0060431A"/>
    <w:rsid w:val="00605FCB"/>
    <w:rsid w:val="0062131B"/>
    <w:rsid w:val="00626D3D"/>
    <w:rsid w:val="006278DB"/>
    <w:rsid w:val="0065006F"/>
    <w:rsid w:val="00652B10"/>
    <w:rsid w:val="00657442"/>
    <w:rsid w:val="0066602D"/>
    <w:rsid w:val="00667F1F"/>
    <w:rsid w:val="006921E1"/>
    <w:rsid w:val="00697F5B"/>
    <w:rsid w:val="006A6117"/>
    <w:rsid w:val="006B15CA"/>
    <w:rsid w:val="006C0772"/>
    <w:rsid w:val="006E3206"/>
    <w:rsid w:val="006F4B25"/>
    <w:rsid w:val="006F6496"/>
    <w:rsid w:val="00700F6A"/>
    <w:rsid w:val="0070366A"/>
    <w:rsid w:val="00716432"/>
    <w:rsid w:val="00720878"/>
    <w:rsid w:val="00736348"/>
    <w:rsid w:val="00760908"/>
    <w:rsid w:val="00770A0B"/>
    <w:rsid w:val="00782D4E"/>
    <w:rsid w:val="00786181"/>
    <w:rsid w:val="00791B43"/>
    <w:rsid w:val="007B0924"/>
    <w:rsid w:val="007B572F"/>
    <w:rsid w:val="007C203B"/>
    <w:rsid w:val="007C3669"/>
    <w:rsid w:val="007D1C3B"/>
    <w:rsid w:val="007D75EF"/>
    <w:rsid w:val="007F1F20"/>
    <w:rsid w:val="007F238D"/>
    <w:rsid w:val="00802FAC"/>
    <w:rsid w:val="00806703"/>
    <w:rsid w:val="00807320"/>
    <w:rsid w:val="00821FF7"/>
    <w:rsid w:val="00842D7A"/>
    <w:rsid w:val="00861B92"/>
    <w:rsid w:val="00863176"/>
    <w:rsid w:val="0088045F"/>
    <w:rsid w:val="00880606"/>
    <w:rsid w:val="00881034"/>
    <w:rsid w:val="008814FB"/>
    <w:rsid w:val="00881BAF"/>
    <w:rsid w:val="008862B0"/>
    <w:rsid w:val="008A1897"/>
    <w:rsid w:val="008C1624"/>
    <w:rsid w:val="008C4C08"/>
    <w:rsid w:val="008D022F"/>
    <w:rsid w:val="008D0AE5"/>
    <w:rsid w:val="008D2CB9"/>
    <w:rsid w:val="008D420D"/>
    <w:rsid w:val="008E0A3D"/>
    <w:rsid w:val="008F5E30"/>
    <w:rsid w:val="008F6FA4"/>
    <w:rsid w:val="009057B5"/>
    <w:rsid w:val="00914D7F"/>
    <w:rsid w:val="009274D5"/>
    <w:rsid w:val="00932A5D"/>
    <w:rsid w:val="00934829"/>
    <w:rsid w:val="00934E40"/>
    <w:rsid w:val="009362A9"/>
    <w:rsid w:val="009565C1"/>
    <w:rsid w:val="00956E19"/>
    <w:rsid w:val="00961076"/>
    <w:rsid w:val="00972682"/>
    <w:rsid w:val="0098593F"/>
    <w:rsid w:val="009937C4"/>
    <w:rsid w:val="009A3D36"/>
    <w:rsid w:val="009B5DE4"/>
    <w:rsid w:val="009D07E5"/>
    <w:rsid w:val="009E12B0"/>
    <w:rsid w:val="009E5491"/>
    <w:rsid w:val="009E680B"/>
    <w:rsid w:val="009F555D"/>
    <w:rsid w:val="00A00733"/>
    <w:rsid w:val="00A01E60"/>
    <w:rsid w:val="00A15A1F"/>
    <w:rsid w:val="00A30E7D"/>
    <w:rsid w:val="00A31718"/>
    <w:rsid w:val="00A3325A"/>
    <w:rsid w:val="00A37E85"/>
    <w:rsid w:val="00A40AAD"/>
    <w:rsid w:val="00A4265E"/>
    <w:rsid w:val="00A43013"/>
    <w:rsid w:val="00A43D70"/>
    <w:rsid w:val="00A54A64"/>
    <w:rsid w:val="00A62452"/>
    <w:rsid w:val="00A72170"/>
    <w:rsid w:val="00A75474"/>
    <w:rsid w:val="00A824A0"/>
    <w:rsid w:val="00A83640"/>
    <w:rsid w:val="00A95E80"/>
    <w:rsid w:val="00AA52DD"/>
    <w:rsid w:val="00AD2FD3"/>
    <w:rsid w:val="00AD6FA2"/>
    <w:rsid w:val="00AE0225"/>
    <w:rsid w:val="00AF108A"/>
    <w:rsid w:val="00AF7895"/>
    <w:rsid w:val="00B02E55"/>
    <w:rsid w:val="00B036C1"/>
    <w:rsid w:val="00B11F26"/>
    <w:rsid w:val="00B2148F"/>
    <w:rsid w:val="00B27824"/>
    <w:rsid w:val="00B330AD"/>
    <w:rsid w:val="00B3359D"/>
    <w:rsid w:val="00B34714"/>
    <w:rsid w:val="00B365C9"/>
    <w:rsid w:val="00B37478"/>
    <w:rsid w:val="00B41E82"/>
    <w:rsid w:val="00B5431F"/>
    <w:rsid w:val="00B54B80"/>
    <w:rsid w:val="00B5616C"/>
    <w:rsid w:val="00B66F17"/>
    <w:rsid w:val="00B7469D"/>
    <w:rsid w:val="00B81431"/>
    <w:rsid w:val="00B81A73"/>
    <w:rsid w:val="00B84303"/>
    <w:rsid w:val="00B84EE3"/>
    <w:rsid w:val="00B86FDC"/>
    <w:rsid w:val="00B90F6E"/>
    <w:rsid w:val="00BA2D53"/>
    <w:rsid w:val="00BB200E"/>
    <w:rsid w:val="00BE5BE4"/>
    <w:rsid w:val="00BF3AA6"/>
    <w:rsid w:val="00BF405E"/>
    <w:rsid w:val="00BF6A1B"/>
    <w:rsid w:val="00BF7FE0"/>
    <w:rsid w:val="00C0431B"/>
    <w:rsid w:val="00C07CFA"/>
    <w:rsid w:val="00C11AC7"/>
    <w:rsid w:val="00C20BE1"/>
    <w:rsid w:val="00C2686F"/>
    <w:rsid w:val="00C32046"/>
    <w:rsid w:val="00C57DEC"/>
    <w:rsid w:val="00C62DD7"/>
    <w:rsid w:val="00C654E4"/>
    <w:rsid w:val="00C711AC"/>
    <w:rsid w:val="00C72FEB"/>
    <w:rsid w:val="00C81104"/>
    <w:rsid w:val="00C96411"/>
    <w:rsid w:val="00C96FD3"/>
    <w:rsid w:val="00C97226"/>
    <w:rsid w:val="00CA1977"/>
    <w:rsid w:val="00CA4960"/>
    <w:rsid w:val="00CA5D48"/>
    <w:rsid w:val="00CB5671"/>
    <w:rsid w:val="00CC3C8B"/>
    <w:rsid w:val="00CD716A"/>
    <w:rsid w:val="00CF58B7"/>
    <w:rsid w:val="00CF624E"/>
    <w:rsid w:val="00D16EB8"/>
    <w:rsid w:val="00D351C1"/>
    <w:rsid w:val="00D35EFB"/>
    <w:rsid w:val="00D44CBB"/>
    <w:rsid w:val="00D504B3"/>
    <w:rsid w:val="00D5571F"/>
    <w:rsid w:val="00D86BF0"/>
    <w:rsid w:val="00D87094"/>
    <w:rsid w:val="00D90FB9"/>
    <w:rsid w:val="00DC1FA0"/>
    <w:rsid w:val="00DE2375"/>
    <w:rsid w:val="00DE3DBE"/>
    <w:rsid w:val="00DE6865"/>
    <w:rsid w:val="00DE7D2D"/>
    <w:rsid w:val="00DF5F88"/>
    <w:rsid w:val="00E13166"/>
    <w:rsid w:val="00E14DE6"/>
    <w:rsid w:val="00E22111"/>
    <w:rsid w:val="00E43A09"/>
    <w:rsid w:val="00E51625"/>
    <w:rsid w:val="00E51920"/>
    <w:rsid w:val="00E5761A"/>
    <w:rsid w:val="00E64120"/>
    <w:rsid w:val="00E656C8"/>
    <w:rsid w:val="00E660A1"/>
    <w:rsid w:val="00E71BF8"/>
    <w:rsid w:val="00EA1F59"/>
    <w:rsid w:val="00EA271C"/>
    <w:rsid w:val="00EA3CCF"/>
    <w:rsid w:val="00EB3266"/>
    <w:rsid w:val="00EC55B7"/>
    <w:rsid w:val="00ED2448"/>
    <w:rsid w:val="00EF0E17"/>
    <w:rsid w:val="00EF2B63"/>
    <w:rsid w:val="00EF3AF9"/>
    <w:rsid w:val="00EF3D38"/>
    <w:rsid w:val="00F055F1"/>
    <w:rsid w:val="00F06F37"/>
    <w:rsid w:val="00F23A8B"/>
    <w:rsid w:val="00F24C83"/>
    <w:rsid w:val="00F326FA"/>
    <w:rsid w:val="00F37E04"/>
    <w:rsid w:val="00F405B4"/>
    <w:rsid w:val="00F50CF3"/>
    <w:rsid w:val="00F57DA3"/>
    <w:rsid w:val="00F610AF"/>
    <w:rsid w:val="00F62CF4"/>
    <w:rsid w:val="00F85A74"/>
    <w:rsid w:val="00FA049B"/>
    <w:rsid w:val="00FA2C5A"/>
    <w:rsid w:val="00FA3C67"/>
    <w:rsid w:val="00FC0886"/>
    <w:rsid w:val="00FC2D11"/>
    <w:rsid w:val="00FC6230"/>
    <w:rsid w:val="00FD7B12"/>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D4F67"/>
  <w15:docId w15:val="{96BA2CD9-29A2-4BDD-8707-69E309C8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9937C4"/>
    <w:pPr>
      <w:numPr>
        <w:numId w:val="2"/>
      </w:numPr>
      <w:spacing w:after="120" w:line="276" w:lineRule="auto"/>
    </w:pPr>
    <w:rPr>
      <w:rFonts w:ascii="Arial" w:hAnsi="Arial"/>
    </w:rPr>
  </w:style>
  <w:style w:type="paragraph" w:styleId="Header">
    <w:name w:val="header"/>
    <w:basedOn w:val="Normal"/>
    <w:link w:val="HeaderChar"/>
    <w:rsid w:val="0017169E"/>
    <w:pPr>
      <w:tabs>
        <w:tab w:val="center" w:pos="4513"/>
        <w:tab w:val="right" w:pos="9026"/>
      </w:tabs>
    </w:pPr>
    <w:rPr>
      <w:rFonts w:ascii="Arial" w:hAnsi="Arial"/>
    </w:rPr>
  </w:style>
  <w:style w:type="character" w:customStyle="1" w:styleId="HeaderChar">
    <w:name w:val="Header Char"/>
    <w:link w:val="Header"/>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PlaceholderText">
    <w:name w:val="Placeholder Text"/>
    <w:basedOn w:val="DefaultParagraphFont"/>
    <w:uiPriority w:val="99"/>
    <w:semiHidden/>
    <w:rsid w:val="008C1624"/>
    <w:rPr>
      <w:color w:val="808080"/>
    </w:rPr>
  </w:style>
  <w:style w:type="character" w:styleId="CommentReference">
    <w:name w:val="annotation reference"/>
    <w:basedOn w:val="DefaultParagraphFont"/>
    <w:unhideWhenUsed/>
    <w:rsid w:val="008C1624"/>
    <w:rPr>
      <w:sz w:val="16"/>
      <w:szCs w:val="16"/>
    </w:rPr>
  </w:style>
  <w:style w:type="paragraph" w:styleId="CommentText">
    <w:name w:val="annotation text"/>
    <w:basedOn w:val="Normal"/>
    <w:link w:val="CommentTextChar"/>
    <w:unhideWhenUsed/>
    <w:rsid w:val="008C1624"/>
    <w:rPr>
      <w:sz w:val="20"/>
      <w:szCs w:val="20"/>
    </w:rPr>
  </w:style>
  <w:style w:type="character" w:customStyle="1" w:styleId="CommentTextChar">
    <w:name w:val="Comment Text Char"/>
    <w:basedOn w:val="DefaultParagraphFont"/>
    <w:link w:val="CommentText"/>
    <w:rsid w:val="008C1624"/>
  </w:style>
  <w:style w:type="paragraph" w:styleId="CommentSubject">
    <w:name w:val="annotation subject"/>
    <w:basedOn w:val="CommentText"/>
    <w:next w:val="CommentText"/>
    <w:link w:val="CommentSubjectChar"/>
    <w:semiHidden/>
    <w:unhideWhenUsed/>
    <w:rsid w:val="008C1624"/>
    <w:rPr>
      <w:b/>
      <w:bCs/>
    </w:rPr>
  </w:style>
  <w:style w:type="character" w:customStyle="1" w:styleId="CommentSubjectChar">
    <w:name w:val="Comment Subject Char"/>
    <w:basedOn w:val="CommentTextChar"/>
    <w:link w:val="CommentSubject"/>
    <w:semiHidden/>
    <w:rsid w:val="008C1624"/>
    <w:rPr>
      <w:b/>
      <w:bCs/>
    </w:rPr>
  </w:style>
  <w:style w:type="table" w:styleId="TableGrid">
    <w:name w:val="Table Grid"/>
    <w:basedOn w:val="TableNormal"/>
    <w:rsid w:val="008C1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ListParagraph"/>
    <w:rsid w:val="0053533C"/>
    <w:pPr>
      <w:numPr>
        <w:numId w:val="21"/>
      </w:numPr>
      <w:tabs>
        <w:tab w:val="num" w:pos="360"/>
      </w:tabs>
      <w:spacing w:before="360" w:after="120"/>
      <w:ind w:left="720" w:firstLine="0"/>
    </w:pPr>
    <w:rPr>
      <w:rFonts w:ascii="Arial" w:hAnsi="Arial"/>
      <w:b/>
      <w:bCs/>
      <w:szCs w:val="20"/>
      <w:lang w:eastAsia="en-US"/>
    </w:rPr>
  </w:style>
  <w:style w:type="paragraph" w:styleId="ListParagraph">
    <w:name w:val="List Paragraph"/>
    <w:basedOn w:val="Normal"/>
    <w:uiPriority w:val="34"/>
    <w:semiHidden/>
    <w:qFormat/>
    <w:rsid w:val="0053533C"/>
    <w:pPr>
      <w:ind w:left="720"/>
      <w:contextualSpacing/>
    </w:pPr>
  </w:style>
  <w:style w:type="character" w:styleId="Hyperlink">
    <w:name w:val="Hyperlink"/>
    <w:rsid w:val="009937C4"/>
    <w:rPr>
      <w:color w:val="0000FF"/>
      <w:u w:val="single"/>
    </w:rPr>
  </w:style>
  <w:style w:type="paragraph" w:styleId="FootnoteText">
    <w:name w:val="footnote text"/>
    <w:basedOn w:val="Normal"/>
    <w:link w:val="FootnoteTextChar"/>
    <w:rsid w:val="009937C4"/>
    <w:pPr>
      <w:spacing w:after="240"/>
    </w:pPr>
    <w:rPr>
      <w:rFonts w:ascii="Arial" w:hAnsi="Arial"/>
      <w:sz w:val="20"/>
      <w:szCs w:val="20"/>
      <w:lang w:val="x-none" w:eastAsia="en-US"/>
    </w:rPr>
  </w:style>
  <w:style w:type="character" w:customStyle="1" w:styleId="FootnoteTextChar">
    <w:name w:val="Footnote Text Char"/>
    <w:basedOn w:val="DefaultParagraphFont"/>
    <w:link w:val="FootnoteText"/>
    <w:rsid w:val="009937C4"/>
    <w:rPr>
      <w:rFonts w:ascii="Arial" w:hAnsi="Arial"/>
      <w:lang w:val="x-none" w:eastAsia="en-US"/>
    </w:rPr>
  </w:style>
  <w:style w:type="character" w:styleId="FootnoteReference">
    <w:name w:val="footnote reference"/>
    <w:rsid w:val="009937C4"/>
    <w:rPr>
      <w:vertAlign w:val="superscript"/>
    </w:rPr>
  </w:style>
  <w:style w:type="character" w:styleId="FollowedHyperlink">
    <w:name w:val="FollowedHyperlink"/>
    <w:basedOn w:val="DefaultParagraphFont"/>
    <w:semiHidden/>
    <w:unhideWhenUsed/>
    <w:rsid w:val="009937C4"/>
    <w:rPr>
      <w:color w:val="800080" w:themeColor="followedHyperlink"/>
      <w:u w:val="single"/>
    </w:rPr>
  </w:style>
  <w:style w:type="paragraph" w:customStyle="1" w:styleId="Heading1numbered">
    <w:name w:val="Heading 1 numbered"/>
    <w:basedOn w:val="Heading1"/>
    <w:link w:val="Heading1numberedChar"/>
    <w:qFormat/>
    <w:rsid w:val="003844B5"/>
  </w:style>
  <w:style w:type="character" w:customStyle="1" w:styleId="Heading1numberedChar">
    <w:name w:val="Heading 1 numbered Char"/>
    <w:basedOn w:val="Heading1Char"/>
    <w:link w:val="Heading1numbered"/>
    <w:rsid w:val="003844B5"/>
    <w:rPr>
      <w:rFonts w:ascii="Arial" w:hAnsi="Arial"/>
      <w:b/>
      <w:bCs/>
      <w:kern w:val="32"/>
      <w:sz w:val="28"/>
      <w:szCs w:val="32"/>
    </w:rPr>
  </w:style>
  <w:style w:type="paragraph" w:styleId="NormalWeb">
    <w:name w:val="Normal (Web)"/>
    <w:basedOn w:val="Normal"/>
    <w:uiPriority w:val="99"/>
    <w:unhideWhenUsed/>
    <w:rsid w:val="0098593F"/>
    <w:pPr>
      <w:spacing w:before="100" w:beforeAutospacing="1" w:after="100" w:afterAutospacing="1"/>
    </w:pPr>
  </w:style>
  <w:style w:type="paragraph" w:styleId="Revision">
    <w:name w:val="Revision"/>
    <w:hidden/>
    <w:uiPriority w:val="99"/>
    <w:semiHidden/>
    <w:rsid w:val="0088045F"/>
    <w:rPr>
      <w:sz w:val="24"/>
      <w:szCs w:val="24"/>
    </w:rPr>
  </w:style>
  <w:style w:type="paragraph" w:styleId="BodyText2">
    <w:name w:val="Body Text 2"/>
    <w:basedOn w:val="BodyText"/>
    <w:link w:val="BodyText2Char"/>
    <w:rsid w:val="00C654E4"/>
    <w:pPr>
      <w:spacing w:before="120"/>
    </w:pPr>
    <w:rPr>
      <w:rFonts w:ascii="Arial" w:hAnsi="Arial"/>
      <w:szCs w:val="20"/>
      <w:lang w:val="x-none" w:eastAsia="en-US"/>
    </w:rPr>
  </w:style>
  <w:style w:type="character" w:customStyle="1" w:styleId="BodyText2Char">
    <w:name w:val="Body Text 2 Char"/>
    <w:basedOn w:val="DefaultParagraphFont"/>
    <w:link w:val="BodyText2"/>
    <w:rsid w:val="00C654E4"/>
    <w:rPr>
      <w:rFonts w:ascii="Arial" w:hAnsi="Arial"/>
      <w:sz w:val="24"/>
      <w:lang w:val="x-none" w:eastAsia="en-US"/>
    </w:rPr>
  </w:style>
  <w:style w:type="paragraph" w:styleId="BodyText">
    <w:name w:val="Body Text"/>
    <w:basedOn w:val="Normal"/>
    <w:link w:val="BodyTextChar"/>
    <w:semiHidden/>
    <w:unhideWhenUsed/>
    <w:rsid w:val="00C654E4"/>
    <w:pPr>
      <w:spacing w:after="120"/>
    </w:pPr>
  </w:style>
  <w:style w:type="character" w:customStyle="1" w:styleId="BodyTextChar">
    <w:name w:val="Body Text Char"/>
    <w:basedOn w:val="DefaultParagraphFont"/>
    <w:link w:val="BodyText"/>
    <w:semiHidden/>
    <w:rsid w:val="00C654E4"/>
    <w:rPr>
      <w:sz w:val="24"/>
      <w:szCs w:val="24"/>
    </w:rPr>
  </w:style>
  <w:style w:type="paragraph" w:customStyle="1" w:styleId="NICEnormalsinglespacing">
    <w:name w:val="NICE normal single spacing"/>
    <w:basedOn w:val="Normal"/>
    <w:rsid w:val="000C632E"/>
    <w:pPr>
      <w:spacing w:after="240"/>
    </w:pPr>
    <w:rPr>
      <w:rFonts w:ascii="Arial" w:hAnsi="Arial"/>
      <w:lang w:val="en-US" w:eastAsia="en-US"/>
    </w:rPr>
  </w:style>
  <w:style w:type="character" w:styleId="Strong">
    <w:name w:val="Strong"/>
    <w:basedOn w:val="DefaultParagraphFont"/>
    <w:uiPriority w:val="22"/>
    <w:qFormat/>
    <w:rsid w:val="00000412"/>
    <w:rPr>
      <w:b/>
      <w:bCs/>
    </w:rPr>
  </w:style>
  <w:style w:type="character" w:styleId="UnresolvedMention">
    <w:name w:val="Unresolved Mention"/>
    <w:basedOn w:val="DefaultParagraphFont"/>
    <w:uiPriority w:val="99"/>
    <w:semiHidden/>
    <w:unhideWhenUsed/>
    <w:rsid w:val="00C32046"/>
    <w:rPr>
      <w:color w:val="605E5C"/>
      <w:shd w:val="clear" w:color="auto" w:fill="E1DFDD"/>
    </w:rPr>
  </w:style>
  <w:style w:type="paragraph" w:customStyle="1" w:styleId="NICEnormal">
    <w:name w:val="NICE normal"/>
    <w:link w:val="NICEnormalChar"/>
    <w:qFormat/>
    <w:rsid w:val="00B34714"/>
    <w:pPr>
      <w:spacing w:after="240" w:line="360" w:lineRule="auto"/>
    </w:pPr>
    <w:rPr>
      <w:rFonts w:ascii="Arial" w:hAnsi="Arial"/>
      <w:sz w:val="24"/>
      <w:szCs w:val="24"/>
      <w:lang w:eastAsia="en-US"/>
    </w:rPr>
  </w:style>
  <w:style w:type="character" w:customStyle="1" w:styleId="NICEnormalChar">
    <w:name w:val="NICE normal Char"/>
    <w:link w:val="NICEnormal"/>
    <w:rsid w:val="00B34714"/>
    <w:rPr>
      <w:rFonts w:ascii="Arial" w:hAnsi="Arial"/>
      <w:sz w:val="24"/>
      <w:szCs w:val="24"/>
      <w:lang w:eastAsia="en-US"/>
    </w:rPr>
  </w:style>
  <w:style w:type="paragraph" w:customStyle="1" w:styleId="Numberedheading1">
    <w:name w:val="Numbered heading 1"/>
    <w:basedOn w:val="Heading1"/>
    <w:next w:val="NICEnormal"/>
    <w:rsid w:val="00B34714"/>
    <w:pPr>
      <w:numPr>
        <w:numId w:val="46"/>
      </w:numPr>
      <w:spacing w:before="240" w:line="360" w:lineRule="auto"/>
    </w:pPr>
    <w:rPr>
      <w:rFonts w:cs="Arial"/>
      <w:sz w:val="32"/>
      <w:szCs w:val="24"/>
      <w:lang w:eastAsia="en-US"/>
    </w:rPr>
  </w:style>
  <w:style w:type="paragraph" w:customStyle="1" w:styleId="Numberedlevel2text">
    <w:name w:val="Numbered level 2 text"/>
    <w:basedOn w:val="Normal"/>
    <w:qFormat/>
    <w:rsid w:val="00B34714"/>
    <w:pPr>
      <w:numPr>
        <w:ilvl w:val="1"/>
        <w:numId w:val="46"/>
      </w:numPr>
      <w:spacing w:after="240" w:line="360" w:lineRule="auto"/>
    </w:pPr>
    <w:rPr>
      <w:rFonts w:ascii="Arial" w:hAnsi="Arial"/>
      <w:bCs/>
      <w:iCs/>
      <w:szCs w:val="2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5903">
      <w:bodyDiv w:val="1"/>
      <w:marLeft w:val="0"/>
      <w:marRight w:val="0"/>
      <w:marTop w:val="0"/>
      <w:marBottom w:val="0"/>
      <w:divBdr>
        <w:top w:val="none" w:sz="0" w:space="0" w:color="auto"/>
        <w:left w:val="none" w:sz="0" w:space="0" w:color="auto"/>
        <w:bottom w:val="none" w:sz="0" w:space="0" w:color="auto"/>
        <w:right w:val="none" w:sz="0" w:space="0" w:color="auto"/>
      </w:divBdr>
    </w:div>
    <w:div w:id="171452216">
      <w:bodyDiv w:val="1"/>
      <w:marLeft w:val="0"/>
      <w:marRight w:val="0"/>
      <w:marTop w:val="0"/>
      <w:marBottom w:val="0"/>
      <w:divBdr>
        <w:top w:val="none" w:sz="0" w:space="0" w:color="auto"/>
        <w:left w:val="none" w:sz="0" w:space="0" w:color="auto"/>
        <w:bottom w:val="none" w:sz="0" w:space="0" w:color="auto"/>
        <w:right w:val="none" w:sz="0" w:space="0" w:color="auto"/>
      </w:divBdr>
    </w:div>
    <w:div w:id="397752564">
      <w:bodyDiv w:val="1"/>
      <w:marLeft w:val="0"/>
      <w:marRight w:val="0"/>
      <w:marTop w:val="0"/>
      <w:marBottom w:val="0"/>
      <w:divBdr>
        <w:top w:val="none" w:sz="0" w:space="0" w:color="auto"/>
        <w:left w:val="none" w:sz="0" w:space="0" w:color="auto"/>
        <w:bottom w:val="none" w:sz="0" w:space="0" w:color="auto"/>
        <w:right w:val="none" w:sz="0" w:space="0" w:color="auto"/>
      </w:divBdr>
      <w:divsChild>
        <w:div w:id="1644385630">
          <w:marLeft w:val="0"/>
          <w:marRight w:val="0"/>
          <w:marTop w:val="0"/>
          <w:marBottom w:val="0"/>
          <w:divBdr>
            <w:top w:val="none" w:sz="0" w:space="0" w:color="auto"/>
            <w:left w:val="none" w:sz="0" w:space="0" w:color="auto"/>
            <w:bottom w:val="none" w:sz="0" w:space="0" w:color="auto"/>
            <w:right w:val="none" w:sz="0" w:space="0" w:color="auto"/>
          </w:divBdr>
        </w:div>
      </w:divsChild>
    </w:div>
    <w:div w:id="553127870">
      <w:bodyDiv w:val="1"/>
      <w:marLeft w:val="0"/>
      <w:marRight w:val="0"/>
      <w:marTop w:val="0"/>
      <w:marBottom w:val="0"/>
      <w:divBdr>
        <w:top w:val="none" w:sz="0" w:space="0" w:color="auto"/>
        <w:left w:val="none" w:sz="0" w:space="0" w:color="auto"/>
        <w:bottom w:val="none" w:sz="0" w:space="0" w:color="auto"/>
        <w:right w:val="none" w:sz="0" w:space="0" w:color="auto"/>
      </w:divBdr>
      <w:divsChild>
        <w:div w:id="2143111327">
          <w:marLeft w:val="0"/>
          <w:marRight w:val="0"/>
          <w:marTop w:val="0"/>
          <w:marBottom w:val="0"/>
          <w:divBdr>
            <w:top w:val="none" w:sz="0" w:space="0" w:color="auto"/>
            <w:left w:val="none" w:sz="0" w:space="0" w:color="auto"/>
            <w:bottom w:val="none" w:sz="0" w:space="0" w:color="auto"/>
            <w:right w:val="none" w:sz="0" w:space="0" w:color="auto"/>
          </w:divBdr>
        </w:div>
      </w:divsChild>
    </w:div>
    <w:div w:id="734082915">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1">
          <w:marLeft w:val="0"/>
          <w:marRight w:val="0"/>
          <w:marTop w:val="0"/>
          <w:marBottom w:val="0"/>
          <w:divBdr>
            <w:top w:val="none" w:sz="0" w:space="0" w:color="auto"/>
            <w:left w:val="none" w:sz="0" w:space="0" w:color="auto"/>
            <w:bottom w:val="none" w:sz="0" w:space="0" w:color="auto"/>
            <w:right w:val="none" w:sz="0" w:space="0" w:color="auto"/>
          </w:divBdr>
        </w:div>
      </w:divsChild>
    </w:div>
    <w:div w:id="743259083">
      <w:bodyDiv w:val="1"/>
      <w:marLeft w:val="0"/>
      <w:marRight w:val="0"/>
      <w:marTop w:val="0"/>
      <w:marBottom w:val="0"/>
      <w:divBdr>
        <w:top w:val="none" w:sz="0" w:space="0" w:color="auto"/>
        <w:left w:val="none" w:sz="0" w:space="0" w:color="auto"/>
        <w:bottom w:val="none" w:sz="0" w:space="0" w:color="auto"/>
        <w:right w:val="none" w:sz="0" w:space="0" w:color="auto"/>
      </w:divBdr>
    </w:div>
    <w:div w:id="1435782057">
      <w:bodyDiv w:val="1"/>
      <w:marLeft w:val="0"/>
      <w:marRight w:val="0"/>
      <w:marTop w:val="0"/>
      <w:marBottom w:val="0"/>
      <w:divBdr>
        <w:top w:val="none" w:sz="0" w:space="0" w:color="auto"/>
        <w:left w:val="none" w:sz="0" w:space="0" w:color="auto"/>
        <w:bottom w:val="none" w:sz="0" w:space="0" w:color="auto"/>
        <w:right w:val="none" w:sz="0" w:space="0" w:color="auto"/>
      </w:divBdr>
      <w:divsChild>
        <w:div w:id="296570451">
          <w:marLeft w:val="0"/>
          <w:marRight w:val="0"/>
          <w:marTop w:val="0"/>
          <w:marBottom w:val="0"/>
          <w:divBdr>
            <w:top w:val="none" w:sz="0" w:space="0" w:color="auto"/>
            <w:left w:val="none" w:sz="0" w:space="0" w:color="auto"/>
            <w:bottom w:val="none" w:sz="0" w:space="0" w:color="auto"/>
            <w:right w:val="none" w:sz="0" w:space="0" w:color="auto"/>
          </w:divBdr>
          <w:divsChild>
            <w:div w:id="1051492101">
              <w:marLeft w:val="0"/>
              <w:marRight w:val="0"/>
              <w:marTop w:val="0"/>
              <w:marBottom w:val="0"/>
              <w:divBdr>
                <w:top w:val="none" w:sz="0" w:space="0" w:color="auto"/>
                <w:left w:val="none" w:sz="0" w:space="0" w:color="auto"/>
                <w:bottom w:val="none" w:sz="0" w:space="0" w:color="auto"/>
                <w:right w:val="none" w:sz="0" w:space="0" w:color="auto"/>
              </w:divBdr>
              <w:divsChild>
                <w:div w:id="989483736">
                  <w:marLeft w:val="0"/>
                  <w:marRight w:val="0"/>
                  <w:marTop w:val="0"/>
                  <w:marBottom w:val="0"/>
                  <w:divBdr>
                    <w:top w:val="none" w:sz="0" w:space="0" w:color="auto"/>
                    <w:left w:val="none" w:sz="0" w:space="0" w:color="auto"/>
                    <w:bottom w:val="none" w:sz="0" w:space="0" w:color="auto"/>
                    <w:right w:val="none" w:sz="0" w:space="0" w:color="auto"/>
                  </w:divBdr>
                  <w:divsChild>
                    <w:div w:id="1272513965">
                      <w:marLeft w:val="0"/>
                      <w:marRight w:val="0"/>
                      <w:marTop w:val="0"/>
                      <w:marBottom w:val="0"/>
                      <w:divBdr>
                        <w:top w:val="none" w:sz="0" w:space="0" w:color="auto"/>
                        <w:left w:val="none" w:sz="0" w:space="0" w:color="auto"/>
                        <w:bottom w:val="none" w:sz="0" w:space="0" w:color="auto"/>
                        <w:right w:val="none" w:sz="0" w:space="0" w:color="auto"/>
                      </w:divBdr>
                      <w:divsChild>
                        <w:div w:id="1818498218">
                          <w:marLeft w:val="0"/>
                          <w:marRight w:val="0"/>
                          <w:marTop w:val="0"/>
                          <w:marBottom w:val="0"/>
                          <w:divBdr>
                            <w:top w:val="none" w:sz="0" w:space="0" w:color="auto"/>
                            <w:left w:val="none" w:sz="0" w:space="0" w:color="auto"/>
                            <w:bottom w:val="none" w:sz="0" w:space="0" w:color="auto"/>
                            <w:right w:val="none" w:sz="0" w:space="0" w:color="auto"/>
                          </w:divBdr>
                          <w:divsChild>
                            <w:div w:id="373116479">
                              <w:marLeft w:val="0"/>
                              <w:marRight w:val="0"/>
                              <w:marTop w:val="0"/>
                              <w:marBottom w:val="0"/>
                              <w:divBdr>
                                <w:top w:val="none" w:sz="0" w:space="0" w:color="auto"/>
                                <w:left w:val="none" w:sz="0" w:space="0" w:color="auto"/>
                                <w:bottom w:val="none" w:sz="0" w:space="0" w:color="auto"/>
                                <w:right w:val="none" w:sz="0" w:space="0" w:color="auto"/>
                              </w:divBdr>
                              <w:divsChild>
                                <w:div w:id="1974556939">
                                  <w:marLeft w:val="360"/>
                                  <w:marRight w:val="360"/>
                                  <w:marTop w:val="0"/>
                                  <w:marBottom w:val="0"/>
                                  <w:divBdr>
                                    <w:top w:val="none" w:sz="0" w:space="0" w:color="auto"/>
                                    <w:left w:val="none" w:sz="0" w:space="0" w:color="auto"/>
                                    <w:bottom w:val="none" w:sz="0" w:space="0" w:color="auto"/>
                                    <w:right w:val="none" w:sz="0" w:space="0" w:color="auto"/>
                                  </w:divBdr>
                                  <w:divsChild>
                                    <w:div w:id="605116255">
                                      <w:marLeft w:val="0"/>
                                      <w:marRight w:val="0"/>
                                      <w:marTop w:val="0"/>
                                      <w:marBottom w:val="0"/>
                                      <w:divBdr>
                                        <w:top w:val="none" w:sz="0" w:space="0" w:color="auto"/>
                                        <w:left w:val="none" w:sz="0" w:space="0" w:color="auto"/>
                                        <w:bottom w:val="none" w:sz="0" w:space="0" w:color="auto"/>
                                        <w:right w:val="none" w:sz="0" w:space="0" w:color="auto"/>
                                      </w:divBdr>
                                      <w:divsChild>
                                        <w:div w:id="1402750351">
                                          <w:marLeft w:val="0"/>
                                          <w:marRight w:val="0"/>
                                          <w:marTop w:val="0"/>
                                          <w:marBottom w:val="300"/>
                                          <w:divBdr>
                                            <w:top w:val="none" w:sz="0" w:space="0" w:color="auto"/>
                                            <w:left w:val="none" w:sz="0" w:space="0" w:color="auto"/>
                                            <w:bottom w:val="none" w:sz="0" w:space="0" w:color="auto"/>
                                            <w:right w:val="none" w:sz="0" w:space="0" w:color="auto"/>
                                          </w:divBdr>
                                          <w:divsChild>
                                            <w:div w:id="1708605550">
                                              <w:marLeft w:val="0"/>
                                              <w:marRight w:val="0"/>
                                              <w:marTop w:val="0"/>
                                              <w:marBottom w:val="0"/>
                                              <w:divBdr>
                                                <w:top w:val="none" w:sz="0" w:space="0" w:color="auto"/>
                                                <w:left w:val="none" w:sz="0" w:space="0" w:color="auto"/>
                                                <w:bottom w:val="none" w:sz="0" w:space="0" w:color="auto"/>
                                                <w:right w:val="none" w:sz="0" w:space="0" w:color="auto"/>
                                              </w:divBdr>
                                              <w:divsChild>
                                                <w:div w:id="1639384791">
                                                  <w:marLeft w:val="0"/>
                                                  <w:marRight w:val="0"/>
                                                  <w:marTop w:val="0"/>
                                                  <w:marBottom w:val="0"/>
                                                  <w:divBdr>
                                                    <w:top w:val="none" w:sz="0" w:space="0" w:color="auto"/>
                                                    <w:left w:val="none" w:sz="0" w:space="0" w:color="auto"/>
                                                    <w:bottom w:val="none" w:sz="0" w:space="0" w:color="auto"/>
                                                    <w:right w:val="none" w:sz="0" w:space="0" w:color="auto"/>
                                                  </w:divBdr>
                                                  <w:divsChild>
                                                    <w:div w:id="4667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9052884">
      <w:bodyDiv w:val="1"/>
      <w:marLeft w:val="0"/>
      <w:marRight w:val="0"/>
      <w:marTop w:val="0"/>
      <w:marBottom w:val="0"/>
      <w:divBdr>
        <w:top w:val="none" w:sz="0" w:space="0" w:color="auto"/>
        <w:left w:val="none" w:sz="0" w:space="0" w:color="auto"/>
        <w:bottom w:val="none" w:sz="0" w:space="0" w:color="auto"/>
        <w:right w:val="none" w:sz="0" w:space="0" w:color="auto"/>
      </w:divBdr>
      <w:divsChild>
        <w:div w:id="318315568">
          <w:marLeft w:val="0"/>
          <w:marRight w:val="0"/>
          <w:marTop w:val="0"/>
          <w:marBottom w:val="0"/>
          <w:divBdr>
            <w:top w:val="none" w:sz="0" w:space="0" w:color="auto"/>
            <w:left w:val="none" w:sz="0" w:space="0" w:color="auto"/>
            <w:bottom w:val="none" w:sz="0" w:space="0" w:color="auto"/>
            <w:right w:val="none" w:sz="0" w:space="0" w:color="auto"/>
          </w:divBdr>
        </w:div>
      </w:divsChild>
    </w:div>
    <w:div w:id="1877235874">
      <w:bodyDiv w:val="1"/>
      <w:marLeft w:val="0"/>
      <w:marRight w:val="0"/>
      <w:marTop w:val="0"/>
      <w:marBottom w:val="0"/>
      <w:divBdr>
        <w:top w:val="none" w:sz="0" w:space="0" w:color="auto"/>
        <w:left w:val="none" w:sz="0" w:space="0" w:color="auto"/>
        <w:bottom w:val="none" w:sz="0" w:space="0" w:color="auto"/>
        <w:right w:val="none" w:sz="0" w:space="0" w:color="auto"/>
      </w:divBdr>
    </w:div>
    <w:div w:id="1982537808">
      <w:bodyDiv w:val="1"/>
      <w:marLeft w:val="0"/>
      <w:marRight w:val="0"/>
      <w:marTop w:val="0"/>
      <w:marBottom w:val="0"/>
      <w:divBdr>
        <w:top w:val="none" w:sz="0" w:space="0" w:color="auto"/>
        <w:left w:val="none" w:sz="0" w:space="0" w:color="auto"/>
        <w:bottom w:val="none" w:sz="0" w:space="0" w:color="auto"/>
        <w:right w:val="none" w:sz="0" w:space="0" w:color="auto"/>
      </w:divBdr>
      <w:divsChild>
        <w:div w:id="2114746066">
          <w:marLeft w:val="0"/>
          <w:marRight w:val="0"/>
          <w:marTop w:val="240"/>
          <w:marBottom w:val="0"/>
          <w:divBdr>
            <w:top w:val="none" w:sz="0" w:space="0" w:color="auto"/>
            <w:left w:val="none" w:sz="0" w:space="0" w:color="auto"/>
            <w:bottom w:val="none" w:sz="0" w:space="0" w:color="auto"/>
            <w:right w:val="none" w:sz="0" w:space="0" w:color="auto"/>
          </w:divBdr>
        </w:div>
        <w:div w:id="1889678715">
          <w:marLeft w:val="0"/>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ice.org.uk/guidance/ta886" TargetMode="External"/><Relationship Id="rId18" Type="http://schemas.openxmlformats.org/officeDocument/2006/relationships/hyperlink" Target="https://www.nice.org.uk/guidance/ta801" TargetMode="External"/><Relationship Id="rId26" Type="http://schemas.openxmlformats.org/officeDocument/2006/relationships/hyperlink" Target="https://www.nice.org.uk/guidance/indevelopment?ps=2500&amp;q=breast%20cancer&amp;ngt=Technology%20appraisal%20guidance" TargetMode="External"/><Relationship Id="rId39" Type="http://schemas.openxmlformats.org/officeDocument/2006/relationships/hyperlink" Target="https://www.nice.org.uk/about/what-we-do/our-programmes/nice-guidance/nice-technology-appraisal-guidance/changes-to-health-technology-evaluation" TargetMode="External"/><Relationship Id="rId21" Type="http://schemas.openxmlformats.org/officeDocument/2006/relationships/hyperlink" Target="https://www.nice.org.uk/guidance/ta619" TargetMode="External"/><Relationship Id="rId34" Type="http://schemas.openxmlformats.org/officeDocument/2006/relationships/hyperlink" Target="https://www.longtermplan.nhs.uk/publication/nhs-long-term-plan/" TargetMode="External"/><Relationship Id="rId42" Type="http://schemas.openxmlformats.org/officeDocument/2006/relationships/hyperlink" Target="https://link.springer.com/article/10.1007/s10549-023-07165-x" TargetMode="External"/><Relationship Id="rId47" Type="http://schemas.openxmlformats.org/officeDocument/2006/relationships/hyperlink" Target="https://www.ncbi.nlm.nih.gov/pmc/articles/PMC7834995/"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ice.org.uk/guidance/ta819" TargetMode="External"/><Relationship Id="rId29" Type="http://schemas.openxmlformats.org/officeDocument/2006/relationships/hyperlink" Target="https://www.nice.org.uk/guidance/cg81" TargetMode="External"/><Relationship Id="rId11" Type="http://schemas.openxmlformats.org/officeDocument/2006/relationships/hyperlink" Target="https://www.nice.org.uk/process/pmg36/chapter/introduction-to-health-technology-evaluation" TargetMode="External"/><Relationship Id="rId24" Type="http://schemas.openxmlformats.org/officeDocument/2006/relationships/hyperlink" Target="https://www.nice.org.uk/guidance/indevelopment/gid-ta11513" TargetMode="External"/><Relationship Id="rId32" Type="http://schemas.openxmlformats.org/officeDocument/2006/relationships/hyperlink" Target="https://www.nice.org.uk/advice/MIB135" TargetMode="External"/><Relationship Id="rId37" Type="http://schemas.openxmlformats.org/officeDocument/2006/relationships/hyperlink" Target="https://www.nice.org.uk/guidance/ta952" TargetMode="External"/><Relationship Id="rId40" Type="http://schemas.openxmlformats.org/officeDocument/2006/relationships/hyperlink" Target="https://www.nice.org.uk/process/pmg36/chapter/introduction-to-health-technology-evaluation" TargetMode="External"/><Relationship Id="rId45" Type="http://schemas.openxmlformats.org/officeDocument/2006/relationships/hyperlink" Target="https://www.sciencedirect.com/science/article/pii/S0923753419311111" TargetMode="External"/><Relationship Id="rId5" Type="http://schemas.openxmlformats.org/officeDocument/2006/relationships/webSettings" Target="webSettings.xml"/><Relationship Id="rId15" Type="http://schemas.openxmlformats.org/officeDocument/2006/relationships/hyperlink" Target="https://www.nice.org.uk/guidance/ta836" TargetMode="External"/><Relationship Id="rId23" Type="http://schemas.openxmlformats.org/officeDocument/2006/relationships/hyperlink" Target="https://www.nice.org.uk/guidance/ta421" TargetMode="External"/><Relationship Id="rId28" Type="http://schemas.openxmlformats.org/officeDocument/2006/relationships/hyperlink" Target="https://www.nice.org.uk/guidance/indevelopment/gid-ta11400" TargetMode="External"/><Relationship Id="rId36" Type="http://schemas.openxmlformats.org/officeDocument/2006/relationships/hyperlink" Target="https://www.medicines.org.uk/emc/product/9204/smpc" TargetMode="External"/><Relationship Id="rId49" Type="http://schemas.openxmlformats.org/officeDocument/2006/relationships/fontTable" Target="fontTable.xml"/><Relationship Id="rId10" Type="http://schemas.openxmlformats.org/officeDocument/2006/relationships/hyperlink" Target="https://www.nice.org.uk/about/what-we-do/our-programmes/nice-guidance/nice-technology-appraisal-guidance/process" TargetMode="External"/><Relationship Id="rId19" Type="http://schemas.openxmlformats.org/officeDocument/2006/relationships/hyperlink" Target="https://www.nice.org.uk/guidance/ta725" TargetMode="External"/><Relationship Id="rId31" Type="http://schemas.openxmlformats.org/officeDocument/2006/relationships/hyperlink" Target="https://www.nice.org.uk/guidance/CSG1" TargetMode="External"/><Relationship Id="rId44" Type="http://schemas.openxmlformats.org/officeDocument/2006/relationships/hyperlink" Target="https://www.sciencedirect.com/science/article/pii/S0959804923000801" TargetMode="External"/><Relationship Id="rId4" Type="http://schemas.openxmlformats.org/officeDocument/2006/relationships/settings" Target="settings.xml"/><Relationship Id="rId9" Type="http://schemas.openxmlformats.org/officeDocument/2006/relationships/hyperlink" Target="https://www.nice.org.uk/guidance/ta952" TargetMode="External"/><Relationship Id="rId14" Type="http://schemas.openxmlformats.org/officeDocument/2006/relationships/hyperlink" Target="https://www.nice.org.uk/guidance/ta851" TargetMode="External"/><Relationship Id="rId22" Type="http://schemas.openxmlformats.org/officeDocument/2006/relationships/hyperlink" Target="https://www.nice.org.uk/guidance/ta423" TargetMode="External"/><Relationship Id="rId27" Type="http://schemas.openxmlformats.org/officeDocument/2006/relationships/hyperlink" Target="https://www.nice.org.uk/guidance/indevelopment/gid-ta10919" TargetMode="External"/><Relationship Id="rId30" Type="http://schemas.openxmlformats.org/officeDocument/2006/relationships/hyperlink" Target="https://www.nice.org.uk/guidance/cg164" TargetMode="External"/><Relationship Id="rId35" Type="http://schemas.openxmlformats.org/officeDocument/2006/relationships/hyperlink" Target="https://www.england.nhs.uk/wp-content/uploads/2017/10/PRN00115-prescribed-specialised-services-manual-v6.pdf" TargetMode="External"/><Relationship Id="rId43" Type="http://schemas.openxmlformats.org/officeDocument/2006/relationships/hyperlink" Target="https://www.nejm.org/doi/full/10.1056/NEJMoa1706450" TargetMode="External"/><Relationship Id="rId48" Type="http://schemas.openxmlformats.org/officeDocument/2006/relationships/footer" Target="footer1.xml"/><Relationship Id="rId8" Type="http://schemas.openxmlformats.org/officeDocument/2006/relationships/hyperlink" Target="https://www.nice.org.uk/guidance/ta762" TargetMode="External"/><Relationship Id="rId3" Type="http://schemas.openxmlformats.org/officeDocument/2006/relationships/styles" Target="styles.xml"/><Relationship Id="rId12" Type="http://schemas.openxmlformats.org/officeDocument/2006/relationships/hyperlink" Target="https://www.nice.org.uk/guidance/ta952" TargetMode="External"/><Relationship Id="rId17" Type="http://schemas.openxmlformats.org/officeDocument/2006/relationships/hyperlink" Target="https://www.nice.org.uk/guidance/ta816" TargetMode="External"/><Relationship Id="rId25" Type="http://schemas.openxmlformats.org/officeDocument/2006/relationships/hyperlink" Target="https://www.nice.org.uk/guidance/indevelopment/gid-ta11402" TargetMode="External"/><Relationship Id="rId33" Type="http://schemas.openxmlformats.org/officeDocument/2006/relationships/hyperlink" Target="https://www.nice.org.uk/guidance/qs12" TargetMode="External"/><Relationship Id="rId38" Type="http://schemas.openxmlformats.org/officeDocument/2006/relationships/hyperlink" Target="https://www.nice.org.uk/about/what-we-do/our-programmes/nice-guidance/nice-technology-appraisal-guidance/process" TargetMode="External"/><Relationship Id="rId46" Type="http://schemas.openxmlformats.org/officeDocument/2006/relationships/hyperlink" Target="https://onlinelibrary.wiley.com/doi/abs/10.1002/ijc.34525" TargetMode="External"/><Relationship Id="rId20" Type="http://schemas.openxmlformats.org/officeDocument/2006/relationships/hyperlink" Target="https://www.nice.org.uk/guidance/ta687" TargetMode="External"/><Relationship Id="rId41" Type="http://schemas.openxmlformats.org/officeDocument/2006/relationships/hyperlink" Target="https://clinicaltrials.gov/study/NCT02000622"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www.nice.org.uk/terms-and-condition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ice.org.uk/process/pmg19/chapter/review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ice.nhs.uk\Data\CHTE\Appraisals\Templates\RPP\Folder%20template\Surveillance%20paper\TA%20HST%20surveillance%20paper%20December%202022%20(proactive%20revi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D2E24-873B-4016-B274-25E09DD1D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 HST surveillance paper December 2022 (proactive review)</Template>
  <TotalTime>0</TotalTime>
  <Pages>15</Pages>
  <Words>3848</Words>
  <Characters>21937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Ng</dc:creator>
  <cp:keywords/>
  <dc:description/>
  <cp:lastModifiedBy>Charlotte Downing</cp:lastModifiedBy>
  <cp:revision>2</cp:revision>
  <dcterms:created xsi:type="dcterms:W3CDTF">2024-04-08T14:02:00Z</dcterms:created>
  <dcterms:modified xsi:type="dcterms:W3CDTF">2024-04-08T14:02:00Z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2023-04-03T11:36:44Z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4d7d2982-78be-41ae-8ad6-12e1da64b2a7</vt:lpwstr>
  </property>
  <property fmtid="{D5CDD505-2E9C-101B-9397-08002B2CF9AE}" pid="8" name="MSIP_Label_c69d85d5-6d9e-4305-a294-1f636ec0f2d6_ContentBits">
    <vt:lpwstr>0</vt:lpwstr>
  </property>
</Properties>
</file>