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01689" w14:textId="29447DDE" w:rsidR="00443081" w:rsidRPr="00A4265E" w:rsidRDefault="0098593F" w:rsidP="00181A4A">
      <w:pPr>
        <w:pStyle w:val="Title"/>
      </w:pPr>
      <w:r>
        <w:t>R</w:t>
      </w:r>
      <w:r w:rsidR="00016F2C" w:rsidRPr="00A4265E">
        <w:t xml:space="preserve">eview proposal </w:t>
      </w:r>
      <w:r w:rsidR="008C1624" w:rsidRPr="00A4265E">
        <w:t>of</w:t>
      </w:r>
      <w:r w:rsidR="003E0AF8">
        <w:t xml:space="preserve"> </w:t>
      </w:r>
      <w:r w:rsidR="008C1F15">
        <w:t>l</w:t>
      </w:r>
      <w:r w:rsidR="003E0AF8" w:rsidRPr="003E0AF8">
        <w:t xml:space="preserve">orlatinib for </w:t>
      </w:r>
      <w:r w:rsidR="00F74BD9">
        <w:t>un</w:t>
      </w:r>
      <w:r w:rsidR="003E0AF8" w:rsidRPr="003E0AF8">
        <w:t>treated ALK-positive advanced non-small-cell lung cancer</w:t>
      </w:r>
      <w:r w:rsidR="008C1F15">
        <w:t xml:space="preserve"> (TA909)</w:t>
      </w:r>
    </w:p>
    <w:p w14:paraId="6F62D0C4" w14:textId="77777777" w:rsidR="008C1F15" w:rsidRDefault="008C1F15" w:rsidP="008C1624">
      <w:pPr>
        <w:pStyle w:val="Paragraphnonumbers"/>
      </w:pPr>
    </w:p>
    <w:p w14:paraId="08A96E88" w14:textId="1909C3D4" w:rsidR="008C1F15" w:rsidRDefault="008C1F15" w:rsidP="005E4CC7">
      <w:pPr>
        <w:pStyle w:val="Paragraphnonumbers"/>
      </w:pPr>
      <w:r>
        <w:t>Lorlatinib for untreated ALK-positive advanced non-small-cell lung cancer (TA909) was published in July 2023. Lorlatinib was not recommended</w:t>
      </w:r>
      <w:r w:rsidR="005E4CC7">
        <w:t xml:space="preserve">, within its marketing authorisation, for routine use in the NHS. </w:t>
      </w:r>
    </w:p>
    <w:p w14:paraId="3F089E8B" w14:textId="439D67F1" w:rsidR="008C1624" w:rsidRPr="00A4265E" w:rsidRDefault="008C1F15" w:rsidP="003844B5">
      <w:pPr>
        <w:pStyle w:val="Heading1numbered"/>
      </w:pPr>
      <w:r>
        <w:t>Proposal</w:t>
      </w:r>
    </w:p>
    <w:p w14:paraId="48B70AD2" w14:textId="02E4C41C" w:rsidR="008C1624" w:rsidRPr="00A4265E" w:rsidRDefault="00FE4237" w:rsidP="005E4CC7">
      <w:pPr>
        <w:pStyle w:val="Paragraph"/>
        <w:numPr>
          <w:ilvl w:val="0"/>
          <w:numId w:val="0"/>
        </w:numPr>
        <w:ind w:left="360"/>
      </w:pPr>
      <w:r>
        <w:t xml:space="preserve">A </w:t>
      </w:r>
      <w:r w:rsidR="005E4CC7">
        <w:t>review of this guidance should be planned into the appraisal work programme, the review will</w:t>
      </w:r>
      <w:r>
        <w:t xml:space="preserve"> be conducted</w:t>
      </w:r>
      <w:r w:rsidR="00383E5D">
        <w:t xml:space="preserve"> </w:t>
      </w:r>
      <w:r w:rsidR="005E4CC7">
        <w:t>through</w:t>
      </w:r>
      <w:r w:rsidR="00383E5D">
        <w:t xml:space="preserve"> the STA </w:t>
      </w:r>
      <w:r w:rsidR="005E4CC7">
        <w:t>process</w:t>
      </w:r>
      <w:r w:rsidR="00383E5D">
        <w:t>.</w:t>
      </w:r>
      <w:r w:rsidR="005E4CC7">
        <w:t xml:space="preserve"> We will consult on this proposal.</w:t>
      </w:r>
    </w:p>
    <w:p w14:paraId="3126E957" w14:textId="72E160F6" w:rsidR="008C1624" w:rsidRPr="00A4265E" w:rsidRDefault="008C1624" w:rsidP="003844B5">
      <w:pPr>
        <w:pStyle w:val="Heading1numbered"/>
      </w:pPr>
      <w:r w:rsidRPr="00A4265E">
        <w:t>Rationale</w:t>
      </w:r>
      <w:r w:rsidR="008C1F15">
        <w:t xml:space="preserve"> for review</w:t>
      </w:r>
    </w:p>
    <w:p w14:paraId="1FAD79D9" w14:textId="1987E815" w:rsidR="002427D2" w:rsidRDefault="002427D2" w:rsidP="002427D2">
      <w:pPr>
        <w:pStyle w:val="Paragraph"/>
        <w:numPr>
          <w:ilvl w:val="0"/>
          <w:numId w:val="0"/>
        </w:numPr>
        <w:ind w:left="360"/>
      </w:pPr>
      <w:r>
        <w:t>Lorlatinib for untreated ALK-positive advanced non-smal</w:t>
      </w:r>
      <w:r w:rsidR="0090598B">
        <w:t>l</w:t>
      </w:r>
      <w:r>
        <w:t>-cell-lung cancer (NSCLC) was appraised by NICE in 2023 (</w:t>
      </w:r>
      <w:hyperlink r:id="rId8">
        <w:r w:rsidRPr="34243C48">
          <w:rPr>
            <w:rStyle w:val="Hyperlink"/>
          </w:rPr>
          <w:t>TA909</w:t>
        </w:r>
      </w:hyperlink>
      <w:r>
        <w:t>). Lorlatinib was not recommended for use in routine commissioning. The committee cited a number of key uncertainties as their rationale for why it could not be recommended</w:t>
      </w:r>
      <w:r w:rsidR="00FA7B4C">
        <w:t xml:space="preserve"> for use in routine commissioning</w:t>
      </w:r>
      <w:r>
        <w:t xml:space="preserve">. These included </w:t>
      </w:r>
      <w:r w:rsidRPr="00584299">
        <w:t>subsequent</w:t>
      </w:r>
      <w:r>
        <w:t xml:space="preserve"> </w:t>
      </w:r>
      <w:r w:rsidRPr="00584299">
        <w:t xml:space="preserve">treatments in </w:t>
      </w:r>
      <w:r>
        <w:t>the key clinical trial for lorlatinib (</w:t>
      </w:r>
      <w:hyperlink r:id="rId9" w:history="1">
        <w:r w:rsidRPr="00811A54">
          <w:rPr>
            <w:rStyle w:val="Hyperlink"/>
          </w:rPr>
          <w:t>CROWN trial</w:t>
        </w:r>
      </w:hyperlink>
      <w:r>
        <w:t>)</w:t>
      </w:r>
      <w:r w:rsidRPr="00584299">
        <w:t xml:space="preserve"> </w:t>
      </w:r>
      <w:r>
        <w:t>differing from those expected in</w:t>
      </w:r>
      <w:r w:rsidRPr="00584299">
        <w:t xml:space="preserve"> NHS practice</w:t>
      </w:r>
      <w:r>
        <w:t xml:space="preserve">, </w:t>
      </w:r>
      <w:r w:rsidR="003B2796">
        <w:t>immaturity of progression-free survival and overall survival data</w:t>
      </w:r>
      <w:r>
        <w:t xml:space="preserve">, </w:t>
      </w:r>
      <w:r w:rsidR="00911B18">
        <w:t xml:space="preserve">approach to </w:t>
      </w:r>
      <w:r>
        <w:t>modelling of central nervous system (CNS) metastases among those in the progressed disease (PD) health state and survival extrapolation.</w:t>
      </w:r>
      <w:r w:rsidR="00FF4886">
        <w:t xml:space="preserve"> </w:t>
      </w:r>
      <w:r w:rsidR="638BE4D7">
        <w:t xml:space="preserve">The committee agreed that </w:t>
      </w:r>
      <w:r w:rsidR="3E983CF3">
        <w:t>lorlatinib</w:t>
      </w:r>
      <w:r w:rsidR="638BE4D7">
        <w:t xml:space="preserve"> </w:t>
      </w:r>
      <w:r w:rsidR="00811A54">
        <w:t xml:space="preserve">was not suitable for managed access as both the EAG and the company’s estimates of cost-effectiveness were above the threshold NICE considers a cost-effective use of NHS resources. </w:t>
      </w:r>
    </w:p>
    <w:p w14:paraId="3CD27A49" w14:textId="5B191179" w:rsidR="008C1624" w:rsidRDefault="002427D2" w:rsidP="002427D2">
      <w:pPr>
        <w:pStyle w:val="Paragraph"/>
        <w:numPr>
          <w:ilvl w:val="0"/>
          <w:numId w:val="0"/>
        </w:numPr>
        <w:ind w:left="360"/>
      </w:pPr>
      <w:r>
        <w:t xml:space="preserve">The company have </w:t>
      </w:r>
      <w:r w:rsidR="00FC7724">
        <w:t xml:space="preserve">highlighted </w:t>
      </w:r>
      <w:r w:rsidR="00383E5D">
        <w:t xml:space="preserve">that </w:t>
      </w:r>
      <w:r w:rsidR="00FC7724">
        <w:t>more mature evidence from the CROWN trial is now</w:t>
      </w:r>
      <w:r>
        <w:t xml:space="preserve"> available for the committee and will </w:t>
      </w:r>
      <w:r w:rsidR="00383E5D">
        <w:t>address key uncertainties</w:t>
      </w:r>
      <w:r>
        <w:t xml:space="preserve"> that arose during the original appraisal</w:t>
      </w:r>
      <w:r w:rsidR="00383E5D">
        <w:t>.</w:t>
      </w:r>
      <w:r w:rsidR="00FE4237">
        <w:t xml:space="preserve"> </w:t>
      </w:r>
      <w:r>
        <w:t xml:space="preserve">In particular, it has the potential to better inform the </w:t>
      </w:r>
      <w:r w:rsidR="006F4B30">
        <w:t>magnitude of the PFS benefit compared to comparators, subsequent treatments</w:t>
      </w:r>
      <w:r>
        <w:t xml:space="preserve"> and survival extrapolation</w:t>
      </w:r>
      <w:r w:rsidR="006F4B30">
        <w:t>.</w:t>
      </w:r>
    </w:p>
    <w:p w14:paraId="33789473" w14:textId="1E4A4E4A" w:rsidR="00CF0F19" w:rsidRPr="00A4265E" w:rsidRDefault="008C1624" w:rsidP="003844B5">
      <w:pPr>
        <w:pStyle w:val="Heading1numbered"/>
      </w:pPr>
      <w:r w:rsidRPr="00A4265E">
        <w:t>Summary of new evidence and implications for review</w:t>
      </w:r>
      <w:r w:rsidR="00CF0F19">
        <w:t xml:space="preserve"> (to be confirmed)</w:t>
      </w:r>
    </w:p>
    <w:p w14:paraId="440602AA" w14:textId="55820339" w:rsidR="00C654E4" w:rsidRDefault="00C654E4" w:rsidP="00CF0F19">
      <w:pPr>
        <w:pStyle w:val="Heading2"/>
      </w:pPr>
      <w:r>
        <w:t>The technology</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6237"/>
      </w:tblGrid>
      <w:tr w:rsidR="00C654E4" w:rsidRPr="00E970E0" w14:paraId="1831894F" w14:textId="77777777" w:rsidTr="006A0C4D">
        <w:trPr>
          <w:cantSplit/>
        </w:trPr>
        <w:tc>
          <w:tcPr>
            <w:tcW w:w="2376" w:type="dxa"/>
            <w:shd w:val="clear" w:color="auto" w:fill="D9D9D9"/>
          </w:tcPr>
          <w:p w14:paraId="391A9148" w14:textId="77777777" w:rsidR="00C654E4" w:rsidRPr="00C654E4" w:rsidRDefault="00C654E4" w:rsidP="006A0C4D">
            <w:pPr>
              <w:spacing w:before="120"/>
              <w:rPr>
                <w:rFonts w:ascii="Arial" w:hAnsi="Arial" w:cs="Arial"/>
                <w:b/>
                <w:bCs/>
                <w:sz w:val="22"/>
                <w:szCs w:val="22"/>
              </w:rPr>
            </w:pPr>
            <w:r w:rsidRPr="00C654E4">
              <w:rPr>
                <w:rFonts w:ascii="Arial" w:hAnsi="Arial" w:cs="Arial"/>
                <w:b/>
                <w:bCs/>
                <w:sz w:val="22"/>
                <w:szCs w:val="22"/>
              </w:rPr>
              <w:t>Intervention(s)</w:t>
            </w:r>
          </w:p>
        </w:tc>
        <w:tc>
          <w:tcPr>
            <w:tcW w:w="6237" w:type="dxa"/>
          </w:tcPr>
          <w:p w14:paraId="4B4459B0" w14:textId="3F265BEA" w:rsidR="00C654E4" w:rsidRPr="00E970E0" w:rsidRDefault="003022A1" w:rsidP="006A0C4D">
            <w:pPr>
              <w:pStyle w:val="BodyText2"/>
              <w:rPr>
                <w:rFonts w:cs="Arial"/>
                <w:sz w:val="22"/>
                <w:szCs w:val="22"/>
                <w:lang w:val="en-GB"/>
              </w:rPr>
            </w:pPr>
            <w:r>
              <w:rPr>
                <w:rFonts w:cs="Arial"/>
                <w:sz w:val="22"/>
                <w:szCs w:val="22"/>
                <w:lang w:val="en-GB"/>
              </w:rPr>
              <w:t>Lorlatinib</w:t>
            </w:r>
          </w:p>
        </w:tc>
      </w:tr>
      <w:tr w:rsidR="00F000BB" w:rsidRPr="00E970E0" w14:paraId="17F29EB0" w14:textId="77777777" w:rsidTr="006A0C4D">
        <w:trPr>
          <w:cantSplit/>
        </w:trPr>
        <w:tc>
          <w:tcPr>
            <w:tcW w:w="2376" w:type="dxa"/>
            <w:shd w:val="clear" w:color="auto" w:fill="D9D9D9"/>
          </w:tcPr>
          <w:p w14:paraId="3F6D6368" w14:textId="77777777" w:rsidR="00F000BB" w:rsidRPr="00E970E0" w:rsidRDefault="00F000BB" w:rsidP="00F000BB">
            <w:pPr>
              <w:pStyle w:val="Header"/>
              <w:spacing w:before="120"/>
              <w:rPr>
                <w:rFonts w:cs="Arial"/>
                <w:sz w:val="22"/>
                <w:szCs w:val="22"/>
              </w:rPr>
            </w:pPr>
            <w:r w:rsidRPr="00E970E0">
              <w:rPr>
                <w:rFonts w:cs="Arial"/>
                <w:b/>
                <w:bCs/>
                <w:sz w:val="22"/>
                <w:szCs w:val="22"/>
              </w:rPr>
              <w:t>Population(s)</w:t>
            </w:r>
          </w:p>
        </w:tc>
        <w:tc>
          <w:tcPr>
            <w:tcW w:w="6237" w:type="dxa"/>
          </w:tcPr>
          <w:p w14:paraId="628B601A" w14:textId="6E6123A7" w:rsidR="00F000BB" w:rsidRPr="00F000BB" w:rsidRDefault="00F000BB" w:rsidP="00F000BB">
            <w:pPr>
              <w:pStyle w:val="BodyText2"/>
              <w:rPr>
                <w:rFonts w:cs="Arial"/>
                <w:sz w:val="22"/>
                <w:szCs w:val="22"/>
                <w:lang w:val="en-GB"/>
              </w:rPr>
            </w:pPr>
            <w:r w:rsidRPr="00F000BB">
              <w:rPr>
                <w:rFonts w:cs="Arial"/>
                <w:sz w:val="22"/>
                <w:szCs w:val="22"/>
                <w:lang w:val="en-GB"/>
              </w:rPr>
              <w:t xml:space="preserve">Adults with untreated ALK-positive advanced NSCLC </w:t>
            </w:r>
          </w:p>
        </w:tc>
      </w:tr>
      <w:tr w:rsidR="00F000BB" w:rsidRPr="00E970E0" w14:paraId="541D3D01" w14:textId="77777777" w:rsidTr="006A0C4D">
        <w:trPr>
          <w:cantSplit/>
        </w:trPr>
        <w:tc>
          <w:tcPr>
            <w:tcW w:w="2376" w:type="dxa"/>
            <w:shd w:val="clear" w:color="auto" w:fill="D9D9D9"/>
          </w:tcPr>
          <w:p w14:paraId="7C17FD57" w14:textId="77777777" w:rsidR="00F000BB" w:rsidRPr="00E970E0" w:rsidRDefault="00F000BB" w:rsidP="00F000BB">
            <w:pPr>
              <w:pStyle w:val="Header"/>
              <w:spacing w:before="120"/>
              <w:rPr>
                <w:rFonts w:cs="Arial"/>
                <w:sz w:val="22"/>
                <w:szCs w:val="22"/>
              </w:rPr>
            </w:pPr>
            <w:r w:rsidRPr="00E970E0">
              <w:rPr>
                <w:rFonts w:cs="Arial"/>
                <w:b/>
                <w:bCs/>
                <w:sz w:val="22"/>
                <w:szCs w:val="22"/>
              </w:rPr>
              <w:t>Comparators</w:t>
            </w:r>
          </w:p>
        </w:tc>
        <w:tc>
          <w:tcPr>
            <w:tcW w:w="6237" w:type="dxa"/>
          </w:tcPr>
          <w:p w14:paraId="367446F8" w14:textId="77777777" w:rsidR="00F000BB" w:rsidRPr="00F000BB" w:rsidRDefault="00F000BB" w:rsidP="00772315">
            <w:pPr>
              <w:numPr>
                <w:ilvl w:val="0"/>
                <w:numId w:val="11"/>
              </w:numPr>
              <w:rPr>
                <w:rFonts w:ascii="Arial" w:hAnsi="Arial" w:cs="Arial"/>
                <w:sz w:val="22"/>
                <w:szCs w:val="22"/>
              </w:rPr>
            </w:pPr>
            <w:r w:rsidRPr="00F000BB">
              <w:rPr>
                <w:rFonts w:ascii="Arial" w:hAnsi="Arial" w:cs="Arial"/>
                <w:sz w:val="22"/>
                <w:szCs w:val="22"/>
              </w:rPr>
              <w:t>Alectinib</w:t>
            </w:r>
          </w:p>
          <w:p w14:paraId="691B3716" w14:textId="609BA220" w:rsidR="00F000BB" w:rsidRPr="00290F00" w:rsidRDefault="00F000BB" w:rsidP="00772315">
            <w:pPr>
              <w:numPr>
                <w:ilvl w:val="0"/>
                <w:numId w:val="11"/>
              </w:numPr>
              <w:rPr>
                <w:rFonts w:ascii="Arial" w:hAnsi="Arial" w:cs="Arial"/>
                <w:sz w:val="22"/>
                <w:szCs w:val="22"/>
              </w:rPr>
            </w:pPr>
            <w:r w:rsidRPr="00F000BB">
              <w:rPr>
                <w:rFonts w:ascii="Arial" w:hAnsi="Arial" w:cs="Arial"/>
                <w:sz w:val="22"/>
                <w:szCs w:val="22"/>
              </w:rPr>
              <w:t>Brigatinib</w:t>
            </w:r>
          </w:p>
        </w:tc>
      </w:tr>
      <w:tr w:rsidR="00F000BB" w:rsidRPr="00E970E0" w14:paraId="64A6278A" w14:textId="77777777" w:rsidTr="006A0C4D">
        <w:trPr>
          <w:cantSplit/>
        </w:trPr>
        <w:tc>
          <w:tcPr>
            <w:tcW w:w="2376" w:type="dxa"/>
            <w:shd w:val="clear" w:color="auto" w:fill="D9D9D9"/>
          </w:tcPr>
          <w:p w14:paraId="00BA2C6E" w14:textId="77777777" w:rsidR="00F000BB" w:rsidRPr="00E970E0" w:rsidRDefault="00F000BB" w:rsidP="00F000BB">
            <w:pPr>
              <w:pStyle w:val="Header"/>
              <w:spacing w:before="120"/>
              <w:rPr>
                <w:rFonts w:cs="Arial"/>
                <w:sz w:val="22"/>
                <w:szCs w:val="22"/>
              </w:rPr>
            </w:pPr>
            <w:r w:rsidRPr="00E970E0">
              <w:rPr>
                <w:rFonts w:cs="Arial"/>
                <w:b/>
                <w:bCs/>
                <w:sz w:val="22"/>
                <w:szCs w:val="22"/>
              </w:rPr>
              <w:lastRenderedPageBreak/>
              <w:t>Outcomes</w:t>
            </w:r>
          </w:p>
        </w:tc>
        <w:tc>
          <w:tcPr>
            <w:tcW w:w="6237" w:type="dxa"/>
          </w:tcPr>
          <w:p w14:paraId="01471C01" w14:textId="77777777" w:rsidR="00F000BB" w:rsidRPr="008D5E00" w:rsidRDefault="00F000BB" w:rsidP="00F000BB">
            <w:pPr>
              <w:pStyle w:val="BodyText2"/>
              <w:rPr>
                <w:rFonts w:cs="Arial"/>
                <w:sz w:val="22"/>
                <w:szCs w:val="22"/>
                <w:lang w:val="en-GB"/>
              </w:rPr>
            </w:pPr>
            <w:r w:rsidRPr="008D5E00">
              <w:rPr>
                <w:rFonts w:cs="Arial"/>
                <w:sz w:val="22"/>
                <w:szCs w:val="22"/>
                <w:lang w:val="en-GB"/>
              </w:rPr>
              <w:t>The outcome measures to be considered include:</w:t>
            </w:r>
          </w:p>
          <w:p w14:paraId="2CDB9531" w14:textId="77777777" w:rsidR="008D5E00" w:rsidRPr="008D5E00" w:rsidRDefault="008D5E00" w:rsidP="00772315">
            <w:pPr>
              <w:numPr>
                <w:ilvl w:val="0"/>
                <w:numId w:val="6"/>
              </w:numPr>
              <w:spacing w:before="120" w:after="120"/>
              <w:ind w:left="714" w:hanging="357"/>
              <w:rPr>
                <w:rFonts w:ascii="Arial" w:hAnsi="Arial" w:cs="Arial"/>
                <w:sz w:val="22"/>
                <w:szCs w:val="22"/>
              </w:rPr>
            </w:pPr>
            <w:r w:rsidRPr="008D5E00">
              <w:rPr>
                <w:rFonts w:ascii="Arial" w:hAnsi="Arial" w:cs="Arial"/>
                <w:sz w:val="22"/>
                <w:szCs w:val="22"/>
              </w:rPr>
              <w:t>overall survival</w:t>
            </w:r>
          </w:p>
          <w:p w14:paraId="7EF74C7E" w14:textId="77777777" w:rsidR="008D5E00" w:rsidRPr="008D5E00" w:rsidRDefault="008D5E00" w:rsidP="00772315">
            <w:pPr>
              <w:numPr>
                <w:ilvl w:val="0"/>
                <w:numId w:val="6"/>
              </w:numPr>
              <w:spacing w:before="120" w:after="120"/>
              <w:ind w:left="714" w:hanging="357"/>
              <w:rPr>
                <w:rFonts w:ascii="Arial" w:hAnsi="Arial" w:cs="Arial"/>
                <w:sz w:val="22"/>
                <w:szCs w:val="22"/>
              </w:rPr>
            </w:pPr>
            <w:r w:rsidRPr="008D5E00">
              <w:rPr>
                <w:rFonts w:ascii="Arial" w:hAnsi="Arial" w:cs="Arial"/>
                <w:sz w:val="22"/>
                <w:szCs w:val="22"/>
              </w:rPr>
              <w:t>progression-free survival</w:t>
            </w:r>
          </w:p>
          <w:p w14:paraId="703E79DA" w14:textId="77777777" w:rsidR="008D5E00" w:rsidRPr="008D5E00" w:rsidRDefault="008D5E00" w:rsidP="00772315">
            <w:pPr>
              <w:numPr>
                <w:ilvl w:val="0"/>
                <w:numId w:val="6"/>
              </w:numPr>
              <w:spacing w:before="120" w:after="120"/>
              <w:ind w:left="714" w:hanging="357"/>
              <w:rPr>
                <w:rFonts w:ascii="Arial" w:hAnsi="Arial" w:cs="Arial"/>
                <w:sz w:val="22"/>
                <w:szCs w:val="22"/>
              </w:rPr>
            </w:pPr>
            <w:r w:rsidRPr="008D5E00">
              <w:rPr>
                <w:rFonts w:ascii="Arial" w:hAnsi="Arial" w:cs="Arial"/>
                <w:sz w:val="22"/>
                <w:szCs w:val="22"/>
              </w:rPr>
              <w:t>response rates</w:t>
            </w:r>
          </w:p>
          <w:p w14:paraId="27D5989B" w14:textId="77777777" w:rsidR="008D5E00" w:rsidRPr="008D5E00" w:rsidRDefault="008D5E00" w:rsidP="00772315">
            <w:pPr>
              <w:numPr>
                <w:ilvl w:val="0"/>
                <w:numId w:val="6"/>
              </w:numPr>
              <w:spacing w:before="120" w:after="120"/>
              <w:ind w:left="714" w:hanging="357"/>
              <w:rPr>
                <w:rFonts w:ascii="Arial" w:hAnsi="Arial" w:cs="Arial"/>
                <w:sz w:val="22"/>
                <w:szCs w:val="22"/>
              </w:rPr>
            </w:pPr>
            <w:r w:rsidRPr="008D5E00">
              <w:rPr>
                <w:rFonts w:ascii="Arial" w:hAnsi="Arial" w:cs="Arial"/>
                <w:sz w:val="22"/>
                <w:szCs w:val="22"/>
              </w:rPr>
              <w:t>adverse effects of treatment</w:t>
            </w:r>
          </w:p>
          <w:p w14:paraId="219ED034" w14:textId="484C4840" w:rsidR="00F000BB" w:rsidRPr="00171A3A" w:rsidRDefault="008D5E00" w:rsidP="00772315">
            <w:pPr>
              <w:numPr>
                <w:ilvl w:val="0"/>
                <w:numId w:val="6"/>
              </w:numPr>
              <w:spacing w:before="120" w:after="120"/>
              <w:ind w:left="714" w:hanging="357"/>
              <w:rPr>
                <w:rFonts w:cs="Arial"/>
                <w:sz w:val="22"/>
                <w:szCs w:val="22"/>
              </w:rPr>
            </w:pPr>
            <w:r w:rsidRPr="008D5E00">
              <w:rPr>
                <w:rFonts w:ascii="Arial" w:hAnsi="Arial" w:cs="Arial"/>
                <w:sz w:val="22"/>
                <w:szCs w:val="22"/>
              </w:rPr>
              <w:t>health-related quality of life.</w:t>
            </w:r>
          </w:p>
        </w:tc>
      </w:tr>
      <w:tr w:rsidR="00F000BB" w:rsidRPr="00E970E0" w14:paraId="71973B74" w14:textId="77777777" w:rsidTr="006A0C4D">
        <w:trPr>
          <w:cantSplit/>
        </w:trPr>
        <w:tc>
          <w:tcPr>
            <w:tcW w:w="2376" w:type="dxa"/>
            <w:shd w:val="clear" w:color="auto" w:fill="D9D9D9"/>
          </w:tcPr>
          <w:p w14:paraId="5547D25E" w14:textId="77777777" w:rsidR="00F000BB" w:rsidRPr="00E970E0" w:rsidRDefault="00F000BB" w:rsidP="00F000BB">
            <w:pPr>
              <w:pStyle w:val="Header"/>
              <w:spacing w:before="120"/>
              <w:rPr>
                <w:rFonts w:cs="Arial"/>
                <w:sz w:val="22"/>
                <w:szCs w:val="22"/>
              </w:rPr>
            </w:pPr>
            <w:r w:rsidRPr="00E970E0">
              <w:rPr>
                <w:rFonts w:cs="Arial"/>
                <w:b/>
                <w:bCs/>
                <w:sz w:val="22"/>
                <w:szCs w:val="22"/>
              </w:rPr>
              <w:t>Economic analysis</w:t>
            </w:r>
          </w:p>
        </w:tc>
        <w:tc>
          <w:tcPr>
            <w:tcW w:w="6237" w:type="dxa"/>
          </w:tcPr>
          <w:p w14:paraId="3F5E35F1" w14:textId="77777777" w:rsidR="00F000BB" w:rsidRDefault="00F000BB" w:rsidP="00F000BB">
            <w:pPr>
              <w:pStyle w:val="BodyText2"/>
              <w:rPr>
                <w:rFonts w:cs="Arial"/>
                <w:sz w:val="22"/>
                <w:szCs w:val="22"/>
                <w:lang w:val="en-GB"/>
              </w:rPr>
            </w:pPr>
            <w:r w:rsidRPr="00E970E0">
              <w:rPr>
                <w:rFonts w:cs="Arial"/>
                <w:sz w:val="22"/>
                <w:szCs w:val="22"/>
                <w:lang w:val="en-GB"/>
              </w:rPr>
              <w:t>The reference case stipulates that the cost effectiveness of treatments should be expressed in terms of incremental cost per quality-adjusted life year.</w:t>
            </w:r>
          </w:p>
          <w:p w14:paraId="1988876D" w14:textId="77777777" w:rsidR="00F000BB" w:rsidRDefault="00F000BB" w:rsidP="00F000BB">
            <w:pPr>
              <w:pStyle w:val="BodyText2"/>
              <w:rPr>
                <w:rFonts w:cs="Arial"/>
                <w:sz w:val="22"/>
                <w:szCs w:val="22"/>
                <w:lang w:val="en-GB"/>
              </w:rPr>
            </w:pPr>
            <w:r w:rsidRPr="00E970E0">
              <w:rPr>
                <w:rFonts w:cs="Arial"/>
                <w:sz w:val="22"/>
                <w:szCs w:val="22"/>
                <w:lang w:val="en-GB"/>
              </w:rPr>
              <w:t>The reference case stipulates that the time horizon for estimating clinical and cost effectiveness should be sufficiently long to reflect any differences in costs or outcomes between the technologies being compared.</w:t>
            </w:r>
          </w:p>
          <w:p w14:paraId="205CC778" w14:textId="77777777" w:rsidR="008D5E00" w:rsidRDefault="00F000BB" w:rsidP="008D5E00">
            <w:pPr>
              <w:pStyle w:val="BodyText2"/>
              <w:rPr>
                <w:rFonts w:cs="Arial"/>
                <w:sz w:val="22"/>
                <w:szCs w:val="22"/>
                <w:lang w:val="en-GB"/>
              </w:rPr>
            </w:pPr>
            <w:r w:rsidRPr="00E970E0">
              <w:rPr>
                <w:rFonts w:cs="Arial"/>
                <w:sz w:val="22"/>
                <w:szCs w:val="22"/>
                <w:lang w:val="en-GB"/>
              </w:rPr>
              <w:t>Costs will be considered from an NHS and Personal Social Services perspective.</w:t>
            </w:r>
            <w:r w:rsidR="008D5E00" w:rsidRPr="007523C3">
              <w:rPr>
                <w:rFonts w:cs="Arial"/>
                <w:sz w:val="22"/>
                <w:szCs w:val="22"/>
                <w:lang w:val="en-GB"/>
              </w:rPr>
              <w:t xml:space="preserve"> </w:t>
            </w:r>
          </w:p>
          <w:p w14:paraId="4EC18850" w14:textId="225CFB92" w:rsidR="00F000BB" w:rsidRPr="00E970E0" w:rsidRDefault="008D5E00" w:rsidP="00F000BB">
            <w:pPr>
              <w:pStyle w:val="BodyText2"/>
              <w:rPr>
                <w:rFonts w:cs="Arial"/>
                <w:sz w:val="22"/>
                <w:szCs w:val="22"/>
                <w:lang w:val="en-GB"/>
              </w:rPr>
            </w:pPr>
            <w:r w:rsidRPr="007523C3">
              <w:rPr>
                <w:rFonts w:cs="Arial"/>
                <w:sz w:val="22"/>
                <w:szCs w:val="22"/>
                <w:lang w:val="en-GB"/>
              </w:rPr>
              <w:t>The availability of any commercial arrangements for the intervention, comparator and subsequent treatment technologies will be taken into account.</w:t>
            </w:r>
          </w:p>
        </w:tc>
      </w:tr>
      <w:tr w:rsidR="00F000BB" w:rsidRPr="00E970E0" w14:paraId="7E96E74F" w14:textId="77777777" w:rsidTr="006A0C4D">
        <w:trPr>
          <w:cantSplit/>
        </w:trPr>
        <w:tc>
          <w:tcPr>
            <w:tcW w:w="2376" w:type="dxa"/>
            <w:shd w:val="clear" w:color="auto" w:fill="D9D9D9"/>
          </w:tcPr>
          <w:p w14:paraId="51D0BB8A" w14:textId="77777777" w:rsidR="00F000BB" w:rsidRPr="00E970E0" w:rsidRDefault="00F000BB" w:rsidP="00F000BB">
            <w:pPr>
              <w:pStyle w:val="Header"/>
              <w:spacing w:before="120"/>
              <w:rPr>
                <w:rFonts w:cs="Arial"/>
                <w:sz w:val="22"/>
                <w:szCs w:val="22"/>
              </w:rPr>
            </w:pPr>
            <w:r w:rsidRPr="00E970E0">
              <w:rPr>
                <w:rFonts w:cs="Arial"/>
                <w:b/>
                <w:bCs/>
                <w:sz w:val="22"/>
                <w:szCs w:val="22"/>
              </w:rPr>
              <w:t xml:space="preserve">Other considerations </w:t>
            </w:r>
          </w:p>
        </w:tc>
        <w:tc>
          <w:tcPr>
            <w:tcW w:w="6237" w:type="dxa"/>
          </w:tcPr>
          <w:p w14:paraId="4BF484C9" w14:textId="0C7A3B5C" w:rsidR="00F000BB" w:rsidRPr="00E970E0" w:rsidRDefault="00F000BB" w:rsidP="00F000BB">
            <w:pPr>
              <w:pStyle w:val="BodyText2"/>
              <w:rPr>
                <w:rFonts w:cs="Arial"/>
                <w:sz w:val="22"/>
                <w:szCs w:val="22"/>
                <w:lang w:val="en-GB"/>
              </w:rPr>
            </w:pPr>
            <w:r w:rsidRPr="00E970E0">
              <w:rPr>
                <w:rFonts w:cs="Arial"/>
                <w:sz w:val="22"/>
                <w:szCs w:val="22"/>
                <w:lang w:val="en-GB"/>
              </w:rPr>
              <w:t>Guidance will only be issued in accordance with the marketing authorisation</w:t>
            </w:r>
            <w:bookmarkStart w:id="0" w:name="Text54"/>
            <w:r w:rsidR="008D5E00">
              <w:rPr>
                <w:rFonts w:cs="Arial"/>
                <w:sz w:val="22"/>
                <w:szCs w:val="22"/>
                <w:lang w:val="en-GB"/>
              </w:rPr>
              <w:t xml:space="preserve">. </w:t>
            </w:r>
            <w:r w:rsidRPr="00E970E0">
              <w:rPr>
                <w:rFonts w:cs="Arial"/>
                <w:sz w:val="22"/>
                <w:szCs w:val="22"/>
              </w:rPr>
              <w:t>Where the wording of the therapeutic indication does not include specific treatment combinations, guidance will be issued only in the context of the evidence that has underpinned the marketing authorisation granted by the regulator.</w:t>
            </w:r>
            <w:bookmarkEnd w:id="0"/>
          </w:p>
        </w:tc>
      </w:tr>
      <w:tr w:rsidR="00F000BB" w:rsidRPr="00E970E0" w14:paraId="2EDB6DFA" w14:textId="77777777" w:rsidTr="006A0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76" w:type="dxa"/>
            <w:shd w:val="clear" w:color="auto" w:fill="D9D9D9"/>
          </w:tcPr>
          <w:p w14:paraId="7E34CF29" w14:textId="77777777" w:rsidR="00F000BB" w:rsidRPr="00E970E0" w:rsidRDefault="00F000BB" w:rsidP="00F000BB">
            <w:pPr>
              <w:pStyle w:val="Header"/>
              <w:spacing w:before="120"/>
              <w:rPr>
                <w:rFonts w:cs="Arial"/>
                <w:sz w:val="22"/>
                <w:szCs w:val="22"/>
              </w:rPr>
            </w:pPr>
            <w:r w:rsidRPr="00E970E0">
              <w:rPr>
                <w:rFonts w:cs="Arial"/>
                <w:b/>
                <w:bCs/>
                <w:sz w:val="22"/>
                <w:szCs w:val="22"/>
              </w:rPr>
              <w:t xml:space="preserve">Related NICE recommendations </w:t>
            </w:r>
          </w:p>
        </w:tc>
        <w:tc>
          <w:tcPr>
            <w:tcW w:w="6237" w:type="dxa"/>
          </w:tcPr>
          <w:p w14:paraId="4D708CF7" w14:textId="77777777" w:rsidR="00F000BB" w:rsidRPr="008704E9" w:rsidRDefault="00F000BB" w:rsidP="00F000BB">
            <w:pPr>
              <w:pStyle w:val="BodyText2"/>
              <w:rPr>
                <w:rFonts w:cs="Arial"/>
                <w:b/>
                <w:bCs/>
                <w:sz w:val="22"/>
                <w:szCs w:val="22"/>
                <w:lang w:val="en-GB"/>
              </w:rPr>
            </w:pPr>
            <w:r w:rsidRPr="008704E9">
              <w:rPr>
                <w:rFonts w:cs="Arial"/>
                <w:b/>
                <w:bCs/>
                <w:sz w:val="22"/>
                <w:szCs w:val="22"/>
                <w:lang w:val="en-GB"/>
              </w:rPr>
              <w:t xml:space="preserve">Related </w:t>
            </w:r>
            <w:r>
              <w:rPr>
                <w:rFonts w:cs="Arial"/>
                <w:b/>
                <w:bCs/>
                <w:sz w:val="22"/>
                <w:szCs w:val="22"/>
                <w:lang w:val="en-GB"/>
              </w:rPr>
              <w:t>t</w:t>
            </w:r>
            <w:r w:rsidRPr="008704E9">
              <w:rPr>
                <w:rFonts w:cs="Arial"/>
                <w:b/>
                <w:bCs/>
                <w:sz w:val="22"/>
                <w:szCs w:val="22"/>
                <w:lang w:val="en-GB"/>
              </w:rPr>
              <w:t xml:space="preserve">echnology </w:t>
            </w:r>
            <w:r>
              <w:rPr>
                <w:rFonts w:cs="Arial"/>
                <w:b/>
                <w:bCs/>
                <w:sz w:val="22"/>
                <w:szCs w:val="22"/>
                <w:lang w:val="en-GB"/>
              </w:rPr>
              <w:t>a</w:t>
            </w:r>
            <w:r w:rsidRPr="008704E9">
              <w:rPr>
                <w:rFonts w:cs="Arial"/>
                <w:b/>
                <w:bCs/>
                <w:sz w:val="22"/>
                <w:szCs w:val="22"/>
                <w:lang w:val="en-GB"/>
              </w:rPr>
              <w:t>ppraisals:</w:t>
            </w:r>
          </w:p>
          <w:p w14:paraId="2C37AB5E" w14:textId="77777777" w:rsidR="00C47C42" w:rsidRPr="00CD6B30" w:rsidRDefault="00340B1B" w:rsidP="00C47C42">
            <w:pPr>
              <w:pStyle w:val="BodyText2"/>
              <w:rPr>
                <w:rFonts w:cs="Arial"/>
                <w:sz w:val="22"/>
                <w:szCs w:val="18"/>
                <w:lang w:val="en-GB"/>
              </w:rPr>
            </w:pPr>
            <w:hyperlink r:id="rId10" w:history="1">
              <w:r w:rsidR="00C47C42" w:rsidRPr="00CB2B8E">
                <w:rPr>
                  <w:rStyle w:val="Hyperlink"/>
                  <w:rFonts w:cs="Arial"/>
                  <w:sz w:val="22"/>
                  <w:szCs w:val="18"/>
                  <w:lang w:val="en-GB"/>
                </w:rPr>
                <w:t>Brigatinib for ALK-positive advanced non-small-cell lung cancer that has not been previously treated with an ALK inhibitor</w:t>
              </w:r>
            </w:hyperlink>
            <w:r w:rsidR="00C47C42">
              <w:rPr>
                <w:rFonts w:cs="Arial"/>
                <w:sz w:val="22"/>
                <w:szCs w:val="18"/>
                <w:lang w:val="en-GB"/>
              </w:rPr>
              <w:t xml:space="preserve"> (2021). </w:t>
            </w:r>
            <w:r w:rsidR="00C47C42" w:rsidRPr="00CB2B8E">
              <w:rPr>
                <w:rFonts w:cs="Arial"/>
                <w:sz w:val="22"/>
                <w:szCs w:val="18"/>
                <w:lang w:val="en-GB"/>
              </w:rPr>
              <w:t xml:space="preserve">NICE Technology Appraisal </w:t>
            </w:r>
            <w:r w:rsidR="00C47C42">
              <w:rPr>
                <w:rFonts w:cs="Arial"/>
                <w:sz w:val="22"/>
                <w:szCs w:val="18"/>
                <w:lang w:val="en-GB"/>
              </w:rPr>
              <w:t>670</w:t>
            </w:r>
            <w:r w:rsidR="00C47C42" w:rsidRPr="00CB2B8E">
              <w:rPr>
                <w:rFonts w:cs="Arial"/>
                <w:sz w:val="22"/>
                <w:szCs w:val="18"/>
                <w:lang w:val="en-GB"/>
              </w:rPr>
              <w:t xml:space="preserve">. Review date: </w:t>
            </w:r>
            <w:r w:rsidR="00C47C42">
              <w:rPr>
                <w:rFonts w:cs="Arial"/>
                <w:sz w:val="22"/>
                <w:szCs w:val="18"/>
                <w:lang w:val="en-GB"/>
              </w:rPr>
              <w:t xml:space="preserve">2024. </w:t>
            </w:r>
          </w:p>
          <w:p w14:paraId="6EB5EE77" w14:textId="77777777" w:rsidR="00C47C42" w:rsidRPr="00CB2B8E" w:rsidRDefault="00340B1B" w:rsidP="00C47C42">
            <w:pPr>
              <w:pStyle w:val="BodyText2"/>
              <w:rPr>
                <w:rFonts w:cs="Arial"/>
                <w:sz w:val="22"/>
                <w:szCs w:val="18"/>
                <w:lang w:val="en-GB"/>
              </w:rPr>
            </w:pPr>
            <w:hyperlink r:id="rId11" w:history="1">
              <w:r w:rsidR="00C47C42" w:rsidRPr="00CB2B8E">
                <w:rPr>
                  <w:rStyle w:val="Hyperlink"/>
                  <w:rFonts w:cs="Arial"/>
                  <w:sz w:val="22"/>
                  <w:szCs w:val="18"/>
                  <w:lang w:val="en-GB"/>
                </w:rPr>
                <w:t>Alectinib for untreated ALK-positive advanced non-small-cell lung cancer</w:t>
              </w:r>
            </w:hyperlink>
            <w:r w:rsidR="00C47C42" w:rsidRPr="00CB2B8E">
              <w:rPr>
                <w:rFonts w:cs="Arial"/>
                <w:sz w:val="22"/>
                <w:szCs w:val="18"/>
                <w:lang w:val="en-GB"/>
              </w:rPr>
              <w:t xml:space="preserve"> (2018). NICE Technology Appraisal 536. Review date: August 2021. </w:t>
            </w:r>
          </w:p>
          <w:p w14:paraId="548A49B5" w14:textId="77777777" w:rsidR="00C47C42" w:rsidRPr="00CB2B8E" w:rsidRDefault="00340B1B" w:rsidP="00C47C42">
            <w:pPr>
              <w:pStyle w:val="BodyText2"/>
              <w:rPr>
                <w:rFonts w:cs="Arial"/>
                <w:sz w:val="22"/>
                <w:szCs w:val="18"/>
                <w:lang w:val="en-GB"/>
              </w:rPr>
            </w:pPr>
            <w:hyperlink r:id="rId12" w:history="1">
              <w:r w:rsidR="00C47C42" w:rsidRPr="00CB2B8E">
                <w:rPr>
                  <w:rStyle w:val="Hyperlink"/>
                  <w:rFonts w:cs="Arial"/>
                  <w:sz w:val="22"/>
                  <w:szCs w:val="18"/>
                  <w:lang w:val="en-GB"/>
                </w:rPr>
                <w:t>Ceritinib for untreated ALK-positive non-small-cell-lung cancer</w:t>
              </w:r>
            </w:hyperlink>
            <w:r w:rsidR="00C47C42" w:rsidRPr="00CB2B8E">
              <w:rPr>
                <w:rFonts w:cs="Arial"/>
                <w:sz w:val="22"/>
                <w:szCs w:val="18"/>
                <w:lang w:val="en-GB"/>
              </w:rPr>
              <w:t xml:space="preserve"> (2018). NICE Technology Appraisal 500. Review date: January 2021. </w:t>
            </w:r>
          </w:p>
          <w:p w14:paraId="583A95F8" w14:textId="77777777" w:rsidR="00C47C42" w:rsidRDefault="00340B1B" w:rsidP="00C47C42">
            <w:pPr>
              <w:pStyle w:val="BodyText2"/>
              <w:rPr>
                <w:rFonts w:cs="Arial"/>
                <w:sz w:val="22"/>
                <w:szCs w:val="18"/>
                <w:lang w:val="en-GB"/>
              </w:rPr>
            </w:pPr>
            <w:hyperlink r:id="rId13" w:history="1">
              <w:r w:rsidR="00C47C42" w:rsidRPr="00CB2B8E">
                <w:rPr>
                  <w:rStyle w:val="Hyperlink"/>
                  <w:rFonts w:cs="Arial"/>
                  <w:sz w:val="22"/>
                  <w:szCs w:val="18"/>
                  <w:lang w:val="en-GB"/>
                </w:rPr>
                <w:t>Crizotinib for untreated anaplastic lymphoma kinase- positive advanced non-small-cell lung cancer</w:t>
              </w:r>
            </w:hyperlink>
            <w:r w:rsidR="00C47C42" w:rsidRPr="00CB2B8E">
              <w:rPr>
                <w:rFonts w:cs="Arial"/>
                <w:sz w:val="22"/>
                <w:szCs w:val="18"/>
                <w:lang w:val="en-GB"/>
              </w:rPr>
              <w:t xml:space="preserve"> (2016). NICE Technology Appraisal 406. Review date: September 2019.</w:t>
            </w:r>
          </w:p>
          <w:p w14:paraId="71C0CA5F" w14:textId="77777777" w:rsidR="00F000BB" w:rsidRPr="008704E9" w:rsidRDefault="00F000BB" w:rsidP="00F000BB">
            <w:pPr>
              <w:pStyle w:val="BodyText2"/>
              <w:rPr>
                <w:rFonts w:cs="Arial"/>
                <w:b/>
                <w:bCs/>
                <w:sz w:val="22"/>
                <w:szCs w:val="22"/>
                <w:lang w:val="en-GB"/>
              </w:rPr>
            </w:pPr>
            <w:r w:rsidRPr="008704E9">
              <w:rPr>
                <w:rFonts w:cs="Arial"/>
                <w:b/>
                <w:bCs/>
                <w:sz w:val="22"/>
                <w:szCs w:val="22"/>
                <w:lang w:val="en-GB"/>
              </w:rPr>
              <w:t xml:space="preserve">Related </w:t>
            </w:r>
            <w:r>
              <w:rPr>
                <w:rFonts w:cs="Arial"/>
                <w:b/>
                <w:bCs/>
                <w:sz w:val="22"/>
                <w:szCs w:val="22"/>
                <w:lang w:val="en-GB"/>
              </w:rPr>
              <w:t>NICE g</w:t>
            </w:r>
            <w:r w:rsidRPr="008704E9">
              <w:rPr>
                <w:rFonts w:cs="Arial"/>
                <w:b/>
                <w:bCs/>
                <w:sz w:val="22"/>
                <w:szCs w:val="22"/>
                <w:lang w:val="en-GB"/>
              </w:rPr>
              <w:t>uidelines:</w:t>
            </w:r>
          </w:p>
          <w:p w14:paraId="608AE7FB" w14:textId="77777777" w:rsidR="00C47C42" w:rsidRPr="00E970E0" w:rsidRDefault="00340B1B" w:rsidP="00C47C42">
            <w:pPr>
              <w:pStyle w:val="BodyText2"/>
              <w:rPr>
                <w:rFonts w:cs="Arial"/>
                <w:sz w:val="22"/>
                <w:szCs w:val="22"/>
                <w:lang w:val="en-GB"/>
              </w:rPr>
            </w:pPr>
            <w:hyperlink r:id="rId14" w:history="1">
              <w:r w:rsidR="00C47C42" w:rsidRPr="0090597F">
                <w:rPr>
                  <w:rStyle w:val="Hyperlink"/>
                  <w:rFonts w:cs="Arial"/>
                  <w:sz w:val="22"/>
                  <w:szCs w:val="22"/>
                  <w:lang w:val="en-GB"/>
                </w:rPr>
                <w:t>Lung cancer: diagnosis and management (2019</w:t>
              </w:r>
            </w:hyperlink>
            <w:r w:rsidR="00C47C42">
              <w:rPr>
                <w:rFonts w:cs="Arial"/>
                <w:sz w:val="22"/>
                <w:szCs w:val="22"/>
                <w:lang w:val="en-GB"/>
              </w:rPr>
              <w:t xml:space="preserve">). NICE guideline 122. </w:t>
            </w:r>
          </w:p>
          <w:p w14:paraId="73CC9483" w14:textId="77777777" w:rsidR="00F000BB" w:rsidRPr="008704E9" w:rsidRDefault="00F000BB" w:rsidP="00F000BB">
            <w:pPr>
              <w:pStyle w:val="BodyText2"/>
              <w:rPr>
                <w:rFonts w:cs="Arial"/>
                <w:b/>
                <w:bCs/>
                <w:sz w:val="22"/>
                <w:szCs w:val="22"/>
                <w:lang w:val="en-GB"/>
              </w:rPr>
            </w:pPr>
            <w:r w:rsidRPr="008704E9">
              <w:rPr>
                <w:rFonts w:cs="Arial"/>
                <w:b/>
                <w:bCs/>
                <w:sz w:val="22"/>
                <w:szCs w:val="22"/>
                <w:lang w:val="en-GB"/>
              </w:rPr>
              <w:t xml:space="preserve">Related </w:t>
            </w:r>
            <w:r>
              <w:rPr>
                <w:rFonts w:cs="Arial"/>
                <w:b/>
                <w:bCs/>
                <w:sz w:val="22"/>
                <w:szCs w:val="22"/>
                <w:lang w:val="en-GB"/>
              </w:rPr>
              <w:t>q</w:t>
            </w:r>
            <w:r w:rsidRPr="008704E9">
              <w:rPr>
                <w:rFonts w:cs="Arial"/>
                <w:b/>
                <w:bCs/>
                <w:sz w:val="22"/>
                <w:szCs w:val="22"/>
                <w:lang w:val="en-GB"/>
              </w:rPr>
              <w:t xml:space="preserve">uality </w:t>
            </w:r>
            <w:r>
              <w:rPr>
                <w:rFonts w:cs="Arial"/>
                <w:b/>
                <w:bCs/>
                <w:sz w:val="22"/>
                <w:szCs w:val="22"/>
                <w:lang w:val="en-GB"/>
              </w:rPr>
              <w:t>s</w:t>
            </w:r>
            <w:r w:rsidRPr="008704E9">
              <w:rPr>
                <w:rFonts w:cs="Arial"/>
                <w:b/>
                <w:bCs/>
                <w:sz w:val="22"/>
                <w:szCs w:val="22"/>
                <w:lang w:val="en-GB"/>
              </w:rPr>
              <w:t>tandards:</w:t>
            </w:r>
          </w:p>
          <w:p w14:paraId="0A6A6618" w14:textId="7EF7F17E" w:rsidR="00F000BB" w:rsidRPr="00E970E0" w:rsidRDefault="00340B1B" w:rsidP="00F000BB">
            <w:pPr>
              <w:pStyle w:val="BodyText2"/>
              <w:rPr>
                <w:rFonts w:cs="Arial"/>
                <w:sz w:val="22"/>
                <w:szCs w:val="22"/>
                <w:lang w:val="en-GB"/>
              </w:rPr>
            </w:pPr>
            <w:hyperlink r:id="rId15" w:history="1">
              <w:r w:rsidR="00C47C42">
                <w:rPr>
                  <w:rStyle w:val="Hyperlink"/>
                  <w:rFonts w:cs="Arial"/>
                  <w:sz w:val="22"/>
                  <w:szCs w:val="22"/>
                  <w:lang w:val="en-GB"/>
                </w:rPr>
                <w:t xml:space="preserve">Lung cancer in adults (2019). </w:t>
              </w:r>
            </w:hyperlink>
            <w:r w:rsidR="00C47C42" w:rsidRPr="0090597F">
              <w:rPr>
                <w:rFonts w:cs="Arial"/>
                <w:sz w:val="22"/>
                <w:szCs w:val="22"/>
                <w:lang w:val="en-GB"/>
              </w:rPr>
              <w:t>NICE Quality Standard 17.</w:t>
            </w:r>
          </w:p>
        </w:tc>
      </w:tr>
      <w:tr w:rsidR="00F000BB" w:rsidRPr="00E970E0" w14:paraId="65EE5548" w14:textId="77777777" w:rsidTr="006A0C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76" w:type="dxa"/>
            <w:shd w:val="clear" w:color="auto" w:fill="D9D9D9"/>
          </w:tcPr>
          <w:p w14:paraId="3316DFB2" w14:textId="77777777" w:rsidR="00F000BB" w:rsidRPr="00E970E0" w:rsidRDefault="00F000BB" w:rsidP="00F000BB">
            <w:pPr>
              <w:pStyle w:val="Header"/>
              <w:spacing w:before="120"/>
              <w:rPr>
                <w:rFonts w:cs="Arial"/>
                <w:b/>
                <w:bCs/>
                <w:sz w:val="22"/>
                <w:szCs w:val="22"/>
              </w:rPr>
            </w:pPr>
            <w:r w:rsidRPr="00E970E0">
              <w:rPr>
                <w:rFonts w:cs="Arial"/>
                <w:b/>
                <w:bCs/>
                <w:sz w:val="22"/>
                <w:szCs w:val="22"/>
              </w:rPr>
              <w:lastRenderedPageBreak/>
              <w:t xml:space="preserve">Related National Policy </w:t>
            </w:r>
          </w:p>
        </w:tc>
        <w:tc>
          <w:tcPr>
            <w:tcW w:w="6237" w:type="dxa"/>
          </w:tcPr>
          <w:p w14:paraId="07D128F0" w14:textId="77777777" w:rsidR="00F000BB" w:rsidRPr="00E970E0" w:rsidRDefault="00F000BB" w:rsidP="00F000BB">
            <w:pPr>
              <w:rPr>
                <w:rFonts w:cs="Arial"/>
                <w:sz w:val="22"/>
                <w:szCs w:val="22"/>
              </w:rPr>
            </w:pPr>
            <w:r w:rsidRPr="00C654E4">
              <w:rPr>
                <w:rFonts w:ascii="Arial" w:hAnsi="Arial" w:cs="Arial"/>
                <w:sz w:val="22"/>
                <w:szCs w:val="22"/>
              </w:rPr>
              <w:t xml:space="preserve">The NHS Long Term Plan (2019) </w:t>
            </w:r>
            <w:hyperlink r:id="rId16" w:history="1">
              <w:r w:rsidRPr="00C654E4">
                <w:rPr>
                  <w:rStyle w:val="Hyperlink"/>
                  <w:rFonts w:ascii="Arial" w:hAnsi="Arial" w:cs="Arial"/>
                  <w:sz w:val="22"/>
                  <w:szCs w:val="22"/>
                </w:rPr>
                <w:t>NHS Long Term Plan</w:t>
              </w:r>
            </w:hyperlink>
          </w:p>
          <w:p w14:paraId="19E79FE8" w14:textId="26BF5B29" w:rsidR="00F000BB" w:rsidRPr="008704E9" w:rsidRDefault="00F000BB" w:rsidP="00F000BB">
            <w:pPr>
              <w:pStyle w:val="BodyText2"/>
              <w:rPr>
                <w:rFonts w:cs="Arial"/>
                <w:sz w:val="22"/>
                <w:szCs w:val="22"/>
              </w:rPr>
            </w:pPr>
            <w:r w:rsidRPr="00E970E0">
              <w:rPr>
                <w:rFonts w:cs="Arial"/>
                <w:sz w:val="22"/>
                <w:szCs w:val="22"/>
                <w:lang w:val="en-GB"/>
              </w:rPr>
              <w:t>NHS England (20</w:t>
            </w:r>
            <w:r>
              <w:rPr>
                <w:rFonts w:cs="Arial"/>
                <w:sz w:val="22"/>
                <w:szCs w:val="22"/>
                <w:lang w:val="en-GB"/>
              </w:rPr>
              <w:t>23</w:t>
            </w:r>
            <w:r w:rsidRPr="00E970E0">
              <w:rPr>
                <w:rFonts w:cs="Arial"/>
                <w:sz w:val="22"/>
                <w:szCs w:val="22"/>
                <w:lang w:val="en-GB"/>
              </w:rPr>
              <w:t xml:space="preserve">) </w:t>
            </w:r>
            <w:hyperlink r:id="rId17" w:history="1">
              <w:r>
                <w:rPr>
                  <w:rStyle w:val="Hyperlink"/>
                  <w:rFonts w:cs="Arial"/>
                  <w:sz w:val="22"/>
                  <w:szCs w:val="22"/>
                </w:rPr>
                <w:t>Manual for prescribed specialist services (2023/2024)</w:t>
              </w:r>
            </w:hyperlink>
            <w:r w:rsidR="00532571">
              <w:rPr>
                <w:rStyle w:val="Hyperlink"/>
                <w:rFonts w:cs="Arial"/>
                <w:sz w:val="22"/>
                <w:szCs w:val="22"/>
                <w:lang w:val="en-GB"/>
              </w:rPr>
              <w:t>.</w:t>
            </w:r>
          </w:p>
        </w:tc>
      </w:tr>
    </w:tbl>
    <w:p w14:paraId="3F3AFCC7" w14:textId="77777777" w:rsidR="00C654E4" w:rsidRPr="00C654E4" w:rsidRDefault="00C654E4" w:rsidP="00C654E4">
      <w:pPr>
        <w:pStyle w:val="Paragraph"/>
        <w:numPr>
          <w:ilvl w:val="0"/>
          <w:numId w:val="0"/>
        </w:numPr>
      </w:pPr>
    </w:p>
    <w:p w14:paraId="22EFAB0C" w14:textId="7715F9EB" w:rsidR="008C1624" w:rsidRPr="00A4265E" w:rsidRDefault="008C1624" w:rsidP="008C1624">
      <w:pPr>
        <w:pStyle w:val="Heading2"/>
      </w:pPr>
      <w:r w:rsidRPr="00A4265E">
        <w:t>Has there been any change to the price of the technology(ies) since the guidance was published?</w:t>
      </w:r>
    </w:p>
    <w:p w14:paraId="5F81BF81" w14:textId="7905A95D" w:rsidR="008C1624" w:rsidRPr="00A4265E" w:rsidRDefault="00F272D4" w:rsidP="00934E40">
      <w:pPr>
        <w:pStyle w:val="Paragraph"/>
        <w:numPr>
          <w:ilvl w:val="0"/>
          <w:numId w:val="0"/>
        </w:numPr>
        <w:ind w:left="360"/>
      </w:pPr>
      <w:r>
        <w:t>No</w:t>
      </w:r>
    </w:p>
    <w:p w14:paraId="0F9C9108" w14:textId="77777777" w:rsidR="008C1624" w:rsidRPr="00A4265E" w:rsidRDefault="008C1624" w:rsidP="008C1624">
      <w:pPr>
        <w:pStyle w:val="Heading2"/>
      </w:pPr>
      <w:r w:rsidRPr="00A4265E">
        <w:t>Are there any existing or proposed changes to the marketing authorisation that would affect the existing guidance?</w:t>
      </w:r>
    </w:p>
    <w:p w14:paraId="0474993B" w14:textId="3D790303" w:rsidR="008C1624" w:rsidRPr="00A4265E" w:rsidRDefault="00F272D4" w:rsidP="00934E40">
      <w:pPr>
        <w:pStyle w:val="Paragraph"/>
        <w:numPr>
          <w:ilvl w:val="0"/>
          <w:numId w:val="0"/>
        </w:numPr>
        <w:ind w:left="360"/>
      </w:pPr>
      <w:r>
        <w:t>No</w:t>
      </w:r>
    </w:p>
    <w:p w14:paraId="08271E31" w14:textId="77777777" w:rsidR="008C1624" w:rsidRPr="00A4265E" w:rsidRDefault="008C1624" w:rsidP="008C1624">
      <w:pPr>
        <w:pStyle w:val="Heading2"/>
      </w:pPr>
      <w:r w:rsidRPr="00A4265E">
        <w:t>Were any uncertainties identified in the original guidance? Is there any new evidence that might address this?</w:t>
      </w:r>
    </w:p>
    <w:p w14:paraId="3502D5AC" w14:textId="576488D3" w:rsidR="00C919BA" w:rsidRDefault="00C919BA" w:rsidP="00290F00">
      <w:pPr>
        <w:pStyle w:val="Paragraph"/>
        <w:numPr>
          <w:ilvl w:val="0"/>
          <w:numId w:val="0"/>
        </w:numPr>
        <w:ind w:left="720" w:hanging="360"/>
        <w:rPr>
          <w:rFonts w:cs="Arial"/>
        </w:rPr>
      </w:pPr>
      <w:r>
        <w:rPr>
          <w:rFonts w:cs="Arial"/>
        </w:rPr>
        <w:t>A number of uncertainties were identified in the original guidance.</w:t>
      </w:r>
    </w:p>
    <w:p w14:paraId="0AB047F8" w14:textId="080A6B8B" w:rsidR="00290F00" w:rsidRDefault="00C919BA" w:rsidP="00C919BA">
      <w:pPr>
        <w:pStyle w:val="Paragraph"/>
        <w:numPr>
          <w:ilvl w:val="0"/>
          <w:numId w:val="0"/>
        </w:numPr>
        <w:ind w:left="360"/>
        <w:rPr>
          <w:rFonts w:cs="Arial"/>
        </w:rPr>
      </w:pPr>
      <w:r>
        <w:rPr>
          <w:rFonts w:cs="Arial"/>
        </w:rPr>
        <w:t>The c</w:t>
      </w:r>
      <w:r w:rsidR="00F272D4" w:rsidRPr="00F272D4">
        <w:rPr>
          <w:rFonts w:cs="Arial"/>
        </w:rPr>
        <w:t xml:space="preserve">ompany suggests that </w:t>
      </w:r>
      <w:r w:rsidR="005B3F9F">
        <w:rPr>
          <w:rFonts w:cs="Arial"/>
        </w:rPr>
        <w:t>they</w:t>
      </w:r>
      <w:r w:rsidR="00F272D4" w:rsidRPr="00F272D4">
        <w:rPr>
          <w:rFonts w:cs="Arial"/>
        </w:rPr>
        <w:t xml:space="preserve"> will </w:t>
      </w:r>
      <w:r w:rsidR="005B3F9F">
        <w:rPr>
          <w:rFonts w:cs="Arial"/>
        </w:rPr>
        <w:t xml:space="preserve">be able to </w:t>
      </w:r>
      <w:r w:rsidR="00F272D4" w:rsidRPr="00F272D4">
        <w:rPr>
          <w:rFonts w:cs="Arial"/>
        </w:rPr>
        <w:t>address the following key uncertainties:</w:t>
      </w:r>
    </w:p>
    <w:p w14:paraId="73CA42D4" w14:textId="77777777" w:rsidR="00290F00" w:rsidRDefault="00F272D4" w:rsidP="00772315">
      <w:pPr>
        <w:pStyle w:val="Paragraph"/>
        <w:numPr>
          <w:ilvl w:val="0"/>
          <w:numId w:val="14"/>
        </w:numPr>
        <w:rPr>
          <w:rFonts w:cs="Arial"/>
        </w:rPr>
      </w:pPr>
      <w:r w:rsidRPr="00290F00">
        <w:rPr>
          <w:rFonts w:cs="Arial"/>
        </w:rPr>
        <w:t xml:space="preserve">concerns over subsequent treatments </w:t>
      </w:r>
    </w:p>
    <w:p w14:paraId="466D0E04" w14:textId="77777777" w:rsidR="00290F00" w:rsidRDefault="00F272D4" w:rsidP="00772315">
      <w:pPr>
        <w:pStyle w:val="Paragraph"/>
        <w:numPr>
          <w:ilvl w:val="0"/>
          <w:numId w:val="14"/>
        </w:numPr>
        <w:rPr>
          <w:rFonts w:cs="Arial"/>
        </w:rPr>
      </w:pPr>
      <w:r w:rsidRPr="00290F00">
        <w:rPr>
          <w:rFonts w:cs="Arial"/>
        </w:rPr>
        <w:t>magnitude of the PFS benefit compared to comparators</w:t>
      </w:r>
    </w:p>
    <w:p w14:paraId="11BBAAEB" w14:textId="17B99A9C" w:rsidR="00F272D4" w:rsidRPr="00290F00" w:rsidRDefault="00F272D4" w:rsidP="00772315">
      <w:pPr>
        <w:pStyle w:val="Paragraph"/>
        <w:numPr>
          <w:ilvl w:val="0"/>
          <w:numId w:val="14"/>
        </w:numPr>
        <w:rPr>
          <w:rFonts w:cs="Arial"/>
        </w:rPr>
      </w:pPr>
      <w:r w:rsidRPr="00290F00">
        <w:rPr>
          <w:rFonts w:cs="Arial"/>
        </w:rPr>
        <w:t xml:space="preserve">modelling of survival </w:t>
      </w:r>
    </w:p>
    <w:p w14:paraId="68C791F6" w14:textId="5438D8C8" w:rsidR="00F272D4" w:rsidRPr="00F272D4" w:rsidRDefault="005B3F9F" w:rsidP="00F272D4">
      <w:pPr>
        <w:pStyle w:val="ListParagraph"/>
        <w:spacing w:after="160" w:line="259" w:lineRule="auto"/>
        <w:ind w:left="360"/>
        <w:rPr>
          <w:rFonts w:ascii="Arial" w:hAnsi="Arial" w:cs="Arial"/>
        </w:rPr>
      </w:pPr>
      <w:r>
        <w:rPr>
          <w:rFonts w:ascii="Arial" w:hAnsi="Arial" w:cs="Arial"/>
        </w:rPr>
        <w:t>Other u</w:t>
      </w:r>
      <w:r w:rsidR="00F272D4" w:rsidRPr="00F272D4">
        <w:rPr>
          <w:rFonts w:ascii="Arial" w:hAnsi="Arial" w:cs="Arial"/>
        </w:rPr>
        <w:t>ncertainties identified in the original guidance</w:t>
      </w:r>
      <w:r w:rsidR="00C919BA">
        <w:rPr>
          <w:rFonts w:ascii="Arial" w:hAnsi="Arial" w:cs="Arial"/>
        </w:rPr>
        <w:t xml:space="preserve"> </w:t>
      </w:r>
      <w:r w:rsidR="00F272D4" w:rsidRPr="00F272D4">
        <w:rPr>
          <w:rFonts w:ascii="Arial" w:hAnsi="Arial" w:cs="Arial"/>
        </w:rPr>
        <w:t>include:</w:t>
      </w:r>
    </w:p>
    <w:p w14:paraId="7C28C4AB" w14:textId="16BE3A75" w:rsidR="00F272D4" w:rsidRPr="00F272D4" w:rsidRDefault="00F272D4" w:rsidP="00772315">
      <w:pPr>
        <w:pStyle w:val="Paragraph"/>
        <w:numPr>
          <w:ilvl w:val="0"/>
          <w:numId w:val="13"/>
        </w:numPr>
        <w:rPr>
          <w:rFonts w:cs="Arial"/>
        </w:rPr>
      </w:pPr>
      <w:r w:rsidRPr="00F272D4">
        <w:rPr>
          <w:rFonts w:cs="Arial"/>
        </w:rPr>
        <w:t>Modelling of CNS metastases (including proportion of people with CNS metastases at baseline, how non-CNS PD to CNS PD transition is modelled and the rates informing this transition)</w:t>
      </w:r>
    </w:p>
    <w:p w14:paraId="136D72C4" w14:textId="263BAA21" w:rsidR="00F272D4" w:rsidRPr="00F272D4" w:rsidRDefault="00F272D4" w:rsidP="00772315">
      <w:pPr>
        <w:pStyle w:val="Paragraph"/>
        <w:numPr>
          <w:ilvl w:val="0"/>
          <w:numId w:val="13"/>
        </w:numPr>
        <w:rPr>
          <w:rFonts w:cs="Arial"/>
        </w:rPr>
      </w:pPr>
      <w:r w:rsidRPr="00F272D4">
        <w:rPr>
          <w:rFonts w:cs="Arial"/>
        </w:rPr>
        <w:t xml:space="preserve">No NMA for adverse events despite evidence suggesting high rates with </w:t>
      </w:r>
      <w:r w:rsidR="00803DCD" w:rsidRPr="00F272D4">
        <w:rPr>
          <w:rFonts w:cs="Arial"/>
        </w:rPr>
        <w:t>lorlatinib</w:t>
      </w:r>
      <w:r w:rsidRPr="00F272D4">
        <w:rPr>
          <w:rFonts w:cs="Arial"/>
        </w:rPr>
        <w:t xml:space="preserve"> (compared with other ALK TKIs)</w:t>
      </w:r>
    </w:p>
    <w:p w14:paraId="129F1C55" w14:textId="77777777" w:rsidR="00A4265E" w:rsidRPr="00A4265E" w:rsidRDefault="00A4265E" w:rsidP="00A4265E">
      <w:pPr>
        <w:pStyle w:val="Heading2"/>
      </w:pPr>
      <w:r w:rsidRPr="00A4265E">
        <w:t>Are there any related pieces of NICE guidance relevant to this appraisal? If so, what implications might this have for the existing guidance?</w:t>
      </w:r>
    </w:p>
    <w:p w14:paraId="432DC0B8" w14:textId="09F8BF2C" w:rsidR="00290F00" w:rsidRDefault="00290F00" w:rsidP="00290F00">
      <w:pPr>
        <w:pStyle w:val="Paragraph"/>
        <w:numPr>
          <w:ilvl w:val="0"/>
          <w:numId w:val="0"/>
        </w:numPr>
        <w:ind w:left="360"/>
      </w:pPr>
      <w:r>
        <w:t xml:space="preserve">Related NICE guidance relevant to this appraisal relate to the comparators and are listed in the scope. </w:t>
      </w:r>
      <w:r w:rsidRPr="00290F00">
        <w:t xml:space="preserve">Ceritinib and crizotinib </w:t>
      </w:r>
      <w:r>
        <w:t xml:space="preserve">were </w:t>
      </w:r>
      <w:r w:rsidRPr="00290F00">
        <w:t>both</w:t>
      </w:r>
      <w:r>
        <w:t xml:space="preserve"> comparators</w:t>
      </w:r>
      <w:r w:rsidRPr="00290F00">
        <w:t xml:space="preserve"> in original scope but </w:t>
      </w:r>
      <w:r>
        <w:t>committee accepted that these were only</w:t>
      </w:r>
      <w:r w:rsidRPr="00290F00">
        <w:t xml:space="preserve"> rarely used in untreated ALK patients </w:t>
      </w:r>
      <w:r>
        <w:t xml:space="preserve">in the NHS and that alectinib and brigatinib are the main comparators. It is possible that more recent studies are available for inform the indirect comparison for these </w:t>
      </w:r>
      <w:r w:rsidR="00C919BA">
        <w:t>treatments.</w:t>
      </w:r>
    </w:p>
    <w:p w14:paraId="2EF93D9B" w14:textId="56AA7F3B" w:rsidR="00C654E4" w:rsidRDefault="00C654E4" w:rsidP="00A4265E">
      <w:pPr>
        <w:pStyle w:val="Heading2"/>
      </w:pPr>
      <w:r>
        <w:lastRenderedPageBreak/>
        <w:t>Questions for consultation</w:t>
      </w:r>
    </w:p>
    <w:p w14:paraId="262A1273" w14:textId="78807F47" w:rsidR="00934E40" w:rsidRPr="00934E40" w:rsidRDefault="00934E40" w:rsidP="00934E40">
      <w:pPr>
        <w:spacing w:before="120" w:after="120"/>
        <w:rPr>
          <w:rFonts w:ascii="Arial" w:hAnsi="Arial" w:cs="Arial"/>
          <w:lang w:eastAsia="en-US"/>
        </w:rPr>
      </w:pPr>
      <w:r w:rsidRPr="00934E40">
        <w:rPr>
          <w:rFonts w:ascii="Arial" w:hAnsi="Arial" w:cs="Arial"/>
          <w:lang w:eastAsia="en-US"/>
        </w:rPr>
        <w:t xml:space="preserve">Where do you consider </w:t>
      </w:r>
      <w:r w:rsidR="00290F00">
        <w:rPr>
          <w:rFonts w:ascii="Arial" w:hAnsi="Arial" w:cs="Arial"/>
          <w:lang w:eastAsia="en-US"/>
        </w:rPr>
        <w:t>lorlatinib</w:t>
      </w:r>
      <w:r w:rsidRPr="00934E40">
        <w:rPr>
          <w:rFonts w:ascii="Arial" w:hAnsi="Arial" w:cs="Arial"/>
          <w:lang w:eastAsia="en-US"/>
        </w:rPr>
        <w:t xml:space="preserve"> will fit into the existing care pathway for </w:t>
      </w:r>
      <w:r w:rsidR="00290F00">
        <w:rPr>
          <w:rFonts w:ascii="Arial" w:hAnsi="Arial" w:cs="Arial"/>
          <w:lang w:eastAsia="en-US"/>
        </w:rPr>
        <w:t>untreated ALK-positive advanced NSCLC</w:t>
      </w:r>
      <w:r w:rsidRPr="00934E40">
        <w:rPr>
          <w:rFonts w:ascii="Arial" w:hAnsi="Arial" w:cs="Arial"/>
          <w:lang w:eastAsia="en-US"/>
        </w:rPr>
        <w:t>?</w:t>
      </w:r>
    </w:p>
    <w:p w14:paraId="5AEDA258" w14:textId="2D9B8353" w:rsidR="00934E40" w:rsidRPr="00934E40" w:rsidRDefault="00934E40" w:rsidP="00934E40">
      <w:pPr>
        <w:spacing w:before="120" w:after="120"/>
        <w:rPr>
          <w:rFonts w:ascii="Arial" w:hAnsi="Arial" w:cs="Arial"/>
          <w:lang w:eastAsia="en-US"/>
        </w:rPr>
      </w:pPr>
      <w:r w:rsidRPr="00934E40">
        <w:rPr>
          <w:rFonts w:ascii="Arial" w:hAnsi="Arial" w:cs="Arial"/>
          <w:lang w:eastAsia="en-US"/>
        </w:rPr>
        <w:t xml:space="preserve">Do you consider that the use of </w:t>
      </w:r>
      <w:r w:rsidR="005648EB">
        <w:rPr>
          <w:rFonts w:ascii="Arial" w:hAnsi="Arial" w:cs="Arial"/>
          <w:lang w:eastAsia="en-US"/>
        </w:rPr>
        <w:t>lorlatinib</w:t>
      </w:r>
      <w:r w:rsidRPr="00934E40">
        <w:rPr>
          <w:rFonts w:ascii="Arial" w:hAnsi="Arial" w:cs="Arial"/>
          <w:lang w:eastAsia="en-US"/>
        </w:rPr>
        <w:t xml:space="preserve"> can result in any potential substantial health-related benefits that are unlikely to be included in the QALY calculation? </w:t>
      </w:r>
    </w:p>
    <w:p w14:paraId="6979F244" w14:textId="77777777" w:rsidR="00934E40" w:rsidRPr="00934E40" w:rsidRDefault="00934E40" w:rsidP="00934E40">
      <w:pPr>
        <w:spacing w:before="120" w:after="120"/>
        <w:rPr>
          <w:rFonts w:ascii="Arial" w:hAnsi="Arial" w:cs="Arial"/>
          <w:lang w:eastAsia="en-US"/>
        </w:rPr>
      </w:pPr>
      <w:r w:rsidRPr="00934E40">
        <w:rPr>
          <w:rFonts w:ascii="Arial" w:hAnsi="Arial" w:cs="Arial"/>
          <w:lang w:eastAsia="en-US"/>
        </w:rPr>
        <w:t>Please identify the nature of the data which you understand to be available to enable the committee to take account of these benefits.</w:t>
      </w:r>
    </w:p>
    <w:p w14:paraId="065014EA" w14:textId="77777777" w:rsidR="00934E40" w:rsidRPr="00934E40" w:rsidRDefault="00934E40" w:rsidP="00934E40">
      <w:pPr>
        <w:rPr>
          <w:rFonts w:ascii="Arial" w:hAnsi="Arial" w:cs="Arial"/>
          <w:lang w:eastAsia="en-US"/>
        </w:rPr>
      </w:pPr>
    </w:p>
    <w:p w14:paraId="493F124D" w14:textId="77777777" w:rsidR="00934E40" w:rsidRPr="005648EB" w:rsidRDefault="00934E40" w:rsidP="00934E40">
      <w:pPr>
        <w:spacing w:after="240"/>
        <w:rPr>
          <w:rFonts w:ascii="Arial" w:hAnsi="Arial" w:cs="Arial"/>
          <w:lang w:eastAsia="en-US"/>
        </w:rPr>
      </w:pPr>
      <w:r w:rsidRPr="4D806AD1">
        <w:rPr>
          <w:rFonts w:ascii="Arial" w:hAnsi="Arial" w:cs="Arial"/>
          <w:lang w:eastAsia="en-US"/>
        </w:rPr>
        <w:t>NICE is committed to promoting equality of opportunity, eliminating unlawful discrimination and fostering good relations between people with particular protected characteristics and others.  Please let us know if you think that the proposed remit and scope may need changing in order to meet these aims.  In particular, please tell us if the proposed remit and scope: </w:t>
      </w:r>
    </w:p>
    <w:p w14:paraId="13ADDDC8" w14:textId="59BBF005" w:rsidR="00934E40" w:rsidRPr="005648EB" w:rsidRDefault="00934E40" w:rsidP="00772315">
      <w:pPr>
        <w:numPr>
          <w:ilvl w:val="0"/>
          <w:numId w:val="7"/>
        </w:numPr>
        <w:spacing w:after="240"/>
        <w:rPr>
          <w:rFonts w:ascii="Arial" w:hAnsi="Arial" w:cs="Arial"/>
          <w:lang w:val="x-none" w:eastAsia="en-US"/>
        </w:rPr>
      </w:pPr>
      <w:r w:rsidRPr="005648EB">
        <w:rPr>
          <w:rFonts w:ascii="Arial" w:hAnsi="Arial" w:cs="Arial"/>
          <w:lang w:val="x-none" w:eastAsia="en-US"/>
        </w:rPr>
        <w:t xml:space="preserve">could exclude from full consideration any people protected by the equality legislation who fall within the patient population for which </w:t>
      </w:r>
      <w:r w:rsidR="005648EB">
        <w:rPr>
          <w:rFonts w:ascii="Arial" w:hAnsi="Arial" w:cs="Arial"/>
          <w:lang w:eastAsia="en-US"/>
        </w:rPr>
        <w:t xml:space="preserve">lorlatinib </w:t>
      </w:r>
      <w:r w:rsidRPr="005648EB">
        <w:rPr>
          <w:rFonts w:ascii="Arial" w:hAnsi="Arial" w:cs="Arial"/>
          <w:lang w:val="x-none" w:eastAsia="en-US"/>
        </w:rPr>
        <w:t xml:space="preserve">is be licensed; </w:t>
      </w:r>
    </w:p>
    <w:p w14:paraId="1021F1EA" w14:textId="77777777" w:rsidR="00934E40" w:rsidRPr="005648EB" w:rsidRDefault="00934E40" w:rsidP="00772315">
      <w:pPr>
        <w:numPr>
          <w:ilvl w:val="0"/>
          <w:numId w:val="7"/>
        </w:numPr>
        <w:spacing w:after="240"/>
        <w:rPr>
          <w:rFonts w:ascii="Arial" w:hAnsi="Arial" w:cs="Arial"/>
          <w:lang w:val="x-none" w:eastAsia="en-US"/>
        </w:rPr>
      </w:pPr>
      <w:r w:rsidRPr="005648EB">
        <w:rPr>
          <w:rFonts w:ascii="Arial" w:hAnsi="Arial" w:cs="Arial"/>
          <w:lang w:val="x-none" w:eastAsia="en-US"/>
        </w:rPr>
        <w:t xml:space="preserve">could lead to recommendations that have a different impact on people protected by the equality legislation than on the wider population, e.g. by making it more difficult in practice for a specific group to access the technology; </w:t>
      </w:r>
    </w:p>
    <w:p w14:paraId="014A5097" w14:textId="77777777" w:rsidR="00934E40" w:rsidRPr="005648EB" w:rsidRDefault="00934E40" w:rsidP="00772315">
      <w:pPr>
        <w:numPr>
          <w:ilvl w:val="0"/>
          <w:numId w:val="7"/>
        </w:numPr>
        <w:spacing w:after="240"/>
        <w:rPr>
          <w:rFonts w:ascii="Arial" w:hAnsi="Arial" w:cs="Arial"/>
          <w:lang w:val="x-none" w:eastAsia="en-US"/>
        </w:rPr>
      </w:pPr>
      <w:r w:rsidRPr="005648EB">
        <w:rPr>
          <w:rFonts w:ascii="Arial" w:hAnsi="Arial" w:cs="Arial"/>
          <w:lang w:val="x-none" w:eastAsia="en-US"/>
        </w:rPr>
        <w:t xml:space="preserve">could have any adverse impact on people with a particular disability or disabilities.  </w:t>
      </w:r>
    </w:p>
    <w:p w14:paraId="1B025546" w14:textId="77777777" w:rsidR="00934E40" w:rsidRPr="005648EB" w:rsidRDefault="00934E40" w:rsidP="00934E40">
      <w:pPr>
        <w:spacing w:after="240"/>
        <w:rPr>
          <w:rFonts w:ascii="Arial" w:hAnsi="Arial" w:cs="Arial"/>
          <w:lang w:val="x-none" w:eastAsia="en-US"/>
        </w:rPr>
      </w:pPr>
      <w:r w:rsidRPr="005648EB">
        <w:rPr>
          <w:rFonts w:ascii="Arial" w:hAnsi="Arial" w:cs="Arial"/>
          <w:lang w:val="x-none" w:eastAsia="en-US"/>
        </w:rPr>
        <w:t xml:space="preserve">Please tell us what evidence should be obtained to enable the </w:t>
      </w:r>
      <w:r w:rsidRPr="005648EB">
        <w:rPr>
          <w:rFonts w:ascii="Arial" w:hAnsi="Arial" w:cs="Arial"/>
          <w:lang w:eastAsia="en-US"/>
        </w:rPr>
        <w:t>c</w:t>
      </w:r>
      <w:r w:rsidRPr="005648EB">
        <w:rPr>
          <w:rFonts w:ascii="Arial" w:hAnsi="Arial" w:cs="Arial"/>
          <w:lang w:val="x-none" w:eastAsia="en-US"/>
        </w:rPr>
        <w:t>ommittee to identify and consider such impacts.</w:t>
      </w:r>
    </w:p>
    <w:p w14:paraId="438E1C8C" w14:textId="77777777" w:rsidR="00934E40" w:rsidRPr="005648EB" w:rsidRDefault="00934E40" w:rsidP="00934E40">
      <w:pPr>
        <w:rPr>
          <w:rFonts w:ascii="Arial" w:hAnsi="Arial" w:cs="Arial"/>
          <w:lang w:eastAsia="en-US"/>
        </w:rPr>
      </w:pPr>
      <w:r w:rsidRPr="005648EB">
        <w:rPr>
          <w:rFonts w:ascii="Arial" w:hAnsi="Arial" w:cs="Arial"/>
          <w:lang w:eastAsia="en-US"/>
        </w:rPr>
        <w:t xml:space="preserve">NICE intends to evaluate this technology through its Single Technology Appraisal process. (Information on NICE’s health technology evaluation processes is available at </w:t>
      </w:r>
      <w:hyperlink r:id="rId18" w:history="1">
        <w:r w:rsidRPr="005648EB">
          <w:rPr>
            <w:rFonts w:ascii="Arial" w:hAnsi="Arial" w:cs="Arial"/>
            <w:color w:val="0000FF"/>
            <w:u w:val="single"/>
            <w:lang w:eastAsia="en-US"/>
          </w:rPr>
          <w:t>https://www.nice.org.uk/about/what-we-do/our-programmes/nice-guidance/nice-technology-appraisal-guidance/changes-to-health-technology-evaluation</w:t>
        </w:r>
      </w:hyperlink>
      <w:r w:rsidRPr="005648EB">
        <w:rPr>
          <w:rFonts w:ascii="Arial" w:hAnsi="Arial" w:cs="Arial"/>
          <w:lang w:eastAsia="en-US"/>
        </w:rPr>
        <w:t>).</w:t>
      </w:r>
    </w:p>
    <w:p w14:paraId="3DE9FC17" w14:textId="77777777" w:rsidR="00934E40" w:rsidRPr="00934E40" w:rsidRDefault="00934E40" w:rsidP="00934E40">
      <w:pPr>
        <w:rPr>
          <w:rFonts w:ascii="Arial" w:hAnsi="Arial" w:cs="Arial"/>
          <w:highlight w:val="yellow"/>
          <w:lang w:eastAsia="en-US"/>
        </w:rPr>
      </w:pPr>
    </w:p>
    <w:p w14:paraId="36E899BC" w14:textId="77777777" w:rsidR="00161A3F" w:rsidRDefault="00A4265E" w:rsidP="00161A3F">
      <w:pPr>
        <w:pStyle w:val="Heading1numbered"/>
      </w:pPr>
      <w:r w:rsidRPr="00A4265E">
        <w:t>Equality issues</w:t>
      </w:r>
    </w:p>
    <w:p w14:paraId="0CABDCCE" w14:textId="27D81FCD" w:rsidR="00161A3F" w:rsidRDefault="00161A3F" w:rsidP="00161A3F">
      <w:pPr>
        <w:pStyle w:val="Heading1numbered"/>
        <w:rPr>
          <w:b w:val="0"/>
          <w:bCs w:val="0"/>
          <w:kern w:val="0"/>
          <w:sz w:val="24"/>
          <w:szCs w:val="24"/>
        </w:rPr>
      </w:pPr>
      <w:r>
        <w:rPr>
          <w:b w:val="0"/>
          <w:bCs w:val="0"/>
          <w:kern w:val="0"/>
          <w:sz w:val="24"/>
          <w:szCs w:val="24"/>
        </w:rPr>
        <w:t>S</w:t>
      </w:r>
      <w:r w:rsidRPr="00161A3F">
        <w:rPr>
          <w:b w:val="0"/>
          <w:bCs w:val="0"/>
          <w:kern w:val="0"/>
          <w:sz w:val="24"/>
          <w:szCs w:val="24"/>
        </w:rPr>
        <w:t>takeholders comment</w:t>
      </w:r>
      <w:r>
        <w:rPr>
          <w:b w:val="0"/>
          <w:bCs w:val="0"/>
          <w:kern w:val="0"/>
          <w:sz w:val="24"/>
          <w:szCs w:val="24"/>
        </w:rPr>
        <w:t>ed</w:t>
      </w:r>
      <w:r w:rsidRPr="00161A3F">
        <w:rPr>
          <w:b w:val="0"/>
          <w:bCs w:val="0"/>
          <w:kern w:val="0"/>
          <w:sz w:val="24"/>
          <w:szCs w:val="24"/>
        </w:rPr>
        <w:t xml:space="preserve"> that people with ALK positive NSCLC having treatment at small district general hospitals are very likely to be disadvantaged</w:t>
      </w:r>
      <w:r>
        <w:rPr>
          <w:b w:val="0"/>
          <w:bCs w:val="0"/>
          <w:kern w:val="0"/>
          <w:sz w:val="24"/>
          <w:szCs w:val="24"/>
        </w:rPr>
        <w:t xml:space="preserve"> as </w:t>
      </w:r>
      <w:r w:rsidRPr="00161A3F">
        <w:rPr>
          <w:b w:val="0"/>
          <w:bCs w:val="0"/>
          <w:kern w:val="0"/>
          <w:sz w:val="24"/>
          <w:szCs w:val="24"/>
        </w:rPr>
        <w:t xml:space="preserve">the oncologists </w:t>
      </w:r>
      <w:r>
        <w:rPr>
          <w:b w:val="0"/>
          <w:bCs w:val="0"/>
          <w:kern w:val="0"/>
          <w:sz w:val="24"/>
          <w:szCs w:val="24"/>
        </w:rPr>
        <w:t xml:space="preserve">in these hospitals are less likely to </w:t>
      </w:r>
      <w:r w:rsidRPr="00161A3F">
        <w:rPr>
          <w:b w:val="0"/>
          <w:bCs w:val="0"/>
          <w:kern w:val="0"/>
          <w:sz w:val="24"/>
          <w:szCs w:val="24"/>
        </w:rPr>
        <w:t xml:space="preserve">specialise in lung cancer or have any experience in ALK positive NSCLC. The committee </w:t>
      </w:r>
      <w:r>
        <w:rPr>
          <w:b w:val="0"/>
          <w:bCs w:val="0"/>
          <w:kern w:val="0"/>
          <w:sz w:val="24"/>
          <w:szCs w:val="24"/>
        </w:rPr>
        <w:t xml:space="preserve">agreed this reflected an implementation issue and cannot be addressed in a NICE technology appraisal recommendation. </w:t>
      </w:r>
    </w:p>
    <w:p w14:paraId="36BE962A" w14:textId="145E9CA3" w:rsidR="00A4265E" w:rsidRPr="00A4265E" w:rsidRDefault="00A4265E" w:rsidP="00161A3F">
      <w:pPr>
        <w:pStyle w:val="Heading1numbered"/>
      </w:pPr>
      <w:r w:rsidRPr="00A4265E">
        <w:t>Proposal</w:t>
      </w:r>
      <w:r w:rsidR="00EF3AF9">
        <w:t>/decision</w:t>
      </w:r>
      <w:r w:rsidRPr="00A4265E">
        <w:t xml:space="preserve"> paper sign off</w:t>
      </w:r>
    </w:p>
    <w:p w14:paraId="4893978F" w14:textId="7DCB1575" w:rsidR="00A4265E" w:rsidRDefault="00EE72A3" w:rsidP="003D3D3F">
      <w:pPr>
        <w:pStyle w:val="Paragraphnonumbers"/>
        <w:spacing w:line="240" w:lineRule="auto"/>
      </w:pPr>
      <w:r>
        <w:t>Gavin Kenny</w:t>
      </w:r>
      <w:r w:rsidR="006278DB">
        <w:t xml:space="preserve"> </w:t>
      </w:r>
      <w:r w:rsidR="00A4265E">
        <w:t xml:space="preserve">– </w:t>
      </w:r>
      <w:r w:rsidR="00A4265E" w:rsidRPr="00A4265E">
        <w:t xml:space="preserve">Programme </w:t>
      </w:r>
      <w:r w:rsidR="005E4CC7">
        <w:t>Manager</w:t>
      </w:r>
      <w:r w:rsidR="00A4265E" w:rsidRPr="00A4265E">
        <w:t>, Technology Appraisals and Highly Specialised Technologies</w:t>
      </w:r>
      <w:r w:rsidR="00A4265E">
        <w:t xml:space="preserve"> </w:t>
      </w:r>
    </w:p>
    <w:p w14:paraId="612A1BAB" w14:textId="7218EDB1" w:rsidR="00A4265E" w:rsidRDefault="001B014D" w:rsidP="003D3D3F">
      <w:pPr>
        <w:pStyle w:val="Paragraphnonumbers"/>
        <w:spacing w:line="240" w:lineRule="auto"/>
      </w:pPr>
      <w:r>
        <w:t>14 June 2024</w:t>
      </w:r>
    </w:p>
    <w:p w14:paraId="52477C32" w14:textId="77777777" w:rsidR="005E4CC7" w:rsidRDefault="005E4CC7" w:rsidP="009937C4">
      <w:pPr>
        <w:pStyle w:val="Heading1"/>
      </w:pPr>
    </w:p>
    <w:p w14:paraId="204A0F8F" w14:textId="0A8959D2" w:rsidR="00A4265E" w:rsidRDefault="00A4265E" w:rsidP="009937C4">
      <w:pPr>
        <w:pStyle w:val="Heading1"/>
      </w:pPr>
      <w:r>
        <w:t xml:space="preserve">Contributors to this paper </w:t>
      </w:r>
    </w:p>
    <w:p w14:paraId="5443ADE6" w14:textId="5957F25A" w:rsidR="00A4265E" w:rsidRDefault="00A4265E" w:rsidP="003D3D3F">
      <w:pPr>
        <w:pStyle w:val="Paragraphnonumbers"/>
        <w:spacing w:line="240" w:lineRule="auto"/>
      </w:pPr>
      <w:r>
        <w:t xml:space="preserve">Information Specialist: </w:t>
      </w:r>
      <w:r w:rsidR="00337FA6">
        <w:t>Wesley Hubbard</w:t>
      </w:r>
    </w:p>
    <w:p w14:paraId="43733F4C" w14:textId="1D9D5140" w:rsidR="00A4265E" w:rsidRDefault="00A4265E" w:rsidP="003D3D3F">
      <w:pPr>
        <w:pStyle w:val="Paragraphnonumbers"/>
        <w:spacing w:line="240" w:lineRule="auto"/>
      </w:pPr>
      <w:r>
        <w:t xml:space="preserve">Technical Analyst: </w:t>
      </w:r>
      <w:r w:rsidR="00892000">
        <w:t>Tom Jarratt</w:t>
      </w:r>
    </w:p>
    <w:p w14:paraId="37D3461B" w14:textId="2BB71A2F" w:rsidR="003D3D3F" w:rsidRDefault="003D3D3F" w:rsidP="003D3D3F">
      <w:pPr>
        <w:pStyle w:val="Paragraphnonumbers"/>
        <w:spacing w:line="240" w:lineRule="auto"/>
      </w:pPr>
      <w:r>
        <w:t>Pro</w:t>
      </w:r>
      <w:r w:rsidR="005E4CC7">
        <w:t>ject</w:t>
      </w:r>
      <w:r>
        <w:t xml:space="preserve"> Manager: </w:t>
      </w:r>
      <w:r w:rsidR="005E4CC7">
        <w:t>Charlotte Downing</w:t>
      </w:r>
    </w:p>
    <w:p w14:paraId="7A9AA733" w14:textId="77777777" w:rsidR="0053533C" w:rsidRDefault="0053533C">
      <w:pPr>
        <w:rPr>
          <w:rFonts w:ascii="Arial" w:hAnsi="Arial"/>
        </w:rPr>
      </w:pPr>
      <w:r>
        <w:br w:type="page"/>
      </w:r>
    </w:p>
    <w:p w14:paraId="1A0D483D" w14:textId="77777777" w:rsidR="0053533C" w:rsidRDefault="0053533C" w:rsidP="0053533C">
      <w:pPr>
        <w:pStyle w:val="Title"/>
      </w:pPr>
      <w:r>
        <w:lastRenderedPageBreak/>
        <w:t>Appendix A – Information from existing guidance</w:t>
      </w:r>
    </w:p>
    <w:p w14:paraId="0A99179E" w14:textId="77777777" w:rsidR="0053533C" w:rsidRDefault="0053533C" w:rsidP="003844B5">
      <w:pPr>
        <w:pStyle w:val="Heading1numbered"/>
      </w:pPr>
      <w:r>
        <w:t>Original remit</w:t>
      </w:r>
    </w:p>
    <w:p w14:paraId="089A1975" w14:textId="77777777" w:rsidR="00772315" w:rsidRPr="001B470E" w:rsidRDefault="00772315" w:rsidP="00772315">
      <w:pPr>
        <w:pStyle w:val="Title"/>
        <w:spacing w:after="240"/>
        <w:jc w:val="left"/>
        <w:rPr>
          <w:rFonts w:cs="Arial"/>
          <w:b w:val="0"/>
          <w:sz w:val="22"/>
          <w:szCs w:val="22"/>
        </w:rPr>
      </w:pPr>
      <w:bookmarkStart w:id="1" w:name="_Hlk43898444"/>
      <w:r w:rsidRPr="00E970E0">
        <w:rPr>
          <w:rFonts w:cs="Arial"/>
          <w:b w:val="0"/>
          <w:sz w:val="22"/>
          <w:szCs w:val="22"/>
        </w:rPr>
        <w:t xml:space="preserve">To appraise the clinical and cost effectiveness of </w:t>
      </w:r>
      <w:bookmarkEnd w:id="1"/>
      <w:r>
        <w:rPr>
          <w:rFonts w:cs="Arial"/>
          <w:b w:val="0"/>
          <w:sz w:val="22"/>
          <w:szCs w:val="22"/>
        </w:rPr>
        <w:t>lorlatinib</w:t>
      </w:r>
      <w:r w:rsidRPr="00E970E0">
        <w:rPr>
          <w:rFonts w:cs="Arial"/>
          <w:b w:val="0"/>
          <w:sz w:val="22"/>
          <w:szCs w:val="22"/>
        </w:rPr>
        <w:t xml:space="preserve"> within its marketing authorisation for </w:t>
      </w:r>
      <w:r>
        <w:rPr>
          <w:rFonts w:cs="Arial"/>
          <w:b w:val="0"/>
          <w:sz w:val="22"/>
          <w:szCs w:val="22"/>
        </w:rPr>
        <w:t xml:space="preserve">untreated ALK-positive advanced non-small cell lung cancer. </w:t>
      </w:r>
    </w:p>
    <w:p w14:paraId="5E51F7DD" w14:textId="77777777" w:rsidR="0053533C" w:rsidRDefault="0053533C" w:rsidP="003844B5">
      <w:pPr>
        <w:pStyle w:val="Heading1numbered"/>
      </w:pPr>
      <w:r>
        <w:t xml:space="preserve">Current guidance </w:t>
      </w:r>
    </w:p>
    <w:p w14:paraId="099ED2AC" w14:textId="4787AEDC" w:rsidR="00770A0B" w:rsidRPr="00772315" w:rsidRDefault="00772315" w:rsidP="006B15CA">
      <w:pPr>
        <w:pStyle w:val="Paragraphnonumbers"/>
        <w:rPr>
          <w:b/>
          <w:bCs/>
          <w:sz w:val="22"/>
          <w:szCs w:val="22"/>
        </w:rPr>
      </w:pPr>
      <w:r w:rsidRPr="00772315">
        <w:rPr>
          <w:sz w:val="22"/>
          <w:szCs w:val="22"/>
        </w:rPr>
        <w:t>Lorlatinib is not recommended, within its marketing authorisation, for treating anaplastic lymphoma kinase (ALK)-positive advanced non-small-cell lung cancer (NSCLC) in adults who have not had an ALK inhibitor.</w:t>
      </w:r>
    </w:p>
    <w:p w14:paraId="2C59F4F8" w14:textId="7679F0BC" w:rsidR="009937C4" w:rsidRDefault="009937C4" w:rsidP="003D3D3F">
      <w:pPr>
        <w:pStyle w:val="Paragraphnonumbers"/>
        <w:spacing w:line="240" w:lineRule="auto"/>
      </w:pPr>
      <w:r>
        <w:br w:type="page"/>
      </w:r>
    </w:p>
    <w:p w14:paraId="1217A098" w14:textId="77777777" w:rsidR="0053533C" w:rsidRDefault="009937C4" w:rsidP="009937C4">
      <w:pPr>
        <w:pStyle w:val="Title"/>
      </w:pPr>
      <w:r>
        <w:lastRenderedPageBreak/>
        <w:t>Appendix B – Explanation of options</w:t>
      </w:r>
    </w:p>
    <w:p w14:paraId="2F789A2C" w14:textId="43F580CE" w:rsidR="009937C4" w:rsidRDefault="009937C4" w:rsidP="003D3D3F">
      <w:pPr>
        <w:pStyle w:val="Paragraphnonumbers"/>
        <w:spacing w:line="240" w:lineRule="auto"/>
        <w:rPr>
          <w:b/>
          <w:color w:val="FF0000"/>
        </w:rPr>
      </w:pPr>
      <w:r>
        <w:t xml:space="preserve">When considering whether to review one of its Technology Appraisals NICE must select one of the options in the table below: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1304"/>
      </w:tblGrid>
      <w:tr w:rsidR="003751CC" w:rsidRPr="003751CC" w14:paraId="18E25470" w14:textId="77777777" w:rsidTr="003751CC">
        <w:trPr>
          <w:cantSplit/>
          <w:tblHeader/>
        </w:trPr>
        <w:tc>
          <w:tcPr>
            <w:tcW w:w="3510" w:type="dxa"/>
            <w:shd w:val="clear" w:color="auto" w:fill="004650"/>
          </w:tcPr>
          <w:p w14:paraId="40BF513E" w14:textId="77777777" w:rsidR="009937C4" w:rsidRPr="003751CC" w:rsidRDefault="009937C4" w:rsidP="00A75474">
            <w:pPr>
              <w:keepNext/>
              <w:spacing w:before="120" w:after="120"/>
              <w:rPr>
                <w:rFonts w:ascii="Arial" w:hAnsi="Arial" w:cs="Arial"/>
                <w:b/>
                <w:bCs/>
                <w:color w:val="FFFFFF" w:themeColor="background1"/>
                <w:sz w:val="22"/>
                <w:szCs w:val="22"/>
              </w:rPr>
            </w:pPr>
            <w:r w:rsidRPr="003751CC">
              <w:rPr>
                <w:rFonts w:ascii="Arial" w:hAnsi="Arial" w:cs="Arial"/>
                <w:b/>
                <w:color w:val="FFFFFF" w:themeColor="background1"/>
                <w:sz w:val="22"/>
                <w:szCs w:val="22"/>
              </w:rPr>
              <w:t>Options</w:t>
            </w:r>
          </w:p>
        </w:tc>
        <w:tc>
          <w:tcPr>
            <w:tcW w:w="4395" w:type="dxa"/>
            <w:shd w:val="clear" w:color="auto" w:fill="004650"/>
          </w:tcPr>
          <w:p w14:paraId="069C8767" w14:textId="77777777" w:rsidR="009937C4" w:rsidRPr="003751CC" w:rsidRDefault="009937C4" w:rsidP="00A75474">
            <w:pPr>
              <w:keepNext/>
              <w:spacing w:before="120" w:after="120"/>
              <w:rPr>
                <w:rFonts w:ascii="Arial" w:hAnsi="Arial" w:cs="Arial"/>
                <w:b/>
                <w:bCs/>
                <w:color w:val="FFFFFF" w:themeColor="background1"/>
                <w:sz w:val="22"/>
                <w:szCs w:val="22"/>
              </w:rPr>
            </w:pPr>
            <w:r w:rsidRPr="003751CC">
              <w:rPr>
                <w:rFonts w:ascii="Arial" w:hAnsi="Arial" w:cs="Arial"/>
                <w:b/>
                <w:color w:val="FFFFFF" w:themeColor="background1"/>
                <w:sz w:val="22"/>
                <w:szCs w:val="22"/>
              </w:rPr>
              <w:t>Consequence</w:t>
            </w:r>
          </w:p>
        </w:tc>
        <w:tc>
          <w:tcPr>
            <w:tcW w:w="1304" w:type="dxa"/>
            <w:shd w:val="clear" w:color="auto" w:fill="004650"/>
          </w:tcPr>
          <w:p w14:paraId="3E031FA8" w14:textId="77777777" w:rsidR="009937C4" w:rsidRPr="003751CC" w:rsidRDefault="009937C4" w:rsidP="00A75474">
            <w:pPr>
              <w:keepNext/>
              <w:spacing w:before="120" w:after="120"/>
              <w:rPr>
                <w:rFonts w:ascii="Arial" w:hAnsi="Arial" w:cs="Arial"/>
                <w:b/>
                <w:color w:val="FFFFFF" w:themeColor="background1"/>
                <w:sz w:val="22"/>
                <w:szCs w:val="22"/>
              </w:rPr>
            </w:pPr>
            <w:r w:rsidRPr="003751CC">
              <w:rPr>
                <w:rFonts w:ascii="Arial" w:hAnsi="Arial" w:cs="Arial"/>
                <w:b/>
                <w:color w:val="FFFFFF" w:themeColor="background1"/>
                <w:sz w:val="22"/>
                <w:szCs w:val="22"/>
              </w:rPr>
              <w:t>Selected – ‘Yes/No’</w:t>
            </w:r>
          </w:p>
        </w:tc>
      </w:tr>
      <w:tr w:rsidR="009937C4" w:rsidRPr="009937C4" w14:paraId="49FEF643" w14:textId="77777777" w:rsidTr="00A75474">
        <w:trPr>
          <w:cantSplit/>
        </w:trPr>
        <w:tc>
          <w:tcPr>
            <w:tcW w:w="3510" w:type="dxa"/>
          </w:tcPr>
          <w:p w14:paraId="3DCE0F73" w14:textId="29CD32F0" w:rsidR="009937C4" w:rsidRPr="009937C4" w:rsidRDefault="009937C4" w:rsidP="00A75474">
            <w:pPr>
              <w:spacing w:before="120" w:after="120"/>
              <w:rPr>
                <w:rFonts w:ascii="Arial" w:hAnsi="Arial" w:cs="Arial"/>
                <w:bCs/>
                <w:sz w:val="22"/>
                <w:szCs w:val="22"/>
              </w:rPr>
            </w:pPr>
            <w:r w:rsidRPr="009937C4">
              <w:rPr>
                <w:rFonts w:ascii="Arial" w:hAnsi="Arial" w:cs="Arial"/>
                <w:sz w:val="22"/>
                <w:szCs w:val="22"/>
              </w:rPr>
              <w:t xml:space="preserve">A review of the guidance should be planned into the appraisal work programme. The review will be conducted through the </w:t>
            </w:r>
            <w:r w:rsidR="00DA2535">
              <w:rPr>
                <w:rFonts w:ascii="Arial" w:hAnsi="Arial" w:cs="Arial"/>
                <w:sz w:val="22"/>
                <w:szCs w:val="22"/>
              </w:rPr>
              <w:t>STA</w:t>
            </w:r>
            <w:r w:rsidRPr="009937C4">
              <w:rPr>
                <w:rFonts w:ascii="Arial" w:hAnsi="Arial" w:cs="Arial"/>
                <w:sz w:val="22"/>
                <w:szCs w:val="22"/>
              </w:rPr>
              <w:t xml:space="preserve"> process.</w:t>
            </w:r>
          </w:p>
        </w:tc>
        <w:tc>
          <w:tcPr>
            <w:tcW w:w="4395" w:type="dxa"/>
          </w:tcPr>
          <w:p w14:paraId="2533828D" w14:textId="77777777" w:rsidR="009937C4" w:rsidRDefault="009937C4" w:rsidP="00A75474">
            <w:pPr>
              <w:spacing w:before="120" w:after="120"/>
              <w:rPr>
                <w:rFonts w:ascii="Arial" w:hAnsi="Arial" w:cs="Arial"/>
                <w:bCs/>
                <w:sz w:val="22"/>
                <w:szCs w:val="22"/>
              </w:rPr>
            </w:pPr>
            <w:r w:rsidRPr="009937C4">
              <w:rPr>
                <w:rFonts w:ascii="Arial" w:hAnsi="Arial" w:cs="Arial"/>
                <w:bCs/>
                <w:sz w:val="22"/>
                <w:szCs w:val="22"/>
              </w:rPr>
              <w:t>A review of the appraisal will be planned into the NICE’s work programme.</w:t>
            </w:r>
          </w:p>
          <w:p w14:paraId="4424118C" w14:textId="77777777" w:rsidR="000D1D10" w:rsidRPr="009937C4" w:rsidRDefault="000D1D10" w:rsidP="00A75474">
            <w:pPr>
              <w:spacing w:before="120" w:after="120"/>
              <w:rPr>
                <w:rFonts w:ascii="Arial" w:hAnsi="Arial" w:cs="Arial"/>
                <w:bCs/>
                <w:sz w:val="22"/>
                <w:szCs w:val="22"/>
              </w:rPr>
            </w:pPr>
          </w:p>
        </w:tc>
        <w:tc>
          <w:tcPr>
            <w:tcW w:w="1304" w:type="dxa"/>
          </w:tcPr>
          <w:p w14:paraId="36C1F5C9" w14:textId="0F5011F8" w:rsidR="009937C4" w:rsidRPr="009937C4" w:rsidRDefault="00772315" w:rsidP="00A75474">
            <w:pPr>
              <w:spacing w:before="120" w:after="120"/>
              <w:rPr>
                <w:rFonts w:ascii="Arial" w:hAnsi="Arial" w:cs="Arial"/>
                <w:bCs/>
                <w:sz w:val="22"/>
                <w:szCs w:val="22"/>
              </w:rPr>
            </w:pPr>
            <w:r>
              <w:rPr>
                <w:rFonts w:ascii="Arial" w:hAnsi="Arial" w:cs="Arial"/>
                <w:bCs/>
                <w:sz w:val="22"/>
                <w:szCs w:val="22"/>
              </w:rPr>
              <w:t>Y</w:t>
            </w:r>
            <w:r w:rsidR="005E4CC7">
              <w:rPr>
                <w:rFonts w:ascii="Arial" w:hAnsi="Arial" w:cs="Arial"/>
                <w:bCs/>
                <w:sz w:val="22"/>
                <w:szCs w:val="22"/>
              </w:rPr>
              <w:t>es</w:t>
            </w:r>
          </w:p>
        </w:tc>
      </w:tr>
      <w:tr w:rsidR="009937C4" w:rsidRPr="009937C4" w14:paraId="2B5D6D99" w14:textId="77777777" w:rsidTr="00A75474">
        <w:trPr>
          <w:cantSplit/>
        </w:trPr>
        <w:tc>
          <w:tcPr>
            <w:tcW w:w="3510" w:type="dxa"/>
          </w:tcPr>
          <w:p w14:paraId="553A44CD" w14:textId="77777777" w:rsidR="009937C4" w:rsidRPr="009937C4" w:rsidRDefault="009937C4" w:rsidP="00A75474">
            <w:pPr>
              <w:spacing w:before="120" w:after="120"/>
              <w:rPr>
                <w:rFonts w:ascii="Arial" w:hAnsi="Arial" w:cs="Arial"/>
                <w:bCs/>
                <w:sz w:val="22"/>
                <w:szCs w:val="22"/>
              </w:rPr>
            </w:pPr>
            <w:r w:rsidRPr="009937C4">
              <w:rPr>
                <w:rFonts w:ascii="Arial" w:hAnsi="Arial" w:cs="Arial"/>
                <w:sz w:val="22"/>
                <w:szCs w:val="22"/>
              </w:rPr>
              <w:t xml:space="preserve">The decision to review the guidance should be deferred to </w:t>
            </w:r>
            <w:r w:rsidRPr="009937C4">
              <w:rPr>
                <w:rFonts w:ascii="Arial" w:hAnsi="Arial" w:cs="Arial"/>
                <w:sz w:val="22"/>
                <w:szCs w:val="22"/>
              </w:rPr>
              <w:fldChar w:fldCharType="begin">
                <w:ffData>
                  <w:name w:val="Text23"/>
                  <w:enabled/>
                  <w:calcOnExit w:val="0"/>
                  <w:textInput>
                    <w:default w:val="specify date or trial."/>
                  </w:textInput>
                </w:ffData>
              </w:fldChar>
            </w:r>
            <w:bookmarkStart w:id="2" w:name="Text23"/>
            <w:r w:rsidRPr="009937C4">
              <w:rPr>
                <w:rFonts w:ascii="Arial" w:hAnsi="Arial" w:cs="Arial"/>
                <w:sz w:val="22"/>
                <w:szCs w:val="22"/>
              </w:rPr>
              <w:instrText xml:space="preserve"> FORMTEXT </w:instrText>
            </w:r>
            <w:r w:rsidRPr="009937C4">
              <w:rPr>
                <w:rFonts w:ascii="Arial" w:hAnsi="Arial" w:cs="Arial"/>
                <w:sz w:val="22"/>
                <w:szCs w:val="22"/>
              </w:rPr>
            </w:r>
            <w:r w:rsidRPr="009937C4">
              <w:rPr>
                <w:rFonts w:ascii="Arial" w:hAnsi="Arial" w:cs="Arial"/>
                <w:sz w:val="22"/>
                <w:szCs w:val="22"/>
              </w:rPr>
              <w:fldChar w:fldCharType="separate"/>
            </w:r>
            <w:r w:rsidRPr="009937C4">
              <w:rPr>
                <w:rFonts w:ascii="Arial" w:hAnsi="Arial" w:cs="Arial"/>
                <w:noProof/>
                <w:sz w:val="22"/>
                <w:szCs w:val="22"/>
              </w:rPr>
              <w:t>specify date or trial.</w:t>
            </w:r>
            <w:r w:rsidRPr="009937C4">
              <w:rPr>
                <w:rFonts w:ascii="Arial" w:hAnsi="Arial" w:cs="Arial"/>
                <w:sz w:val="22"/>
                <w:szCs w:val="22"/>
              </w:rPr>
              <w:fldChar w:fldCharType="end"/>
            </w:r>
            <w:bookmarkEnd w:id="2"/>
          </w:p>
        </w:tc>
        <w:tc>
          <w:tcPr>
            <w:tcW w:w="4395" w:type="dxa"/>
          </w:tcPr>
          <w:p w14:paraId="376E4BDB"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NICE will reconsider whether a review is necessary at the specified date.</w:t>
            </w:r>
          </w:p>
        </w:tc>
        <w:tc>
          <w:tcPr>
            <w:tcW w:w="1304" w:type="dxa"/>
          </w:tcPr>
          <w:p w14:paraId="1D60F32B" w14:textId="30E33C99" w:rsidR="009937C4" w:rsidRPr="009937C4" w:rsidDel="00B51A60" w:rsidRDefault="00772315" w:rsidP="00A75474">
            <w:pPr>
              <w:spacing w:before="120" w:after="120"/>
              <w:rPr>
                <w:rFonts w:ascii="Arial" w:hAnsi="Arial" w:cs="Arial"/>
                <w:bCs/>
                <w:sz w:val="22"/>
                <w:szCs w:val="22"/>
              </w:rPr>
            </w:pPr>
            <w:r>
              <w:rPr>
                <w:rFonts w:ascii="Arial" w:hAnsi="Arial" w:cs="Arial"/>
                <w:bCs/>
                <w:sz w:val="22"/>
                <w:szCs w:val="22"/>
              </w:rPr>
              <w:t>No</w:t>
            </w:r>
          </w:p>
        </w:tc>
      </w:tr>
      <w:tr w:rsidR="009937C4" w:rsidRPr="009937C4" w14:paraId="18369E48" w14:textId="77777777" w:rsidTr="00A75474">
        <w:trPr>
          <w:cantSplit/>
        </w:trPr>
        <w:tc>
          <w:tcPr>
            <w:tcW w:w="3510" w:type="dxa"/>
          </w:tcPr>
          <w:p w14:paraId="3A424A2B" w14:textId="77777777" w:rsidR="009937C4" w:rsidRPr="009937C4" w:rsidRDefault="009937C4" w:rsidP="00A75474">
            <w:pPr>
              <w:spacing w:before="120" w:after="120"/>
              <w:rPr>
                <w:rFonts w:ascii="Arial" w:hAnsi="Arial" w:cs="Arial"/>
                <w:sz w:val="22"/>
                <w:szCs w:val="22"/>
              </w:rPr>
            </w:pPr>
            <w:r w:rsidRPr="009937C4">
              <w:rPr>
                <w:rFonts w:ascii="Arial" w:hAnsi="Arial" w:cs="Arial"/>
                <w:sz w:val="22"/>
                <w:szCs w:val="22"/>
              </w:rPr>
              <w:t xml:space="preserve">The guidance should be </w:t>
            </w:r>
            <w:r w:rsidR="002022A2">
              <w:rPr>
                <w:rFonts w:ascii="Arial" w:hAnsi="Arial" w:cs="Arial"/>
                <w:sz w:val="22"/>
                <w:szCs w:val="22"/>
              </w:rPr>
              <w:t>Cross referred</w:t>
            </w:r>
            <w:r w:rsidRPr="009937C4">
              <w:rPr>
                <w:rFonts w:ascii="Arial" w:hAnsi="Arial" w:cs="Arial"/>
                <w:sz w:val="22"/>
                <w:szCs w:val="22"/>
              </w:rPr>
              <w:t xml:space="preserve"> into an on-going clinical guideline.</w:t>
            </w:r>
          </w:p>
        </w:tc>
        <w:tc>
          <w:tcPr>
            <w:tcW w:w="4395" w:type="dxa"/>
          </w:tcPr>
          <w:p w14:paraId="1C242752"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The on-going guideline will include the recommendations of the technology appraisal. The technology appraisal will remain extant alongside the guideline. Normally it will also be recommended that the technology appraisal guidance is moved to the static list until such time as the clinical guideline is considered for review.</w:t>
            </w:r>
          </w:p>
          <w:p w14:paraId="32052425"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This option has the effect of preserving the funding direction associated with a positive recommendation in a NICE technology appraisal.</w:t>
            </w:r>
          </w:p>
        </w:tc>
        <w:tc>
          <w:tcPr>
            <w:tcW w:w="1304" w:type="dxa"/>
          </w:tcPr>
          <w:p w14:paraId="0A48717E" w14:textId="2FA4702F" w:rsidR="009937C4" w:rsidRPr="009937C4" w:rsidRDefault="00772315" w:rsidP="00A75474">
            <w:pPr>
              <w:spacing w:before="120" w:after="120"/>
              <w:rPr>
                <w:rFonts w:ascii="Arial" w:hAnsi="Arial" w:cs="Arial"/>
                <w:bCs/>
                <w:sz w:val="22"/>
                <w:szCs w:val="22"/>
              </w:rPr>
            </w:pPr>
            <w:r>
              <w:rPr>
                <w:rFonts w:ascii="Arial" w:hAnsi="Arial" w:cs="Arial"/>
                <w:bCs/>
                <w:sz w:val="22"/>
                <w:szCs w:val="22"/>
              </w:rPr>
              <w:t>No</w:t>
            </w:r>
          </w:p>
        </w:tc>
      </w:tr>
      <w:tr w:rsidR="009937C4" w:rsidRPr="009937C4" w14:paraId="74DDC882" w14:textId="77777777" w:rsidTr="00A75474">
        <w:trPr>
          <w:cantSplit/>
        </w:trPr>
        <w:tc>
          <w:tcPr>
            <w:tcW w:w="3510" w:type="dxa"/>
          </w:tcPr>
          <w:p w14:paraId="0262E9C8" w14:textId="77777777" w:rsidR="009937C4" w:rsidRPr="009937C4" w:rsidRDefault="009937C4" w:rsidP="00A75474">
            <w:pPr>
              <w:spacing w:before="120" w:after="120"/>
              <w:rPr>
                <w:rFonts w:ascii="Arial" w:hAnsi="Arial" w:cs="Arial"/>
                <w:sz w:val="22"/>
                <w:szCs w:val="22"/>
              </w:rPr>
            </w:pPr>
            <w:r w:rsidRPr="009937C4">
              <w:rPr>
                <w:rFonts w:ascii="Arial" w:hAnsi="Arial" w:cs="Arial"/>
                <w:sz w:val="22"/>
                <w:szCs w:val="22"/>
              </w:rPr>
              <w:t xml:space="preserve">The guidance should be </w:t>
            </w:r>
            <w:r w:rsidRPr="009937C4">
              <w:rPr>
                <w:rFonts w:ascii="Arial" w:hAnsi="Arial" w:cs="Arial"/>
                <w:bCs/>
                <w:sz w:val="22"/>
                <w:szCs w:val="22"/>
              </w:rPr>
              <w:t>updated</w:t>
            </w:r>
            <w:r w:rsidRPr="009937C4">
              <w:rPr>
                <w:rFonts w:ascii="Arial" w:hAnsi="Arial" w:cs="Arial"/>
                <w:sz w:val="22"/>
                <w:szCs w:val="22"/>
              </w:rPr>
              <w:t xml:space="preserve"> in an on-going clinical guideline</w:t>
            </w:r>
            <w:r w:rsidRPr="009937C4">
              <w:rPr>
                <w:rStyle w:val="FootnoteReference"/>
                <w:rFonts w:ascii="Arial" w:hAnsi="Arial" w:cs="Arial"/>
                <w:sz w:val="22"/>
                <w:szCs w:val="22"/>
              </w:rPr>
              <w:footnoteReference w:id="2"/>
            </w:r>
            <w:r w:rsidRPr="009937C4">
              <w:rPr>
                <w:rFonts w:ascii="Arial" w:hAnsi="Arial" w:cs="Arial"/>
                <w:sz w:val="22"/>
                <w:szCs w:val="22"/>
              </w:rPr>
              <w:t>.</w:t>
            </w:r>
          </w:p>
        </w:tc>
        <w:tc>
          <w:tcPr>
            <w:tcW w:w="4395" w:type="dxa"/>
          </w:tcPr>
          <w:p w14:paraId="27AF44EC"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Responsibility for the updating the technology appraisal passes to the NICE Clinical Guidelines programme. Once the guideline is published the technology appraisal will be withdrawn.</w:t>
            </w:r>
          </w:p>
          <w:p w14:paraId="09F3CC1C"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Note that this option does not preserve the funding direction associated with a positive recommendation in a NICE Technology Appraisal. However, if the recommendations are unchanged from the technology appraisal, the technology appraisal can be left in place (effectively the same as incorporation).</w:t>
            </w:r>
          </w:p>
        </w:tc>
        <w:tc>
          <w:tcPr>
            <w:tcW w:w="1304" w:type="dxa"/>
          </w:tcPr>
          <w:p w14:paraId="68EA0564" w14:textId="43446FBC" w:rsidR="009937C4" w:rsidRPr="009937C4" w:rsidRDefault="00772315" w:rsidP="00A75474">
            <w:pPr>
              <w:spacing w:before="120" w:after="120"/>
              <w:rPr>
                <w:rFonts w:ascii="Arial" w:hAnsi="Arial" w:cs="Arial"/>
                <w:bCs/>
                <w:sz w:val="22"/>
                <w:szCs w:val="22"/>
              </w:rPr>
            </w:pPr>
            <w:r>
              <w:rPr>
                <w:rFonts w:ascii="Arial" w:hAnsi="Arial" w:cs="Arial"/>
                <w:bCs/>
                <w:sz w:val="22"/>
                <w:szCs w:val="22"/>
              </w:rPr>
              <w:t>No</w:t>
            </w:r>
          </w:p>
        </w:tc>
      </w:tr>
      <w:tr w:rsidR="009937C4" w:rsidRPr="009937C4" w14:paraId="1BC82A32" w14:textId="77777777" w:rsidTr="00A75474">
        <w:trPr>
          <w:cantSplit/>
        </w:trPr>
        <w:tc>
          <w:tcPr>
            <w:tcW w:w="3510" w:type="dxa"/>
          </w:tcPr>
          <w:p w14:paraId="7B6214BD" w14:textId="77777777" w:rsidR="009937C4" w:rsidRPr="009937C4" w:rsidRDefault="009937C4" w:rsidP="00A75474">
            <w:pPr>
              <w:spacing w:before="120" w:after="120"/>
              <w:rPr>
                <w:rFonts w:ascii="Arial" w:hAnsi="Arial" w:cs="Arial"/>
                <w:sz w:val="22"/>
                <w:szCs w:val="22"/>
              </w:rPr>
            </w:pPr>
            <w:r w:rsidRPr="009937C4">
              <w:rPr>
                <w:rFonts w:ascii="Arial" w:hAnsi="Arial" w:cs="Arial"/>
                <w:sz w:val="22"/>
                <w:szCs w:val="22"/>
              </w:rPr>
              <w:lastRenderedPageBreak/>
              <w:t xml:space="preserve">The guidance </w:t>
            </w:r>
            <w:r w:rsidR="00EF3D38">
              <w:rPr>
                <w:rFonts w:ascii="Arial" w:hAnsi="Arial" w:cs="Arial"/>
                <w:sz w:val="22"/>
                <w:szCs w:val="22"/>
              </w:rPr>
              <w:t>remains relevant, and an update is not needed.</w:t>
            </w:r>
            <w:r w:rsidRPr="009937C4">
              <w:rPr>
                <w:rFonts w:ascii="Arial" w:hAnsi="Arial" w:cs="Arial"/>
                <w:sz w:val="22"/>
                <w:szCs w:val="22"/>
              </w:rPr>
              <w:t xml:space="preserve"> </w:t>
            </w:r>
          </w:p>
          <w:p w14:paraId="7CC29E0D" w14:textId="77777777" w:rsidR="009937C4" w:rsidRPr="009937C4" w:rsidRDefault="009937C4" w:rsidP="00A75474">
            <w:pPr>
              <w:spacing w:before="120" w:after="120"/>
              <w:rPr>
                <w:rFonts w:ascii="Arial" w:hAnsi="Arial" w:cs="Arial"/>
                <w:sz w:val="22"/>
                <w:szCs w:val="22"/>
              </w:rPr>
            </w:pPr>
          </w:p>
          <w:p w14:paraId="5136619E" w14:textId="77777777" w:rsidR="009937C4" w:rsidRPr="009937C4" w:rsidRDefault="009937C4" w:rsidP="00A75474">
            <w:pPr>
              <w:spacing w:before="120" w:after="120"/>
              <w:rPr>
                <w:rFonts w:ascii="Arial" w:hAnsi="Arial" w:cs="Arial"/>
                <w:sz w:val="22"/>
                <w:szCs w:val="22"/>
              </w:rPr>
            </w:pPr>
          </w:p>
          <w:p w14:paraId="2E4BBED8" w14:textId="77777777" w:rsidR="009937C4" w:rsidRPr="009937C4" w:rsidRDefault="009937C4" w:rsidP="00A75474">
            <w:pPr>
              <w:spacing w:before="120" w:after="120"/>
              <w:rPr>
                <w:rFonts w:ascii="Arial" w:hAnsi="Arial" w:cs="Arial"/>
                <w:color w:val="FF0000"/>
                <w:sz w:val="22"/>
                <w:szCs w:val="22"/>
              </w:rPr>
            </w:pPr>
          </w:p>
        </w:tc>
        <w:tc>
          <w:tcPr>
            <w:tcW w:w="4395" w:type="dxa"/>
          </w:tcPr>
          <w:p w14:paraId="2AE53325"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 xml:space="preserve">The guidance will remain in place, in its current form, unless NICE becomes aware of substantive information which would make it reconsider. </w:t>
            </w:r>
          </w:p>
        </w:tc>
        <w:tc>
          <w:tcPr>
            <w:tcW w:w="1304" w:type="dxa"/>
          </w:tcPr>
          <w:p w14:paraId="35E7E1A4" w14:textId="34B705FA" w:rsidR="009937C4" w:rsidRPr="009937C4" w:rsidRDefault="00772315" w:rsidP="00A75474">
            <w:pPr>
              <w:spacing w:before="120" w:after="120"/>
              <w:rPr>
                <w:rFonts w:ascii="Arial" w:hAnsi="Arial" w:cs="Arial"/>
                <w:bCs/>
                <w:sz w:val="22"/>
                <w:szCs w:val="22"/>
              </w:rPr>
            </w:pPr>
            <w:r>
              <w:rPr>
                <w:rFonts w:ascii="Arial" w:hAnsi="Arial" w:cs="Arial"/>
                <w:bCs/>
                <w:sz w:val="22"/>
                <w:szCs w:val="22"/>
              </w:rPr>
              <w:t>No</w:t>
            </w:r>
          </w:p>
        </w:tc>
      </w:tr>
      <w:tr w:rsidR="009937C4" w:rsidRPr="009937C4" w14:paraId="7F43D977" w14:textId="77777777" w:rsidTr="00A75474">
        <w:trPr>
          <w:cantSplit/>
        </w:trPr>
        <w:tc>
          <w:tcPr>
            <w:tcW w:w="3510" w:type="dxa"/>
          </w:tcPr>
          <w:p w14:paraId="35D40853" w14:textId="77777777" w:rsidR="009937C4" w:rsidRPr="009937C4" w:rsidRDefault="009937C4" w:rsidP="00A75474">
            <w:pPr>
              <w:spacing w:before="120" w:after="120"/>
              <w:rPr>
                <w:rFonts w:ascii="Arial" w:hAnsi="Arial" w:cs="Arial"/>
                <w:sz w:val="22"/>
                <w:szCs w:val="22"/>
              </w:rPr>
            </w:pPr>
            <w:r w:rsidRPr="009937C4">
              <w:rPr>
                <w:rFonts w:ascii="Arial" w:hAnsi="Arial" w:cs="Arial"/>
                <w:sz w:val="22"/>
                <w:szCs w:val="22"/>
              </w:rPr>
              <w:t>The guidance should be withdrawn</w:t>
            </w:r>
          </w:p>
        </w:tc>
        <w:tc>
          <w:tcPr>
            <w:tcW w:w="4395" w:type="dxa"/>
          </w:tcPr>
          <w:p w14:paraId="22502D7F"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The guidance is no longer relevant and an update of the existing recommendations would not add value to the NHS.</w:t>
            </w:r>
          </w:p>
          <w:p w14:paraId="78EE36B4"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The guidance will be stood down and any funding direction associated with a positive recommendation will not be preserved.</w:t>
            </w:r>
          </w:p>
        </w:tc>
        <w:tc>
          <w:tcPr>
            <w:tcW w:w="1304" w:type="dxa"/>
          </w:tcPr>
          <w:p w14:paraId="65B581DD" w14:textId="57184DE6" w:rsidR="009937C4" w:rsidRPr="005E4CC7" w:rsidRDefault="005E4CC7" w:rsidP="00A75474">
            <w:pPr>
              <w:spacing w:before="120" w:after="120"/>
              <w:rPr>
                <w:rFonts w:ascii="Arial" w:hAnsi="Arial" w:cs="Arial"/>
                <w:bCs/>
                <w:iCs/>
                <w:sz w:val="22"/>
                <w:szCs w:val="22"/>
              </w:rPr>
            </w:pPr>
            <w:r w:rsidRPr="005E4CC7">
              <w:rPr>
                <w:rFonts w:ascii="Arial" w:hAnsi="Arial" w:cs="Arial"/>
                <w:bCs/>
                <w:iCs/>
                <w:sz w:val="22"/>
                <w:szCs w:val="22"/>
              </w:rPr>
              <w:t>No</w:t>
            </w:r>
          </w:p>
        </w:tc>
      </w:tr>
    </w:tbl>
    <w:p w14:paraId="3DF48C90" w14:textId="77777777" w:rsidR="009937C4" w:rsidRDefault="009937C4" w:rsidP="009937C4">
      <w:pPr>
        <w:pStyle w:val="Paragraphnonumbers"/>
      </w:pPr>
    </w:p>
    <w:p w14:paraId="69C13EC3" w14:textId="77777777" w:rsidR="009937C4" w:rsidRDefault="009937C4">
      <w:pPr>
        <w:rPr>
          <w:rFonts w:ascii="Arial" w:hAnsi="Arial"/>
        </w:rPr>
      </w:pPr>
      <w:r>
        <w:br w:type="page"/>
      </w:r>
    </w:p>
    <w:p w14:paraId="35919F80" w14:textId="6B4AC62D" w:rsidR="009937C4" w:rsidRPr="009937C4" w:rsidRDefault="009937C4" w:rsidP="009937C4">
      <w:pPr>
        <w:pStyle w:val="Title"/>
      </w:pPr>
      <w:r>
        <w:lastRenderedPageBreak/>
        <w:t xml:space="preserve">Appendix C – </w:t>
      </w:r>
      <w:r w:rsidRPr="009937C4">
        <w:t xml:space="preserve"> </w:t>
      </w:r>
    </w:p>
    <w:p w14:paraId="2EA0B11E" w14:textId="4EE98DAD" w:rsidR="008C1624" w:rsidRDefault="009937C4" w:rsidP="009937C4">
      <w:pPr>
        <w:pStyle w:val="Heading1"/>
      </w:pPr>
      <w:r>
        <w:t xml:space="preserve">Relevant Institute work </w:t>
      </w:r>
    </w:p>
    <w:p w14:paraId="65B7878A" w14:textId="77777777" w:rsidR="009937C4" w:rsidRDefault="009937C4" w:rsidP="009937C4">
      <w:pPr>
        <w:pStyle w:val="Heading2"/>
      </w:pPr>
      <w:r>
        <w:t>Published</w:t>
      </w:r>
    </w:p>
    <w:p w14:paraId="07F6EF08" w14:textId="52612ED8" w:rsidR="009937C4" w:rsidRPr="009937C4" w:rsidRDefault="009937C4" w:rsidP="00F74688">
      <w:pPr>
        <w:pStyle w:val="BodyText2"/>
        <w:rPr>
          <w:rFonts w:cs="Arial"/>
          <w:sz w:val="22"/>
          <w:szCs w:val="22"/>
        </w:rPr>
      </w:pPr>
      <w:r w:rsidRPr="009937C4">
        <w:fldChar w:fldCharType="begin">
          <w:ffData>
            <w:name w:val="Text45"/>
            <w:enabled/>
            <w:calcOnExit w:val="0"/>
            <w:textInput>
              <w:default w:val="Include brief details of guidance and relevant timings (i.e. publication dates/initiation dates etc.)"/>
            </w:textInput>
          </w:ffData>
        </w:fldChar>
      </w:r>
      <w:r w:rsidRPr="009937C4">
        <w:instrText xml:space="preserve"> FORMTEXT </w:instrText>
      </w:r>
      <w:r w:rsidR="00340B1B">
        <w:fldChar w:fldCharType="separate"/>
      </w:r>
      <w:r w:rsidRPr="009937C4">
        <w:fldChar w:fldCharType="end"/>
      </w:r>
      <w:r w:rsidR="6C633C46" w:rsidRPr="3F9FA077">
        <w:rPr>
          <w:rFonts w:cs="Arial"/>
          <w:sz w:val="22"/>
          <w:szCs w:val="22"/>
          <w:lang w:val="en-GB"/>
        </w:rPr>
        <w:t xml:space="preserve"> </w:t>
      </w:r>
      <w:hyperlink r:id="rId19" w:history="1">
        <w:r w:rsidR="6C633C46" w:rsidRPr="3F9FA077">
          <w:rPr>
            <w:rStyle w:val="Hyperlink"/>
            <w:rFonts w:cs="Arial"/>
            <w:sz w:val="22"/>
            <w:szCs w:val="22"/>
            <w:lang w:val="en-GB"/>
          </w:rPr>
          <w:t>Brigatinib for ALK-positive advanced non-small-cell lung cancer that has not been previously treated with an ALK inhibitor</w:t>
        </w:r>
      </w:hyperlink>
      <w:r w:rsidR="6C633C46" w:rsidRPr="3F9FA077">
        <w:rPr>
          <w:rFonts w:cs="Arial"/>
          <w:sz w:val="22"/>
          <w:szCs w:val="22"/>
          <w:lang w:val="en-GB"/>
        </w:rPr>
        <w:t xml:space="preserve"> (2021). NICE Technology Appraisal 670. Review date: 2024. </w:t>
      </w:r>
    </w:p>
    <w:p w14:paraId="1B0127D7" w14:textId="77777777" w:rsidR="009937C4" w:rsidRPr="009937C4" w:rsidRDefault="00340B1B" w:rsidP="3F9FA077">
      <w:pPr>
        <w:pStyle w:val="BodyText2"/>
        <w:rPr>
          <w:rFonts w:cs="Arial"/>
          <w:sz w:val="22"/>
          <w:szCs w:val="22"/>
          <w:lang w:val="en-GB"/>
        </w:rPr>
      </w:pPr>
      <w:hyperlink r:id="rId20" w:history="1">
        <w:r w:rsidR="6C633C46" w:rsidRPr="3F9FA077">
          <w:rPr>
            <w:rStyle w:val="Hyperlink"/>
            <w:rFonts w:cs="Arial"/>
            <w:sz w:val="22"/>
            <w:szCs w:val="22"/>
            <w:lang w:val="en-GB"/>
          </w:rPr>
          <w:t>Alectinib for untreated ALK-positive advanced non-small-cell lung cancer</w:t>
        </w:r>
      </w:hyperlink>
      <w:r w:rsidR="6C633C46" w:rsidRPr="3F9FA077">
        <w:rPr>
          <w:rFonts w:cs="Arial"/>
          <w:sz w:val="22"/>
          <w:szCs w:val="22"/>
          <w:lang w:val="en-GB"/>
        </w:rPr>
        <w:t xml:space="preserve"> (2018). NICE Technology Appraisal 536. Review date: August 2021. </w:t>
      </w:r>
    </w:p>
    <w:p w14:paraId="7F510E22" w14:textId="77777777" w:rsidR="009937C4" w:rsidRPr="009937C4" w:rsidRDefault="00340B1B" w:rsidP="3F9FA077">
      <w:pPr>
        <w:pStyle w:val="BodyText2"/>
        <w:rPr>
          <w:rFonts w:cs="Arial"/>
          <w:sz w:val="22"/>
          <w:szCs w:val="22"/>
          <w:lang w:val="en-GB"/>
        </w:rPr>
      </w:pPr>
      <w:hyperlink r:id="rId21" w:history="1">
        <w:r w:rsidR="6C633C46" w:rsidRPr="3F9FA077">
          <w:rPr>
            <w:rStyle w:val="Hyperlink"/>
            <w:rFonts w:cs="Arial"/>
            <w:sz w:val="22"/>
            <w:szCs w:val="22"/>
            <w:lang w:val="en-GB"/>
          </w:rPr>
          <w:t>Ceritinib for untreated ALK-positive non-small-cell-lung cancer</w:t>
        </w:r>
      </w:hyperlink>
      <w:r w:rsidR="6C633C46" w:rsidRPr="3F9FA077">
        <w:rPr>
          <w:rFonts w:cs="Arial"/>
          <w:sz w:val="22"/>
          <w:szCs w:val="22"/>
          <w:lang w:val="en-GB"/>
        </w:rPr>
        <w:t xml:space="preserve"> (2018). NICE Technology Appraisal 500. Review date: January 2021. </w:t>
      </w:r>
    </w:p>
    <w:p w14:paraId="7DA383EB" w14:textId="77777777" w:rsidR="009937C4" w:rsidRPr="009937C4" w:rsidRDefault="00340B1B" w:rsidP="3F9FA077">
      <w:pPr>
        <w:pStyle w:val="BodyText2"/>
        <w:rPr>
          <w:rFonts w:cs="Arial"/>
          <w:sz w:val="22"/>
          <w:szCs w:val="22"/>
          <w:lang w:val="en-GB"/>
        </w:rPr>
      </w:pPr>
      <w:hyperlink r:id="rId22" w:history="1">
        <w:r w:rsidR="6C633C46" w:rsidRPr="3F9FA077">
          <w:rPr>
            <w:rStyle w:val="Hyperlink"/>
            <w:rFonts w:cs="Arial"/>
            <w:sz w:val="22"/>
            <w:szCs w:val="22"/>
            <w:lang w:val="en-GB"/>
          </w:rPr>
          <w:t>Crizotinib for untreated anaplastic lymphoma kinase- positive advanced non-small-cell lung cancer</w:t>
        </w:r>
      </w:hyperlink>
      <w:r w:rsidR="6C633C46" w:rsidRPr="3F9FA077">
        <w:rPr>
          <w:rFonts w:cs="Arial"/>
          <w:sz w:val="22"/>
          <w:szCs w:val="22"/>
          <w:lang w:val="en-GB"/>
        </w:rPr>
        <w:t xml:space="preserve"> (2016). NICE Technology Appraisal 406. Review date: September 2019.</w:t>
      </w:r>
    </w:p>
    <w:p w14:paraId="29300088" w14:textId="754F0648" w:rsidR="00811A54" w:rsidRPr="00811A54" w:rsidRDefault="00340B1B" w:rsidP="00F74688">
      <w:pPr>
        <w:pStyle w:val="BodyText2"/>
      </w:pPr>
      <w:hyperlink r:id="rId23" w:history="1">
        <w:r w:rsidR="6C633C46" w:rsidRPr="3F9FA077">
          <w:rPr>
            <w:rStyle w:val="Hyperlink"/>
            <w:rFonts w:cs="Arial"/>
            <w:sz w:val="22"/>
            <w:szCs w:val="22"/>
            <w:lang w:val="en-GB"/>
          </w:rPr>
          <w:t>Lung cancer: diagnosis and management (2019</w:t>
        </w:r>
      </w:hyperlink>
      <w:r w:rsidR="6C633C46" w:rsidRPr="3F9FA077">
        <w:rPr>
          <w:rFonts w:cs="Arial"/>
          <w:sz w:val="22"/>
          <w:szCs w:val="22"/>
          <w:lang w:val="en-GB"/>
        </w:rPr>
        <w:t>). NICE guideline 122.</w:t>
      </w:r>
    </w:p>
    <w:p w14:paraId="6DDE9F4A" w14:textId="77777777" w:rsidR="009937C4" w:rsidRDefault="003751CC" w:rsidP="003751CC">
      <w:pPr>
        <w:pStyle w:val="Heading1"/>
      </w:pPr>
      <w:r>
        <w:t xml:space="preserve">Details of changes to the </w:t>
      </w:r>
      <w:r w:rsidR="00FA049B">
        <w:t>marketing authorisation for</w:t>
      </w:r>
      <w:r>
        <w:t xml:space="preserve"> the technology</w:t>
      </w:r>
    </w:p>
    <w:p w14:paraId="1091DDAF" w14:textId="77777777" w:rsidR="003751CC" w:rsidRDefault="00FA049B" w:rsidP="003751CC">
      <w:pPr>
        <w:pStyle w:val="Heading2"/>
      </w:pPr>
      <w:r>
        <w:t xml:space="preserve">Marketing authorisation </w:t>
      </w:r>
      <w:r w:rsidR="003751CC">
        <w:t>and price considered in original appraisal</w:t>
      </w:r>
    </w:p>
    <w:p w14:paraId="46F24988" w14:textId="3A54C776" w:rsidR="003751CC" w:rsidRDefault="00ED446B" w:rsidP="003D3D3F">
      <w:pPr>
        <w:pStyle w:val="Paragraphnonumbers"/>
        <w:spacing w:line="240" w:lineRule="auto"/>
      </w:pPr>
      <w:r>
        <w:t xml:space="preserve">There are no changed to the marketing authorisation or price that are relevant to this appraisal. </w:t>
      </w:r>
    </w:p>
    <w:p w14:paraId="57FBC0C5" w14:textId="77777777" w:rsidR="003751CC" w:rsidRDefault="003751CC" w:rsidP="003751CC">
      <w:pPr>
        <w:pStyle w:val="Heading2"/>
      </w:pPr>
      <w:r>
        <w:t xml:space="preserve">Proposed </w:t>
      </w:r>
      <w:r w:rsidR="00FA049B">
        <w:t xml:space="preserve">marketing authorisation </w:t>
      </w:r>
      <w:r>
        <w:t>(for this appraisal) and current price</w:t>
      </w:r>
    </w:p>
    <w:p w14:paraId="701F21A7" w14:textId="096C9BD9" w:rsidR="002C56D0" w:rsidRDefault="00ED446B" w:rsidP="003D3D3F">
      <w:pPr>
        <w:pStyle w:val="Paragraphnonumbers"/>
        <w:spacing w:line="240" w:lineRule="auto"/>
      </w:pPr>
      <w:r>
        <w:t xml:space="preserve">Lorlatinib </w:t>
      </w:r>
      <w:r w:rsidR="00811A54">
        <w:t>a</w:t>
      </w:r>
      <w:r w:rsidRPr="00ED446B">
        <w:t>s monotherapy is indicated for the treatment of adult patients with anaplastic lymphoma kinase (ALK) positive advanced non-small cell lung cancer (NSCLC) previously not treated with an ALK inhibitor</w:t>
      </w:r>
      <w:r>
        <w:t xml:space="preserve">. </w:t>
      </w:r>
    </w:p>
    <w:p w14:paraId="704CBE5B" w14:textId="5BB3720F" w:rsidR="00ED446B" w:rsidRDefault="00ED446B" w:rsidP="003D3D3F">
      <w:pPr>
        <w:pStyle w:val="Paragraphnonumbers"/>
        <w:spacing w:line="240" w:lineRule="auto"/>
      </w:pPr>
      <w:r w:rsidRPr="00ED446B">
        <w:t xml:space="preserve">The list price of lorlatinib 30x100 mg and 90x25 mg tablets is £5,283 (excluding VAT; BNF online accessed </w:t>
      </w:r>
      <w:r>
        <w:t xml:space="preserve">April </w:t>
      </w:r>
      <w:r w:rsidRPr="00ED446B">
        <w:t>202</w:t>
      </w:r>
      <w:r>
        <w:t>4</w:t>
      </w:r>
      <w:r w:rsidRPr="00ED446B">
        <w:t>).</w:t>
      </w:r>
    </w:p>
    <w:p w14:paraId="3B4C6640" w14:textId="0E799F77" w:rsidR="00A01E60" w:rsidRPr="003751CC" w:rsidRDefault="00A01E60" w:rsidP="00F74688">
      <w:pPr>
        <w:pStyle w:val="Heading1"/>
        <w:rPr>
          <w:rStyle w:val="Heading1Char"/>
          <w:i/>
          <w:color w:val="FF0000"/>
          <w:kern w:val="0"/>
          <w:sz w:val="24"/>
          <w:szCs w:val="24"/>
        </w:rPr>
      </w:pPr>
      <w:r>
        <w:lastRenderedPageBreak/>
        <w:t>Registered and unpublished trials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3"/>
        <w:gridCol w:w="4919"/>
      </w:tblGrid>
      <w:tr w:rsidR="00A01E60" w:rsidRPr="003751CC" w14:paraId="302EA985" w14:textId="77777777" w:rsidTr="00EA1F59">
        <w:trPr>
          <w:cantSplit/>
          <w:tblHeader/>
        </w:trPr>
        <w:tc>
          <w:tcPr>
            <w:tcW w:w="4153" w:type="dxa"/>
            <w:shd w:val="clear" w:color="auto" w:fill="004650"/>
          </w:tcPr>
          <w:p w14:paraId="7CFB7EC9" w14:textId="77777777" w:rsidR="00A01E60" w:rsidRPr="003751CC" w:rsidRDefault="00A01E60" w:rsidP="00EA1F59">
            <w:pPr>
              <w:keepNext/>
              <w:spacing w:before="120" w:after="120"/>
              <w:rPr>
                <w:rFonts w:ascii="Arial" w:hAnsi="Arial" w:cs="Arial"/>
                <w:b/>
                <w:color w:val="FFFFFF" w:themeColor="background1"/>
                <w:sz w:val="22"/>
                <w:szCs w:val="22"/>
              </w:rPr>
            </w:pPr>
            <w:r w:rsidRPr="003751CC">
              <w:rPr>
                <w:rFonts w:ascii="Arial" w:hAnsi="Arial" w:cs="Arial"/>
                <w:b/>
                <w:color w:val="FFFFFF" w:themeColor="background1"/>
                <w:sz w:val="22"/>
                <w:szCs w:val="22"/>
              </w:rPr>
              <w:t>Trial name and registration number</w:t>
            </w:r>
          </w:p>
        </w:tc>
        <w:tc>
          <w:tcPr>
            <w:tcW w:w="4919" w:type="dxa"/>
            <w:shd w:val="clear" w:color="auto" w:fill="004650"/>
          </w:tcPr>
          <w:p w14:paraId="573BE78B" w14:textId="77777777" w:rsidR="00A01E60" w:rsidRPr="003751CC" w:rsidRDefault="00A01E60" w:rsidP="00EA1F59">
            <w:pPr>
              <w:keepNext/>
              <w:spacing w:before="120" w:after="120"/>
              <w:rPr>
                <w:rFonts w:ascii="Arial" w:hAnsi="Arial" w:cs="Arial"/>
                <w:b/>
                <w:color w:val="FFFFFF" w:themeColor="background1"/>
                <w:sz w:val="22"/>
                <w:szCs w:val="22"/>
              </w:rPr>
            </w:pPr>
            <w:r w:rsidRPr="003751CC">
              <w:rPr>
                <w:rFonts w:ascii="Arial" w:hAnsi="Arial" w:cs="Arial"/>
                <w:b/>
                <w:color w:val="FFFFFF" w:themeColor="background1"/>
                <w:sz w:val="22"/>
                <w:szCs w:val="22"/>
              </w:rPr>
              <w:t>Details</w:t>
            </w:r>
          </w:p>
        </w:tc>
      </w:tr>
      <w:tr w:rsidR="00A01E60" w:rsidRPr="003751CC" w14:paraId="754E32D9" w14:textId="77777777" w:rsidTr="00EA1F59">
        <w:trPr>
          <w:cantSplit/>
        </w:trPr>
        <w:tc>
          <w:tcPr>
            <w:tcW w:w="4153" w:type="dxa"/>
          </w:tcPr>
          <w:p w14:paraId="13973128" w14:textId="6AE74EB3" w:rsidR="00370912" w:rsidRDefault="00370912" w:rsidP="00370912">
            <w:pPr>
              <w:spacing w:before="120" w:after="120"/>
              <w:rPr>
                <w:rFonts w:ascii="Arial" w:hAnsi="Arial" w:cs="Arial"/>
                <w:sz w:val="22"/>
                <w:szCs w:val="22"/>
              </w:rPr>
            </w:pPr>
            <w:r>
              <w:rPr>
                <w:rFonts w:ascii="Arial" w:hAnsi="Arial" w:cs="Arial"/>
                <w:sz w:val="22"/>
                <w:szCs w:val="22"/>
              </w:rPr>
              <w:t>CROWN trial (ongoing)</w:t>
            </w:r>
          </w:p>
          <w:p w14:paraId="55C6D719" w14:textId="557AA9D2" w:rsidR="006A4167" w:rsidRDefault="00340B1B" w:rsidP="00370912">
            <w:pPr>
              <w:spacing w:before="120" w:after="120"/>
              <w:rPr>
                <w:rFonts w:ascii="Arial" w:hAnsi="Arial" w:cs="Arial"/>
                <w:sz w:val="22"/>
                <w:szCs w:val="22"/>
              </w:rPr>
            </w:pPr>
            <w:hyperlink r:id="rId24" w:history="1">
              <w:r w:rsidR="006A4167" w:rsidRPr="006A4167">
                <w:rPr>
                  <w:rStyle w:val="Hyperlink"/>
                  <w:rFonts w:ascii="Arial" w:hAnsi="Arial" w:cs="Arial"/>
                  <w:sz w:val="22"/>
                  <w:szCs w:val="22"/>
                </w:rPr>
                <w:t>NCT03052608</w:t>
              </w:r>
            </w:hyperlink>
          </w:p>
          <w:p w14:paraId="61271613" w14:textId="4F11DC49" w:rsidR="00A01E60" w:rsidRPr="003751CC" w:rsidRDefault="00370912" w:rsidP="00EA1F59">
            <w:pPr>
              <w:spacing w:before="120" w:after="120"/>
              <w:rPr>
                <w:rFonts w:ascii="Arial" w:hAnsi="Arial" w:cs="Arial"/>
                <w:sz w:val="22"/>
                <w:szCs w:val="22"/>
              </w:rPr>
            </w:pPr>
            <w:r w:rsidRPr="003751CC" w:rsidDel="00370912">
              <w:rPr>
                <w:rFonts w:ascii="Arial" w:hAnsi="Arial" w:cs="Arial"/>
                <w:sz w:val="22"/>
                <w:szCs w:val="22"/>
              </w:rPr>
              <w:t xml:space="preserve"> </w:t>
            </w:r>
          </w:p>
        </w:tc>
        <w:tc>
          <w:tcPr>
            <w:tcW w:w="4919" w:type="dxa"/>
          </w:tcPr>
          <w:p w14:paraId="348EEE0D" w14:textId="77777777" w:rsidR="006A4167" w:rsidRPr="006A4167" w:rsidRDefault="006A4167" w:rsidP="006A4167">
            <w:pPr>
              <w:pStyle w:val="ListParagraph"/>
              <w:numPr>
                <w:ilvl w:val="0"/>
                <w:numId w:val="16"/>
              </w:numPr>
              <w:rPr>
                <w:rFonts w:ascii="Arial" w:hAnsi="Arial" w:cs="Arial"/>
                <w:sz w:val="22"/>
                <w:szCs w:val="22"/>
              </w:rPr>
            </w:pPr>
            <w:bookmarkStart w:id="3" w:name="Text22"/>
            <w:r w:rsidRPr="00F74688">
              <w:rPr>
                <w:rFonts w:ascii="Arial" w:hAnsi="Arial" w:cs="Arial"/>
                <w:sz w:val="22"/>
                <w:szCs w:val="22"/>
              </w:rPr>
              <w:t>Primary completion 2020</w:t>
            </w:r>
          </w:p>
          <w:p w14:paraId="43D9CF6B" w14:textId="65276D09" w:rsidR="006A4167" w:rsidRPr="00F74688" w:rsidRDefault="006A4167" w:rsidP="00F74688">
            <w:pPr>
              <w:pStyle w:val="ListParagraph"/>
              <w:numPr>
                <w:ilvl w:val="0"/>
                <w:numId w:val="16"/>
              </w:numPr>
              <w:rPr>
                <w:rFonts w:ascii="Arial" w:hAnsi="Arial" w:cs="Arial"/>
                <w:sz w:val="22"/>
                <w:szCs w:val="22"/>
              </w:rPr>
            </w:pPr>
            <w:r w:rsidRPr="00F74688">
              <w:rPr>
                <w:rFonts w:ascii="Arial" w:hAnsi="Arial" w:cs="Arial"/>
                <w:sz w:val="22"/>
                <w:szCs w:val="22"/>
              </w:rPr>
              <w:t>Estimated final completion 2028</w:t>
            </w:r>
          </w:p>
          <w:p w14:paraId="78C55D9F" w14:textId="654EE085" w:rsidR="006A4167" w:rsidRPr="006A4167" w:rsidRDefault="00370912" w:rsidP="006A4167">
            <w:pPr>
              <w:pStyle w:val="ListParagraph"/>
              <w:rPr>
                <w:rFonts w:ascii="Arial" w:hAnsi="Arial" w:cs="Arial"/>
                <w:sz w:val="22"/>
                <w:szCs w:val="22"/>
              </w:rPr>
            </w:pPr>
            <w:r w:rsidRPr="00F74688">
              <w:rPr>
                <w:rFonts w:ascii="Arial" w:hAnsi="Arial" w:cs="Arial"/>
                <w:sz w:val="22"/>
                <w:szCs w:val="22"/>
              </w:rPr>
              <w:t>RCT comparing lorlatinib with crizotinib (n= 296)</w:t>
            </w:r>
          </w:p>
          <w:p w14:paraId="4438FD41" w14:textId="77777777" w:rsidR="006A4167" w:rsidRPr="00F74688" w:rsidRDefault="006A4167" w:rsidP="006A4167">
            <w:pPr>
              <w:pStyle w:val="ListParagraph"/>
              <w:numPr>
                <w:ilvl w:val="0"/>
                <w:numId w:val="16"/>
              </w:numPr>
              <w:rPr>
                <w:rFonts w:ascii="Arial" w:hAnsi="Arial" w:cs="Arial"/>
                <w:sz w:val="22"/>
                <w:szCs w:val="22"/>
              </w:rPr>
            </w:pPr>
            <w:r w:rsidRPr="00F74688">
              <w:rPr>
                <w:rFonts w:ascii="Arial" w:hAnsi="Arial" w:cs="Arial"/>
                <w:sz w:val="22"/>
                <w:szCs w:val="22"/>
                <w:shd w:val="clear" w:color="auto" w:fill="FFFFFF"/>
              </w:rPr>
              <w:t xml:space="preserve">104 centres in 23 countries worldwide. </w:t>
            </w:r>
          </w:p>
          <w:p w14:paraId="663BAC19" w14:textId="47A4ECF0" w:rsidR="006A4167" w:rsidRPr="00F74688" w:rsidRDefault="006A4167" w:rsidP="006A4167">
            <w:pPr>
              <w:pStyle w:val="ListParagraph"/>
              <w:numPr>
                <w:ilvl w:val="0"/>
                <w:numId w:val="16"/>
              </w:numPr>
              <w:rPr>
                <w:rFonts w:ascii="Arial" w:hAnsi="Arial" w:cs="Arial"/>
                <w:sz w:val="22"/>
                <w:szCs w:val="22"/>
              </w:rPr>
            </w:pPr>
            <w:r w:rsidRPr="00F74688">
              <w:rPr>
                <w:rFonts w:ascii="Arial" w:hAnsi="Arial" w:cs="Arial"/>
                <w:sz w:val="22"/>
                <w:szCs w:val="22"/>
                <w:shd w:val="clear" w:color="auto" w:fill="FFFFFF"/>
              </w:rPr>
              <w:t>Eligible participants were aged 18 years and older or aged 20 years and older (depending on local regulations) with advanced, </w:t>
            </w:r>
            <w:r w:rsidRPr="00F74688">
              <w:rPr>
                <w:rStyle w:val="Emphasis"/>
                <w:rFonts w:ascii="Arial" w:hAnsi="Arial" w:cs="Arial"/>
                <w:sz w:val="22"/>
                <w:szCs w:val="22"/>
                <w:shd w:val="clear" w:color="auto" w:fill="FFFFFF"/>
              </w:rPr>
              <w:t>ALK</w:t>
            </w:r>
            <w:r w:rsidRPr="00F74688">
              <w:rPr>
                <w:rFonts w:ascii="Arial" w:hAnsi="Arial" w:cs="Arial"/>
                <w:sz w:val="22"/>
                <w:szCs w:val="22"/>
                <w:shd w:val="clear" w:color="auto" w:fill="FFFFFF"/>
              </w:rPr>
              <w:t>-positive non-small-cell lung cancer, had received no previous systemic treatment for metastatic disease, had at least one extracranial measurable target lesion (according to the Response Evaluation Criteria in Solid Tumours [RECIST], version 1.1), and had an Eastern Cooperative Oncology Group performance status score of 0–2. </w:t>
            </w:r>
          </w:p>
          <w:p w14:paraId="1B6F4AF0" w14:textId="2D166378" w:rsidR="006A4167" w:rsidRPr="00F74688" w:rsidRDefault="006A4167" w:rsidP="00F74688">
            <w:pPr>
              <w:pStyle w:val="ListParagraph"/>
              <w:numPr>
                <w:ilvl w:val="0"/>
                <w:numId w:val="16"/>
              </w:numPr>
              <w:rPr>
                <w:rFonts w:ascii="Arial" w:hAnsi="Arial" w:cs="Arial"/>
                <w:sz w:val="22"/>
                <w:szCs w:val="22"/>
              </w:rPr>
            </w:pPr>
            <w:r>
              <w:rPr>
                <w:rFonts w:ascii="Arial" w:hAnsi="Arial" w:cs="Arial"/>
                <w:sz w:val="22"/>
                <w:szCs w:val="22"/>
                <w:shd w:val="clear" w:color="auto" w:fill="FFFFFF"/>
              </w:rPr>
              <w:t>Significant improvement in primary endpoint (progression-free survival)</w:t>
            </w:r>
          </w:p>
          <w:bookmarkEnd w:id="3"/>
          <w:p w14:paraId="48260302" w14:textId="433B7E90" w:rsidR="00A01E60" w:rsidRPr="003751CC" w:rsidRDefault="00A01E60" w:rsidP="00F74688"/>
        </w:tc>
      </w:tr>
    </w:tbl>
    <w:p w14:paraId="5401A7D7" w14:textId="77777777" w:rsidR="00A01E60" w:rsidRDefault="00A01E60" w:rsidP="00A01E60">
      <w:pPr>
        <w:pStyle w:val="Paragraphnonumbers"/>
      </w:pPr>
    </w:p>
    <w:p w14:paraId="2D080534" w14:textId="77777777" w:rsidR="00A01E60" w:rsidRDefault="00A01E60" w:rsidP="00A01E60">
      <w:pPr>
        <w:pStyle w:val="Heading1"/>
      </w:pPr>
      <w:r>
        <w:t>References</w:t>
      </w:r>
    </w:p>
    <w:p w14:paraId="5DFF74BC" w14:textId="3C8778AA" w:rsidR="00811A54" w:rsidRPr="00F74688" w:rsidRDefault="00811A54" w:rsidP="00A01E60">
      <w:pPr>
        <w:pStyle w:val="Paragraphnonumbers"/>
        <w:rPr>
          <w:i/>
          <w:iCs/>
          <w:sz w:val="20"/>
          <w:szCs w:val="20"/>
        </w:rPr>
      </w:pPr>
      <w:r w:rsidRPr="00F74688">
        <w:rPr>
          <w:sz w:val="20"/>
          <w:szCs w:val="20"/>
        </w:rPr>
        <w:t xml:space="preserve">Solomon, B.J., et al (2023) Efficacy and safety of first-line lorlatinib versus crizotinib in patients with advanced, ALK-positive non-small-cell lung cancer: updated analysis of data from the phase 3, randomised, open-label CROWN study. </w:t>
      </w:r>
      <w:r w:rsidRPr="00F74688">
        <w:rPr>
          <w:i/>
          <w:iCs/>
          <w:sz w:val="20"/>
          <w:szCs w:val="20"/>
        </w:rPr>
        <w:t xml:space="preserve">The Lancet respiratory medicine. </w:t>
      </w:r>
      <w:r w:rsidR="00370912" w:rsidRPr="00F74688">
        <w:rPr>
          <w:i/>
          <w:iCs/>
          <w:sz w:val="20"/>
          <w:szCs w:val="20"/>
        </w:rPr>
        <w:t>11(4</w:t>
      </w:r>
      <w:r w:rsidR="00370912" w:rsidRPr="00F74688">
        <w:rPr>
          <w:sz w:val="20"/>
          <w:szCs w:val="20"/>
        </w:rPr>
        <w:t>):354-366.</w:t>
      </w:r>
    </w:p>
    <w:p w14:paraId="2FDAF08F" w14:textId="45BD24BC" w:rsidR="003751CC" w:rsidRPr="003751CC" w:rsidRDefault="003751CC" w:rsidP="00370912">
      <w:pPr>
        <w:rPr>
          <w:sz w:val="20"/>
          <w:szCs w:val="20"/>
        </w:rPr>
      </w:pPr>
    </w:p>
    <w:sectPr w:rsidR="003751CC" w:rsidRPr="003751CC" w:rsidSect="00A40AA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15FFF" w14:textId="77777777" w:rsidR="00AE23C0" w:rsidRDefault="00AE23C0" w:rsidP="00446BEE">
      <w:r>
        <w:separator/>
      </w:r>
    </w:p>
  </w:endnote>
  <w:endnote w:type="continuationSeparator" w:id="0">
    <w:p w14:paraId="6511375D" w14:textId="77777777" w:rsidR="00AE23C0" w:rsidRDefault="00AE23C0" w:rsidP="00446BEE">
      <w:r>
        <w:continuationSeparator/>
      </w:r>
    </w:p>
  </w:endnote>
  <w:endnote w:type="continuationNotice" w:id="1">
    <w:p w14:paraId="0A2219C7" w14:textId="77777777" w:rsidR="00AE23C0" w:rsidRDefault="00AE2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2F7A" w14:textId="77777777" w:rsidR="0021354C" w:rsidRDefault="0021354C">
    <w:pPr>
      <w:pStyle w:val="Footer"/>
    </w:pPr>
  </w:p>
  <w:p w14:paraId="79133216" w14:textId="5C1C69D0" w:rsidR="0021354C" w:rsidRPr="00BF405E" w:rsidRDefault="0021354C" w:rsidP="00BF405E">
    <w:pPr>
      <w:pStyle w:val="Paragraphnonumbers"/>
      <w:rPr>
        <w:lang w:val="en-US"/>
      </w:rPr>
    </w:pPr>
    <w:r>
      <w:rPr>
        <w:sz w:val="20"/>
        <w:szCs w:val="20"/>
      </w:rPr>
      <w:t>© NICE 202</w:t>
    </w:r>
    <w:r w:rsidR="00AD2FD3">
      <w:rPr>
        <w:sz w:val="20"/>
        <w:szCs w:val="20"/>
      </w:rPr>
      <w:t>4</w:t>
    </w:r>
    <w:r>
      <w:rPr>
        <w:sz w:val="20"/>
        <w:szCs w:val="20"/>
      </w:rPr>
      <w:t xml:space="preserve">. All rights reserved. </w:t>
    </w:r>
    <w:hyperlink r:id="rId1" w:anchor="notice-of-rights" w:history="1">
      <w:r w:rsidRPr="00025653">
        <w:rPr>
          <w:rStyle w:val="Hyperlink"/>
          <w:sz w:val="20"/>
          <w:szCs w:val="20"/>
        </w:rPr>
        <w:t>Subject to Notice of rights.</w:t>
      </w:r>
    </w:hyperlink>
    <w:r>
      <w:tab/>
    </w:r>
    <w:r>
      <w:tab/>
    </w:r>
    <w:r>
      <w:tab/>
    </w:r>
    <w:r>
      <w:tab/>
    </w:r>
    <w:r>
      <w:fldChar w:fldCharType="begin"/>
    </w:r>
    <w:r>
      <w:instrText xml:space="preserve"> PAGE </w:instrText>
    </w:r>
    <w:r>
      <w:fldChar w:fldCharType="separate"/>
    </w:r>
    <w:r>
      <w:rPr>
        <w:noProof/>
      </w:rPr>
      <w:t>1</w:t>
    </w:r>
    <w:r>
      <w:fldChar w:fldCharType="end"/>
    </w:r>
    <w:r>
      <w:t xml:space="preserve"> of </w:t>
    </w:r>
    <w:r w:rsidR="00956669">
      <w:fldChar w:fldCharType="begin"/>
    </w:r>
    <w:r w:rsidR="00956669">
      <w:instrText xml:space="preserve"> NUMPAGES  </w:instrText>
    </w:r>
    <w:r w:rsidR="00956669">
      <w:fldChar w:fldCharType="separate"/>
    </w:r>
    <w:r>
      <w:rPr>
        <w:noProof/>
      </w:rPr>
      <w:t>1</w:t>
    </w:r>
    <w:r w:rsidR="009566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805D4" w14:textId="77777777" w:rsidR="00AE23C0" w:rsidRDefault="00AE23C0" w:rsidP="00446BEE">
      <w:r>
        <w:separator/>
      </w:r>
    </w:p>
  </w:footnote>
  <w:footnote w:type="continuationSeparator" w:id="0">
    <w:p w14:paraId="37436F73" w14:textId="77777777" w:rsidR="00AE23C0" w:rsidRDefault="00AE23C0" w:rsidP="00446BEE">
      <w:r>
        <w:continuationSeparator/>
      </w:r>
    </w:p>
  </w:footnote>
  <w:footnote w:type="continuationNotice" w:id="1">
    <w:p w14:paraId="69B66B56" w14:textId="77777777" w:rsidR="00AE23C0" w:rsidRDefault="00AE23C0"/>
  </w:footnote>
  <w:footnote w:id="2">
    <w:p w14:paraId="29187199" w14:textId="77777777" w:rsidR="0021354C" w:rsidRPr="009937C4" w:rsidRDefault="0021354C" w:rsidP="009937C4">
      <w:pPr>
        <w:pStyle w:val="FootnoteText"/>
        <w:rPr>
          <w:lang w:val="en-GB"/>
        </w:rPr>
      </w:pPr>
      <w:r w:rsidRPr="009937C4">
        <w:rPr>
          <w:rStyle w:val="FootnoteReference"/>
        </w:rPr>
        <w:footnoteRef/>
      </w:r>
      <w:r w:rsidRPr="009937C4">
        <w:t xml:space="preserve"> </w:t>
      </w:r>
      <w:r w:rsidRPr="009937C4">
        <w:rPr>
          <w:lang w:val="en-GB"/>
        </w:rPr>
        <w:t xml:space="preserve">Information on the criteria for NICE allowing a technology appraisal in an ongoing clinical guideline can be found in section 6.20 of the </w:t>
      </w:r>
      <w:hyperlink r:id="rId1" w:anchor="updating-technology-appraisals-in-the-context-of-a-clinical-guideline" w:history="1">
        <w:r w:rsidRPr="009937C4">
          <w:rPr>
            <w:rStyle w:val="Hyperlink"/>
            <w:lang w:val="en-GB"/>
          </w:rPr>
          <w:t>guide to the processes of technology appraisal</w:t>
        </w:r>
      </w:hyperlink>
      <w:r w:rsidRPr="009937C4">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4B32"/>
    <w:multiLevelType w:val="hybridMultilevel"/>
    <w:tmpl w:val="95BCBCE4"/>
    <w:lvl w:ilvl="0" w:tplc="EC0AD8CE">
      <w:start w:val="1"/>
      <w:numFmt w:val="decimal"/>
      <w:pStyle w:val="Sectionheading"/>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41A54"/>
    <w:multiLevelType w:val="hybridMultilevel"/>
    <w:tmpl w:val="8844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979A1"/>
    <w:multiLevelType w:val="hybridMultilevel"/>
    <w:tmpl w:val="F6407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D47AB"/>
    <w:multiLevelType w:val="hybridMultilevel"/>
    <w:tmpl w:val="5E289E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1B5CBC"/>
    <w:multiLevelType w:val="hybridMultilevel"/>
    <w:tmpl w:val="A132A2A6"/>
    <w:lvl w:ilvl="0" w:tplc="0DD4CE8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41BED"/>
    <w:multiLevelType w:val="hybridMultilevel"/>
    <w:tmpl w:val="FD8E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75A07"/>
    <w:multiLevelType w:val="hybridMultilevel"/>
    <w:tmpl w:val="DB4A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925E1"/>
    <w:multiLevelType w:val="hybridMultilevel"/>
    <w:tmpl w:val="E99CB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FB035BF"/>
    <w:multiLevelType w:val="hybridMultilevel"/>
    <w:tmpl w:val="327AEB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35E5795"/>
    <w:multiLevelType w:val="hybridMultilevel"/>
    <w:tmpl w:val="56CA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332FC"/>
    <w:multiLevelType w:val="hybridMultilevel"/>
    <w:tmpl w:val="5DCCC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6F2189"/>
    <w:multiLevelType w:val="hybridMultilevel"/>
    <w:tmpl w:val="C57245A2"/>
    <w:lvl w:ilvl="0" w:tplc="D6D67F26">
      <w:start w:val="1"/>
      <w:numFmt w:val="bullet"/>
      <w:pStyle w:val="Bullets"/>
      <w:lvlText w:val=""/>
      <w:lvlJc w:val="left"/>
      <w:pPr>
        <w:ind w:left="454" w:hanging="454"/>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4" w15:restartNumberingAfterBreak="0">
    <w:nsid w:val="6E2A071E"/>
    <w:multiLevelType w:val="hybridMultilevel"/>
    <w:tmpl w:val="71309702"/>
    <w:lvl w:ilvl="0" w:tplc="436E3ED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0691757">
    <w:abstractNumId w:val="13"/>
  </w:num>
  <w:num w:numId="2" w16cid:durableId="275719882">
    <w:abstractNumId w:val="4"/>
  </w:num>
  <w:num w:numId="3" w16cid:durableId="1781412406">
    <w:abstractNumId w:val="1"/>
  </w:num>
  <w:num w:numId="4" w16cid:durableId="65566781">
    <w:abstractNumId w:val="0"/>
  </w:num>
  <w:num w:numId="5" w16cid:durableId="999575985">
    <w:abstractNumId w:val="8"/>
  </w:num>
  <w:num w:numId="6" w16cid:durableId="624895275">
    <w:abstractNumId w:val="14"/>
  </w:num>
  <w:num w:numId="7" w16cid:durableId="140110088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0533773">
    <w:abstractNumId w:val="6"/>
  </w:num>
  <w:num w:numId="9" w16cid:durableId="610935185">
    <w:abstractNumId w:val="11"/>
  </w:num>
  <w:num w:numId="10" w16cid:durableId="1016274571">
    <w:abstractNumId w:val="12"/>
  </w:num>
  <w:num w:numId="11" w16cid:durableId="1902909051">
    <w:abstractNumId w:val="2"/>
  </w:num>
  <w:num w:numId="12" w16cid:durableId="1277367418">
    <w:abstractNumId w:val="5"/>
  </w:num>
  <w:num w:numId="13" w16cid:durableId="2096197723">
    <w:abstractNumId w:val="3"/>
  </w:num>
  <w:num w:numId="14" w16cid:durableId="971207412">
    <w:abstractNumId w:val="9"/>
  </w:num>
  <w:num w:numId="15" w16cid:durableId="1692604221">
    <w:abstractNumId w:val="1"/>
  </w:num>
  <w:num w:numId="16" w16cid:durableId="117565288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4E"/>
    <w:rsid w:val="000053F8"/>
    <w:rsid w:val="00007800"/>
    <w:rsid w:val="0001656B"/>
    <w:rsid w:val="00016F2C"/>
    <w:rsid w:val="00024D0A"/>
    <w:rsid w:val="00026F79"/>
    <w:rsid w:val="0003096D"/>
    <w:rsid w:val="00037565"/>
    <w:rsid w:val="00041FE8"/>
    <w:rsid w:val="0004392B"/>
    <w:rsid w:val="0004580A"/>
    <w:rsid w:val="000464C8"/>
    <w:rsid w:val="000472DC"/>
    <w:rsid w:val="00070065"/>
    <w:rsid w:val="00070E7F"/>
    <w:rsid w:val="0007601A"/>
    <w:rsid w:val="00077677"/>
    <w:rsid w:val="00080028"/>
    <w:rsid w:val="00080AC4"/>
    <w:rsid w:val="000834C0"/>
    <w:rsid w:val="00085E83"/>
    <w:rsid w:val="000913D7"/>
    <w:rsid w:val="000A4FEE"/>
    <w:rsid w:val="000B11AD"/>
    <w:rsid w:val="000B5939"/>
    <w:rsid w:val="000B6492"/>
    <w:rsid w:val="000C7032"/>
    <w:rsid w:val="000D0559"/>
    <w:rsid w:val="000D1D10"/>
    <w:rsid w:val="000D7628"/>
    <w:rsid w:val="000E185D"/>
    <w:rsid w:val="000E7FDC"/>
    <w:rsid w:val="000F0545"/>
    <w:rsid w:val="000F0B94"/>
    <w:rsid w:val="000F0D0D"/>
    <w:rsid w:val="000F4BC1"/>
    <w:rsid w:val="000F70D0"/>
    <w:rsid w:val="00111CCE"/>
    <w:rsid w:val="001134E7"/>
    <w:rsid w:val="00124D7A"/>
    <w:rsid w:val="001272E1"/>
    <w:rsid w:val="001319D2"/>
    <w:rsid w:val="00150E98"/>
    <w:rsid w:val="001518A6"/>
    <w:rsid w:val="0015449E"/>
    <w:rsid w:val="00161A3F"/>
    <w:rsid w:val="00170B62"/>
    <w:rsid w:val="0017149E"/>
    <w:rsid w:val="0017169E"/>
    <w:rsid w:val="00171CF0"/>
    <w:rsid w:val="001721A3"/>
    <w:rsid w:val="00181962"/>
    <w:rsid w:val="00181A4A"/>
    <w:rsid w:val="00187F9C"/>
    <w:rsid w:val="00191785"/>
    <w:rsid w:val="00191F97"/>
    <w:rsid w:val="00195FDF"/>
    <w:rsid w:val="00197609"/>
    <w:rsid w:val="001A48B7"/>
    <w:rsid w:val="001A64F6"/>
    <w:rsid w:val="001B014D"/>
    <w:rsid w:val="001B0EE9"/>
    <w:rsid w:val="001B65B3"/>
    <w:rsid w:val="001C2976"/>
    <w:rsid w:val="001C65A9"/>
    <w:rsid w:val="001C66A6"/>
    <w:rsid w:val="001D013E"/>
    <w:rsid w:val="001D7FD7"/>
    <w:rsid w:val="001F08BB"/>
    <w:rsid w:val="001F265A"/>
    <w:rsid w:val="001F7990"/>
    <w:rsid w:val="002003D2"/>
    <w:rsid w:val="0020173B"/>
    <w:rsid w:val="002022A2"/>
    <w:rsid w:val="002029A6"/>
    <w:rsid w:val="002029E3"/>
    <w:rsid w:val="0021098D"/>
    <w:rsid w:val="00212EEB"/>
    <w:rsid w:val="0021354C"/>
    <w:rsid w:val="00217AC7"/>
    <w:rsid w:val="002278B3"/>
    <w:rsid w:val="00230BF5"/>
    <w:rsid w:val="002408EA"/>
    <w:rsid w:val="002427D2"/>
    <w:rsid w:val="0024310A"/>
    <w:rsid w:val="0025249F"/>
    <w:rsid w:val="002575C8"/>
    <w:rsid w:val="002819D7"/>
    <w:rsid w:val="002839FA"/>
    <w:rsid w:val="00290F00"/>
    <w:rsid w:val="00296856"/>
    <w:rsid w:val="002A3802"/>
    <w:rsid w:val="002A7FE2"/>
    <w:rsid w:val="002B19C7"/>
    <w:rsid w:val="002B219C"/>
    <w:rsid w:val="002B21F3"/>
    <w:rsid w:val="002B2445"/>
    <w:rsid w:val="002B39EE"/>
    <w:rsid w:val="002B6667"/>
    <w:rsid w:val="002C1A7E"/>
    <w:rsid w:val="002C56D0"/>
    <w:rsid w:val="002C739D"/>
    <w:rsid w:val="002D3376"/>
    <w:rsid w:val="002F00A0"/>
    <w:rsid w:val="002F24B3"/>
    <w:rsid w:val="003022A1"/>
    <w:rsid w:val="0031107C"/>
    <w:rsid w:val="00311ED0"/>
    <w:rsid w:val="00322A4E"/>
    <w:rsid w:val="003330E3"/>
    <w:rsid w:val="00336E18"/>
    <w:rsid w:val="00337FA6"/>
    <w:rsid w:val="003406C1"/>
    <w:rsid w:val="00340B1B"/>
    <w:rsid w:val="003422B1"/>
    <w:rsid w:val="0034303F"/>
    <w:rsid w:val="00343874"/>
    <w:rsid w:val="00344897"/>
    <w:rsid w:val="00345437"/>
    <w:rsid w:val="00345E6E"/>
    <w:rsid w:val="003648C5"/>
    <w:rsid w:val="00364B76"/>
    <w:rsid w:val="00364D7D"/>
    <w:rsid w:val="00370912"/>
    <w:rsid w:val="00370A84"/>
    <w:rsid w:val="00371DFA"/>
    <w:rsid w:val="003722FA"/>
    <w:rsid w:val="003751CC"/>
    <w:rsid w:val="00375906"/>
    <w:rsid w:val="00383E5D"/>
    <w:rsid w:val="0038412E"/>
    <w:rsid w:val="003844B5"/>
    <w:rsid w:val="00384B58"/>
    <w:rsid w:val="0039354E"/>
    <w:rsid w:val="003A416D"/>
    <w:rsid w:val="003B1C16"/>
    <w:rsid w:val="003B267B"/>
    <w:rsid w:val="003B2796"/>
    <w:rsid w:val="003B2A00"/>
    <w:rsid w:val="003B44A6"/>
    <w:rsid w:val="003C2F4B"/>
    <w:rsid w:val="003C7AAF"/>
    <w:rsid w:val="003D3D3F"/>
    <w:rsid w:val="003E0AF8"/>
    <w:rsid w:val="003F0D5A"/>
    <w:rsid w:val="003F49F8"/>
    <w:rsid w:val="003F557A"/>
    <w:rsid w:val="004075B6"/>
    <w:rsid w:val="00410C81"/>
    <w:rsid w:val="00410F5E"/>
    <w:rsid w:val="00412A80"/>
    <w:rsid w:val="00412D08"/>
    <w:rsid w:val="00414BA7"/>
    <w:rsid w:val="00420952"/>
    <w:rsid w:val="004226C0"/>
    <w:rsid w:val="00423F15"/>
    <w:rsid w:val="00433EFF"/>
    <w:rsid w:val="00443081"/>
    <w:rsid w:val="00446BEE"/>
    <w:rsid w:val="00451205"/>
    <w:rsid w:val="00466309"/>
    <w:rsid w:val="00467939"/>
    <w:rsid w:val="004754B6"/>
    <w:rsid w:val="0049374A"/>
    <w:rsid w:val="004A13CA"/>
    <w:rsid w:val="004A2C6F"/>
    <w:rsid w:val="004A6C2C"/>
    <w:rsid w:val="004A7D4C"/>
    <w:rsid w:val="004C7F8A"/>
    <w:rsid w:val="004D318E"/>
    <w:rsid w:val="004E3F51"/>
    <w:rsid w:val="004F0A3C"/>
    <w:rsid w:val="005025A1"/>
    <w:rsid w:val="00502CA9"/>
    <w:rsid w:val="0051550A"/>
    <w:rsid w:val="00524836"/>
    <w:rsid w:val="00532571"/>
    <w:rsid w:val="00535192"/>
    <w:rsid w:val="0053533C"/>
    <w:rsid w:val="00541215"/>
    <w:rsid w:val="00545E08"/>
    <w:rsid w:val="005559D7"/>
    <w:rsid w:val="00556EE7"/>
    <w:rsid w:val="005603BC"/>
    <w:rsid w:val="005648EB"/>
    <w:rsid w:val="005657E1"/>
    <w:rsid w:val="00570E75"/>
    <w:rsid w:val="00572C40"/>
    <w:rsid w:val="005769B4"/>
    <w:rsid w:val="00583C8C"/>
    <w:rsid w:val="00584299"/>
    <w:rsid w:val="00584C9E"/>
    <w:rsid w:val="00585670"/>
    <w:rsid w:val="00586112"/>
    <w:rsid w:val="00586392"/>
    <w:rsid w:val="005869D9"/>
    <w:rsid w:val="005A30D2"/>
    <w:rsid w:val="005A42B7"/>
    <w:rsid w:val="005B138C"/>
    <w:rsid w:val="005B1A4E"/>
    <w:rsid w:val="005B3F9F"/>
    <w:rsid w:val="005C1F43"/>
    <w:rsid w:val="005C334D"/>
    <w:rsid w:val="005C3468"/>
    <w:rsid w:val="005C63A0"/>
    <w:rsid w:val="005D4149"/>
    <w:rsid w:val="005D541E"/>
    <w:rsid w:val="005E4CC7"/>
    <w:rsid w:val="005F523A"/>
    <w:rsid w:val="005F6977"/>
    <w:rsid w:val="0060695E"/>
    <w:rsid w:val="00607613"/>
    <w:rsid w:val="006125F4"/>
    <w:rsid w:val="0062131B"/>
    <w:rsid w:val="006278DB"/>
    <w:rsid w:val="00635821"/>
    <w:rsid w:val="0064766B"/>
    <w:rsid w:val="00652B10"/>
    <w:rsid w:val="006570E7"/>
    <w:rsid w:val="006637B0"/>
    <w:rsid w:val="00667CAA"/>
    <w:rsid w:val="00676D02"/>
    <w:rsid w:val="0067701A"/>
    <w:rsid w:val="006773EC"/>
    <w:rsid w:val="00684A43"/>
    <w:rsid w:val="00686646"/>
    <w:rsid w:val="006921E1"/>
    <w:rsid w:val="006A020A"/>
    <w:rsid w:val="006A4167"/>
    <w:rsid w:val="006A639A"/>
    <w:rsid w:val="006B15CA"/>
    <w:rsid w:val="006C0772"/>
    <w:rsid w:val="006C1DF3"/>
    <w:rsid w:val="006C7961"/>
    <w:rsid w:val="006D1D74"/>
    <w:rsid w:val="006D3608"/>
    <w:rsid w:val="006D469F"/>
    <w:rsid w:val="006D493A"/>
    <w:rsid w:val="006F4B25"/>
    <w:rsid w:val="006F4B30"/>
    <w:rsid w:val="006F6496"/>
    <w:rsid w:val="006F6502"/>
    <w:rsid w:val="006F73C9"/>
    <w:rsid w:val="0070366A"/>
    <w:rsid w:val="007110DD"/>
    <w:rsid w:val="00711667"/>
    <w:rsid w:val="00720878"/>
    <w:rsid w:val="00723045"/>
    <w:rsid w:val="00725838"/>
    <w:rsid w:val="00736348"/>
    <w:rsid w:val="00737E30"/>
    <w:rsid w:val="00740214"/>
    <w:rsid w:val="00746E6A"/>
    <w:rsid w:val="00750BD2"/>
    <w:rsid w:val="0075125A"/>
    <w:rsid w:val="007606C5"/>
    <w:rsid w:val="00760908"/>
    <w:rsid w:val="0076184B"/>
    <w:rsid w:val="00770A0B"/>
    <w:rsid w:val="00772315"/>
    <w:rsid w:val="007A2ED2"/>
    <w:rsid w:val="007A65C5"/>
    <w:rsid w:val="007B572F"/>
    <w:rsid w:val="007C7E22"/>
    <w:rsid w:val="007D1C3B"/>
    <w:rsid w:val="007D75EF"/>
    <w:rsid w:val="007E14AB"/>
    <w:rsid w:val="007E53D5"/>
    <w:rsid w:val="007F238D"/>
    <w:rsid w:val="007F6C24"/>
    <w:rsid w:val="00801E8B"/>
    <w:rsid w:val="00802FAC"/>
    <w:rsid w:val="00803DCD"/>
    <w:rsid w:val="00811A54"/>
    <w:rsid w:val="00821089"/>
    <w:rsid w:val="00826F25"/>
    <w:rsid w:val="0083422C"/>
    <w:rsid w:val="00837725"/>
    <w:rsid w:val="00842D7A"/>
    <w:rsid w:val="0084563E"/>
    <w:rsid w:val="008457AB"/>
    <w:rsid w:val="008463FD"/>
    <w:rsid w:val="00861B92"/>
    <w:rsid w:val="008771E0"/>
    <w:rsid w:val="0088045F"/>
    <w:rsid w:val="00880606"/>
    <w:rsid w:val="00881034"/>
    <w:rsid w:val="008814FB"/>
    <w:rsid w:val="00882065"/>
    <w:rsid w:val="00886047"/>
    <w:rsid w:val="00892000"/>
    <w:rsid w:val="00895E3A"/>
    <w:rsid w:val="008A1621"/>
    <w:rsid w:val="008A4BAF"/>
    <w:rsid w:val="008B2576"/>
    <w:rsid w:val="008B319B"/>
    <w:rsid w:val="008C1624"/>
    <w:rsid w:val="008C1F15"/>
    <w:rsid w:val="008C2C87"/>
    <w:rsid w:val="008C4C08"/>
    <w:rsid w:val="008C7477"/>
    <w:rsid w:val="008D5E00"/>
    <w:rsid w:val="008E0A3D"/>
    <w:rsid w:val="008E766F"/>
    <w:rsid w:val="008F14BD"/>
    <w:rsid w:val="008F5E30"/>
    <w:rsid w:val="008F6FA4"/>
    <w:rsid w:val="009057B5"/>
    <w:rsid w:val="009057EB"/>
    <w:rsid w:val="0090598B"/>
    <w:rsid w:val="00911B18"/>
    <w:rsid w:val="00914D7F"/>
    <w:rsid w:val="00920430"/>
    <w:rsid w:val="00920A1F"/>
    <w:rsid w:val="00922288"/>
    <w:rsid w:val="0092771B"/>
    <w:rsid w:val="00930C0A"/>
    <w:rsid w:val="00934E40"/>
    <w:rsid w:val="00940C35"/>
    <w:rsid w:val="00942053"/>
    <w:rsid w:val="00946408"/>
    <w:rsid w:val="00947AEB"/>
    <w:rsid w:val="009565C1"/>
    <w:rsid w:val="00956669"/>
    <w:rsid w:val="009569A0"/>
    <w:rsid w:val="00956E19"/>
    <w:rsid w:val="00961076"/>
    <w:rsid w:val="00962B4C"/>
    <w:rsid w:val="009709FD"/>
    <w:rsid w:val="00972682"/>
    <w:rsid w:val="0097531E"/>
    <w:rsid w:val="009761F6"/>
    <w:rsid w:val="00982DDB"/>
    <w:rsid w:val="0098593F"/>
    <w:rsid w:val="009937C4"/>
    <w:rsid w:val="009A3D36"/>
    <w:rsid w:val="009A72F0"/>
    <w:rsid w:val="009C09DE"/>
    <w:rsid w:val="009C1BB3"/>
    <w:rsid w:val="009D4D3E"/>
    <w:rsid w:val="009E12B0"/>
    <w:rsid w:val="009E2C8F"/>
    <w:rsid w:val="009E308C"/>
    <w:rsid w:val="009E680B"/>
    <w:rsid w:val="009F357E"/>
    <w:rsid w:val="00A01E60"/>
    <w:rsid w:val="00A02309"/>
    <w:rsid w:val="00A03871"/>
    <w:rsid w:val="00A059C4"/>
    <w:rsid w:val="00A15A1F"/>
    <w:rsid w:val="00A277A3"/>
    <w:rsid w:val="00A279E6"/>
    <w:rsid w:val="00A30E7D"/>
    <w:rsid w:val="00A3325A"/>
    <w:rsid w:val="00A3474C"/>
    <w:rsid w:val="00A37E85"/>
    <w:rsid w:val="00A40AAD"/>
    <w:rsid w:val="00A4265E"/>
    <w:rsid w:val="00A43013"/>
    <w:rsid w:val="00A6462C"/>
    <w:rsid w:val="00A6733E"/>
    <w:rsid w:val="00A72170"/>
    <w:rsid w:val="00A75474"/>
    <w:rsid w:val="00A81FB8"/>
    <w:rsid w:val="00A84026"/>
    <w:rsid w:val="00A8521E"/>
    <w:rsid w:val="00A94A0E"/>
    <w:rsid w:val="00AA0BC4"/>
    <w:rsid w:val="00AB07DB"/>
    <w:rsid w:val="00AD2FD3"/>
    <w:rsid w:val="00AE0B39"/>
    <w:rsid w:val="00AE23C0"/>
    <w:rsid w:val="00AE6DDD"/>
    <w:rsid w:val="00AF108A"/>
    <w:rsid w:val="00AF6337"/>
    <w:rsid w:val="00B02E55"/>
    <w:rsid w:val="00B036C1"/>
    <w:rsid w:val="00B03868"/>
    <w:rsid w:val="00B0496E"/>
    <w:rsid w:val="00B2148F"/>
    <w:rsid w:val="00B27297"/>
    <w:rsid w:val="00B27824"/>
    <w:rsid w:val="00B30598"/>
    <w:rsid w:val="00B3644A"/>
    <w:rsid w:val="00B461B2"/>
    <w:rsid w:val="00B5431F"/>
    <w:rsid w:val="00B54F6E"/>
    <w:rsid w:val="00B5623A"/>
    <w:rsid w:val="00B564A3"/>
    <w:rsid w:val="00B64CB4"/>
    <w:rsid w:val="00B7475D"/>
    <w:rsid w:val="00B761F0"/>
    <w:rsid w:val="00B81431"/>
    <w:rsid w:val="00B83DA5"/>
    <w:rsid w:val="00B84303"/>
    <w:rsid w:val="00B91609"/>
    <w:rsid w:val="00B92505"/>
    <w:rsid w:val="00B9740B"/>
    <w:rsid w:val="00B9794A"/>
    <w:rsid w:val="00BA0F45"/>
    <w:rsid w:val="00BA2D53"/>
    <w:rsid w:val="00BB216C"/>
    <w:rsid w:val="00BB3A44"/>
    <w:rsid w:val="00BB6CD5"/>
    <w:rsid w:val="00BC618B"/>
    <w:rsid w:val="00BE33EE"/>
    <w:rsid w:val="00BF405E"/>
    <w:rsid w:val="00BF7FE0"/>
    <w:rsid w:val="00C00789"/>
    <w:rsid w:val="00C07CFA"/>
    <w:rsid w:val="00C11AC7"/>
    <w:rsid w:val="00C24930"/>
    <w:rsid w:val="00C342B4"/>
    <w:rsid w:val="00C40A06"/>
    <w:rsid w:val="00C4250F"/>
    <w:rsid w:val="00C4373F"/>
    <w:rsid w:val="00C440FE"/>
    <w:rsid w:val="00C47C42"/>
    <w:rsid w:val="00C57DEC"/>
    <w:rsid w:val="00C6049F"/>
    <w:rsid w:val="00C62DD7"/>
    <w:rsid w:val="00C654E4"/>
    <w:rsid w:val="00C81104"/>
    <w:rsid w:val="00C823E9"/>
    <w:rsid w:val="00C919BA"/>
    <w:rsid w:val="00C933CE"/>
    <w:rsid w:val="00C96411"/>
    <w:rsid w:val="00C96D99"/>
    <w:rsid w:val="00C97226"/>
    <w:rsid w:val="00CA0E4F"/>
    <w:rsid w:val="00CB5671"/>
    <w:rsid w:val="00CB6F2D"/>
    <w:rsid w:val="00CC1100"/>
    <w:rsid w:val="00CE4C60"/>
    <w:rsid w:val="00CE7CDB"/>
    <w:rsid w:val="00CF0F19"/>
    <w:rsid w:val="00CF349A"/>
    <w:rsid w:val="00CF58B7"/>
    <w:rsid w:val="00D024C4"/>
    <w:rsid w:val="00D21348"/>
    <w:rsid w:val="00D30DFC"/>
    <w:rsid w:val="00D351C1"/>
    <w:rsid w:val="00D35EFB"/>
    <w:rsid w:val="00D504B3"/>
    <w:rsid w:val="00D53DAE"/>
    <w:rsid w:val="00D64965"/>
    <w:rsid w:val="00D70E27"/>
    <w:rsid w:val="00D717D3"/>
    <w:rsid w:val="00D75B85"/>
    <w:rsid w:val="00D852EF"/>
    <w:rsid w:val="00D85EA6"/>
    <w:rsid w:val="00D86BF0"/>
    <w:rsid w:val="00D87094"/>
    <w:rsid w:val="00D93114"/>
    <w:rsid w:val="00D9477B"/>
    <w:rsid w:val="00DA2535"/>
    <w:rsid w:val="00DA6CD3"/>
    <w:rsid w:val="00DB1AF2"/>
    <w:rsid w:val="00DB20B2"/>
    <w:rsid w:val="00DD6AD7"/>
    <w:rsid w:val="00DE3DBE"/>
    <w:rsid w:val="00DE725E"/>
    <w:rsid w:val="00DF2215"/>
    <w:rsid w:val="00E07D24"/>
    <w:rsid w:val="00E13166"/>
    <w:rsid w:val="00E14DE6"/>
    <w:rsid w:val="00E16937"/>
    <w:rsid w:val="00E22111"/>
    <w:rsid w:val="00E33FAF"/>
    <w:rsid w:val="00E42B28"/>
    <w:rsid w:val="00E51920"/>
    <w:rsid w:val="00E5324F"/>
    <w:rsid w:val="00E64120"/>
    <w:rsid w:val="00E65378"/>
    <w:rsid w:val="00E660A1"/>
    <w:rsid w:val="00E71C35"/>
    <w:rsid w:val="00EA1F59"/>
    <w:rsid w:val="00EA271C"/>
    <w:rsid w:val="00EA3266"/>
    <w:rsid w:val="00EA3CCF"/>
    <w:rsid w:val="00EA425A"/>
    <w:rsid w:val="00EB3266"/>
    <w:rsid w:val="00EB3533"/>
    <w:rsid w:val="00EB5529"/>
    <w:rsid w:val="00EC6348"/>
    <w:rsid w:val="00ED2448"/>
    <w:rsid w:val="00ED31E7"/>
    <w:rsid w:val="00ED446B"/>
    <w:rsid w:val="00ED5D61"/>
    <w:rsid w:val="00EE2354"/>
    <w:rsid w:val="00EE72A3"/>
    <w:rsid w:val="00EF0E17"/>
    <w:rsid w:val="00EF2B63"/>
    <w:rsid w:val="00EF3AF9"/>
    <w:rsid w:val="00EF3D38"/>
    <w:rsid w:val="00F000BB"/>
    <w:rsid w:val="00F055F1"/>
    <w:rsid w:val="00F21B26"/>
    <w:rsid w:val="00F22ABB"/>
    <w:rsid w:val="00F23A8B"/>
    <w:rsid w:val="00F24C83"/>
    <w:rsid w:val="00F272D4"/>
    <w:rsid w:val="00F326FA"/>
    <w:rsid w:val="00F3631D"/>
    <w:rsid w:val="00F37BA7"/>
    <w:rsid w:val="00F405B4"/>
    <w:rsid w:val="00F41A0D"/>
    <w:rsid w:val="00F44FC0"/>
    <w:rsid w:val="00F57DA3"/>
    <w:rsid w:val="00F6040F"/>
    <w:rsid w:val="00F610AF"/>
    <w:rsid w:val="00F62CF4"/>
    <w:rsid w:val="00F74688"/>
    <w:rsid w:val="00F74BD9"/>
    <w:rsid w:val="00F76DC7"/>
    <w:rsid w:val="00F80A9F"/>
    <w:rsid w:val="00F85016"/>
    <w:rsid w:val="00F854CA"/>
    <w:rsid w:val="00F85A74"/>
    <w:rsid w:val="00FA049B"/>
    <w:rsid w:val="00FA2A32"/>
    <w:rsid w:val="00FA2C5A"/>
    <w:rsid w:val="00FA3C67"/>
    <w:rsid w:val="00FA58AD"/>
    <w:rsid w:val="00FA7B4C"/>
    <w:rsid w:val="00FB3566"/>
    <w:rsid w:val="00FB55E2"/>
    <w:rsid w:val="00FC0886"/>
    <w:rsid w:val="00FC2B07"/>
    <w:rsid w:val="00FC2D11"/>
    <w:rsid w:val="00FC3647"/>
    <w:rsid w:val="00FC6230"/>
    <w:rsid w:val="00FC673A"/>
    <w:rsid w:val="00FC7724"/>
    <w:rsid w:val="00FD10F8"/>
    <w:rsid w:val="00FE4237"/>
    <w:rsid w:val="00FF2EA3"/>
    <w:rsid w:val="00FF4886"/>
    <w:rsid w:val="00FF61E7"/>
    <w:rsid w:val="02FFE046"/>
    <w:rsid w:val="12012C35"/>
    <w:rsid w:val="15C95743"/>
    <w:rsid w:val="34243C48"/>
    <w:rsid w:val="3E983CF3"/>
    <w:rsid w:val="3F9FA077"/>
    <w:rsid w:val="4D806AD1"/>
    <w:rsid w:val="638BE4D7"/>
    <w:rsid w:val="6C63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D4F67"/>
  <w15:chartTrackingRefBased/>
  <w15:docId w15:val="{7712DE83-1964-4ADD-BE35-CFAC056C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9937C4"/>
    <w:pPr>
      <w:numPr>
        <w:numId w:val="1"/>
      </w:numPr>
      <w:spacing w:after="120"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PlaceholderText">
    <w:name w:val="Placeholder Text"/>
    <w:basedOn w:val="DefaultParagraphFont"/>
    <w:uiPriority w:val="99"/>
    <w:semiHidden/>
    <w:rsid w:val="008C1624"/>
    <w:rPr>
      <w:color w:val="808080"/>
    </w:rPr>
  </w:style>
  <w:style w:type="character" w:styleId="CommentReference">
    <w:name w:val="annotation reference"/>
    <w:basedOn w:val="DefaultParagraphFont"/>
    <w:unhideWhenUsed/>
    <w:rsid w:val="008C1624"/>
    <w:rPr>
      <w:sz w:val="16"/>
      <w:szCs w:val="16"/>
    </w:rPr>
  </w:style>
  <w:style w:type="paragraph" w:styleId="CommentText">
    <w:name w:val="annotation text"/>
    <w:basedOn w:val="Normal"/>
    <w:link w:val="CommentTextChar"/>
    <w:unhideWhenUsed/>
    <w:rsid w:val="008C1624"/>
    <w:rPr>
      <w:sz w:val="20"/>
      <w:szCs w:val="20"/>
    </w:rPr>
  </w:style>
  <w:style w:type="character" w:customStyle="1" w:styleId="CommentTextChar">
    <w:name w:val="Comment Text Char"/>
    <w:basedOn w:val="DefaultParagraphFont"/>
    <w:link w:val="CommentText"/>
    <w:rsid w:val="008C1624"/>
  </w:style>
  <w:style w:type="paragraph" w:styleId="CommentSubject">
    <w:name w:val="annotation subject"/>
    <w:basedOn w:val="CommentText"/>
    <w:next w:val="CommentText"/>
    <w:link w:val="CommentSubjectChar"/>
    <w:semiHidden/>
    <w:unhideWhenUsed/>
    <w:rsid w:val="008C1624"/>
    <w:rPr>
      <w:b/>
      <w:bCs/>
    </w:rPr>
  </w:style>
  <w:style w:type="character" w:customStyle="1" w:styleId="CommentSubjectChar">
    <w:name w:val="Comment Subject Char"/>
    <w:basedOn w:val="CommentTextChar"/>
    <w:link w:val="CommentSubject"/>
    <w:semiHidden/>
    <w:rsid w:val="008C1624"/>
    <w:rPr>
      <w:b/>
      <w:bCs/>
    </w:rPr>
  </w:style>
  <w:style w:type="table" w:styleId="TableGrid">
    <w:name w:val="Table Grid"/>
    <w:basedOn w:val="TableNormal"/>
    <w:rsid w:val="008C1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rsid w:val="0053533C"/>
    <w:pPr>
      <w:numPr>
        <w:numId w:val="4"/>
      </w:numPr>
      <w:tabs>
        <w:tab w:val="num" w:pos="360"/>
      </w:tabs>
      <w:spacing w:before="360" w:after="120"/>
      <w:ind w:left="720" w:firstLine="0"/>
    </w:pPr>
    <w:rPr>
      <w:rFonts w:ascii="Arial" w:hAnsi="Arial"/>
      <w:b/>
      <w:bCs/>
      <w:szCs w:val="20"/>
      <w:lang w:eastAsia="en-US"/>
    </w:rPr>
  </w:style>
  <w:style w:type="paragraph" w:styleId="ListParagraph">
    <w:name w:val="List Paragraph"/>
    <w:basedOn w:val="Normal"/>
    <w:uiPriority w:val="34"/>
    <w:qFormat/>
    <w:rsid w:val="0053533C"/>
    <w:pPr>
      <w:ind w:left="720"/>
      <w:contextualSpacing/>
    </w:pPr>
  </w:style>
  <w:style w:type="character" w:styleId="Hyperlink">
    <w:name w:val="Hyperlink"/>
    <w:uiPriority w:val="99"/>
    <w:rsid w:val="009937C4"/>
    <w:rPr>
      <w:color w:val="0000FF"/>
      <w:u w:val="single"/>
    </w:rPr>
  </w:style>
  <w:style w:type="paragraph" w:styleId="FootnoteText">
    <w:name w:val="footnote text"/>
    <w:basedOn w:val="Normal"/>
    <w:link w:val="FootnoteTextChar"/>
    <w:rsid w:val="009937C4"/>
    <w:pPr>
      <w:spacing w:after="240"/>
    </w:pPr>
    <w:rPr>
      <w:rFonts w:ascii="Arial" w:hAnsi="Arial"/>
      <w:sz w:val="20"/>
      <w:szCs w:val="20"/>
      <w:lang w:val="x-none" w:eastAsia="en-US"/>
    </w:rPr>
  </w:style>
  <w:style w:type="character" w:customStyle="1" w:styleId="FootnoteTextChar">
    <w:name w:val="Footnote Text Char"/>
    <w:basedOn w:val="DefaultParagraphFont"/>
    <w:link w:val="FootnoteText"/>
    <w:rsid w:val="009937C4"/>
    <w:rPr>
      <w:rFonts w:ascii="Arial" w:hAnsi="Arial"/>
      <w:lang w:val="x-none" w:eastAsia="en-US"/>
    </w:rPr>
  </w:style>
  <w:style w:type="character" w:styleId="FootnoteReference">
    <w:name w:val="footnote reference"/>
    <w:rsid w:val="009937C4"/>
    <w:rPr>
      <w:vertAlign w:val="superscript"/>
    </w:rPr>
  </w:style>
  <w:style w:type="character" w:styleId="FollowedHyperlink">
    <w:name w:val="FollowedHyperlink"/>
    <w:basedOn w:val="DefaultParagraphFont"/>
    <w:semiHidden/>
    <w:unhideWhenUsed/>
    <w:rsid w:val="009937C4"/>
    <w:rPr>
      <w:color w:val="800080" w:themeColor="followedHyperlink"/>
      <w:u w:val="single"/>
    </w:rPr>
  </w:style>
  <w:style w:type="paragraph" w:customStyle="1" w:styleId="Heading1numbered">
    <w:name w:val="Heading 1 numbered"/>
    <w:basedOn w:val="Heading1"/>
    <w:link w:val="Heading1numberedChar"/>
    <w:qFormat/>
    <w:rsid w:val="003844B5"/>
  </w:style>
  <w:style w:type="character" w:customStyle="1" w:styleId="Heading1numberedChar">
    <w:name w:val="Heading 1 numbered Char"/>
    <w:basedOn w:val="Heading1Char"/>
    <w:link w:val="Heading1numbered"/>
    <w:rsid w:val="003844B5"/>
    <w:rPr>
      <w:rFonts w:ascii="Arial" w:hAnsi="Arial"/>
      <w:b/>
      <w:bCs/>
      <w:kern w:val="32"/>
      <w:sz w:val="28"/>
      <w:szCs w:val="32"/>
    </w:rPr>
  </w:style>
  <w:style w:type="paragraph" w:styleId="NormalWeb">
    <w:name w:val="Normal (Web)"/>
    <w:basedOn w:val="Normal"/>
    <w:uiPriority w:val="99"/>
    <w:unhideWhenUsed/>
    <w:rsid w:val="0098593F"/>
    <w:pPr>
      <w:spacing w:before="100" w:beforeAutospacing="1" w:after="100" w:afterAutospacing="1"/>
    </w:pPr>
  </w:style>
  <w:style w:type="paragraph" w:styleId="Revision">
    <w:name w:val="Revision"/>
    <w:hidden/>
    <w:uiPriority w:val="99"/>
    <w:semiHidden/>
    <w:rsid w:val="0088045F"/>
    <w:rPr>
      <w:sz w:val="24"/>
      <w:szCs w:val="24"/>
    </w:rPr>
  </w:style>
  <w:style w:type="paragraph" w:styleId="BodyText2">
    <w:name w:val="Body Text 2"/>
    <w:basedOn w:val="BodyText"/>
    <w:link w:val="BodyText2Char"/>
    <w:rsid w:val="00C654E4"/>
    <w:pPr>
      <w:spacing w:before="120"/>
    </w:pPr>
    <w:rPr>
      <w:rFonts w:ascii="Arial" w:hAnsi="Arial"/>
      <w:szCs w:val="20"/>
      <w:lang w:val="x-none" w:eastAsia="en-US"/>
    </w:rPr>
  </w:style>
  <w:style w:type="character" w:customStyle="1" w:styleId="BodyText2Char">
    <w:name w:val="Body Text 2 Char"/>
    <w:basedOn w:val="DefaultParagraphFont"/>
    <w:link w:val="BodyText2"/>
    <w:rsid w:val="00C654E4"/>
    <w:rPr>
      <w:rFonts w:ascii="Arial" w:hAnsi="Arial"/>
      <w:sz w:val="24"/>
      <w:lang w:val="x-none" w:eastAsia="en-US"/>
    </w:rPr>
  </w:style>
  <w:style w:type="paragraph" w:styleId="BodyText">
    <w:name w:val="Body Text"/>
    <w:basedOn w:val="Normal"/>
    <w:link w:val="BodyTextChar"/>
    <w:semiHidden/>
    <w:unhideWhenUsed/>
    <w:rsid w:val="00C654E4"/>
    <w:pPr>
      <w:spacing w:after="120"/>
    </w:pPr>
  </w:style>
  <w:style w:type="character" w:customStyle="1" w:styleId="BodyTextChar">
    <w:name w:val="Body Text Char"/>
    <w:basedOn w:val="DefaultParagraphFont"/>
    <w:link w:val="BodyText"/>
    <w:semiHidden/>
    <w:rsid w:val="00C654E4"/>
    <w:rPr>
      <w:sz w:val="24"/>
      <w:szCs w:val="24"/>
    </w:rPr>
  </w:style>
  <w:style w:type="character" w:styleId="UnresolvedMention">
    <w:name w:val="Unresolved Mention"/>
    <w:basedOn w:val="DefaultParagraphFont"/>
    <w:uiPriority w:val="99"/>
    <w:semiHidden/>
    <w:unhideWhenUsed/>
    <w:rsid w:val="008C1F15"/>
    <w:rPr>
      <w:color w:val="605E5C"/>
      <w:shd w:val="clear" w:color="auto" w:fill="E1DFDD"/>
    </w:rPr>
  </w:style>
  <w:style w:type="character" w:styleId="Emphasis">
    <w:name w:val="Emphasis"/>
    <w:basedOn w:val="DefaultParagraphFont"/>
    <w:uiPriority w:val="20"/>
    <w:qFormat/>
    <w:rsid w:val="006A41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056">
      <w:bodyDiv w:val="1"/>
      <w:marLeft w:val="0"/>
      <w:marRight w:val="0"/>
      <w:marTop w:val="0"/>
      <w:marBottom w:val="0"/>
      <w:divBdr>
        <w:top w:val="none" w:sz="0" w:space="0" w:color="auto"/>
        <w:left w:val="none" w:sz="0" w:space="0" w:color="auto"/>
        <w:bottom w:val="none" w:sz="0" w:space="0" w:color="auto"/>
        <w:right w:val="none" w:sz="0" w:space="0" w:color="auto"/>
      </w:divBdr>
      <w:divsChild>
        <w:div w:id="173420866">
          <w:marLeft w:val="0"/>
          <w:marRight w:val="0"/>
          <w:marTop w:val="0"/>
          <w:marBottom w:val="0"/>
          <w:divBdr>
            <w:top w:val="none" w:sz="0" w:space="0" w:color="auto"/>
            <w:left w:val="none" w:sz="0" w:space="0" w:color="auto"/>
            <w:bottom w:val="none" w:sz="0" w:space="0" w:color="auto"/>
            <w:right w:val="none" w:sz="0" w:space="0" w:color="auto"/>
          </w:divBdr>
        </w:div>
        <w:div w:id="1249539998">
          <w:marLeft w:val="0"/>
          <w:marRight w:val="0"/>
          <w:marTop w:val="0"/>
          <w:marBottom w:val="0"/>
          <w:divBdr>
            <w:top w:val="none" w:sz="0" w:space="0" w:color="auto"/>
            <w:left w:val="none" w:sz="0" w:space="0" w:color="auto"/>
            <w:bottom w:val="none" w:sz="0" w:space="0" w:color="auto"/>
            <w:right w:val="none" w:sz="0" w:space="0" w:color="auto"/>
          </w:divBdr>
        </w:div>
        <w:div w:id="265313843">
          <w:marLeft w:val="0"/>
          <w:marRight w:val="0"/>
          <w:marTop w:val="0"/>
          <w:marBottom w:val="0"/>
          <w:divBdr>
            <w:top w:val="none" w:sz="0" w:space="0" w:color="auto"/>
            <w:left w:val="none" w:sz="0" w:space="0" w:color="auto"/>
            <w:bottom w:val="none" w:sz="0" w:space="0" w:color="auto"/>
            <w:right w:val="none" w:sz="0" w:space="0" w:color="auto"/>
          </w:divBdr>
        </w:div>
      </w:divsChild>
    </w:div>
    <w:div w:id="372072231">
      <w:bodyDiv w:val="1"/>
      <w:marLeft w:val="0"/>
      <w:marRight w:val="0"/>
      <w:marTop w:val="0"/>
      <w:marBottom w:val="0"/>
      <w:divBdr>
        <w:top w:val="none" w:sz="0" w:space="0" w:color="auto"/>
        <w:left w:val="none" w:sz="0" w:space="0" w:color="auto"/>
        <w:bottom w:val="none" w:sz="0" w:space="0" w:color="auto"/>
        <w:right w:val="none" w:sz="0" w:space="0" w:color="auto"/>
      </w:divBdr>
    </w:div>
    <w:div w:id="1435782057">
      <w:bodyDiv w:val="1"/>
      <w:marLeft w:val="0"/>
      <w:marRight w:val="0"/>
      <w:marTop w:val="0"/>
      <w:marBottom w:val="0"/>
      <w:divBdr>
        <w:top w:val="none" w:sz="0" w:space="0" w:color="auto"/>
        <w:left w:val="none" w:sz="0" w:space="0" w:color="auto"/>
        <w:bottom w:val="none" w:sz="0" w:space="0" w:color="auto"/>
        <w:right w:val="none" w:sz="0" w:space="0" w:color="auto"/>
      </w:divBdr>
      <w:divsChild>
        <w:div w:id="296570451">
          <w:marLeft w:val="0"/>
          <w:marRight w:val="0"/>
          <w:marTop w:val="0"/>
          <w:marBottom w:val="0"/>
          <w:divBdr>
            <w:top w:val="none" w:sz="0" w:space="0" w:color="auto"/>
            <w:left w:val="none" w:sz="0" w:space="0" w:color="auto"/>
            <w:bottom w:val="none" w:sz="0" w:space="0" w:color="auto"/>
            <w:right w:val="none" w:sz="0" w:space="0" w:color="auto"/>
          </w:divBdr>
          <w:divsChild>
            <w:div w:id="1051492101">
              <w:marLeft w:val="0"/>
              <w:marRight w:val="0"/>
              <w:marTop w:val="0"/>
              <w:marBottom w:val="0"/>
              <w:divBdr>
                <w:top w:val="none" w:sz="0" w:space="0" w:color="auto"/>
                <w:left w:val="none" w:sz="0" w:space="0" w:color="auto"/>
                <w:bottom w:val="none" w:sz="0" w:space="0" w:color="auto"/>
                <w:right w:val="none" w:sz="0" w:space="0" w:color="auto"/>
              </w:divBdr>
              <w:divsChild>
                <w:div w:id="989483736">
                  <w:marLeft w:val="0"/>
                  <w:marRight w:val="0"/>
                  <w:marTop w:val="0"/>
                  <w:marBottom w:val="0"/>
                  <w:divBdr>
                    <w:top w:val="none" w:sz="0" w:space="0" w:color="auto"/>
                    <w:left w:val="none" w:sz="0" w:space="0" w:color="auto"/>
                    <w:bottom w:val="none" w:sz="0" w:space="0" w:color="auto"/>
                    <w:right w:val="none" w:sz="0" w:space="0" w:color="auto"/>
                  </w:divBdr>
                  <w:divsChild>
                    <w:div w:id="1272513965">
                      <w:marLeft w:val="0"/>
                      <w:marRight w:val="0"/>
                      <w:marTop w:val="0"/>
                      <w:marBottom w:val="0"/>
                      <w:divBdr>
                        <w:top w:val="none" w:sz="0" w:space="0" w:color="auto"/>
                        <w:left w:val="none" w:sz="0" w:space="0" w:color="auto"/>
                        <w:bottom w:val="none" w:sz="0" w:space="0" w:color="auto"/>
                        <w:right w:val="none" w:sz="0" w:space="0" w:color="auto"/>
                      </w:divBdr>
                      <w:divsChild>
                        <w:div w:id="1818498218">
                          <w:marLeft w:val="0"/>
                          <w:marRight w:val="0"/>
                          <w:marTop w:val="0"/>
                          <w:marBottom w:val="0"/>
                          <w:divBdr>
                            <w:top w:val="none" w:sz="0" w:space="0" w:color="auto"/>
                            <w:left w:val="none" w:sz="0" w:space="0" w:color="auto"/>
                            <w:bottom w:val="none" w:sz="0" w:space="0" w:color="auto"/>
                            <w:right w:val="none" w:sz="0" w:space="0" w:color="auto"/>
                          </w:divBdr>
                          <w:divsChild>
                            <w:div w:id="373116479">
                              <w:marLeft w:val="0"/>
                              <w:marRight w:val="0"/>
                              <w:marTop w:val="0"/>
                              <w:marBottom w:val="0"/>
                              <w:divBdr>
                                <w:top w:val="none" w:sz="0" w:space="0" w:color="auto"/>
                                <w:left w:val="none" w:sz="0" w:space="0" w:color="auto"/>
                                <w:bottom w:val="none" w:sz="0" w:space="0" w:color="auto"/>
                                <w:right w:val="none" w:sz="0" w:space="0" w:color="auto"/>
                              </w:divBdr>
                              <w:divsChild>
                                <w:div w:id="1974556939">
                                  <w:marLeft w:val="360"/>
                                  <w:marRight w:val="360"/>
                                  <w:marTop w:val="0"/>
                                  <w:marBottom w:val="0"/>
                                  <w:divBdr>
                                    <w:top w:val="none" w:sz="0" w:space="0" w:color="auto"/>
                                    <w:left w:val="none" w:sz="0" w:space="0" w:color="auto"/>
                                    <w:bottom w:val="none" w:sz="0" w:space="0" w:color="auto"/>
                                    <w:right w:val="none" w:sz="0" w:space="0" w:color="auto"/>
                                  </w:divBdr>
                                  <w:divsChild>
                                    <w:div w:id="605116255">
                                      <w:marLeft w:val="0"/>
                                      <w:marRight w:val="0"/>
                                      <w:marTop w:val="0"/>
                                      <w:marBottom w:val="0"/>
                                      <w:divBdr>
                                        <w:top w:val="none" w:sz="0" w:space="0" w:color="auto"/>
                                        <w:left w:val="none" w:sz="0" w:space="0" w:color="auto"/>
                                        <w:bottom w:val="none" w:sz="0" w:space="0" w:color="auto"/>
                                        <w:right w:val="none" w:sz="0" w:space="0" w:color="auto"/>
                                      </w:divBdr>
                                      <w:divsChild>
                                        <w:div w:id="1402750351">
                                          <w:marLeft w:val="0"/>
                                          <w:marRight w:val="0"/>
                                          <w:marTop w:val="0"/>
                                          <w:marBottom w:val="300"/>
                                          <w:divBdr>
                                            <w:top w:val="none" w:sz="0" w:space="0" w:color="auto"/>
                                            <w:left w:val="none" w:sz="0" w:space="0" w:color="auto"/>
                                            <w:bottom w:val="none" w:sz="0" w:space="0" w:color="auto"/>
                                            <w:right w:val="none" w:sz="0" w:space="0" w:color="auto"/>
                                          </w:divBdr>
                                          <w:divsChild>
                                            <w:div w:id="1708605550">
                                              <w:marLeft w:val="0"/>
                                              <w:marRight w:val="0"/>
                                              <w:marTop w:val="0"/>
                                              <w:marBottom w:val="0"/>
                                              <w:divBdr>
                                                <w:top w:val="none" w:sz="0" w:space="0" w:color="auto"/>
                                                <w:left w:val="none" w:sz="0" w:space="0" w:color="auto"/>
                                                <w:bottom w:val="none" w:sz="0" w:space="0" w:color="auto"/>
                                                <w:right w:val="none" w:sz="0" w:space="0" w:color="auto"/>
                                              </w:divBdr>
                                              <w:divsChild>
                                                <w:div w:id="1639384791">
                                                  <w:marLeft w:val="0"/>
                                                  <w:marRight w:val="0"/>
                                                  <w:marTop w:val="0"/>
                                                  <w:marBottom w:val="0"/>
                                                  <w:divBdr>
                                                    <w:top w:val="none" w:sz="0" w:space="0" w:color="auto"/>
                                                    <w:left w:val="none" w:sz="0" w:space="0" w:color="auto"/>
                                                    <w:bottom w:val="none" w:sz="0" w:space="0" w:color="auto"/>
                                                    <w:right w:val="none" w:sz="0" w:space="0" w:color="auto"/>
                                                  </w:divBdr>
                                                  <w:divsChild>
                                                    <w:div w:id="4667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052884">
      <w:bodyDiv w:val="1"/>
      <w:marLeft w:val="0"/>
      <w:marRight w:val="0"/>
      <w:marTop w:val="0"/>
      <w:marBottom w:val="0"/>
      <w:divBdr>
        <w:top w:val="none" w:sz="0" w:space="0" w:color="auto"/>
        <w:left w:val="none" w:sz="0" w:space="0" w:color="auto"/>
        <w:bottom w:val="none" w:sz="0" w:space="0" w:color="auto"/>
        <w:right w:val="none" w:sz="0" w:space="0" w:color="auto"/>
      </w:divBdr>
      <w:divsChild>
        <w:div w:id="31831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ta909" TargetMode="External"/><Relationship Id="rId13" Type="http://schemas.openxmlformats.org/officeDocument/2006/relationships/hyperlink" Target="https://www.nice.org.uk/guidance/ta406" TargetMode="External"/><Relationship Id="rId18" Type="http://schemas.openxmlformats.org/officeDocument/2006/relationships/hyperlink" Target="https://www.nice.org.uk/about/what-we-do/our-programmes/nice-guidance/nice-technology-appraisal-guidance/changes-to-health-technology-evalu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ice.org.uk/guidance/ta500" TargetMode="External"/><Relationship Id="rId7" Type="http://schemas.openxmlformats.org/officeDocument/2006/relationships/endnotes" Target="endnotes.xml"/><Relationship Id="rId12" Type="http://schemas.openxmlformats.org/officeDocument/2006/relationships/hyperlink" Target="https://www.nice.org.uk/guidance/ta500" TargetMode="External"/><Relationship Id="rId17" Type="http://schemas.openxmlformats.org/officeDocument/2006/relationships/hyperlink" Target="https://www.england.nhs.uk/wp-content/uploads/2017/10/PRN00115-prescribed-specialised-services-manual-v6.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ongtermplan.nhs.uk/publication/nhs-long-term-plan/" TargetMode="External"/><Relationship Id="rId20" Type="http://schemas.openxmlformats.org/officeDocument/2006/relationships/hyperlink" Target="https://www.nice.org.uk/guidance/ta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536" TargetMode="External"/><Relationship Id="rId24" Type="http://schemas.openxmlformats.org/officeDocument/2006/relationships/hyperlink" Target="https://clinicaltrials.gov/study/NCT03052608" TargetMode="External"/><Relationship Id="rId5" Type="http://schemas.openxmlformats.org/officeDocument/2006/relationships/webSettings" Target="webSettings.xml"/><Relationship Id="rId15" Type="http://schemas.openxmlformats.org/officeDocument/2006/relationships/hyperlink" Target="https://www.nice.org.uk/guidance/QS17" TargetMode="External"/><Relationship Id="rId23" Type="http://schemas.openxmlformats.org/officeDocument/2006/relationships/hyperlink" Target="https://www.nice.org.uk/guidance/NG122" TargetMode="External"/><Relationship Id="rId10" Type="http://schemas.openxmlformats.org/officeDocument/2006/relationships/hyperlink" Target="https://www.nice.org.uk/guidance/TA670" TargetMode="External"/><Relationship Id="rId19" Type="http://schemas.openxmlformats.org/officeDocument/2006/relationships/hyperlink" Target="https://www.nice.org.uk/guidance/TA670" TargetMode="External"/><Relationship Id="rId4" Type="http://schemas.openxmlformats.org/officeDocument/2006/relationships/settings" Target="settings.xml"/><Relationship Id="rId9" Type="http://schemas.openxmlformats.org/officeDocument/2006/relationships/hyperlink" Target="https://pubmed.ncbi.nlm.nih.gov/36535300/" TargetMode="External"/><Relationship Id="rId14" Type="http://schemas.openxmlformats.org/officeDocument/2006/relationships/hyperlink" Target="https://www.nice.org.uk/guidance/NG122" TargetMode="External"/><Relationship Id="rId22" Type="http://schemas.openxmlformats.org/officeDocument/2006/relationships/hyperlink" Target="https://www.nice.org.uk/guidance/ta40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nice.org.uk/terms-and-condi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process/pmg19/chapter/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D2E24-873B-4016-B274-25E09DD1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4150</TotalTime>
  <Pages>10</Pages>
  <Words>1854</Words>
  <Characters>12429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Ng</dc:creator>
  <cp:keywords/>
  <dc:description/>
  <cp:lastModifiedBy>Charlotte Downing</cp:lastModifiedBy>
  <cp:revision>5</cp:revision>
  <dcterms:created xsi:type="dcterms:W3CDTF">2024-06-14T12:49:00Z</dcterms:created>
  <dcterms:modified xsi:type="dcterms:W3CDTF">2024-06-25T14:41:00Z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2023-04-03T11:36:44Z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4d7d2982-78be-41ae-8ad6-12e1da64b2a7</vt:lpwstr>
  </property>
  <property fmtid="{D5CDD505-2E9C-101B-9397-08002B2CF9AE}" pid="8" name="MSIP_Label_c69d85d5-6d9e-4305-a294-1f636ec0f2d6_ContentBits">
    <vt:lpwstr>0</vt:lpwstr>
  </property>
  <property fmtid="{D5CDD505-2E9C-101B-9397-08002B2CF9AE}" pid="9" name="MSIP_Label_4791b42f-c435-42ca-9531-75a3f42aae3d_Enabled">
    <vt:lpwstr>true</vt:lpwstr>
  </property>
  <property fmtid="{D5CDD505-2E9C-101B-9397-08002B2CF9AE}" pid="10" name="MSIP_Label_4791b42f-c435-42ca-9531-75a3f42aae3d_SetDate">
    <vt:lpwstr>2024-06-17T13:10:23Z</vt:lpwstr>
  </property>
  <property fmtid="{D5CDD505-2E9C-101B-9397-08002B2CF9AE}" pid="11" name="MSIP_Label_4791b42f-c435-42ca-9531-75a3f42aae3d_Method">
    <vt:lpwstr>Privileged</vt:lpwstr>
  </property>
  <property fmtid="{D5CDD505-2E9C-101B-9397-08002B2CF9AE}" pid="12" name="MSIP_Label_4791b42f-c435-42ca-9531-75a3f42aae3d_Name">
    <vt:lpwstr>4791b42f-c435-42ca-9531-75a3f42aae3d</vt:lpwstr>
  </property>
  <property fmtid="{D5CDD505-2E9C-101B-9397-08002B2CF9AE}" pid="13" name="MSIP_Label_4791b42f-c435-42ca-9531-75a3f42aae3d_SiteId">
    <vt:lpwstr>7a916015-20ae-4ad1-9170-eefd915e9272</vt:lpwstr>
  </property>
  <property fmtid="{D5CDD505-2E9C-101B-9397-08002B2CF9AE}" pid="14" name="MSIP_Label_4791b42f-c435-42ca-9531-75a3f42aae3d_ActionId">
    <vt:lpwstr>16e03ffb-ba3f-4aed-afe6-c488eb2129ee</vt:lpwstr>
  </property>
  <property fmtid="{D5CDD505-2E9C-101B-9397-08002B2CF9AE}" pid="15" name="MSIP_Label_4791b42f-c435-42ca-9531-75a3f42aae3d_ContentBits">
    <vt:lpwstr>0</vt:lpwstr>
  </property>
</Properties>
</file>