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D337" w14:textId="069464A3" w:rsidR="00D47BA7" w:rsidRDefault="00A43DA6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Technology </w:t>
      </w:r>
      <w:r w:rsidR="00D47BA7" w:rsidRPr="00D47BA7">
        <w:rPr>
          <w:rFonts w:ascii="Arial" w:hAnsi="Arial" w:cs="Arial"/>
          <w:b/>
          <w:bCs/>
          <w:color w:val="00506A"/>
          <w:sz w:val="28"/>
          <w:szCs w:val="28"/>
        </w:rPr>
        <w:t>Advisory Committee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7574E6" w:rsidRPr="003422D3">
        <w:rPr>
          <w:rFonts w:ascii="Arial" w:hAnsi="Arial" w:cs="Arial"/>
          <w:b/>
          <w:bCs/>
          <w:color w:val="00506A"/>
          <w:sz w:val="28"/>
          <w:szCs w:val="28"/>
        </w:rPr>
        <w:t>HST</w:t>
      </w:r>
      <w:r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4A2D1D">
        <w:rPr>
          <w:rFonts w:ascii="Arial" w:hAnsi="Arial" w:cs="Arial"/>
          <w:b/>
          <w:bCs/>
          <w:color w:val="00506A"/>
          <w:sz w:val="28"/>
          <w:szCs w:val="28"/>
        </w:rPr>
        <w:t>Interests Register</w:t>
      </w:r>
    </w:p>
    <w:p w14:paraId="07BBDD77" w14:textId="5AD56993" w:rsidR="00A43DA6" w:rsidRDefault="007574E6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3422D3">
        <w:rPr>
          <w:rFonts w:ascii="Arial" w:hAnsi="Arial" w:cs="Arial"/>
          <w:b/>
          <w:bCs/>
          <w:color w:val="00506A"/>
          <w:sz w:val="28"/>
          <w:szCs w:val="28"/>
        </w:rPr>
        <w:t>Topic</w:t>
      </w:r>
      <w:r w:rsidR="003404D8" w:rsidRPr="003422D3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A43DA6" w:rsidRPr="003422D3">
        <w:rPr>
          <w:rFonts w:ascii="Arial" w:hAnsi="Arial" w:cs="Arial"/>
          <w:b/>
          <w:bCs/>
          <w:color w:val="00506A"/>
          <w:sz w:val="28"/>
          <w:szCs w:val="28"/>
        </w:rPr>
        <w:t>ID</w:t>
      </w:r>
      <w:r w:rsidR="003422D3">
        <w:rPr>
          <w:rFonts w:ascii="Arial" w:hAnsi="Arial" w:cs="Arial"/>
          <w:b/>
          <w:bCs/>
          <w:color w:val="00506A"/>
          <w:sz w:val="28"/>
          <w:szCs w:val="28"/>
        </w:rPr>
        <w:t xml:space="preserve">1326 </w:t>
      </w:r>
      <w:proofErr w:type="spellStart"/>
      <w:r w:rsidR="003422D3" w:rsidRPr="003422D3">
        <w:rPr>
          <w:rFonts w:ascii="Arial" w:hAnsi="Arial" w:cs="Arial"/>
          <w:b/>
          <w:bCs/>
          <w:color w:val="00506A"/>
          <w:sz w:val="28"/>
          <w:szCs w:val="28"/>
        </w:rPr>
        <w:t>Volanesorsen</w:t>
      </w:r>
      <w:proofErr w:type="spellEnd"/>
      <w:r w:rsidR="003422D3" w:rsidRPr="003422D3">
        <w:rPr>
          <w:rFonts w:ascii="Arial" w:hAnsi="Arial" w:cs="Arial"/>
          <w:b/>
          <w:bCs/>
          <w:color w:val="00506A"/>
          <w:sz w:val="28"/>
          <w:szCs w:val="28"/>
        </w:rPr>
        <w:t xml:space="preserve"> for treating familial chylomicronaemia syndrome</w:t>
      </w:r>
    </w:p>
    <w:p w14:paraId="74C01AEC" w14:textId="1878F4A9" w:rsidR="00D47BA7" w:rsidRPr="00A43DA6" w:rsidRDefault="00D47BA7" w:rsidP="00A43DA6">
      <w:pPr>
        <w:spacing w:line="276" w:lineRule="auto"/>
        <w:ind w:hanging="567"/>
        <w:rPr>
          <w:rFonts w:ascii="Arial" w:hAnsi="Arial" w:cs="Arial"/>
          <w:b/>
          <w:bCs/>
          <w:color w:val="00506A"/>
          <w:sz w:val="28"/>
          <w:szCs w:val="28"/>
        </w:rPr>
      </w:pPr>
      <w:r w:rsidRPr="00D47BA7">
        <w:rPr>
          <w:rFonts w:ascii="Arial" w:hAnsi="Arial" w:cs="Arial"/>
          <w:b/>
          <w:bCs/>
          <w:color w:val="00506A"/>
          <w:sz w:val="28"/>
          <w:szCs w:val="28"/>
        </w:rPr>
        <w:t>Publication Date:</w:t>
      </w:r>
      <w:r w:rsidR="003404D8">
        <w:rPr>
          <w:rFonts w:ascii="Arial" w:hAnsi="Arial" w:cs="Arial"/>
          <w:b/>
          <w:bCs/>
          <w:color w:val="00506A"/>
          <w:sz w:val="28"/>
          <w:szCs w:val="28"/>
        </w:rPr>
        <w:t xml:space="preserve"> </w:t>
      </w:r>
      <w:r w:rsidR="003422D3" w:rsidRPr="003422D3">
        <w:rPr>
          <w:rFonts w:ascii="Arial" w:hAnsi="Arial" w:cs="Arial"/>
          <w:b/>
          <w:bCs/>
          <w:color w:val="00506A"/>
          <w:sz w:val="28"/>
          <w:szCs w:val="28"/>
        </w:rPr>
        <w:t>21/10/2020</w:t>
      </w:r>
    </w:p>
    <w:p w14:paraId="1C7CC411" w14:textId="77777777" w:rsidR="00D47BA7" w:rsidRDefault="00D47BA7"/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023"/>
        <w:gridCol w:w="1663"/>
        <w:gridCol w:w="1843"/>
        <w:gridCol w:w="3118"/>
        <w:gridCol w:w="1134"/>
        <w:gridCol w:w="1425"/>
        <w:gridCol w:w="1268"/>
        <w:gridCol w:w="2694"/>
      </w:tblGrid>
      <w:tr w:rsidR="004602D6" w:rsidRPr="009F66BF" w14:paraId="111674D1" w14:textId="77777777" w:rsidTr="00360316">
        <w:trPr>
          <w:trHeight w:val="775"/>
        </w:trPr>
        <w:tc>
          <w:tcPr>
            <w:tcW w:w="2023" w:type="dxa"/>
          </w:tcPr>
          <w:p w14:paraId="626159D9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Name</w:t>
            </w:r>
          </w:p>
        </w:tc>
        <w:tc>
          <w:tcPr>
            <w:tcW w:w="1663" w:type="dxa"/>
          </w:tcPr>
          <w:p w14:paraId="4BC0C4D4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Role</w:t>
            </w:r>
            <w:r>
              <w:rPr>
                <w:color w:val="00506A"/>
                <w:sz w:val="22"/>
                <w:szCs w:val="22"/>
              </w:rPr>
              <w:t xml:space="preserve"> with NICE</w:t>
            </w:r>
          </w:p>
        </w:tc>
        <w:tc>
          <w:tcPr>
            <w:tcW w:w="1843" w:type="dxa"/>
          </w:tcPr>
          <w:p w14:paraId="3D4BE18B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Type of interest</w:t>
            </w:r>
          </w:p>
        </w:tc>
        <w:tc>
          <w:tcPr>
            <w:tcW w:w="3118" w:type="dxa"/>
          </w:tcPr>
          <w:p w14:paraId="231853E2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Description of interest</w:t>
            </w:r>
          </w:p>
        </w:tc>
        <w:tc>
          <w:tcPr>
            <w:tcW w:w="1134" w:type="dxa"/>
          </w:tcPr>
          <w:p w14:paraId="1CD048D0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Interest</w:t>
            </w:r>
          </w:p>
          <w:p w14:paraId="39C94262" w14:textId="7D8627EE" w:rsidR="004602D6" w:rsidRPr="009F66BF" w:rsidRDefault="004602D6" w:rsidP="001811A9">
            <w:pPr>
              <w:pStyle w:val="Title"/>
              <w:spacing w:before="0" w:after="6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arose</w:t>
            </w:r>
          </w:p>
        </w:tc>
        <w:tc>
          <w:tcPr>
            <w:tcW w:w="1425" w:type="dxa"/>
          </w:tcPr>
          <w:p w14:paraId="07D4B157" w14:textId="77777777" w:rsidR="004602D6" w:rsidRPr="004602D6" w:rsidRDefault="004602D6" w:rsidP="004602D6">
            <w:pPr>
              <w:pStyle w:val="Title"/>
              <w:spacing w:after="0"/>
              <w:rPr>
                <w:color w:val="00506A"/>
                <w:sz w:val="20"/>
                <w:szCs w:val="20"/>
              </w:rPr>
            </w:pPr>
            <w:r w:rsidRPr="004602D6">
              <w:rPr>
                <w:color w:val="00506A"/>
                <w:sz w:val="20"/>
                <w:szCs w:val="20"/>
              </w:rPr>
              <w:t>Interest</w:t>
            </w:r>
          </w:p>
          <w:p w14:paraId="79047174" w14:textId="05A416BF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 w:rsidRPr="004602D6">
              <w:rPr>
                <w:color w:val="00506A"/>
                <w:sz w:val="20"/>
                <w:szCs w:val="20"/>
              </w:rPr>
              <w:t>declared</w:t>
            </w:r>
          </w:p>
        </w:tc>
        <w:tc>
          <w:tcPr>
            <w:tcW w:w="1268" w:type="dxa"/>
          </w:tcPr>
          <w:p w14:paraId="7F96F18C" w14:textId="77777777" w:rsidR="004602D6" w:rsidRDefault="004602D6" w:rsidP="004602D6">
            <w:pPr>
              <w:pStyle w:val="Title"/>
              <w:spacing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 xml:space="preserve">Interest </w:t>
            </w:r>
          </w:p>
          <w:p w14:paraId="7756DC64" w14:textId="5CBD8E0E" w:rsidR="004602D6" w:rsidRPr="009F66BF" w:rsidRDefault="004602D6" w:rsidP="001811A9">
            <w:pPr>
              <w:pStyle w:val="Title"/>
              <w:spacing w:before="0" w:after="0"/>
              <w:rPr>
                <w:color w:val="00506A"/>
                <w:sz w:val="22"/>
                <w:szCs w:val="22"/>
              </w:rPr>
            </w:pPr>
            <w:r>
              <w:rPr>
                <w:color w:val="00506A"/>
                <w:sz w:val="22"/>
                <w:szCs w:val="22"/>
              </w:rPr>
              <w:t>ceased</w:t>
            </w:r>
          </w:p>
        </w:tc>
        <w:tc>
          <w:tcPr>
            <w:tcW w:w="2694" w:type="dxa"/>
          </w:tcPr>
          <w:p w14:paraId="5A51D99E" w14:textId="77777777" w:rsidR="004602D6" w:rsidRPr="009F66BF" w:rsidRDefault="004602D6" w:rsidP="00181A4A">
            <w:pPr>
              <w:pStyle w:val="Title"/>
              <w:rPr>
                <w:color w:val="00506A"/>
                <w:sz w:val="22"/>
                <w:szCs w:val="22"/>
              </w:rPr>
            </w:pPr>
            <w:r w:rsidRPr="009F66BF">
              <w:rPr>
                <w:color w:val="00506A"/>
                <w:sz w:val="22"/>
                <w:szCs w:val="22"/>
              </w:rPr>
              <w:t>Comments</w:t>
            </w:r>
          </w:p>
        </w:tc>
      </w:tr>
      <w:tr w:rsidR="007574E6" w14:paraId="57CAFC58" w14:textId="77777777" w:rsidTr="00360316">
        <w:tc>
          <w:tcPr>
            <w:tcW w:w="2023" w:type="dxa"/>
          </w:tcPr>
          <w:p w14:paraId="545F8CD3" w14:textId="71645111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Sarah Davis</w:t>
            </w:r>
          </w:p>
        </w:tc>
        <w:tc>
          <w:tcPr>
            <w:tcW w:w="1663" w:type="dxa"/>
          </w:tcPr>
          <w:p w14:paraId="70AA5D8E" w14:textId="2C5901E5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Committee member</w:t>
            </w:r>
          </w:p>
        </w:tc>
        <w:tc>
          <w:tcPr>
            <w:tcW w:w="1843" w:type="dxa"/>
          </w:tcPr>
          <w:p w14:paraId="52D407CC" w14:textId="432315F2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Non-direct financial</w:t>
            </w:r>
          </w:p>
        </w:tc>
        <w:tc>
          <w:tcPr>
            <w:tcW w:w="3118" w:type="dxa"/>
          </w:tcPr>
          <w:p w14:paraId="2B3BF6A6" w14:textId="5496CC0C" w:rsidR="007574E6" w:rsidRPr="00961C9E" w:rsidRDefault="003422D3" w:rsidP="003422D3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Sarah is</w:t>
            </w:r>
            <w:r w:rsidRPr="003422D3">
              <w:rPr>
                <w:b w:val="0"/>
                <w:iCs/>
                <w:sz w:val="22"/>
                <w:szCs w:val="22"/>
              </w:rPr>
              <w:t xml:space="preserve"> a member of </w:t>
            </w:r>
            <w:proofErr w:type="spellStart"/>
            <w:r w:rsidRPr="003422D3">
              <w:rPr>
                <w:b w:val="0"/>
                <w:iCs/>
                <w:sz w:val="22"/>
                <w:szCs w:val="22"/>
              </w:rPr>
              <w:t>ScHARR</w:t>
            </w:r>
            <w:proofErr w:type="spellEnd"/>
            <w:r w:rsidRPr="003422D3">
              <w:rPr>
                <w:b w:val="0"/>
                <w:iCs/>
                <w:sz w:val="22"/>
                <w:szCs w:val="22"/>
              </w:rPr>
              <w:t xml:space="preserve">-TAG which is acting as the ERG for this topic. It has been agreed with the </w:t>
            </w:r>
            <w:proofErr w:type="spellStart"/>
            <w:r w:rsidRPr="003422D3">
              <w:rPr>
                <w:b w:val="0"/>
                <w:iCs/>
                <w:sz w:val="22"/>
                <w:szCs w:val="22"/>
              </w:rPr>
              <w:t>ScHARR</w:t>
            </w:r>
            <w:proofErr w:type="spellEnd"/>
            <w:r w:rsidRPr="003422D3">
              <w:rPr>
                <w:b w:val="0"/>
                <w:iCs/>
                <w:sz w:val="22"/>
                <w:szCs w:val="22"/>
              </w:rPr>
              <w:t xml:space="preserve">-TAG director that </w:t>
            </w:r>
            <w:r>
              <w:rPr>
                <w:b w:val="0"/>
                <w:iCs/>
                <w:sz w:val="22"/>
                <w:szCs w:val="22"/>
              </w:rPr>
              <w:t>she</w:t>
            </w:r>
            <w:r w:rsidRPr="003422D3">
              <w:rPr>
                <w:b w:val="0"/>
                <w:iCs/>
                <w:sz w:val="22"/>
                <w:szCs w:val="22"/>
              </w:rPr>
              <w:t xml:space="preserve"> will not discuss this topic with the ERG until after the ERG report is submitted to NICE.</w:t>
            </w:r>
          </w:p>
        </w:tc>
        <w:tc>
          <w:tcPr>
            <w:tcW w:w="1134" w:type="dxa"/>
          </w:tcPr>
          <w:p w14:paraId="36721A78" w14:textId="30319D37" w:rsidR="007574E6" w:rsidRPr="00961C9E" w:rsidRDefault="007574E6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526E311A" w14:textId="52B31CA4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28.11.2019</w:t>
            </w:r>
          </w:p>
        </w:tc>
        <w:tc>
          <w:tcPr>
            <w:tcW w:w="1268" w:type="dxa"/>
          </w:tcPr>
          <w:p w14:paraId="685EA588" w14:textId="65ED75A4" w:rsidR="007574E6" w:rsidRPr="00961C9E" w:rsidRDefault="007574E6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1201529D" w14:textId="6E2F205B" w:rsidR="007574E6" w:rsidRPr="003422D3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3422D3">
              <w:rPr>
                <w:rFonts w:cs="Arial"/>
                <w:b w:val="0"/>
                <w:bCs w:val="0"/>
                <w:iCs/>
                <w:sz w:val="24"/>
              </w:rPr>
              <w:t>It was agreed that the declarations would not prevent Sarah Davis from participating in this section of the meeting</w:t>
            </w:r>
          </w:p>
        </w:tc>
      </w:tr>
      <w:tr w:rsidR="007574E6" w14:paraId="71AE9A5D" w14:textId="77777777" w:rsidTr="00360316">
        <w:tc>
          <w:tcPr>
            <w:tcW w:w="2023" w:type="dxa"/>
          </w:tcPr>
          <w:p w14:paraId="56B3362A" w14:textId="074F0266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Matt Smith</w:t>
            </w:r>
          </w:p>
        </w:tc>
        <w:tc>
          <w:tcPr>
            <w:tcW w:w="1663" w:type="dxa"/>
          </w:tcPr>
          <w:p w14:paraId="3431CD4A" w14:textId="7152A2DE" w:rsidR="007574E6" w:rsidRPr="00961C9E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Committee member</w:t>
            </w:r>
          </w:p>
        </w:tc>
        <w:tc>
          <w:tcPr>
            <w:tcW w:w="1843" w:type="dxa"/>
          </w:tcPr>
          <w:p w14:paraId="759D562A" w14:textId="6A456572" w:rsidR="007574E6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Indirect interest</w:t>
            </w:r>
          </w:p>
        </w:tc>
        <w:tc>
          <w:tcPr>
            <w:tcW w:w="3118" w:type="dxa"/>
          </w:tcPr>
          <w:p w14:paraId="2FFF71A2" w14:textId="52659E49" w:rsidR="007574E6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Matt is</w:t>
            </w:r>
            <w:r w:rsidRPr="003422D3">
              <w:rPr>
                <w:b w:val="0"/>
                <w:iCs/>
                <w:sz w:val="22"/>
                <w:szCs w:val="22"/>
              </w:rPr>
              <w:t xml:space="preserve"> employed by Public Health England and part of </w:t>
            </w:r>
            <w:r>
              <w:rPr>
                <w:b w:val="0"/>
                <w:iCs/>
                <w:sz w:val="22"/>
                <w:szCs w:val="22"/>
              </w:rPr>
              <w:t>his</w:t>
            </w:r>
            <w:r w:rsidRPr="003422D3">
              <w:rPr>
                <w:b w:val="0"/>
                <w:iCs/>
                <w:sz w:val="22"/>
                <w:szCs w:val="22"/>
              </w:rPr>
              <w:t xml:space="preserve"> role is to support NHSE to commission specialised services. However,</w:t>
            </w:r>
            <w:r>
              <w:rPr>
                <w:b w:val="0"/>
                <w:iCs/>
                <w:sz w:val="22"/>
                <w:szCs w:val="22"/>
              </w:rPr>
              <w:t xml:space="preserve"> his</w:t>
            </w:r>
            <w:r w:rsidRPr="003422D3">
              <w:rPr>
                <w:b w:val="0"/>
                <w:iCs/>
                <w:sz w:val="22"/>
                <w:szCs w:val="22"/>
              </w:rPr>
              <w:t xml:space="preserve"> role does not support the commissioning of NHSE highly specialised services.</w:t>
            </w:r>
          </w:p>
        </w:tc>
        <w:tc>
          <w:tcPr>
            <w:tcW w:w="1134" w:type="dxa"/>
          </w:tcPr>
          <w:p w14:paraId="75B72EBD" w14:textId="17163EEB" w:rsidR="007574E6" w:rsidRPr="00961C9E" w:rsidRDefault="007574E6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1425" w:type="dxa"/>
          </w:tcPr>
          <w:p w14:paraId="0F88EF2A" w14:textId="464FD6F4" w:rsidR="007574E6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28.11.2019</w:t>
            </w:r>
          </w:p>
        </w:tc>
        <w:tc>
          <w:tcPr>
            <w:tcW w:w="1268" w:type="dxa"/>
          </w:tcPr>
          <w:p w14:paraId="134BE452" w14:textId="07CE3AB7" w:rsidR="007574E6" w:rsidRPr="00961C9E" w:rsidRDefault="007574E6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</w:p>
        </w:tc>
        <w:tc>
          <w:tcPr>
            <w:tcW w:w="2694" w:type="dxa"/>
          </w:tcPr>
          <w:p w14:paraId="6182CAE5" w14:textId="47A36AA8" w:rsidR="007574E6" w:rsidRPr="003422D3" w:rsidRDefault="003422D3" w:rsidP="007574E6">
            <w:pPr>
              <w:pStyle w:val="Title"/>
              <w:rPr>
                <w:b w:val="0"/>
                <w:iCs/>
                <w:sz w:val="22"/>
                <w:szCs w:val="22"/>
              </w:rPr>
            </w:pPr>
            <w:r w:rsidRPr="003422D3">
              <w:rPr>
                <w:rFonts w:cs="Arial"/>
                <w:b w:val="0"/>
                <w:bCs w:val="0"/>
                <w:iCs/>
                <w:sz w:val="24"/>
              </w:rPr>
              <w:t>It was agreed that the declarations would not prevent Matt Smith from participating in this section of the meeting</w:t>
            </w:r>
          </w:p>
        </w:tc>
      </w:tr>
    </w:tbl>
    <w:p w14:paraId="18C08BA0" w14:textId="34474D3D" w:rsidR="001978C7" w:rsidRPr="001978C7" w:rsidRDefault="001978C7" w:rsidP="003404D8">
      <w:pPr>
        <w:pStyle w:val="Paragraphnonumbers"/>
        <w:spacing w:before="240"/>
        <w:ind w:hanging="425"/>
        <w:rPr>
          <w:b/>
          <w:sz w:val="22"/>
          <w:szCs w:val="22"/>
        </w:rPr>
      </w:pPr>
    </w:p>
    <w:sectPr w:rsidR="001978C7" w:rsidRPr="001978C7" w:rsidSect="009813A0">
      <w:headerReference w:type="default" r:id="rId7"/>
      <w:footerReference w:type="default" r:id="rId8"/>
      <w:pgSz w:w="16838" w:h="11906" w:orient="landscape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CAD8" w14:textId="77777777" w:rsidR="009F66BF" w:rsidRDefault="009F66BF" w:rsidP="00446BEE">
      <w:r>
        <w:separator/>
      </w:r>
    </w:p>
  </w:endnote>
  <w:endnote w:type="continuationSeparator" w:id="0">
    <w:p w14:paraId="1D964235" w14:textId="77777777" w:rsidR="009F66BF" w:rsidRDefault="009F66BF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2A93" w14:textId="5F5FDE6E" w:rsidR="00446BEE" w:rsidRDefault="0005185C" w:rsidP="009F66BF">
    <w:pPr>
      <w:pStyle w:val="Footer"/>
      <w:ind w:hanging="567"/>
    </w:pPr>
    <w:r>
      <w:t>Technology</w:t>
    </w:r>
    <w:r w:rsidR="009F66BF">
      <w:t xml:space="preserve"> advisory committee</w:t>
    </w:r>
    <w:r>
      <w:t xml:space="preserve"> </w:t>
    </w:r>
    <w:r w:rsidRPr="007574E6">
      <w:rPr>
        <w:highlight w:val="yellow"/>
      </w:rPr>
      <w:t>A</w:t>
    </w:r>
    <w:r w:rsidR="007574E6" w:rsidRPr="007574E6">
      <w:rPr>
        <w:highlight w:val="yellow"/>
      </w:rPr>
      <w:t>/B/C/D/HST</w:t>
    </w:r>
    <w:r w:rsidR="00D47BA7">
      <w:t xml:space="preserve"> – interests register</w:t>
    </w:r>
    <w:r w:rsidR="00446BEE">
      <w:tab/>
    </w:r>
    <w:r w:rsidR="00446BEE">
      <w:tab/>
    </w:r>
    <w:r w:rsidR="009F66BF">
      <w:tab/>
    </w:r>
    <w:r w:rsidR="009F66BF">
      <w:tab/>
    </w:r>
    <w:r w:rsidR="009F66BF">
      <w:tab/>
    </w:r>
    <w:r w:rsidR="009F66BF">
      <w:tab/>
    </w:r>
    <w:r w:rsidR="009F66BF">
      <w:tab/>
    </w:r>
    <w:r w:rsidR="00446BEE">
      <w:fldChar w:fldCharType="begin"/>
    </w:r>
    <w:r w:rsidR="00446BEE">
      <w:instrText xml:space="preserve"> PAGE </w:instrText>
    </w:r>
    <w:r w:rsidR="00446BEE">
      <w:fldChar w:fldCharType="separate"/>
    </w:r>
    <w:r w:rsidR="001946BB">
      <w:rPr>
        <w:noProof/>
      </w:rPr>
      <w:t>1</w:t>
    </w:r>
    <w:r w:rsidR="00446BEE">
      <w:fldChar w:fldCharType="end"/>
    </w:r>
    <w:r w:rsidR="00446BEE">
      <w:t xml:space="preserve"> of </w:t>
    </w:r>
    <w:r w:rsidR="003422D3">
      <w:fldChar w:fldCharType="begin"/>
    </w:r>
    <w:r w:rsidR="003422D3">
      <w:instrText xml:space="preserve"> NUMPAGES  </w:instrText>
    </w:r>
    <w:r w:rsidR="003422D3">
      <w:fldChar w:fldCharType="separate"/>
    </w:r>
    <w:r w:rsidR="001946BB">
      <w:rPr>
        <w:noProof/>
      </w:rPr>
      <w:t>2</w:t>
    </w:r>
    <w:r w:rsidR="003422D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2C14" w14:textId="77777777" w:rsidR="009F66BF" w:rsidRDefault="009F66BF" w:rsidP="00446BEE">
      <w:r>
        <w:separator/>
      </w:r>
    </w:p>
  </w:footnote>
  <w:footnote w:type="continuationSeparator" w:id="0">
    <w:p w14:paraId="371F5E8E" w14:textId="77777777" w:rsidR="009F66BF" w:rsidRDefault="009F66BF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78B0" w14:textId="5CEB2B3B" w:rsidR="009F66BF" w:rsidRDefault="009F66BF" w:rsidP="009F66BF">
    <w:pPr>
      <w:pStyle w:val="Header"/>
      <w:ind w:hanging="567"/>
    </w:pPr>
    <w:r w:rsidRPr="009F66BF">
      <w:rPr>
        <w:noProof/>
      </w:rPr>
      <w:drawing>
        <wp:inline distT="0" distB="0" distL="0" distR="0" wp14:anchorId="685F7C58" wp14:editId="7DF035DC">
          <wp:extent cx="2505075" cy="444449"/>
          <wp:effectExtent l="0" t="0" r="0" b="0"/>
          <wp:docPr id="9" name="Picture 9" descr="This is the NICE logo in a header ro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is is the NICE logo in a header row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1547" cy="45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BA7">
      <w:tab/>
    </w:r>
    <w:r w:rsidR="00D47BA7">
      <w:tab/>
    </w:r>
    <w:r w:rsidR="00D47BA7">
      <w:tab/>
    </w:r>
    <w:r w:rsidR="00D47BA7">
      <w:tab/>
    </w:r>
  </w:p>
  <w:p w14:paraId="211FF48C" w14:textId="77777777" w:rsidR="009F66BF" w:rsidRDefault="009F6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C634C"/>
    <w:multiLevelType w:val="hybridMultilevel"/>
    <w:tmpl w:val="F56E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  <w:lvlOverride w:ilvl="0">
      <w:startOverride w:val="1"/>
    </w:lvlOverride>
  </w:num>
  <w:num w:numId="5">
    <w:abstractNumId w:val="14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F"/>
    <w:rsid w:val="000053F8"/>
    <w:rsid w:val="00024D0A"/>
    <w:rsid w:val="000472DC"/>
    <w:rsid w:val="0005185C"/>
    <w:rsid w:val="00070065"/>
    <w:rsid w:val="000A4FEE"/>
    <w:rsid w:val="000B5102"/>
    <w:rsid w:val="000B5939"/>
    <w:rsid w:val="00111CCE"/>
    <w:rsid w:val="001134E7"/>
    <w:rsid w:val="0017149E"/>
    <w:rsid w:val="0017169E"/>
    <w:rsid w:val="001811A9"/>
    <w:rsid w:val="00181A4A"/>
    <w:rsid w:val="001946BB"/>
    <w:rsid w:val="0019492D"/>
    <w:rsid w:val="001978C7"/>
    <w:rsid w:val="001B0EE9"/>
    <w:rsid w:val="001B65B3"/>
    <w:rsid w:val="002029A6"/>
    <w:rsid w:val="0022538A"/>
    <w:rsid w:val="002408EA"/>
    <w:rsid w:val="002819D7"/>
    <w:rsid w:val="002C1A7E"/>
    <w:rsid w:val="002D3376"/>
    <w:rsid w:val="00311ED0"/>
    <w:rsid w:val="003404D8"/>
    <w:rsid w:val="003422D3"/>
    <w:rsid w:val="00360316"/>
    <w:rsid w:val="003648C5"/>
    <w:rsid w:val="003722FA"/>
    <w:rsid w:val="003C7AAF"/>
    <w:rsid w:val="004075B6"/>
    <w:rsid w:val="00420952"/>
    <w:rsid w:val="004327C3"/>
    <w:rsid w:val="00433EFF"/>
    <w:rsid w:val="00443081"/>
    <w:rsid w:val="00446BEE"/>
    <w:rsid w:val="004602D6"/>
    <w:rsid w:val="004A2D1D"/>
    <w:rsid w:val="004E3A84"/>
    <w:rsid w:val="005025A1"/>
    <w:rsid w:val="00557456"/>
    <w:rsid w:val="006921E1"/>
    <w:rsid w:val="006A3196"/>
    <w:rsid w:val="006F4B25"/>
    <w:rsid w:val="006F6496"/>
    <w:rsid w:val="00736348"/>
    <w:rsid w:val="007574E6"/>
    <w:rsid w:val="00760908"/>
    <w:rsid w:val="007F238D"/>
    <w:rsid w:val="00861B92"/>
    <w:rsid w:val="008814FB"/>
    <w:rsid w:val="008F5E30"/>
    <w:rsid w:val="00914D7F"/>
    <w:rsid w:val="00955EC5"/>
    <w:rsid w:val="00961C9E"/>
    <w:rsid w:val="009813A0"/>
    <w:rsid w:val="009C1F2B"/>
    <w:rsid w:val="009E680B"/>
    <w:rsid w:val="009F66BF"/>
    <w:rsid w:val="009F74FD"/>
    <w:rsid w:val="00A15A1F"/>
    <w:rsid w:val="00A17C0C"/>
    <w:rsid w:val="00A3325A"/>
    <w:rsid w:val="00A43013"/>
    <w:rsid w:val="00A43DA6"/>
    <w:rsid w:val="00AF108A"/>
    <w:rsid w:val="00B02E55"/>
    <w:rsid w:val="00B036C1"/>
    <w:rsid w:val="00B5431F"/>
    <w:rsid w:val="00BF7FE0"/>
    <w:rsid w:val="00C81104"/>
    <w:rsid w:val="00C96411"/>
    <w:rsid w:val="00CB5671"/>
    <w:rsid w:val="00CF58B7"/>
    <w:rsid w:val="00D351C1"/>
    <w:rsid w:val="00D35EFB"/>
    <w:rsid w:val="00D47BA7"/>
    <w:rsid w:val="00D504B3"/>
    <w:rsid w:val="00D607D5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5876F"/>
  <w15:chartTrackingRefBased/>
  <w15:docId w15:val="{BEC12A8A-E1F0-4AFF-AB81-2365B3C8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9F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961C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1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1C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1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1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Repton</dc:creator>
  <cp:keywords/>
  <dc:description/>
  <cp:lastModifiedBy>Sophie McHugh</cp:lastModifiedBy>
  <cp:revision>2</cp:revision>
  <dcterms:created xsi:type="dcterms:W3CDTF">2021-05-24T12:38:00Z</dcterms:created>
  <dcterms:modified xsi:type="dcterms:W3CDTF">2021-05-24T12:38:00Z</dcterms:modified>
</cp:coreProperties>
</file>