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C6D7" w14:textId="33AC8319" w:rsidR="001E034B" w:rsidRPr="00CC6C94" w:rsidRDefault="001E034B" w:rsidP="001E034B">
      <w:pPr>
        <w:spacing w:after="0" w:line="240" w:lineRule="auto"/>
        <w:jc w:val="both"/>
        <w:rPr>
          <w:rFonts w:ascii="Arial" w:hAnsi="Arial" w:cs="Arial"/>
          <w:sz w:val="20"/>
          <w:szCs w:val="20"/>
        </w:rPr>
      </w:pPr>
      <w:proofErr w:type="spellStart"/>
      <w:r w:rsidRPr="00C249F1">
        <w:rPr>
          <w:rFonts w:ascii="Arial" w:hAnsi="Arial" w:cs="Arial"/>
          <w:sz w:val="20"/>
          <w:szCs w:val="20"/>
          <w:highlight w:val="black"/>
        </w:rPr>
        <w:t>xxxxxx</w:t>
      </w:r>
      <w:r>
        <w:rPr>
          <w:rFonts w:ascii="Arial" w:hAnsi="Arial" w:cs="Arial"/>
          <w:sz w:val="20"/>
          <w:szCs w:val="20"/>
          <w:highlight w:val="black"/>
        </w:rPr>
        <w:t>xxxxx</w:t>
      </w:r>
      <w:r w:rsidRPr="00C249F1">
        <w:rPr>
          <w:rFonts w:ascii="Arial" w:hAnsi="Arial" w:cs="Arial"/>
          <w:sz w:val="20"/>
          <w:szCs w:val="20"/>
          <w:highlight w:val="black"/>
        </w:rPr>
        <w:t>xxxxxxxxx</w:t>
      </w:r>
      <w:proofErr w:type="spellEnd"/>
    </w:p>
    <w:p w14:paraId="61196276" w14:textId="4923035D" w:rsidR="000E6B73" w:rsidRPr="00182043" w:rsidRDefault="00507A44" w:rsidP="00182043">
      <w:pPr>
        <w:spacing w:after="0" w:line="240" w:lineRule="auto"/>
        <w:jc w:val="both"/>
        <w:rPr>
          <w:rFonts w:ascii="Arial" w:hAnsi="Arial" w:cs="Arial"/>
        </w:rPr>
      </w:pPr>
      <w:r w:rsidRPr="00507A44">
        <w:rPr>
          <w:rFonts w:ascii="Arial" w:hAnsi="Arial" w:cs="Arial"/>
        </w:rPr>
        <w:t>International Porphyria Patient Network</w:t>
      </w:r>
      <w:r w:rsidR="00AF4AE0">
        <w:rPr>
          <w:rFonts w:ascii="Arial" w:hAnsi="Arial" w:cs="Arial"/>
        </w:rPr>
        <w:t xml:space="preserve"> (IPPN)</w:t>
      </w:r>
    </w:p>
    <w:p w14:paraId="0394E79A" w14:textId="77777777" w:rsidR="00182043" w:rsidRPr="00182043" w:rsidRDefault="00182043" w:rsidP="00182043">
      <w:pPr>
        <w:spacing w:after="0" w:line="240" w:lineRule="auto"/>
        <w:jc w:val="both"/>
        <w:rPr>
          <w:rFonts w:ascii="Arial" w:hAnsi="Arial" w:cs="Arial"/>
        </w:rPr>
      </w:pPr>
    </w:p>
    <w:p w14:paraId="7BB7C91A" w14:textId="77777777" w:rsidR="00507A44" w:rsidRDefault="00507A44" w:rsidP="00182043">
      <w:pPr>
        <w:jc w:val="both"/>
        <w:rPr>
          <w:rFonts w:ascii="Arial" w:hAnsi="Arial" w:cs="Arial"/>
        </w:rPr>
      </w:pPr>
    </w:p>
    <w:p w14:paraId="10EE35FD" w14:textId="702658F5" w:rsidR="001E034B" w:rsidRPr="00CC6C94" w:rsidRDefault="00182043" w:rsidP="001E034B">
      <w:pPr>
        <w:spacing w:after="0" w:line="240" w:lineRule="auto"/>
        <w:jc w:val="both"/>
        <w:rPr>
          <w:rFonts w:ascii="Arial" w:hAnsi="Arial" w:cs="Arial"/>
          <w:sz w:val="20"/>
          <w:szCs w:val="20"/>
        </w:rPr>
      </w:pPr>
      <w:r w:rsidRPr="00182043">
        <w:rPr>
          <w:rFonts w:ascii="Arial" w:hAnsi="Arial" w:cs="Arial"/>
        </w:rPr>
        <w:t xml:space="preserve">Sent by e-mail only: </w:t>
      </w:r>
      <w:proofErr w:type="spellStart"/>
      <w:r w:rsidR="001E034B" w:rsidRPr="00C249F1">
        <w:rPr>
          <w:rFonts w:ascii="Arial" w:hAnsi="Arial" w:cs="Arial"/>
          <w:sz w:val="20"/>
          <w:szCs w:val="20"/>
          <w:highlight w:val="black"/>
        </w:rPr>
        <w:t>xxxxxxxx</w:t>
      </w:r>
      <w:r w:rsidR="001E034B">
        <w:rPr>
          <w:rFonts w:ascii="Arial" w:hAnsi="Arial" w:cs="Arial"/>
          <w:sz w:val="20"/>
          <w:szCs w:val="20"/>
          <w:highlight w:val="black"/>
        </w:rPr>
        <w:t>xxxxxxxxxx</w:t>
      </w:r>
      <w:r w:rsidR="001E034B" w:rsidRPr="00C249F1">
        <w:rPr>
          <w:rFonts w:ascii="Arial" w:hAnsi="Arial" w:cs="Arial"/>
          <w:sz w:val="20"/>
          <w:szCs w:val="20"/>
          <w:highlight w:val="black"/>
        </w:rPr>
        <w:t>xxxxxxx</w:t>
      </w:r>
      <w:proofErr w:type="spellEnd"/>
    </w:p>
    <w:p w14:paraId="573DB47C" w14:textId="77777777" w:rsidR="00507A44" w:rsidRPr="00507A44" w:rsidRDefault="00507A44" w:rsidP="00182043">
      <w:pPr>
        <w:jc w:val="both"/>
      </w:pPr>
    </w:p>
    <w:p w14:paraId="5F459D74" w14:textId="2BCB80DF" w:rsidR="00182043" w:rsidRPr="00182043" w:rsidRDefault="00507A44" w:rsidP="00182043">
      <w:pPr>
        <w:jc w:val="both"/>
        <w:rPr>
          <w:rFonts w:ascii="Arial" w:hAnsi="Arial" w:cs="Arial"/>
        </w:rPr>
      </w:pPr>
      <w:bookmarkStart w:id="0" w:name="Text"/>
      <w:bookmarkEnd w:id="0"/>
      <w:r>
        <w:rPr>
          <w:rFonts w:ascii="Arial" w:hAnsi="Arial" w:cs="Arial"/>
        </w:rPr>
        <w:t>31 March 2023</w:t>
      </w:r>
    </w:p>
    <w:p w14:paraId="0CB6644E" w14:textId="0F5C0CBF" w:rsidR="00182043" w:rsidRDefault="00182043" w:rsidP="001E034B">
      <w:pPr>
        <w:spacing w:after="0" w:line="240" w:lineRule="auto"/>
        <w:jc w:val="both"/>
        <w:rPr>
          <w:rFonts w:ascii="Arial" w:hAnsi="Arial" w:cs="Arial"/>
        </w:rPr>
      </w:pPr>
      <w:bookmarkStart w:id="1" w:name="deartext"/>
      <w:r w:rsidRPr="00182043">
        <w:rPr>
          <w:rFonts w:ascii="Arial" w:hAnsi="Arial" w:cs="Arial"/>
        </w:rPr>
        <w:t>Dear</w:t>
      </w:r>
      <w:bookmarkEnd w:id="1"/>
      <w:r w:rsidRPr="00182043">
        <w:rPr>
          <w:rFonts w:ascii="Arial" w:hAnsi="Arial" w:cs="Arial"/>
        </w:rPr>
        <w:t xml:space="preserve"> </w:t>
      </w:r>
      <w:bookmarkStart w:id="2" w:name="Sal"/>
      <w:bookmarkEnd w:id="2"/>
      <w:proofErr w:type="spellStart"/>
      <w:r w:rsidR="001E034B" w:rsidRPr="00C249F1">
        <w:rPr>
          <w:rFonts w:ascii="Arial" w:hAnsi="Arial" w:cs="Arial"/>
          <w:sz w:val="20"/>
          <w:szCs w:val="20"/>
          <w:highlight w:val="black"/>
        </w:rPr>
        <w:t>xxxxxxxxxxx</w:t>
      </w:r>
      <w:proofErr w:type="spellEnd"/>
      <w:r>
        <w:rPr>
          <w:rFonts w:ascii="Arial" w:hAnsi="Arial" w:cs="Arial"/>
        </w:rPr>
        <w:t>,</w:t>
      </w:r>
    </w:p>
    <w:p w14:paraId="6DAF1EF9" w14:textId="77777777" w:rsidR="001E034B" w:rsidRPr="001E034B" w:rsidRDefault="001E034B" w:rsidP="001E034B">
      <w:pPr>
        <w:spacing w:after="0" w:line="240" w:lineRule="auto"/>
        <w:jc w:val="both"/>
        <w:rPr>
          <w:rFonts w:ascii="Arial" w:hAnsi="Arial" w:cs="Arial"/>
          <w:sz w:val="20"/>
          <w:szCs w:val="20"/>
        </w:rPr>
      </w:pPr>
    </w:p>
    <w:p w14:paraId="4C32C3CD" w14:textId="246DCE21" w:rsidR="00182043" w:rsidRPr="00182043" w:rsidRDefault="00182043" w:rsidP="00182043">
      <w:pPr>
        <w:ind w:left="426" w:right="468" w:hanging="426"/>
        <w:jc w:val="both"/>
        <w:rPr>
          <w:rFonts w:ascii="Arial" w:hAnsi="Arial" w:cs="Arial"/>
          <w:b/>
        </w:rPr>
      </w:pPr>
      <w:r w:rsidRPr="00182043">
        <w:rPr>
          <w:rFonts w:ascii="Arial" w:hAnsi="Arial" w:cs="Arial"/>
          <w:noProof/>
          <w:spacing w:val="-3"/>
          <w:lang w:eastAsia="en-GB"/>
        </w:rPr>
        <mc:AlternateContent>
          <mc:Choice Requires="wps">
            <w:drawing>
              <wp:anchor distT="4294967294" distB="4294967294" distL="114300" distR="114300" simplePos="0" relativeHeight="251659264" behindDoc="0" locked="0" layoutInCell="1" allowOverlap="1" wp14:anchorId="424AD06D" wp14:editId="4B2ABCBD">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7A041"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strokecolor="#505050" strokeweight=".25pt">
                <o:lock v:ext="edit" shapetype="f"/>
              </v:line>
            </w:pict>
          </mc:Fallback>
        </mc:AlternateContent>
      </w:r>
      <w:r w:rsidRPr="00182043">
        <w:rPr>
          <w:rFonts w:ascii="Arial" w:hAnsi="Arial" w:cs="Arial"/>
          <w:b/>
          <w:spacing w:val="-3"/>
        </w:rPr>
        <w:t xml:space="preserve">Re: </w:t>
      </w:r>
      <w:r w:rsidRPr="00182043">
        <w:rPr>
          <w:rFonts w:ascii="Arial" w:hAnsi="Arial" w:cs="Arial"/>
          <w:b/>
        </w:rPr>
        <w:t xml:space="preserve">Final </w:t>
      </w:r>
      <w:r w:rsidR="00507A44">
        <w:rPr>
          <w:rFonts w:ascii="Arial" w:hAnsi="Arial" w:cs="Arial"/>
          <w:b/>
        </w:rPr>
        <w:t>Evaluation</w:t>
      </w:r>
      <w:r w:rsidRPr="00182043">
        <w:rPr>
          <w:rFonts w:ascii="Arial" w:hAnsi="Arial" w:cs="Arial"/>
          <w:b/>
        </w:rPr>
        <w:t xml:space="preserve"> D</w:t>
      </w:r>
      <w:r w:rsidR="00507A44">
        <w:rPr>
          <w:rFonts w:ascii="Arial" w:hAnsi="Arial" w:cs="Arial"/>
          <w:b/>
        </w:rPr>
        <w:t>etermination</w:t>
      </w:r>
      <w:r w:rsidRPr="00182043">
        <w:rPr>
          <w:rFonts w:ascii="Arial" w:hAnsi="Arial" w:cs="Arial"/>
          <w:b/>
        </w:rPr>
        <w:t xml:space="preserve"> — </w:t>
      </w:r>
      <w:proofErr w:type="spellStart"/>
      <w:r w:rsidR="00507A44" w:rsidRPr="00507A44">
        <w:rPr>
          <w:rFonts w:ascii="Arial" w:hAnsi="Arial" w:cs="Arial"/>
          <w:b/>
        </w:rPr>
        <w:t>Afamelanotide</w:t>
      </w:r>
      <w:proofErr w:type="spellEnd"/>
      <w:r w:rsidR="00507A44" w:rsidRPr="00507A44">
        <w:rPr>
          <w:rFonts w:ascii="Arial" w:hAnsi="Arial" w:cs="Arial"/>
          <w:b/>
        </w:rPr>
        <w:t xml:space="preserve"> for erythropoietic protoporphyria</w:t>
      </w:r>
      <w:r w:rsidR="00AA3E4B">
        <w:rPr>
          <w:rFonts w:ascii="Arial" w:hAnsi="Arial" w:cs="Arial"/>
          <w:b/>
        </w:rPr>
        <w:t xml:space="preserve"> (EPP)</w:t>
      </w:r>
      <w:r w:rsidR="00507A44" w:rsidRPr="00507A44">
        <w:rPr>
          <w:rFonts w:ascii="Arial" w:hAnsi="Arial" w:cs="Arial"/>
          <w:b/>
        </w:rPr>
        <w:t xml:space="preserve"> [ID927</w:t>
      </w:r>
      <w:r w:rsidR="00507A44">
        <w:rPr>
          <w:rFonts w:ascii="Arial" w:hAnsi="Arial" w:cs="Arial"/>
          <w:b/>
        </w:rPr>
        <w:t>]</w:t>
      </w:r>
    </w:p>
    <w:p w14:paraId="528E638B" w14:textId="28EC9D7D" w:rsidR="00182043" w:rsidRPr="00182043" w:rsidRDefault="00182043" w:rsidP="00182043">
      <w:pPr>
        <w:jc w:val="both"/>
        <w:rPr>
          <w:rFonts w:ascii="Arial" w:hAnsi="Arial" w:cs="Arial"/>
        </w:rPr>
      </w:pPr>
      <w:r w:rsidRPr="00182043">
        <w:rPr>
          <w:rFonts w:ascii="Arial" w:hAnsi="Arial" w:cs="Arial"/>
        </w:rPr>
        <w:t xml:space="preserve">Thank you for your letter of </w:t>
      </w:r>
      <w:r w:rsidR="00507A44">
        <w:rPr>
          <w:rFonts w:ascii="Arial" w:hAnsi="Arial" w:cs="Arial"/>
        </w:rPr>
        <w:t>23 March 2023</w:t>
      </w:r>
      <w:r w:rsidRPr="00182043">
        <w:rPr>
          <w:rFonts w:ascii="Arial" w:hAnsi="Arial" w:cs="Arial"/>
        </w:rPr>
        <w:t xml:space="preserve">, lodging an appeal against the above Final </w:t>
      </w:r>
      <w:r w:rsidR="00507A44">
        <w:rPr>
          <w:rFonts w:ascii="Arial" w:hAnsi="Arial" w:cs="Arial"/>
        </w:rPr>
        <w:t>Evaluation D</w:t>
      </w:r>
      <w:r w:rsidR="00126A0D">
        <w:rPr>
          <w:rFonts w:ascii="Arial" w:hAnsi="Arial" w:cs="Arial"/>
        </w:rPr>
        <w:t>etermination</w:t>
      </w:r>
      <w:r w:rsidR="00507A44">
        <w:rPr>
          <w:rFonts w:ascii="Arial" w:hAnsi="Arial" w:cs="Arial"/>
        </w:rPr>
        <w:t xml:space="preserve"> (FED)</w:t>
      </w:r>
      <w:r w:rsidR="00AA3E4B">
        <w:rPr>
          <w:rFonts w:ascii="Arial" w:hAnsi="Arial" w:cs="Arial"/>
        </w:rPr>
        <w:t>.</w:t>
      </w:r>
      <w:r w:rsidRPr="00182043">
        <w:rPr>
          <w:rFonts w:ascii="Arial" w:hAnsi="Arial" w:cs="Arial"/>
        </w:rPr>
        <w:t xml:space="preserve">  </w:t>
      </w:r>
    </w:p>
    <w:p w14:paraId="3B8D9DB1" w14:textId="77777777" w:rsidR="00182043" w:rsidRPr="00182043" w:rsidRDefault="00182043" w:rsidP="00182043">
      <w:pPr>
        <w:jc w:val="both"/>
        <w:rPr>
          <w:rFonts w:ascii="Arial" w:hAnsi="Arial" w:cs="Arial"/>
        </w:rPr>
      </w:pPr>
      <w:r w:rsidRPr="00182043">
        <w:rPr>
          <w:rFonts w:ascii="Arial" w:hAnsi="Arial" w:cs="Arial"/>
          <w:u w:val="single"/>
        </w:rPr>
        <w:t>Introduction</w:t>
      </w:r>
      <w:r w:rsidRPr="00182043">
        <w:rPr>
          <w:rFonts w:ascii="Arial" w:hAnsi="Arial" w:cs="Arial"/>
        </w:rPr>
        <w:t xml:space="preserve"> </w:t>
      </w:r>
    </w:p>
    <w:p w14:paraId="42E7731B" w14:textId="77777777" w:rsidR="00182043" w:rsidRPr="00182043" w:rsidRDefault="00182043" w:rsidP="00182043">
      <w:pPr>
        <w:jc w:val="both"/>
        <w:rPr>
          <w:rFonts w:ascii="Arial" w:hAnsi="Arial" w:cs="Arial"/>
        </w:rPr>
      </w:pPr>
      <w:r w:rsidRPr="00182043">
        <w:rPr>
          <w:rFonts w:ascii="Arial" w:hAnsi="Arial" w:cs="Arial"/>
        </w:rPr>
        <w:t xml:space="preserve">The Institute's appeal procedures provide for an initial scrutiny of points that an appellant wishes to raise, to provide an initial view on whether they are within the permitted grounds of appeal ("valid") and are at least arguable. The permitted grounds of appeal are: </w:t>
      </w:r>
    </w:p>
    <w:p w14:paraId="4437AA8D" w14:textId="77777777" w:rsidR="00182043" w:rsidRPr="00182043" w:rsidRDefault="00182043" w:rsidP="00182043">
      <w:pPr>
        <w:numPr>
          <w:ilvl w:val="0"/>
          <w:numId w:val="1"/>
        </w:numPr>
        <w:shd w:val="clear" w:color="auto" w:fill="FFFFFF"/>
        <w:spacing w:before="240" w:after="240" w:line="240" w:lineRule="auto"/>
        <w:jc w:val="both"/>
        <w:rPr>
          <w:rFonts w:ascii="Arial" w:hAnsi="Arial" w:cs="Arial"/>
        </w:rPr>
      </w:pPr>
      <w:r w:rsidRPr="00182043">
        <w:rPr>
          <w:rFonts w:ascii="Arial" w:hAnsi="Arial" w:cs="Arial"/>
        </w:rPr>
        <w:t xml:space="preserve">1(a) NICE has failed to act fairly, or </w:t>
      </w:r>
    </w:p>
    <w:p w14:paraId="2696B199" w14:textId="77777777" w:rsidR="00182043" w:rsidRPr="00182043" w:rsidRDefault="00182043" w:rsidP="00182043">
      <w:pPr>
        <w:numPr>
          <w:ilvl w:val="0"/>
          <w:numId w:val="1"/>
        </w:numPr>
        <w:shd w:val="clear" w:color="auto" w:fill="FFFFFF"/>
        <w:spacing w:before="240" w:after="240" w:line="240" w:lineRule="auto"/>
        <w:jc w:val="both"/>
        <w:rPr>
          <w:rFonts w:ascii="Arial" w:hAnsi="Arial" w:cs="Arial"/>
        </w:rPr>
      </w:pPr>
      <w:r w:rsidRPr="00182043">
        <w:rPr>
          <w:rFonts w:ascii="Arial" w:hAnsi="Arial" w:cs="Arial"/>
        </w:rPr>
        <w:t>1(b) NICE has exceeded powers;</w:t>
      </w:r>
    </w:p>
    <w:p w14:paraId="7E281445" w14:textId="77777777" w:rsidR="00182043" w:rsidRPr="00182043" w:rsidRDefault="00182043" w:rsidP="00182043">
      <w:pPr>
        <w:numPr>
          <w:ilvl w:val="0"/>
          <w:numId w:val="1"/>
        </w:numPr>
        <w:shd w:val="clear" w:color="auto" w:fill="FFFFFF"/>
        <w:spacing w:before="240" w:after="240" w:line="240" w:lineRule="auto"/>
        <w:jc w:val="both"/>
        <w:rPr>
          <w:rFonts w:ascii="Arial" w:hAnsi="Arial" w:cs="Arial"/>
        </w:rPr>
      </w:pPr>
      <w:r w:rsidRPr="00182043">
        <w:rPr>
          <w:rFonts w:ascii="Arial" w:hAnsi="Arial" w:cs="Arial"/>
        </w:rPr>
        <w:t>(2) the recommendation is unreasonable in the light of the evidence submitted to NICE.</w:t>
      </w:r>
    </w:p>
    <w:p w14:paraId="629E852A" w14:textId="77777777" w:rsidR="00182043" w:rsidRPr="00182043" w:rsidRDefault="00182043" w:rsidP="00182043">
      <w:pPr>
        <w:jc w:val="both"/>
        <w:rPr>
          <w:rFonts w:ascii="Arial" w:hAnsi="Arial" w:cs="Arial"/>
        </w:rPr>
      </w:pPr>
      <w:r w:rsidRPr="00182043">
        <w:rPr>
          <w:rFonts w:ascii="Arial" w:hAnsi="Arial" w:cs="Arial"/>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are arguable, and fall within any one of the grounds will your appeal be referred to the Appeal Panel. </w:t>
      </w:r>
    </w:p>
    <w:p w14:paraId="76677DE3" w14:textId="77777777" w:rsidR="00182043" w:rsidRPr="00182043" w:rsidRDefault="00182043" w:rsidP="00182043">
      <w:pPr>
        <w:jc w:val="both"/>
        <w:rPr>
          <w:rFonts w:ascii="Arial" w:hAnsi="Arial" w:cs="Arial"/>
        </w:rPr>
      </w:pPr>
      <w:r w:rsidRPr="00182043">
        <w:rPr>
          <w:rFonts w:ascii="Arial" w:hAnsi="Arial" w:cs="Arial"/>
        </w:rPr>
        <w:t xml:space="preserve">You have the opportunity to comment on this letter in order to elaborate on or clarify any of the points raised before I will make my final decision as to whether each appeal point should be referred on to the Appeal Panel. </w:t>
      </w:r>
    </w:p>
    <w:p w14:paraId="7B55614D" w14:textId="77777777" w:rsidR="00182043" w:rsidRPr="00182043" w:rsidRDefault="00182043" w:rsidP="00182043">
      <w:pPr>
        <w:jc w:val="both"/>
        <w:rPr>
          <w:rFonts w:ascii="Arial" w:hAnsi="Arial" w:cs="Arial"/>
          <w:u w:val="single"/>
        </w:rPr>
      </w:pPr>
      <w:r w:rsidRPr="00182043">
        <w:rPr>
          <w:rFonts w:ascii="Arial" w:hAnsi="Arial" w:cs="Arial"/>
          <w:u w:val="single"/>
        </w:rPr>
        <w:t>Initial View</w:t>
      </w:r>
    </w:p>
    <w:p w14:paraId="1582C049" w14:textId="77777777" w:rsidR="00182043" w:rsidRPr="00182043" w:rsidRDefault="00182043" w:rsidP="00182043">
      <w:pPr>
        <w:jc w:val="both"/>
        <w:rPr>
          <w:rFonts w:ascii="Arial" w:hAnsi="Arial" w:cs="Arial"/>
        </w:rPr>
      </w:pPr>
      <w:r w:rsidRPr="00182043">
        <w:rPr>
          <w:rFonts w:ascii="Arial" w:hAnsi="Arial" w:cs="Arial"/>
        </w:rPr>
        <w:t xml:space="preserve">I assess each of your points in turn.  </w:t>
      </w:r>
    </w:p>
    <w:p w14:paraId="541766FE" w14:textId="77777777" w:rsidR="00182043" w:rsidRDefault="00182043" w:rsidP="00182043">
      <w:pPr>
        <w:spacing w:before="240" w:after="240"/>
        <w:jc w:val="both"/>
        <w:rPr>
          <w:rFonts w:ascii="Arial" w:hAnsi="Arial" w:cs="Arial"/>
          <w:b/>
          <w:i/>
        </w:rPr>
      </w:pPr>
      <w:r w:rsidRPr="007211B7">
        <w:rPr>
          <w:rFonts w:ascii="Arial" w:hAnsi="Arial" w:cs="Arial"/>
          <w:b/>
          <w:i/>
        </w:rPr>
        <w:t>Ground 1a: In making the assessment that preceded the recommendation, NICE has failed to act fairly</w:t>
      </w:r>
    </w:p>
    <w:p w14:paraId="5DC95484" w14:textId="77777777" w:rsidR="00AA3E4B" w:rsidRPr="00AA3E4B" w:rsidRDefault="00AA3E4B" w:rsidP="00AA3E4B">
      <w:pPr>
        <w:spacing w:before="240" w:after="240"/>
        <w:jc w:val="both"/>
        <w:rPr>
          <w:rFonts w:ascii="Arial" w:eastAsia="Times New Roman" w:hAnsi="Arial" w:cs="Arial"/>
          <w:b/>
          <w:u w:val="single"/>
        </w:rPr>
      </w:pPr>
      <w:r w:rsidRPr="00AA3E4B">
        <w:rPr>
          <w:rFonts w:ascii="Arial" w:eastAsia="Times New Roman" w:hAnsi="Arial" w:cs="Arial"/>
          <w:b/>
          <w:u w:val="single"/>
        </w:rPr>
        <w:t xml:space="preserve">Appeal point 1(a).1; Pausing the appraisal during the pandemic and further delays in the evaluation of </w:t>
      </w:r>
      <w:proofErr w:type="spellStart"/>
      <w:r w:rsidRPr="00AA3E4B">
        <w:rPr>
          <w:rFonts w:ascii="Arial" w:eastAsia="Times New Roman" w:hAnsi="Arial" w:cs="Arial"/>
          <w:b/>
          <w:u w:val="single"/>
        </w:rPr>
        <w:t>afamelanotide</w:t>
      </w:r>
      <w:proofErr w:type="spellEnd"/>
      <w:r w:rsidRPr="00AA3E4B">
        <w:rPr>
          <w:rFonts w:ascii="Arial" w:eastAsia="Times New Roman" w:hAnsi="Arial" w:cs="Arial"/>
          <w:b/>
          <w:u w:val="single"/>
        </w:rPr>
        <w:t xml:space="preserve"> were unfair to patients with EPP in England and Wales</w:t>
      </w:r>
    </w:p>
    <w:p w14:paraId="0FBC43D7" w14:textId="77777777" w:rsidR="00AA3E4B" w:rsidRPr="00AA3E4B" w:rsidRDefault="00AA3E4B" w:rsidP="00AA3E4B">
      <w:pPr>
        <w:spacing w:line="288" w:lineRule="auto"/>
        <w:jc w:val="both"/>
        <w:rPr>
          <w:rFonts w:ascii="Arial" w:eastAsia="Times New Roman" w:hAnsi="Arial" w:cs="Arial"/>
        </w:rPr>
      </w:pPr>
      <w:r w:rsidRPr="00AA3E4B">
        <w:rPr>
          <w:rFonts w:ascii="Arial" w:eastAsia="Times New Roman" w:hAnsi="Arial" w:cs="Arial"/>
        </w:rPr>
        <w:lastRenderedPageBreak/>
        <w:t>I am minded to refer this appeal point to the Appeal Panel.   I anticipate that in considering this appeal point, the Panel will wish to hear from IPPN on any impact of the ‘pause and further delays’ on the outcome of the appraisal.</w:t>
      </w:r>
    </w:p>
    <w:p w14:paraId="44835A8F" w14:textId="77777777" w:rsidR="00AA3E4B" w:rsidRPr="00AA3E4B" w:rsidRDefault="00AA3E4B" w:rsidP="00AA3E4B">
      <w:pPr>
        <w:spacing w:before="240" w:after="240"/>
        <w:jc w:val="both"/>
        <w:rPr>
          <w:rFonts w:ascii="Arial" w:eastAsia="Times New Roman" w:hAnsi="Arial" w:cs="Arial"/>
          <w:b/>
          <w:u w:val="single"/>
        </w:rPr>
      </w:pPr>
      <w:r w:rsidRPr="00AA3E4B">
        <w:rPr>
          <w:rFonts w:ascii="Arial" w:eastAsia="Times New Roman" w:hAnsi="Arial" w:cs="Arial"/>
          <w:b/>
          <w:u w:val="single"/>
        </w:rPr>
        <w:t>Appeal point 1(a).2; It was unfair to not grant access to an executable version of the economic model to the IPPN</w:t>
      </w:r>
    </w:p>
    <w:p w14:paraId="7E35F66A" w14:textId="77777777" w:rsidR="00AA3E4B" w:rsidRPr="00AA3E4B" w:rsidRDefault="00AA3E4B" w:rsidP="00AA3E4B">
      <w:pPr>
        <w:spacing w:line="288" w:lineRule="auto"/>
        <w:jc w:val="both"/>
        <w:rPr>
          <w:rFonts w:ascii="Arial" w:eastAsia="Times New Roman" w:hAnsi="Arial" w:cs="Arial"/>
          <w:b/>
          <w:u w:val="single"/>
        </w:rPr>
      </w:pPr>
      <w:r w:rsidRPr="00AA3E4B">
        <w:rPr>
          <w:rFonts w:ascii="Arial" w:eastAsia="Times New Roman" w:hAnsi="Arial" w:cs="Arial"/>
        </w:rPr>
        <w:t xml:space="preserve">I am not minded to refer this appeal point to the Appeal Panel.   That is because I understand that the Committee was unable to grant access to an executable version of the economic model to the IPPN, because of CLINUVEL’s assertion of confidentiality over the model (see pp 13-14 of the Committee papers published </w:t>
      </w:r>
      <w:hyperlink r:id="rId8" w:history="1">
        <w:r w:rsidRPr="00AA3E4B">
          <w:rPr>
            <w:rFonts w:ascii="Arial" w:eastAsia="Times New Roman" w:hAnsi="Arial" w:cs="Arial"/>
            <w:u w:val="single"/>
          </w:rPr>
          <w:t>here</w:t>
        </w:r>
      </w:hyperlink>
      <w:r w:rsidRPr="00AA3E4B">
        <w:rPr>
          <w:rFonts w:ascii="Arial" w:eastAsia="Times New Roman" w:hAnsi="Arial" w:cs="Arial"/>
        </w:rPr>
        <w:t xml:space="preserve"> on 22 May 2018).  In those circumstances, I do not consider it arguably unfair for the Committee not to provide the executable model to IPPN.</w:t>
      </w:r>
    </w:p>
    <w:p w14:paraId="773B31DF" w14:textId="77777777" w:rsidR="00AA3E4B" w:rsidRPr="00AA3E4B" w:rsidRDefault="00AA3E4B" w:rsidP="00AA3E4B">
      <w:pPr>
        <w:spacing w:before="240" w:after="240"/>
        <w:jc w:val="both"/>
        <w:rPr>
          <w:rFonts w:ascii="Arial" w:eastAsia="Times New Roman" w:hAnsi="Arial" w:cs="Arial"/>
          <w:b/>
          <w:u w:val="single"/>
        </w:rPr>
      </w:pPr>
      <w:r w:rsidRPr="00AA3E4B">
        <w:rPr>
          <w:rFonts w:ascii="Arial" w:eastAsia="Times New Roman" w:hAnsi="Arial" w:cs="Arial"/>
          <w:b/>
          <w:u w:val="single"/>
        </w:rPr>
        <w:t>Appeal point 1(a).3; It was unfair to change the requirements for a managed access agreement between the first and the second FED</w:t>
      </w:r>
    </w:p>
    <w:p w14:paraId="34F53179" w14:textId="77777777" w:rsidR="00AA3E4B" w:rsidRPr="00AA3E4B" w:rsidRDefault="00AA3E4B" w:rsidP="00AA3E4B">
      <w:pPr>
        <w:spacing w:line="288" w:lineRule="auto"/>
        <w:jc w:val="both"/>
        <w:rPr>
          <w:rFonts w:ascii="Arial" w:eastAsia="Times New Roman" w:hAnsi="Arial" w:cs="Arial"/>
        </w:rPr>
      </w:pPr>
      <w:r w:rsidRPr="00AA3E4B">
        <w:rPr>
          <w:rFonts w:ascii="Arial" w:eastAsia="Times New Roman" w:hAnsi="Arial" w:cs="Arial"/>
        </w:rPr>
        <w:t xml:space="preserve">I am not minded to refer this appeal point to the Appeal Panel.  </w:t>
      </w:r>
    </w:p>
    <w:p w14:paraId="3D77B35E" w14:textId="77777777" w:rsidR="00AA3E4B" w:rsidRPr="00AA3E4B" w:rsidRDefault="00AA3E4B" w:rsidP="00AA3E4B">
      <w:pPr>
        <w:spacing w:line="288" w:lineRule="auto"/>
        <w:jc w:val="both"/>
        <w:rPr>
          <w:rFonts w:ascii="Arial" w:eastAsia="Times New Roman" w:hAnsi="Arial" w:cs="Arial"/>
        </w:rPr>
      </w:pPr>
      <w:r w:rsidRPr="00AA3E4B">
        <w:rPr>
          <w:rFonts w:ascii="Arial" w:eastAsia="Times New Roman" w:hAnsi="Arial" w:cs="Arial"/>
        </w:rPr>
        <w:t xml:space="preserve">I understand IPPN to be arguing that unfairness arises because, on the basis of the Committee’s conclusions in the second FED, the technology would have been eligible for an MAA under the requirements that were in place at the time of the first FED.  </w:t>
      </w:r>
    </w:p>
    <w:p w14:paraId="3428F0C5" w14:textId="77777777" w:rsidR="00AA3E4B" w:rsidRPr="00AA3E4B" w:rsidRDefault="00AA3E4B" w:rsidP="00AA3E4B">
      <w:pPr>
        <w:spacing w:line="288" w:lineRule="auto"/>
        <w:jc w:val="both"/>
        <w:rPr>
          <w:rFonts w:ascii="Arial" w:eastAsia="Times New Roman" w:hAnsi="Arial" w:cs="Arial"/>
        </w:rPr>
      </w:pPr>
      <w:r w:rsidRPr="00AA3E4B">
        <w:rPr>
          <w:rFonts w:ascii="Arial" w:eastAsia="Times New Roman" w:hAnsi="Arial" w:cs="Arial"/>
        </w:rPr>
        <w:t>I understand the IPPN’s argument to be that in 2018, the cost-effectiveness requirement for entry into the MAA was defined by the need to have a ‘plausible potential to be considered cost-effective’; whereas in 2022 the IPPN considers that the Committee have replaced that more flexible target with a hard-edged requirement for an ICER of less than £100,000 per QALY gained.</w:t>
      </w:r>
    </w:p>
    <w:p w14:paraId="21A98451" w14:textId="77777777" w:rsidR="00AA3E4B" w:rsidRPr="00AA3E4B" w:rsidRDefault="00AA3E4B" w:rsidP="00AA3E4B">
      <w:pPr>
        <w:spacing w:line="288" w:lineRule="auto"/>
        <w:jc w:val="both"/>
        <w:rPr>
          <w:rFonts w:ascii="Arial" w:eastAsia="Times New Roman" w:hAnsi="Arial" w:cs="Arial"/>
        </w:rPr>
      </w:pPr>
      <w:r w:rsidRPr="00AA3E4B">
        <w:rPr>
          <w:rFonts w:ascii="Arial" w:eastAsia="Times New Roman" w:hAnsi="Arial" w:cs="Arial"/>
        </w:rPr>
        <w:t>On the basis of my understanding of the IPPN’s point, I am not minded to refer it to the Appeal Panel.  I note in particular relevant MAA (Innovative Medicines Fund) principles, which include:</w:t>
      </w:r>
    </w:p>
    <w:p w14:paraId="7F45ED97" w14:textId="77777777" w:rsidR="00AA3E4B" w:rsidRPr="00AA3E4B" w:rsidRDefault="00AA3E4B" w:rsidP="00AA3E4B">
      <w:pPr>
        <w:numPr>
          <w:ilvl w:val="0"/>
          <w:numId w:val="8"/>
        </w:numPr>
        <w:spacing w:after="0" w:line="288" w:lineRule="auto"/>
        <w:contextualSpacing/>
        <w:rPr>
          <w:rFonts w:ascii="Arial" w:eastAsia="Times New Roman" w:hAnsi="Arial"/>
        </w:rPr>
      </w:pPr>
      <w:r w:rsidRPr="00AA3E4B">
        <w:rPr>
          <w:rFonts w:ascii="Arial" w:eastAsia="Times New Roman" w:hAnsi="Arial"/>
        </w:rPr>
        <w:t>Principle 2: “</w:t>
      </w:r>
      <w:r w:rsidRPr="00AA3E4B">
        <w:rPr>
          <w:rFonts w:ascii="Arial" w:eastAsia="Times New Roman" w:hAnsi="Arial"/>
          <w:i/>
          <w:iCs/>
        </w:rPr>
        <w:t>The Innovative Medicines Fund</w:t>
      </w:r>
      <w:r w:rsidRPr="00AA3E4B">
        <w:rPr>
          <w:rFonts w:ascii="Arial" w:eastAsia="Times New Roman" w:hAnsi="Arial"/>
          <w:b/>
          <w:bCs/>
          <w:i/>
          <w:iCs/>
        </w:rPr>
        <w:t xml:space="preserve"> </w:t>
      </w:r>
      <w:r w:rsidRPr="00AA3E4B">
        <w:rPr>
          <w:rFonts w:ascii="Arial" w:eastAsia="Times New Roman" w:hAnsi="Arial"/>
          <w:i/>
          <w:iCs/>
        </w:rPr>
        <w:t>should target the most promising medicines for which there is significant remaining uncertainty around the level of clinical benefit and cost-effectiveness.</w:t>
      </w:r>
      <w:r w:rsidRPr="00AA3E4B">
        <w:rPr>
          <w:rFonts w:ascii="Arial" w:eastAsia="Times New Roman" w:hAnsi="Arial"/>
        </w:rPr>
        <w:t>”</w:t>
      </w:r>
    </w:p>
    <w:p w14:paraId="38B8B5B6" w14:textId="77777777" w:rsidR="00AA3E4B" w:rsidRPr="00AA3E4B" w:rsidRDefault="00AA3E4B" w:rsidP="00AA3E4B">
      <w:pPr>
        <w:spacing w:after="0" w:line="288" w:lineRule="auto"/>
        <w:ind w:left="720"/>
        <w:contextualSpacing/>
        <w:rPr>
          <w:rFonts w:ascii="Arial" w:eastAsia="Times New Roman" w:hAnsi="Arial"/>
        </w:rPr>
      </w:pPr>
    </w:p>
    <w:p w14:paraId="211FEAB3" w14:textId="77777777" w:rsidR="00AA3E4B" w:rsidRPr="00AA3E4B" w:rsidRDefault="00AA3E4B" w:rsidP="00AA3E4B">
      <w:pPr>
        <w:numPr>
          <w:ilvl w:val="0"/>
          <w:numId w:val="8"/>
        </w:numPr>
        <w:spacing w:after="0" w:line="288" w:lineRule="auto"/>
        <w:contextualSpacing/>
        <w:rPr>
          <w:rFonts w:ascii="Arial" w:eastAsia="Times New Roman" w:hAnsi="Arial"/>
        </w:rPr>
      </w:pPr>
      <w:r w:rsidRPr="00AA3E4B">
        <w:rPr>
          <w:rFonts w:ascii="Arial" w:eastAsia="Times New Roman" w:hAnsi="Arial"/>
        </w:rPr>
        <w:t>Principle 3: “</w:t>
      </w:r>
      <w:r w:rsidRPr="00AA3E4B">
        <w:rPr>
          <w:rFonts w:ascii="Arial" w:eastAsia="Times New Roman" w:hAnsi="Arial"/>
          <w:i/>
          <w:iCs/>
        </w:rPr>
        <w:t>Recommendations with managed access should be reserved for medicines that (a) demonstrate plausible potential to be cost effective; and (b) are priced responsibly during the period of managed access, reflecting their uncertain cost effectiveness.</w:t>
      </w:r>
      <w:r w:rsidRPr="00AA3E4B">
        <w:rPr>
          <w:rFonts w:ascii="Arial" w:eastAsia="Times New Roman" w:hAnsi="Arial"/>
        </w:rPr>
        <w:t>“</w:t>
      </w:r>
    </w:p>
    <w:p w14:paraId="607B97DD" w14:textId="77777777" w:rsidR="00AA3E4B" w:rsidRPr="00AA3E4B" w:rsidRDefault="00AA3E4B" w:rsidP="00AA3E4B">
      <w:pPr>
        <w:spacing w:line="288" w:lineRule="auto"/>
        <w:rPr>
          <w:rFonts w:ascii="Arial" w:eastAsia="Times New Roman" w:hAnsi="Arial"/>
        </w:rPr>
      </w:pPr>
    </w:p>
    <w:p w14:paraId="007DD407" w14:textId="77777777" w:rsidR="00AA3E4B" w:rsidRPr="00AA3E4B" w:rsidRDefault="00AA3E4B" w:rsidP="00AA3E4B">
      <w:pPr>
        <w:spacing w:line="288" w:lineRule="auto"/>
        <w:rPr>
          <w:rFonts w:ascii="Arial" w:eastAsia="Times New Roman" w:hAnsi="Arial"/>
        </w:rPr>
      </w:pPr>
      <w:r w:rsidRPr="00AA3E4B">
        <w:rPr>
          <w:rFonts w:ascii="Arial" w:eastAsia="Times New Roman" w:hAnsi="Arial"/>
        </w:rPr>
        <w:t>I note in particular that principle 3 says “</w:t>
      </w:r>
      <w:r w:rsidRPr="00AA3E4B">
        <w:rPr>
          <w:rFonts w:ascii="Arial" w:eastAsia="Times New Roman" w:hAnsi="Arial"/>
          <w:i/>
          <w:iCs/>
        </w:rPr>
        <w:t>The price should reflect both the uncertainty as well as the overall burden imposed on the NHS by any data collection arrangements. Those medicines that show greatest certainty of clinical benefit and cost-effectiveness should be valued most highly</w:t>
      </w:r>
      <w:r w:rsidRPr="00AA3E4B">
        <w:rPr>
          <w:rFonts w:ascii="Arial" w:eastAsia="Times New Roman" w:hAnsi="Arial"/>
        </w:rPr>
        <w:t xml:space="preserve">.” </w:t>
      </w:r>
    </w:p>
    <w:p w14:paraId="763BC2BE" w14:textId="77777777" w:rsidR="00AA3E4B" w:rsidRPr="00AA3E4B" w:rsidRDefault="00AA3E4B" w:rsidP="00AA3E4B">
      <w:pPr>
        <w:spacing w:line="288" w:lineRule="auto"/>
        <w:jc w:val="both"/>
        <w:rPr>
          <w:rFonts w:ascii="Arial" w:eastAsia="Times New Roman" w:hAnsi="Arial"/>
        </w:rPr>
      </w:pPr>
      <w:r w:rsidRPr="00AA3E4B">
        <w:rPr>
          <w:rFonts w:ascii="Arial" w:eastAsia="Times New Roman" w:hAnsi="Arial"/>
        </w:rPr>
        <w:t xml:space="preserve">It is incorrect that if a plausible, most optimistic ICER were below £100k it automatically considered cost effective and would enter routine funding. As stated in the methods for HST, </w:t>
      </w:r>
      <w:r w:rsidRPr="00AA3E4B">
        <w:rPr>
          <w:rFonts w:ascii="Arial" w:eastAsia="Times New Roman" w:hAnsi="Arial"/>
        </w:rPr>
        <w:lastRenderedPageBreak/>
        <w:t xml:space="preserve">the committee’s judgements on value for money are influenced by a number of factors including the strength of the supporting clinical evidence, the robustness of the economic model, the plausibility of the inputs and the range and plausibility of the ICERs presented. As well as the likelihood of decision error and its consequences. The ICER alone is not indicative.  </w:t>
      </w:r>
    </w:p>
    <w:p w14:paraId="6DAAE7AF" w14:textId="31A94A97" w:rsidR="00AA3E4B" w:rsidRPr="00AA3E4B" w:rsidRDefault="00AA3E4B" w:rsidP="00AA3E4B">
      <w:pPr>
        <w:spacing w:line="288" w:lineRule="auto"/>
        <w:jc w:val="both"/>
        <w:rPr>
          <w:rFonts w:ascii="Arial" w:eastAsia="Times New Roman" w:hAnsi="Arial" w:cs="Arial"/>
        </w:rPr>
      </w:pPr>
      <w:r w:rsidRPr="00AA3E4B">
        <w:rPr>
          <w:rFonts w:ascii="Arial" w:eastAsia="Times New Roman" w:hAnsi="Arial"/>
        </w:rPr>
        <w:t xml:space="preserve">For those reasons, I cannot see that the appeal point is arguable, and I believe it to be based on a false premise – that the criteria for managed access have materially changed to the detriment of </w:t>
      </w:r>
      <w:proofErr w:type="spellStart"/>
      <w:r w:rsidRPr="00AA3E4B">
        <w:rPr>
          <w:rFonts w:ascii="Arial" w:eastAsia="Times New Roman" w:hAnsi="Arial"/>
        </w:rPr>
        <w:t>Afamelanotide</w:t>
      </w:r>
      <w:proofErr w:type="spellEnd"/>
      <w:r w:rsidRPr="00AA3E4B">
        <w:rPr>
          <w:rFonts w:ascii="Arial" w:eastAsia="Times New Roman" w:hAnsi="Arial"/>
        </w:rPr>
        <w:t xml:space="preserve"> since 2018.</w:t>
      </w:r>
    </w:p>
    <w:p w14:paraId="50872946" w14:textId="77777777" w:rsidR="00AA3E4B" w:rsidRPr="00AA3E4B" w:rsidRDefault="00AA3E4B" w:rsidP="00AA3E4B">
      <w:pPr>
        <w:spacing w:before="240" w:after="240"/>
        <w:jc w:val="both"/>
        <w:rPr>
          <w:rFonts w:ascii="Arial" w:eastAsia="Times New Roman" w:hAnsi="Arial" w:cs="Arial"/>
          <w:b/>
          <w:i/>
        </w:rPr>
      </w:pPr>
      <w:r w:rsidRPr="00AA3E4B">
        <w:rPr>
          <w:rFonts w:ascii="Arial" w:eastAsia="Times New Roman" w:hAnsi="Arial" w:cs="Arial"/>
          <w:b/>
          <w:i/>
        </w:rPr>
        <w:t>GROUND 1b: in making the assessment that preceded the recommendation, NICE has exceeded its powers</w:t>
      </w:r>
    </w:p>
    <w:p w14:paraId="6C473047" w14:textId="77777777" w:rsidR="00AA3E4B" w:rsidRPr="00AA3E4B" w:rsidRDefault="00AA3E4B" w:rsidP="00AA3E4B">
      <w:pPr>
        <w:spacing w:before="240" w:after="240"/>
        <w:jc w:val="both"/>
        <w:rPr>
          <w:rFonts w:ascii="Arial" w:eastAsia="Times New Roman" w:hAnsi="Arial" w:cs="Arial"/>
          <w:b/>
          <w:u w:val="single"/>
        </w:rPr>
      </w:pPr>
      <w:r w:rsidRPr="00AA3E4B">
        <w:rPr>
          <w:rFonts w:ascii="Arial" w:eastAsia="Times New Roman" w:hAnsi="Arial" w:cs="Arial"/>
          <w:b/>
          <w:u w:val="single"/>
        </w:rPr>
        <w:t xml:space="preserve">Appeal point 1(b).1; The Institute has exceeded its powers by retrospectively changing the narrative of the history of the appraisal, i.e., stating a different justification and timeline for pausing the appraisal of </w:t>
      </w:r>
      <w:proofErr w:type="spellStart"/>
      <w:r w:rsidRPr="00AA3E4B">
        <w:rPr>
          <w:rFonts w:ascii="Arial" w:eastAsia="Times New Roman" w:hAnsi="Arial" w:cs="Arial"/>
          <w:b/>
          <w:u w:val="single"/>
        </w:rPr>
        <w:t>afamelanotide</w:t>
      </w:r>
      <w:proofErr w:type="spellEnd"/>
    </w:p>
    <w:p w14:paraId="0214096F" w14:textId="77777777" w:rsidR="00AA3E4B" w:rsidRPr="00AA3E4B" w:rsidRDefault="00AA3E4B" w:rsidP="00AA3E4B">
      <w:pPr>
        <w:spacing w:line="288" w:lineRule="auto"/>
        <w:jc w:val="both"/>
        <w:rPr>
          <w:rFonts w:ascii="Arial" w:eastAsia="Times New Roman" w:hAnsi="Arial" w:cs="Arial"/>
        </w:rPr>
      </w:pPr>
      <w:r w:rsidRPr="00AA3E4B">
        <w:rPr>
          <w:rFonts w:ascii="Arial" w:eastAsia="Times New Roman" w:hAnsi="Arial" w:cs="Arial"/>
        </w:rPr>
        <w:t xml:space="preserve">I am not minded to refer this appeal point to the Appeal Panel as a free-standing point of appeal.  I anticipate that the explanation provided by the Institute for any delays will be relevant to the consideration of unfairness </w:t>
      </w:r>
      <w:proofErr w:type="spellStart"/>
      <w:r w:rsidRPr="00AA3E4B">
        <w:rPr>
          <w:rFonts w:ascii="Arial" w:eastAsia="Times New Roman" w:hAnsi="Arial" w:cs="Arial"/>
        </w:rPr>
        <w:t>under ground</w:t>
      </w:r>
      <w:proofErr w:type="spellEnd"/>
      <w:r w:rsidRPr="00AA3E4B">
        <w:rPr>
          <w:rFonts w:ascii="Arial" w:eastAsia="Times New Roman" w:hAnsi="Arial" w:cs="Arial"/>
        </w:rPr>
        <w:t xml:space="preserve"> 1a1, and a separate appeal point under Ground 1b would not add anything to that discussion.</w:t>
      </w:r>
    </w:p>
    <w:p w14:paraId="55BAA1B1" w14:textId="77777777" w:rsidR="00AA3E4B" w:rsidRPr="00AA3E4B" w:rsidRDefault="00AA3E4B" w:rsidP="00AA3E4B">
      <w:pPr>
        <w:spacing w:before="240" w:after="240"/>
        <w:jc w:val="both"/>
        <w:rPr>
          <w:rFonts w:ascii="Arial" w:eastAsia="Times New Roman" w:hAnsi="Arial" w:cs="Arial"/>
          <w:b/>
          <w:u w:val="single"/>
        </w:rPr>
      </w:pPr>
      <w:r w:rsidRPr="00AA3E4B">
        <w:rPr>
          <w:rFonts w:ascii="Arial" w:eastAsia="Times New Roman" w:hAnsi="Arial" w:cs="Arial"/>
          <w:b/>
          <w:u w:val="single"/>
        </w:rPr>
        <w:t>Appeal point 1(b)2; The Institute has exceeded its powers by pre-determining the preferred form of evidence for the generation of EQ-5D data as a vignette study</w:t>
      </w:r>
    </w:p>
    <w:p w14:paraId="01244D5A" w14:textId="469F489D" w:rsidR="00AA3E4B" w:rsidRPr="00AA3E4B" w:rsidRDefault="00AA3E4B" w:rsidP="00AA3E4B">
      <w:pPr>
        <w:spacing w:line="288" w:lineRule="auto"/>
        <w:jc w:val="both"/>
        <w:rPr>
          <w:rFonts w:ascii="Arial" w:eastAsia="Times New Roman" w:hAnsi="Arial" w:cs="Arial"/>
        </w:rPr>
      </w:pPr>
      <w:r w:rsidRPr="00AA3E4B">
        <w:rPr>
          <w:rFonts w:ascii="Arial" w:eastAsia="Times New Roman" w:hAnsi="Arial" w:cs="Arial"/>
        </w:rPr>
        <w:t>I am not minded to refer this appeal point to the Appeal Panel.   I cannot see any basis for the assertion that the Institute has exceeded its powers by expressing a preference for a vignette study.  I have however noted below that I am minded to refer appeal point 2.2 to the Appeal Panel, on the basis that the Committee’s conclusion on this point was arguably unreasonable.</w:t>
      </w:r>
    </w:p>
    <w:p w14:paraId="2D70D464" w14:textId="77777777" w:rsidR="00C55153" w:rsidRPr="00C55153" w:rsidRDefault="00C55153" w:rsidP="00C55153">
      <w:pPr>
        <w:spacing w:before="240" w:after="240"/>
        <w:jc w:val="both"/>
        <w:rPr>
          <w:rFonts w:ascii="Arial" w:eastAsia="Times New Roman" w:hAnsi="Arial" w:cs="Arial"/>
          <w:b/>
          <w:i/>
        </w:rPr>
      </w:pPr>
      <w:r w:rsidRPr="00C55153">
        <w:rPr>
          <w:rFonts w:ascii="Arial" w:eastAsia="Times New Roman" w:hAnsi="Arial" w:cs="Arial"/>
          <w:b/>
          <w:i/>
        </w:rPr>
        <w:t>Ground 2: the recommendation is unreasonable in the light of the evidence submitted to NICE</w:t>
      </w:r>
    </w:p>
    <w:p w14:paraId="0643B372" w14:textId="77777777" w:rsidR="00AA3E4B" w:rsidRPr="00AA3E4B" w:rsidRDefault="00AA3E4B" w:rsidP="00AA3E4B">
      <w:pPr>
        <w:pStyle w:val="Paragraph"/>
        <w:numPr>
          <w:ilvl w:val="0"/>
          <w:numId w:val="0"/>
        </w:numPr>
        <w:jc w:val="both"/>
        <w:rPr>
          <w:rFonts w:cs="Arial"/>
          <w:b/>
          <w:sz w:val="22"/>
          <w:szCs w:val="22"/>
          <w:u w:val="single"/>
        </w:rPr>
      </w:pPr>
      <w:r w:rsidRPr="00AA3E4B">
        <w:rPr>
          <w:rFonts w:cs="Arial"/>
          <w:b/>
          <w:sz w:val="22"/>
          <w:szCs w:val="22"/>
          <w:u w:val="single"/>
        </w:rPr>
        <w:t>Appeal point 2.1; Using a shorter than usual time-horizon for the economic model was unreasonable given that EPP is a lifelong chronic condition and the justification for the decision discriminates against patients aged 70 years and older</w:t>
      </w:r>
    </w:p>
    <w:p w14:paraId="6E47C326" w14:textId="77777777" w:rsidR="00AA3E4B" w:rsidRPr="00AA3E4B" w:rsidRDefault="00AA3E4B" w:rsidP="00AA3E4B">
      <w:pPr>
        <w:pStyle w:val="BodyText"/>
        <w:jc w:val="both"/>
        <w:rPr>
          <w:rFonts w:cs="Arial"/>
          <w:color w:val="auto"/>
          <w:sz w:val="22"/>
          <w:szCs w:val="22"/>
        </w:rPr>
      </w:pPr>
      <w:r w:rsidRPr="00AA3E4B">
        <w:rPr>
          <w:rFonts w:cs="Arial"/>
          <w:color w:val="auto"/>
          <w:sz w:val="22"/>
          <w:szCs w:val="22"/>
        </w:rPr>
        <w:t xml:space="preserve">I am not minded to refer this appeal point to the Appeal Panel.   I understand IPPN’s argument to be that it was unreasonable for the Committee to adopt a 60 year time horizon for the economic model as opposed to a longer time horizon.  It is said that this potentially impacts the cost-effectiveness calculation by reducing the number of QALYs associated with the technology, and discriminates against patients aged 70 years and older.  </w:t>
      </w:r>
    </w:p>
    <w:p w14:paraId="5216857C" w14:textId="77777777" w:rsidR="00AA3E4B" w:rsidRPr="00AA3E4B" w:rsidRDefault="00AA3E4B" w:rsidP="00AA3E4B">
      <w:pPr>
        <w:pStyle w:val="BodyText"/>
        <w:jc w:val="both"/>
        <w:rPr>
          <w:rFonts w:cs="Arial"/>
          <w:color w:val="auto"/>
          <w:sz w:val="22"/>
          <w:szCs w:val="22"/>
        </w:rPr>
      </w:pPr>
      <w:r w:rsidRPr="00AA3E4B">
        <w:rPr>
          <w:rFonts w:cs="Arial"/>
          <w:color w:val="auto"/>
          <w:sz w:val="22"/>
          <w:szCs w:val="22"/>
        </w:rPr>
        <w:t>I note first that the time horizon adopted has no impact on the age or other profile of patients treated with the technology.  I therefore cannot currently see any basis for an argument that the time horizon discriminates against any particular group of patients.</w:t>
      </w:r>
    </w:p>
    <w:p w14:paraId="450BC97A" w14:textId="77777777" w:rsidR="00AA3E4B" w:rsidRPr="00AA3E4B" w:rsidRDefault="00AA3E4B" w:rsidP="00AA3E4B">
      <w:pPr>
        <w:pStyle w:val="BodyText"/>
        <w:jc w:val="both"/>
        <w:rPr>
          <w:rFonts w:cs="Arial"/>
          <w:color w:val="auto"/>
          <w:sz w:val="22"/>
          <w:szCs w:val="22"/>
        </w:rPr>
      </w:pPr>
      <w:r w:rsidRPr="00AA3E4B">
        <w:rPr>
          <w:rFonts w:cs="Arial"/>
          <w:color w:val="auto"/>
          <w:sz w:val="22"/>
          <w:szCs w:val="22"/>
        </w:rPr>
        <w:t>Secondly, I note that the Committee provides clear reasons for its adoption of a 60 year time horizon, which can be summarised as follows:</w:t>
      </w:r>
    </w:p>
    <w:p w14:paraId="703D2895" w14:textId="77777777" w:rsidR="00AA3E4B" w:rsidRPr="00AA3E4B" w:rsidRDefault="00AA3E4B" w:rsidP="00AA3E4B">
      <w:pPr>
        <w:pStyle w:val="BodyText"/>
        <w:numPr>
          <w:ilvl w:val="0"/>
          <w:numId w:val="9"/>
        </w:numPr>
        <w:jc w:val="both"/>
        <w:rPr>
          <w:rFonts w:cs="Arial"/>
          <w:color w:val="auto"/>
          <w:sz w:val="22"/>
          <w:szCs w:val="22"/>
        </w:rPr>
      </w:pPr>
      <w:r w:rsidRPr="00AA3E4B">
        <w:rPr>
          <w:rFonts w:cs="Arial"/>
          <w:color w:val="auto"/>
          <w:sz w:val="22"/>
          <w:szCs w:val="22"/>
        </w:rPr>
        <w:lastRenderedPageBreak/>
        <w:t>Average age of diagnosis is 22 years.  Treatment for 60 years from that point would take the patient to approximately average life expectancy.</w:t>
      </w:r>
    </w:p>
    <w:p w14:paraId="754ABF1B" w14:textId="77777777" w:rsidR="00AA3E4B" w:rsidRPr="00AA3E4B" w:rsidRDefault="00AA3E4B" w:rsidP="00AA3E4B">
      <w:pPr>
        <w:pStyle w:val="BodyText"/>
        <w:numPr>
          <w:ilvl w:val="0"/>
          <w:numId w:val="9"/>
        </w:numPr>
        <w:jc w:val="both"/>
        <w:rPr>
          <w:rFonts w:cs="Arial"/>
          <w:color w:val="auto"/>
          <w:sz w:val="22"/>
          <w:szCs w:val="22"/>
        </w:rPr>
      </w:pPr>
      <w:r w:rsidRPr="00AA3E4B">
        <w:rPr>
          <w:rFonts w:cs="Arial"/>
          <w:color w:val="auto"/>
          <w:sz w:val="22"/>
          <w:szCs w:val="22"/>
        </w:rPr>
        <w:t xml:space="preserve">The marketing authorisation is clear that </w:t>
      </w:r>
      <w:proofErr w:type="spellStart"/>
      <w:r w:rsidRPr="00AA3E4B">
        <w:rPr>
          <w:rFonts w:cs="Arial"/>
          <w:color w:val="auto"/>
          <w:sz w:val="22"/>
          <w:szCs w:val="22"/>
        </w:rPr>
        <w:t>afamelanotide</w:t>
      </w:r>
      <w:proofErr w:type="spellEnd"/>
      <w:r w:rsidRPr="00AA3E4B">
        <w:rPr>
          <w:rFonts w:cs="Arial"/>
          <w:color w:val="auto"/>
          <w:sz w:val="22"/>
          <w:szCs w:val="22"/>
        </w:rPr>
        <w:t xml:space="preserve"> is not authorised in children, and that “</w:t>
      </w:r>
      <w:proofErr w:type="spellStart"/>
      <w:r w:rsidRPr="00AA3E4B">
        <w:rPr>
          <w:rFonts w:cs="Arial"/>
          <w:color w:val="auto"/>
          <w:sz w:val="22"/>
          <w:szCs w:val="22"/>
        </w:rPr>
        <w:t>afamelanotide</w:t>
      </w:r>
      <w:proofErr w:type="spellEnd"/>
      <w:r w:rsidRPr="00AA3E4B">
        <w:rPr>
          <w:rFonts w:cs="Arial"/>
          <w:color w:val="auto"/>
          <w:sz w:val="22"/>
          <w:szCs w:val="22"/>
        </w:rPr>
        <w:t xml:space="preserve"> should not be used in patients over 70 years of age”.  The fact that the authorisation goes on to give guidance to doctors who nevertheless decide to use </w:t>
      </w:r>
      <w:proofErr w:type="spellStart"/>
      <w:r w:rsidRPr="00AA3E4B">
        <w:rPr>
          <w:rFonts w:cs="Arial"/>
          <w:color w:val="auto"/>
          <w:sz w:val="22"/>
          <w:szCs w:val="22"/>
        </w:rPr>
        <w:t>afamelanotide</w:t>
      </w:r>
      <w:proofErr w:type="spellEnd"/>
      <w:r w:rsidRPr="00AA3E4B">
        <w:rPr>
          <w:rFonts w:cs="Arial"/>
          <w:color w:val="auto"/>
          <w:sz w:val="22"/>
          <w:szCs w:val="22"/>
        </w:rPr>
        <w:t xml:space="preserve"> in older patients does not detract from that clear statement.</w:t>
      </w:r>
    </w:p>
    <w:p w14:paraId="4F926D10" w14:textId="77777777" w:rsidR="00AA3E4B" w:rsidRPr="00AA3E4B" w:rsidRDefault="00AA3E4B" w:rsidP="00AA3E4B">
      <w:pPr>
        <w:pStyle w:val="BodyText"/>
        <w:numPr>
          <w:ilvl w:val="0"/>
          <w:numId w:val="9"/>
        </w:numPr>
        <w:jc w:val="both"/>
        <w:rPr>
          <w:rFonts w:cs="Arial"/>
          <w:color w:val="auto"/>
          <w:sz w:val="22"/>
          <w:szCs w:val="22"/>
        </w:rPr>
      </w:pPr>
      <w:r w:rsidRPr="00AA3E4B">
        <w:rPr>
          <w:rFonts w:cs="Arial"/>
          <w:color w:val="auto"/>
          <w:sz w:val="22"/>
          <w:szCs w:val="22"/>
        </w:rPr>
        <w:t>The application of age adjustment utility values could actually lead to a negative impact on cost effectiveness if a longer time horizon was adopted.</w:t>
      </w:r>
    </w:p>
    <w:p w14:paraId="3F6EDB33" w14:textId="77777777" w:rsidR="00AA3E4B" w:rsidRPr="00AA3E4B" w:rsidRDefault="00AA3E4B" w:rsidP="00AA3E4B">
      <w:pPr>
        <w:pStyle w:val="BodyText"/>
        <w:jc w:val="both"/>
        <w:rPr>
          <w:rFonts w:cs="Arial"/>
          <w:color w:val="auto"/>
          <w:sz w:val="22"/>
          <w:szCs w:val="22"/>
        </w:rPr>
      </w:pPr>
      <w:r w:rsidRPr="00AA3E4B">
        <w:rPr>
          <w:rFonts w:cs="Arial"/>
          <w:color w:val="auto"/>
          <w:sz w:val="22"/>
          <w:szCs w:val="22"/>
        </w:rPr>
        <w:t>On the basis of the above, I cannot currently see that the Committee’s conclusions are arguably unreasonable on this point.</w:t>
      </w:r>
    </w:p>
    <w:p w14:paraId="1ADC0BF2" w14:textId="77777777" w:rsidR="00AA3E4B" w:rsidRPr="00AA3E4B" w:rsidRDefault="00AA3E4B" w:rsidP="00AA3E4B">
      <w:pPr>
        <w:pStyle w:val="Paragraph"/>
        <w:numPr>
          <w:ilvl w:val="0"/>
          <w:numId w:val="0"/>
        </w:numPr>
        <w:jc w:val="both"/>
        <w:rPr>
          <w:rFonts w:cs="Arial"/>
          <w:b/>
          <w:sz w:val="22"/>
          <w:szCs w:val="22"/>
          <w:u w:val="single"/>
        </w:rPr>
      </w:pPr>
      <w:r w:rsidRPr="00AA3E4B">
        <w:rPr>
          <w:rFonts w:cs="Arial"/>
          <w:b/>
          <w:sz w:val="22"/>
          <w:szCs w:val="22"/>
          <w:u w:val="single"/>
        </w:rPr>
        <w:t>Appeal point 2.2; It is unreasonable for the committee to assess the EQ-5D feasibility study as less scientifically valid than vignette studies</w:t>
      </w:r>
    </w:p>
    <w:p w14:paraId="06C30348" w14:textId="77777777" w:rsidR="00AA3E4B" w:rsidRPr="00AA3E4B" w:rsidRDefault="00AA3E4B" w:rsidP="00AA3E4B">
      <w:pPr>
        <w:pStyle w:val="BodyText"/>
        <w:jc w:val="both"/>
        <w:rPr>
          <w:rFonts w:cs="Arial"/>
          <w:color w:val="auto"/>
          <w:sz w:val="22"/>
          <w:szCs w:val="22"/>
        </w:rPr>
      </w:pPr>
      <w:r w:rsidRPr="00AA3E4B">
        <w:rPr>
          <w:rFonts w:cs="Arial"/>
          <w:color w:val="auto"/>
          <w:sz w:val="22"/>
          <w:szCs w:val="22"/>
        </w:rPr>
        <w:t>I am minded to refer this appeal point to the Appeal Panel.   I agree that it is arguably unreasonable for the Committee to place the relative importance that it did on the benefits of a vignette study.</w:t>
      </w:r>
    </w:p>
    <w:p w14:paraId="026195C3" w14:textId="77777777" w:rsidR="00AA3E4B" w:rsidRPr="00AA3E4B" w:rsidRDefault="00AA3E4B" w:rsidP="00AA3E4B">
      <w:pPr>
        <w:pStyle w:val="Paragraph"/>
        <w:numPr>
          <w:ilvl w:val="0"/>
          <w:numId w:val="0"/>
        </w:numPr>
        <w:jc w:val="both"/>
        <w:rPr>
          <w:rFonts w:cs="Arial"/>
          <w:b/>
          <w:sz w:val="22"/>
          <w:szCs w:val="22"/>
          <w:u w:val="single"/>
        </w:rPr>
      </w:pPr>
      <w:r w:rsidRPr="00AA3E4B">
        <w:rPr>
          <w:rFonts w:cs="Arial"/>
          <w:b/>
          <w:sz w:val="22"/>
          <w:szCs w:val="22"/>
          <w:u w:val="single"/>
        </w:rPr>
        <w:t xml:space="preserve">Appeal point 2.3; It was unreasonable for the committee to not apply a QALY weighting in the case of </w:t>
      </w:r>
      <w:proofErr w:type="spellStart"/>
      <w:r w:rsidRPr="00AA3E4B">
        <w:rPr>
          <w:rFonts w:cs="Arial"/>
          <w:b/>
          <w:sz w:val="22"/>
          <w:szCs w:val="22"/>
          <w:u w:val="single"/>
        </w:rPr>
        <w:t>afamelanotide</w:t>
      </w:r>
      <w:proofErr w:type="spellEnd"/>
    </w:p>
    <w:p w14:paraId="597B76F9" w14:textId="52A6337C" w:rsidR="007211B7" w:rsidRPr="00AA3E4B" w:rsidRDefault="00AA3E4B" w:rsidP="00AA3E4B">
      <w:pPr>
        <w:pStyle w:val="BodyText"/>
        <w:jc w:val="both"/>
        <w:rPr>
          <w:rFonts w:cs="Arial"/>
          <w:color w:val="auto"/>
          <w:sz w:val="22"/>
          <w:szCs w:val="22"/>
        </w:rPr>
      </w:pPr>
      <w:r w:rsidRPr="00AA3E4B">
        <w:rPr>
          <w:rFonts w:cs="Arial"/>
          <w:color w:val="auto"/>
          <w:sz w:val="22"/>
          <w:szCs w:val="22"/>
        </w:rPr>
        <w:t>I am minded to refer this appeal point to the Appeal Panel.   In reaching this view I note that the Committee has accepted that the evidence it considered (and in particular, the HRQOL data) drives a plausible ICER.  Having reached that view, it appears to me that in deciding not to apply a QALY weighting, the Committee must have concluded either that the evidence it considered is not compelling enough to do so, or that the plausible number of QALYs gained over the lifetime of patients is less than or equal to 10.  I anticipate that the Appeal Panel will wish to explore this point.</w:t>
      </w:r>
    </w:p>
    <w:p w14:paraId="2DACF7C4" w14:textId="0826F46C" w:rsidR="00182043" w:rsidRPr="00182043" w:rsidRDefault="00182043" w:rsidP="00182043">
      <w:pPr>
        <w:pStyle w:val="Paragraph"/>
        <w:numPr>
          <w:ilvl w:val="0"/>
          <w:numId w:val="0"/>
        </w:numPr>
        <w:spacing w:before="120"/>
        <w:jc w:val="both"/>
        <w:rPr>
          <w:rFonts w:cs="Arial"/>
          <w:sz w:val="22"/>
          <w:szCs w:val="22"/>
          <w:u w:val="single"/>
          <w:lang w:eastAsia="en-US"/>
        </w:rPr>
      </w:pPr>
      <w:r w:rsidRPr="00182043">
        <w:rPr>
          <w:rFonts w:cs="Arial"/>
          <w:sz w:val="22"/>
          <w:szCs w:val="22"/>
          <w:u w:val="single"/>
          <w:lang w:eastAsia="en-US"/>
        </w:rPr>
        <w:t xml:space="preserve">Conclusion </w:t>
      </w:r>
    </w:p>
    <w:p w14:paraId="5FA9D58B" w14:textId="77777777" w:rsidR="00182043" w:rsidRPr="00182043" w:rsidRDefault="00182043" w:rsidP="00182043">
      <w:pPr>
        <w:pStyle w:val="Paragraph"/>
        <w:numPr>
          <w:ilvl w:val="0"/>
          <w:numId w:val="0"/>
        </w:numPr>
        <w:spacing w:before="120"/>
        <w:jc w:val="both"/>
        <w:rPr>
          <w:rFonts w:cs="Arial"/>
          <w:sz w:val="22"/>
          <w:szCs w:val="22"/>
          <w:lang w:eastAsia="en-US"/>
        </w:rPr>
      </w:pPr>
      <w:r w:rsidRPr="00182043">
        <w:rPr>
          <w:rFonts w:cs="Arial"/>
          <w:sz w:val="22"/>
          <w:szCs w:val="22"/>
          <w:lang w:eastAsia="en-US"/>
        </w:rPr>
        <w:t>The above sets out above my initial views on all of your appeal points.</w:t>
      </w:r>
    </w:p>
    <w:p w14:paraId="1172304F" w14:textId="613493DD" w:rsidR="00182043" w:rsidRPr="00182043" w:rsidRDefault="00182043" w:rsidP="00182043">
      <w:pPr>
        <w:pStyle w:val="Paragraph"/>
        <w:numPr>
          <w:ilvl w:val="0"/>
          <w:numId w:val="0"/>
        </w:numPr>
        <w:spacing w:before="120"/>
        <w:jc w:val="both"/>
        <w:rPr>
          <w:rFonts w:cs="Arial"/>
          <w:sz w:val="22"/>
          <w:szCs w:val="22"/>
          <w:lang w:eastAsia="en-US"/>
        </w:rPr>
      </w:pPr>
      <w:r w:rsidRPr="00182043">
        <w:rPr>
          <w:rFonts w:cs="Arial"/>
          <w:sz w:val="22"/>
          <w:szCs w:val="22"/>
          <w:lang w:eastAsia="en-US"/>
        </w:rPr>
        <w:t xml:space="preserve">In respect of your points which I am not minded to refer on you are entitled to submit further clarification and/or evidence to me </w:t>
      </w:r>
      <w:r w:rsidR="00C146C7" w:rsidRPr="00B6409C">
        <w:rPr>
          <w:rFonts w:cs="Arial"/>
          <w:b/>
          <w:bCs/>
          <w:sz w:val="22"/>
          <w:szCs w:val="22"/>
          <w:lang w:eastAsia="en-US"/>
        </w:rPr>
        <w:t xml:space="preserve">no later than </w:t>
      </w:r>
      <w:r w:rsidR="00507A44">
        <w:rPr>
          <w:rFonts w:cs="Arial"/>
          <w:b/>
          <w:bCs/>
          <w:sz w:val="22"/>
          <w:szCs w:val="22"/>
          <w:lang w:eastAsia="en-US"/>
        </w:rPr>
        <w:t>5pm on 18 April</w:t>
      </w:r>
      <w:r w:rsidR="00652D8F">
        <w:rPr>
          <w:rFonts w:cs="Arial"/>
          <w:b/>
          <w:bCs/>
          <w:sz w:val="22"/>
          <w:szCs w:val="22"/>
          <w:lang w:eastAsia="en-US"/>
        </w:rPr>
        <w:t xml:space="preserve"> 2023</w:t>
      </w:r>
      <w:r w:rsidR="00C146C7" w:rsidRPr="00B6409C">
        <w:rPr>
          <w:rFonts w:cs="Arial"/>
          <w:sz w:val="22"/>
          <w:szCs w:val="22"/>
          <w:lang w:eastAsia="en-US"/>
        </w:rPr>
        <w:t xml:space="preserve"> </w:t>
      </w:r>
      <w:r w:rsidRPr="00B6409C">
        <w:rPr>
          <w:rFonts w:cs="Arial"/>
          <w:sz w:val="22"/>
          <w:szCs w:val="22"/>
          <w:lang w:eastAsia="en-US"/>
        </w:rPr>
        <w:t>and I will then give a final decision on the points to put before an appeal panel.  For the points I am already content to refer on, an oral appeal will be held which</w:t>
      </w:r>
      <w:r w:rsidRPr="00C75716">
        <w:rPr>
          <w:rFonts w:cs="Arial"/>
          <w:sz w:val="22"/>
          <w:szCs w:val="22"/>
          <w:lang w:eastAsia="en-US"/>
        </w:rPr>
        <w:t xml:space="preserve"> </w:t>
      </w:r>
      <w:r w:rsidR="00AA3E4B">
        <w:rPr>
          <w:rFonts w:cs="Arial"/>
          <w:sz w:val="22"/>
          <w:szCs w:val="22"/>
          <w:lang w:eastAsia="en-US"/>
        </w:rPr>
        <w:t>will</w:t>
      </w:r>
      <w:r w:rsidRPr="00C75716">
        <w:rPr>
          <w:rFonts w:cs="Arial"/>
          <w:sz w:val="22"/>
          <w:szCs w:val="22"/>
          <w:lang w:eastAsia="en-US"/>
        </w:rPr>
        <w:t xml:space="preserve"> be held remotely.</w:t>
      </w:r>
    </w:p>
    <w:p w14:paraId="64B3EF02" w14:textId="16AB115C" w:rsidR="00182043" w:rsidRPr="00C146C7" w:rsidRDefault="00182043" w:rsidP="00182043">
      <w:pPr>
        <w:pStyle w:val="Paragraph"/>
        <w:numPr>
          <w:ilvl w:val="0"/>
          <w:numId w:val="0"/>
        </w:numPr>
        <w:spacing w:before="120"/>
        <w:jc w:val="both"/>
        <w:rPr>
          <w:rFonts w:cs="Arial"/>
          <w:b/>
          <w:bCs/>
          <w:sz w:val="22"/>
          <w:szCs w:val="22"/>
        </w:rPr>
      </w:pPr>
      <w:r w:rsidRPr="00182043">
        <w:rPr>
          <w:rFonts w:cs="Arial"/>
          <w:sz w:val="22"/>
          <w:szCs w:val="22"/>
          <w:lang w:eastAsia="en-US"/>
        </w:rPr>
        <w:t xml:space="preserve">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w:t>
      </w:r>
      <w:r w:rsidR="00340525">
        <w:rPr>
          <w:rFonts w:cs="Arial"/>
          <w:sz w:val="22"/>
          <w:szCs w:val="22"/>
          <w:lang w:eastAsia="en-US"/>
        </w:rPr>
        <w:t xml:space="preserve"> </w:t>
      </w:r>
      <w:r w:rsidRPr="00182043">
        <w:rPr>
          <w:rFonts w:cs="Arial"/>
          <w:sz w:val="22"/>
          <w:szCs w:val="22"/>
          <w:lang w:eastAsia="en-US"/>
        </w:rPr>
        <w:t xml:space="preserve">If the appeal letter and/or responses to scrutiny contain confidential </w:t>
      </w:r>
      <w:r w:rsidR="007211B7" w:rsidRPr="00182043">
        <w:rPr>
          <w:rFonts w:cs="Arial"/>
          <w:sz w:val="22"/>
          <w:szCs w:val="22"/>
          <w:lang w:eastAsia="en-US"/>
        </w:rPr>
        <w:t>information,</w:t>
      </w:r>
      <w:r w:rsidRPr="00182043">
        <w:rPr>
          <w:rFonts w:cs="Arial"/>
          <w:sz w:val="22"/>
          <w:szCs w:val="22"/>
        </w:rPr>
        <w:t xml:space="preserve"> please ensure you have provided a version with this information redacted </w:t>
      </w:r>
      <w:r w:rsidRPr="00B6409C">
        <w:rPr>
          <w:rFonts w:cs="Arial"/>
          <w:sz w:val="22"/>
          <w:szCs w:val="22"/>
        </w:rPr>
        <w:t xml:space="preserve">by </w:t>
      </w:r>
      <w:r w:rsidR="00D05AEA">
        <w:rPr>
          <w:rFonts w:cs="Arial"/>
          <w:b/>
          <w:bCs/>
          <w:sz w:val="22"/>
          <w:szCs w:val="22"/>
        </w:rPr>
        <w:t xml:space="preserve">24 </w:t>
      </w:r>
      <w:r w:rsidR="00112E36">
        <w:rPr>
          <w:rFonts w:cs="Arial"/>
          <w:b/>
          <w:bCs/>
          <w:sz w:val="22"/>
          <w:szCs w:val="22"/>
        </w:rPr>
        <w:t>April</w:t>
      </w:r>
      <w:r w:rsidR="00D05AEA">
        <w:rPr>
          <w:rFonts w:cs="Arial"/>
          <w:b/>
          <w:bCs/>
          <w:sz w:val="22"/>
          <w:szCs w:val="22"/>
        </w:rPr>
        <w:t xml:space="preserve"> 2023</w:t>
      </w:r>
      <w:r w:rsidR="00C75716" w:rsidRPr="00B6409C">
        <w:rPr>
          <w:rFonts w:cs="Arial"/>
          <w:b/>
          <w:bCs/>
          <w:sz w:val="22"/>
          <w:szCs w:val="22"/>
        </w:rPr>
        <w:t>.</w:t>
      </w:r>
    </w:p>
    <w:p w14:paraId="65E51549" w14:textId="724E82D1" w:rsidR="00182043" w:rsidRPr="00182043" w:rsidRDefault="00182043" w:rsidP="00182043">
      <w:pPr>
        <w:pStyle w:val="Paragraph"/>
        <w:numPr>
          <w:ilvl w:val="0"/>
          <w:numId w:val="0"/>
        </w:numPr>
        <w:spacing w:before="120"/>
        <w:jc w:val="both"/>
        <w:rPr>
          <w:rFonts w:cs="Arial"/>
          <w:sz w:val="22"/>
          <w:szCs w:val="22"/>
        </w:rPr>
      </w:pPr>
      <w:r w:rsidRPr="00182043">
        <w:rPr>
          <w:rFonts w:cs="Arial"/>
          <w:sz w:val="22"/>
          <w:szCs w:val="22"/>
        </w:rPr>
        <w:lastRenderedPageBreak/>
        <w:t xml:space="preserve">Ordinarily appeals are conducted on the basis of the appellants’ written appeal letters, and the material generated during the appraisal process.  Use of additional written material is discouraged, and the panel cannot receive any new evidence.  If, exceptionally, you feel there is written material that will not be before the panel that you would wish to rely on you must let the NICE Appeal team know by return of letter, indicating what the material is, why it is desirable to submit it, and when it will be available, by no later than </w:t>
      </w:r>
      <w:r w:rsidR="00112E36">
        <w:rPr>
          <w:rFonts w:cs="Arial"/>
          <w:b/>
          <w:bCs/>
          <w:sz w:val="22"/>
          <w:szCs w:val="22"/>
        </w:rPr>
        <w:t>19 April</w:t>
      </w:r>
      <w:r w:rsidR="00652D8F">
        <w:rPr>
          <w:rFonts w:cs="Arial"/>
          <w:b/>
          <w:bCs/>
          <w:sz w:val="22"/>
          <w:szCs w:val="22"/>
        </w:rPr>
        <w:t xml:space="preserve"> 2023</w:t>
      </w:r>
      <w:r w:rsidRPr="00182043">
        <w:rPr>
          <w:rFonts w:cs="Arial"/>
          <w:sz w:val="22"/>
          <w:szCs w:val="22"/>
        </w:rPr>
        <w:t>.  Please note that the appeal panel cannot accept papers that are tabled late or ad hoc, as this affects the preparation of the panel and other parties for the appeal.</w:t>
      </w:r>
    </w:p>
    <w:p w14:paraId="206E9180" w14:textId="31D944C3" w:rsidR="00182043" w:rsidRDefault="00182043" w:rsidP="00182043">
      <w:pPr>
        <w:jc w:val="both"/>
        <w:rPr>
          <w:rFonts w:ascii="Arial" w:hAnsi="Arial" w:cs="Arial"/>
        </w:rPr>
      </w:pPr>
      <w:r w:rsidRPr="00182043">
        <w:rPr>
          <w:rFonts w:ascii="Arial" w:hAnsi="Arial" w:cs="Arial"/>
        </w:rPr>
        <w:t>Yours sincerely</w:t>
      </w:r>
    </w:p>
    <w:p w14:paraId="772FCA33" w14:textId="7C2E17A4" w:rsidR="00C146C7" w:rsidRPr="00182043" w:rsidRDefault="00C146C7" w:rsidP="00182043">
      <w:pPr>
        <w:jc w:val="both"/>
        <w:rPr>
          <w:rFonts w:ascii="Arial" w:hAnsi="Arial" w:cs="Arial"/>
        </w:rPr>
      </w:pPr>
    </w:p>
    <w:p w14:paraId="4CD09844" w14:textId="77777777" w:rsidR="00182043" w:rsidRPr="00182043" w:rsidRDefault="00182043" w:rsidP="00182043">
      <w:pPr>
        <w:spacing w:line="360" w:lineRule="auto"/>
        <w:jc w:val="both"/>
        <w:rPr>
          <w:rFonts w:ascii="Arial" w:hAnsi="Arial" w:cs="Arial"/>
        </w:rPr>
      </w:pPr>
      <w:r w:rsidRPr="00182043">
        <w:rPr>
          <w:rFonts w:ascii="Arial" w:hAnsi="Arial" w:cs="Arial"/>
        </w:rPr>
        <w:t>Dr Mark Chakravarty</w:t>
      </w:r>
    </w:p>
    <w:p w14:paraId="796E4E74" w14:textId="77777777" w:rsidR="00182043" w:rsidRPr="00182043" w:rsidRDefault="00182043" w:rsidP="00182043">
      <w:pPr>
        <w:spacing w:line="360" w:lineRule="auto"/>
        <w:jc w:val="both"/>
        <w:rPr>
          <w:rFonts w:ascii="Arial" w:hAnsi="Arial" w:cs="Arial"/>
        </w:rPr>
      </w:pPr>
      <w:r w:rsidRPr="00182043">
        <w:rPr>
          <w:rFonts w:ascii="Arial" w:hAnsi="Arial" w:cs="Arial"/>
        </w:rPr>
        <w:t>Lead Non-Executive Director for Appeals &amp; Vice Chairman</w:t>
      </w:r>
    </w:p>
    <w:p w14:paraId="17C4AB9C" w14:textId="77777777" w:rsidR="00182043" w:rsidRPr="00182043" w:rsidRDefault="00182043" w:rsidP="00182043">
      <w:pPr>
        <w:spacing w:line="360" w:lineRule="auto"/>
        <w:jc w:val="both"/>
        <w:rPr>
          <w:rFonts w:ascii="Arial" w:hAnsi="Arial" w:cs="Arial"/>
        </w:rPr>
      </w:pPr>
      <w:r w:rsidRPr="00182043">
        <w:rPr>
          <w:rFonts w:ascii="Arial" w:hAnsi="Arial" w:cs="Arial"/>
        </w:rPr>
        <w:t>National Institute for Health and Care Excellence</w:t>
      </w:r>
    </w:p>
    <w:p w14:paraId="18A30C3F" w14:textId="6EF82FB3" w:rsidR="00FE3296" w:rsidRDefault="00FE3296" w:rsidP="00182043">
      <w:pPr>
        <w:rPr>
          <w:rFonts w:ascii="Arial" w:hAnsi="Arial" w:cs="Arial"/>
          <w:sz w:val="24"/>
          <w:szCs w:val="24"/>
        </w:rPr>
      </w:pPr>
    </w:p>
    <w:p w14:paraId="18945A07" w14:textId="70B68FDF" w:rsidR="003A3E2E" w:rsidRDefault="003A3E2E" w:rsidP="004215D9">
      <w:pPr>
        <w:rPr>
          <w:rFonts w:ascii="Arial" w:hAnsi="Arial" w:cs="Arial"/>
          <w:sz w:val="24"/>
          <w:szCs w:val="24"/>
        </w:rPr>
      </w:pPr>
    </w:p>
    <w:p w14:paraId="26BA590C" w14:textId="0206268E" w:rsidR="003A3E2E" w:rsidRDefault="003A3E2E" w:rsidP="004215D9">
      <w:pPr>
        <w:rPr>
          <w:rFonts w:ascii="Arial" w:hAnsi="Arial" w:cs="Arial"/>
          <w:sz w:val="24"/>
          <w:szCs w:val="24"/>
        </w:rPr>
      </w:pPr>
    </w:p>
    <w:p w14:paraId="2E0AD09E" w14:textId="6FF1F9CA" w:rsidR="000B36E1" w:rsidRDefault="000B36E1" w:rsidP="004215D9">
      <w:pPr>
        <w:rPr>
          <w:rFonts w:ascii="Arial" w:hAnsi="Arial" w:cs="Arial"/>
          <w:sz w:val="24"/>
          <w:szCs w:val="24"/>
        </w:rPr>
      </w:pPr>
    </w:p>
    <w:sectPr w:rsidR="000B36E1" w:rsidSect="000B36E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3F45C" w14:textId="77777777" w:rsidR="00DD427C" w:rsidRDefault="00DD427C" w:rsidP="000B352B">
      <w:pPr>
        <w:spacing w:after="0" w:line="240" w:lineRule="auto"/>
      </w:pPr>
      <w:r>
        <w:separator/>
      </w:r>
    </w:p>
  </w:endnote>
  <w:endnote w:type="continuationSeparator" w:id="0">
    <w:p w14:paraId="31CCEB5A" w14:textId="77777777" w:rsidR="00DD427C" w:rsidRDefault="00DD427C"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3776ABA7" w:rsidR="000B36E1" w:rsidRDefault="00C40D8A">
    <w:pPr>
      <w:pStyle w:val="Footer"/>
    </w:pPr>
    <w:r>
      <w:rPr>
        <w:noProof/>
        <w:lang w:eastAsia="en-GB"/>
      </w:rPr>
      <w:drawing>
        <wp:anchor distT="0" distB="0" distL="114300" distR="114300" simplePos="0" relativeHeight="251663359" behindDoc="0" locked="0" layoutInCell="1" allowOverlap="1" wp14:anchorId="4DC90DD5" wp14:editId="3E6B5A5E">
          <wp:simplePos x="0" y="0"/>
          <wp:positionH relativeFrom="margin">
            <wp:align>center</wp:align>
          </wp:positionH>
          <wp:positionV relativeFrom="paragraph">
            <wp:posOffset>-91440</wp:posOffset>
          </wp:positionV>
          <wp:extent cx="7003627" cy="50292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3627"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5350" w14:textId="77777777" w:rsidR="00DD427C" w:rsidRDefault="00DD427C" w:rsidP="000B352B">
      <w:pPr>
        <w:spacing w:after="0" w:line="240" w:lineRule="auto"/>
      </w:pPr>
      <w:r>
        <w:separator/>
      </w:r>
    </w:p>
  </w:footnote>
  <w:footnote w:type="continuationSeparator" w:id="0">
    <w:p w14:paraId="7CFCA87A" w14:textId="77777777" w:rsidR="00DD427C" w:rsidRDefault="00DD427C"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71354521" w:rsidR="000B36E1" w:rsidRPr="0096252B" w:rsidRDefault="007164A3" w:rsidP="000B36E1">
    <w:pPr>
      <w:pStyle w:val="Header"/>
      <w:tabs>
        <w:tab w:val="clear" w:pos="9026"/>
        <w:tab w:val="right" w:pos="10065"/>
      </w:tabs>
      <w:ind w:right="-1039"/>
      <w:jc w:val="right"/>
      <w:rPr>
        <w:rFonts w:ascii="Arial" w:hAnsi="Arial" w:cs="Arial"/>
        <w:color w:val="0E0E0E"/>
        <w:sz w:val="20"/>
        <w:szCs w:val="20"/>
      </w:rPr>
    </w:pPr>
    <w:r>
      <w:rPr>
        <w:noProof/>
        <w:color w:val="0E0E0E"/>
        <w:lang w:eastAsia="en-GB"/>
      </w:rPr>
      <w:drawing>
        <wp:anchor distT="0" distB="0" distL="114300" distR="114300" simplePos="0" relativeHeight="251666432" behindDoc="0" locked="0" layoutInCell="1" allowOverlap="1" wp14:anchorId="204F59F7" wp14:editId="59F95048">
          <wp:simplePos x="0" y="0"/>
          <wp:positionH relativeFrom="column">
            <wp:posOffset>-518160</wp:posOffset>
          </wp:positionH>
          <wp:positionV relativeFrom="paragraph">
            <wp:posOffset>7620</wp:posOffset>
          </wp:positionV>
          <wp:extent cx="2598420" cy="269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269348"/>
                  </a:xfrm>
                  <a:prstGeom prst="rect">
                    <a:avLst/>
                  </a:prstGeom>
                  <a:noFill/>
                  <a:ln>
                    <a:noFill/>
                  </a:ln>
                </pic:spPr>
              </pic:pic>
            </a:graphicData>
          </a:graphic>
        </wp:anchor>
      </w:drawing>
    </w:r>
    <w:r w:rsidR="000B36E1">
      <w:tab/>
    </w:r>
    <w:r w:rsidR="000B36E1" w:rsidRPr="0096252B">
      <w:rPr>
        <w:rFonts w:ascii="Arial" w:hAnsi="Arial" w:cs="Arial"/>
        <w:noProof/>
        <w:color w:val="0E0E0E"/>
        <w:sz w:val="20"/>
        <w:szCs w:val="20"/>
        <w:lang w:eastAsia="en-GB"/>
      </w:rPr>
      <w:softHyphen/>
    </w:r>
    <w:r w:rsidR="0003729F" w:rsidRPr="0096252B">
      <w:rPr>
        <w:rFonts w:ascii="Arial" w:hAnsi="Arial" w:cs="Arial"/>
        <w:color w:val="0E0E0E"/>
        <w:sz w:val="20"/>
        <w:szCs w:val="20"/>
      </w:rPr>
      <w:t>2</w:t>
    </w:r>
    <w:r w:rsidR="0003729F" w:rsidRPr="0096252B">
      <w:rPr>
        <w:rFonts w:ascii="Arial" w:hAnsi="Arial" w:cs="Arial"/>
        <w:color w:val="0E0E0E"/>
        <w:sz w:val="20"/>
        <w:szCs w:val="20"/>
        <w:vertAlign w:val="superscript"/>
      </w:rPr>
      <w:t>nd</w:t>
    </w:r>
    <w:r w:rsidR="0003729F" w:rsidRPr="0096252B">
      <w:rPr>
        <w:rFonts w:ascii="Arial" w:hAnsi="Arial" w:cs="Arial"/>
        <w:color w:val="0E0E0E"/>
        <w:sz w:val="20"/>
        <w:szCs w:val="20"/>
      </w:rPr>
      <w:t xml:space="preserve"> Floor</w:t>
    </w:r>
  </w:p>
  <w:p w14:paraId="3809122A" w14:textId="119E090B" w:rsidR="0003729F" w:rsidRPr="0096252B" w:rsidRDefault="0003729F"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2 Redm</w:t>
    </w:r>
    <w:r w:rsidR="00E67BD1" w:rsidRPr="0096252B">
      <w:rPr>
        <w:rFonts w:ascii="Arial" w:hAnsi="Arial" w:cs="Arial"/>
        <w:color w:val="0E0E0E"/>
        <w:sz w:val="20"/>
        <w:szCs w:val="20"/>
      </w:rPr>
      <w:t>an</w:t>
    </w:r>
    <w:r w:rsidRPr="0096252B">
      <w:rPr>
        <w:rFonts w:ascii="Arial" w:hAnsi="Arial" w:cs="Arial"/>
        <w:color w:val="0E0E0E"/>
        <w:sz w:val="20"/>
        <w:szCs w:val="20"/>
      </w:rPr>
      <w:t xml:space="preserve"> Place</w:t>
    </w:r>
  </w:p>
  <w:p w14:paraId="49A56729"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softHyphen/>
      <w:t>London</w:t>
    </w:r>
  </w:p>
  <w:p w14:paraId="69737D36" w14:textId="720B211D" w:rsidR="000B36E1" w:rsidRPr="0096252B" w:rsidRDefault="0003729F"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E20 1JQ</w:t>
    </w:r>
  </w:p>
  <w:p w14:paraId="0E978159"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United Kingdom</w:t>
    </w:r>
  </w:p>
  <w:p w14:paraId="6549E90E"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96252B" w:rsidRDefault="003A3E2E" w:rsidP="003A3E2E">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50558C"/>
    <w:multiLevelType w:val="hybridMultilevel"/>
    <w:tmpl w:val="F42CC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3540A3"/>
    <w:multiLevelType w:val="hybridMultilevel"/>
    <w:tmpl w:val="DDDA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B46749"/>
    <w:multiLevelType w:val="hybridMultilevel"/>
    <w:tmpl w:val="C8F0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8379814">
    <w:abstractNumId w:val="0"/>
  </w:num>
  <w:num w:numId="2" w16cid:durableId="1755396163">
    <w:abstractNumId w:val="6"/>
  </w:num>
  <w:num w:numId="3" w16cid:durableId="617566032">
    <w:abstractNumId w:val="7"/>
  </w:num>
  <w:num w:numId="4" w16cid:durableId="1985115790">
    <w:abstractNumId w:val="1"/>
  </w:num>
  <w:num w:numId="5" w16cid:durableId="2083064228">
    <w:abstractNumId w:val="2"/>
  </w:num>
  <w:num w:numId="6" w16cid:durableId="2017612262">
    <w:abstractNumId w:val="8"/>
  </w:num>
  <w:num w:numId="7" w16cid:durableId="1052802504">
    <w:abstractNumId w:val="5"/>
  </w:num>
  <w:num w:numId="8" w16cid:durableId="1881279785">
    <w:abstractNumId w:val="4"/>
  </w:num>
  <w:num w:numId="9" w16cid:durableId="861818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76563"/>
    <w:rsid w:val="00085181"/>
    <w:rsid w:val="000B352B"/>
    <w:rsid w:val="000B36E1"/>
    <w:rsid w:val="000E6B73"/>
    <w:rsid w:val="00112E36"/>
    <w:rsid w:val="00126A0D"/>
    <w:rsid w:val="00176AA4"/>
    <w:rsid w:val="00182043"/>
    <w:rsid w:val="001D5BD2"/>
    <w:rsid w:val="001E034B"/>
    <w:rsid w:val="0022689E"/>
    <w:rsid w:val="00320722"/>
    <w:rsid w:val="00321B75"/>
    <w:rsid w:val="00340525"/>
    <w:rsid w:val="003A0ABD"/>
    <w:rsid w:val="003A3E2E"/>
    <w:rsid w:val="003A79BD"/>
    <w:rsid w:val="003B4EB8"/>
    <w:rsid w:val="003D614E"/>
    <w:rsid w:val="004215D9"/>
    <w:rsid w:val="00453774"/>
    <w:rsid w:val="00493D2F"/>
    <w:rsid w:val="004C2D22"/>
    <w:rsid w:val="004E4493"/>
    <w:rsid w:val="004F29D7"/>
    <w:rsid w:val="00507A44"/>
    <w:rsid w:val="005B078B"/>
    <w:rsid w:val="005B32CE"/>
    <w:rsid w:val="005E0434"/>
    <w:rsid w:val="00652D8F"/>
    <w:rsid w:val="0069376C"/>
    <w:rsid w:val="006C3E03"/>
    <w:rsid w:val="006D0C62"/>
    <w:rsid w:val="006F031D"/>
    <w:rsid w:val="007164A3"/>
    <w:rsid w:val="007211B7"/>
    <w:rsid w:val="00732227"/>
    <w:rsid w:val="00771961"/>
    <w:rsid w:val="008A21C5"/>
    <w:rsid w:val="0096252B"/>
    <w:rsid w:val="009E2F15"/>
    <w:rsid w:val="00A60AB5"/>
    <w:rsid w:val="00AA3E4B"/>
    <w:rsid w:val="00AC5993"/>
    <w:rsid w:val="00AE303D"/>
    <w:rsid w:val="00AF4AE0"/>
    <w:rsid w:val="00B32B71"/>
    <w:rsid w:val="00B6409C"/>
    <w:rsid w:val="00C146C7"/>
    <w:rsid w:val="00C40D8A"/>
    <w:rsid w:val="00C55153"/>
    <w:rsid w:val="00C75716"/>
    <w:rsid w:val="00C96687"/>
    <w:rsid w:val="00D05AEA"/>
    <w:rsid w:val="00DC412C"/>
    <w:rsid w:val="00DD427C"/>
    <w:rsid w:val="00E03263"/>
    <w:rsid w:val="00E622D7"/>
    <w:rsid w:val="00E67BD1"/>
    <w:rsid w:val="00EA3919"/>
    <w:rsid w:val="00EE6553"/>
    <w:rsid w:val="00F1265E"/>
    <w:rsid w:val="00F233EA"/>
    <w:rsid w:val="00F3123B"/>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styleId="BodyText">
    <w:name w:val="Body Text"/>
    <w:basedOn w:val="Normal"/>
    <w:link w:val="BodyTextChar"/>
    <w:rsid w:val="00182043"/>
    <w:pPr>
      <w:spacing w:line="288" w:lineRule="auto"/>
    </w:pPr>
    <w:rPr>
      <w:rFonts w:ascii="Arial" w:eastAsia="Times New Roman" w:hAnsi="Arial"/>
      <w:color w:val="333333"/>
      <w:sz w:val="20"/>
      <w:szCs w:val="20"/>
    </w:rPr>
  </w:style>
  <w:style w:type="character" w:customStyle="1" w:styleId="BodyTextChar">
    <w:name w:val="Body Text Char"/>
    <w:basedOn w:val="DefaultParagraphFont"/>
    <w:link w:val="BodyText"/>
    <w:rsid w:val="00182043"/>
    <w:rPr>
      <w:rFonts w:ascii="Arial" w:eastAsia="Times New Roman" w:hAnsi="Arial"/>
      <w:color w:val="333333"/>
      <w:lang w:eastAsia="en-US"/>
    </w:rPr>
  </w:style>
  <w:style w:type="character" w:styleId="Hyperlink">
    <w:name w:val="Hyperlink"/>
    <w:basedOn w:val="DefaultParagraphFont"/>
    <w:uiPriority w:val="99"/>
    <w:rsid w:val="00182043"/>
    <w:rPr>
      <w:color w:val="0000FF"/>
      <w:u w:val="single"/>
    </w:rPr>
  </w:style>
  <w:style w:type="paragraph" w:styleId="ListParagraph">
    <w:name w:val="List Paragraph"/>
    <w:basedOn w:val="Normal"/>
    <w:uiPriority w:val="1"/>
    <w:qFormat/>
    <w:rsid w:val="00182043"/>
    <w:pPr>
      <w:spacing w:after="0" w:line="288" w:lineRule="auto"/>
      <w:ind w:left="720"/>
      <w:contextualSpacing/>
    </w:pPr>
    <w:rPr>
      <w:rFonts w:ascii="Arial" w:eastAsia="Times New Roman" w:hAnsi="Arial"/>
      <w:sz w:val="20"/>
      <w:szCs w:val="20"/>
    </w:rPr>
  </w:style>
  <w:style w:type="paragraph" w:customStyle="1" w:styleId="Paragraph">
    <w:name w:val="Paragraph"/>
    <w:basedOn w:val="Normal"/>
    <w:uiPriority w:val="4"/>
    <w:qFormat/>
    <w:rsid w:val="00182043"/>
    <w:pPr>
      <w:numPr>
        <w:numId w:val="2"/>
      </w:numPr>
      <w:spacing w:before="240" w:after="240"/>
    </w:pPr>
    <w:rPr>
      <w:rFonts w:ascii="Arial" w:eastAsia="Times New Roman" w:hAnsi="Arial"/>
      <w:sz w:val="24"/>
      <w:szCs w:val="24"/>
      <w:lang w:eastAsia="en-GB"/>
    </w:rPr>
  </w:style>
  <w:style w:type="character" w:styleId="UnresolvedMention">
    <w:name w:val="Unresolved Mention"/>
    <w:basedOn w:val="DefaultParagraphFont"/>
    <w:uiPriority w:val="99"/>
    <w:semiHidden/>
    <w:unhideWhenUsed/>
    <w:rsid w:val="0018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gid-hst10009/documents/committee-papers-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23</TotalTime>
  <Pages>5</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Emma Gordon</cp:lastModifiedBy>
  <cp:revision>7</cp:revision>
  <cp:lastPrinted>2017-02-13T09:51:00Z</cp:lastPrinted>
  <dcterms:created xsi:type="dcterms:W3CDTF">2023-03-30T13:33:00Z</dcterms:created>
  <dcterms:modified xsi:type="dcterms:W3CDTF">2023-05-02T14:39:00Z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2023-03-30T13:33:14Z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24455958-1e63-44af-8c97-d0f655bbfc75</vt:lpwstr>
  </property>
  <property fmtid="{D5CDD505-2E9C-101B-9397-08002B2CF9AE}" pid="8" name="MSIP_Label_c69d85d5-6d9e-4305-a294-1f636ec0f2d6_ContentBits">
    <vt:lpwstr>0</vt:lpwstr>
  </property>
</Properties>
</file>