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EDF38" w14:textId="24881618" w:rsidR="00172E99" w:rsidRPr="00D47672" w:rsidRDefault="004B0733" w:rsidP="00D47672">
      <w:pPr>
        <w:pStyle w:val="Heading1"/>
        <w:jc w:val="center"/>
        <w:rPr>
          <w:sz w:val="24"/>
          <w:szCs w:val="24"/>
        </w:rPr>
      </w:pPr>
      <w:r w:rsidRPr="00D47672">
        <w:rPr>
          <w:sz w:val="24"/>
          <w:szCs w:val="24"/>
        </w:rPr>
        <w:t>P</w:t>
      </w:r>
      <w:r w:rsidR="001C369D" w:rsidRPr="00D47672">
        <w:rPr>
          <w:sz w:val="24"/>
          <w:szCs w:val="24"/>
        </w:rPr>
        <w:t>rotocol</w:t>
      </w:r>
      <w:r w:rsidR="00172E99" w:rsidRPr="00D47672">
        <w:rPr>
          <w:sz w:val="24"/>
          <w:szCs w:val="24"/>
        </w:rPr>
        <w:t xml:space="preserve"> </w:t>
      </w:r>
      <w:r w:rsidRPr="00D47672">
        <w:rPr>
          <w:sz w:val="24"/>
          <w:szCs w:val="24"/>
        </w:rPr>
        <w:t xml:space="preserve">addendum </w:t>
      </w:r>
      <w:r w:rsidR="00172E99" w:rsidRPr="00D47672">
        <w:rPr>
          <w:sz w:val="24"/>
          <w:szCs w:val="24"/>
        </w:rPr>
        <w:t xml:space="preserve">for the technology evaluation of ceftazidime with avibactam for treating </w:t>
      </w:r>
      <w:r w:rsidR="00D47672">
        <w:rPr>
          <w:sz w:val="24"/>
          <w:szCs w:val="24"/>
        </w:rPr>
        <w:br/>
      </w:r>
      <w:r w:rsidR="00172E99" w:rsidRPr="00D47672">
        <w:rPr>
          <w:sz w:val="24"/>
          <w:szCs w:val="24"/>
        </w:rPr>
        <w:t xml:space="preserve">severe aerobic Gram-negative bacterial </w:t>
      </w:r>
      <w:proofErr w:type="gramStart"/>
      <w:r w:rsidR="00172E99" w:rsidRPr="00D47672">
        <w:rPr>
          <w:sz w:val="24"/>
          <w:szCs w:val="24"/>
        </w:rPr>
        <w:t>infections</w:t>
      </w:r>
      <w:proofErr w:type="gramEnd"/>
    </w:p>
    <w:p w14:paraId="7B8F903C" w14:textId="66D3EEA5" w:rsidR="001C369D" w:rsidRPr="001C369D" w:rsidRDefault="001C369D" w:rsidP="001C369D">
      <w:pPr>
        <w:spacing w:after="0" w:line="360" w:lineRule="auto"/>
        <w:rPr>
          <w:rFonts w:ascii="Arial" w:hAnsi="Arial" w:cs="Arial"/>
          <w:b/>
          <w:bCs/>
        </w:rPr>
      </w:pPr>
      <w:r w:rsidRPr="001C369D">
        <w:rPr>
          <w:rFonts w:ascii="Arial" w:hAnsi="Arial" w:cs="Arial"/>
          <w:b/>
          <w:bCs/>
        </w:rPr>
        <w:t xml:space="preserve">Table 1: </w:t>
      </w:r>
      <w:r w:rsidR="00172E99" w:rsidRPr="001C369D">
        <w:rPr>
          <w:rFonts w:ascii="Arial" w:hAnsi="Arial" w:cs="Arial"/>
          <w:b/>
          <w:bCs/>
        </w:rPr>
        <w:t xml:space="preserve">Population, </w:t>
      </w:r>
      <w:r w:rsidR="004B0733">
        <w:rPr>
          <w:rFonts w:ascii="Arial" w:hAnsi="Arial" w:cs="Arial"/>
          <w:b/>
          <w:bCs/>
        </w:rPr>
        <w:t>i</w:t>
      </w:r>
      <w:r w:rsidR="00172E99" w:rsidRPr="001C369D">
        <w:rPr>
          <w:rFonts w:ascii="Arial" w:hAnsi="Arial" w:cs="Arial"/>
          <w:b/>
          <w:bCs/>
        </w:rPr>
        <w:t xml:space="preserve">ntervention, </w:t>
      </w:r>
      <w:r w:rsidR="004B0733">
        <w:rPr>
          <w:rFonts w:ascii="Arial" w:hAnsi="Arial" w:cs="Arial"/>
          <w:b/>
          <w:bCs/>
        </w:rPr>
        <w:t>c</w:t>
      </w:r>
      <w:r w:rsidR="00172E99" w:rsidRPr="001C369D">
        <w:rPr>
          <w:rFonts w:ascii="Arial" w:hAnsi="Arial" w:cs="Arial"/>
          <w:b/>
          <w:bCs/>
        </w:rPr>
        <w:t>ompar</w:t>
      </w:r>
      <w:r w:rsidR="004B0733">
        <w:rPr>
          <w:rFonts w:ascii="Arial" w:hAnsi="Arial" w:cs="Arial"/>
          <w:b/>
          <w:bCs/>
        </w:rPr>
        <w:t>ators</w:t>
      </w:r>
      <w:r w:rsidR="00172E99" w:rsidRPr="001C369D">
        <w:rPr>
          <w:rFonts w:ascii="Arial" w:hAnsi="Arial" w:cs="Arial"/>
          <w:b/>
          <w:bCs/>
        </w:rPr>
        <w:t xml:space="preserve">, </w:t>
      </w:r>
      <w:proofErr w:type="gramStart"/>
      <w:r w:rsidR="004B0733">
        <w:rPr>
          <w:rFonts w:ascii="Arial" w:hAnsi="Arial" w:cs="Arial"/>
          <w:b/>
          <w:bCs/>
        </w:rPr>
        <w:t>o</w:t>
      </w:r>
      <w:r w:rsidR="00172E99" w:rsidRPr="001C369D">
        <w:rPr>
          <w:rFonts w:ascii="Arial" w:hAnsi="Arial" w:cs="Arial"/>
          <w:b/>
          <w:bCs/>
        </w:rPr>
        <w:t>utcomes</w:t>
      </w:r>
      <w:proofErr w:type="gramEnd"/>
      <w:r w:rsidR="00172E99">
        <w:rPr>
          <w:rFonts w:ascii="Arial" w:hAnsi="Arial" w:cs="Arial"/>
          <w:b/>
          <w:bCs/>
        </w:rPr>
        <w:t xml:space="preserve"> and </w:t>
      </w:r>
      <w:r w:rsidR="004B0733">
        <w:rPr>
          <w:rFonts w:ascii="Arial" w:hAnsi="Arial" w:cs="Arial"/>
          <w:b/>
          <w:bCs/>
        </w:rPr>
        <w:t>s</w:t>
      </w:r>
      <w:r w:rsidR="00172E99">
        <w:rPr>
          <w:rFonts w:ascii="Arial" w:hAnsi="Arial" w:cs="Arial"/>
          <w:b/>
          <w:bCs/>
        </w:rPr>
        <w:t>tudy</w:t>
      </w:r>
      <w:r w:rsidR="00172E99" w:rsidRPr="001C369D">
        <w:rPr>
          <w:rFonts w:ascii="Arial" w:hAnsi="Arial" w:cs="Arial"/>
          <w:b/>
          <w:bCs/>
        </w:rPr>
        <w:t xml:space="preserve"> </w:t>
      </w:r>
      <w:r w:rsidR="00172E99">
        <w:rPr>
          <w:rFonts w:ascii="Arial" w:hAnsi="Arial" w:cs="Arial"/>
          <w:b/>
          <w:bCs/>
        </w:rPr>
        <w:t>design (</w:t>
      </w:r>
      <w:r w:rsidRPr="001C369D">
        <w:rPr>
          <w:rFonts w:ascii="Arial" w:hAnsi="Arial" w:cs="Arial"/>
          <w:b/>
          <w:bCs/>
        </w:rPr>
        <w:t>PICOS</w:t>
      </w:r>
      <w:r w:rsidR="00172E99">
        <w:rPr>
          <w:rFonts w:ascii="Arial" w:hAnsi="Arial" w:cs="Arial"/>
          <w:b/>
          <w:bCs/>
        </w:rPr>
        <w:t>)</w:t>
      </w:r>
      <w:r w:rsidRPr="001C369D">
        <w:rPr>
          <w:rFonts w:ascii="Arial" w:hAnsi="Arial" w:cs="Arial"/>
          <w:b/>
          <w:bCs/>
        </w:rPr>
        <w:t xml:space="preserve"> for the </w:t>
      </w:r>
      <w:r w:rsidR="00172E99">
        <w:rPr>
          <w:rFonts w:ascii="Arial" w:hAnsi="Arial" w:cs="Arial"/>
          <w:b/>
          <w:bCs/>
        </w:rPr>
        <w:t>high value clinical scenarios (</w:t>
      </w:r>
      <w:r w:rsidRPr="001C369D">
        <w:rPr>
          <w:rFonts w:ascii="Arial" w:hAnsi="Arial" w:cs="Arial"/>
          <w:b/>
          <w:bCs/>
        </w:rPr>
        <w:t>HVCSs</w:t>
      </w:r>
      <w:r w:rsidR="00172E99">
        <w:rPr>
          <w:rFonts w:ascii="Arial" w:hAnsi="Arial" w:cs="Arial"/>
          <w:b/>
          <w:bCs/>
        </w:rPr>
        <w:t>)</w:t>
      </w:r>
    </w:p>
    <w:tbl>
      <w:tblPr>
        <w:tblStyle w:val="TableGrid"/>
        <w:tblW w:w="5130" w:type="pct"/>
        <w:tblLook w:val="04A0" w:firstRow="1" w:lastRow="0" w:firstColumn="1" w:lastColumn="0" w:noHBand="0" w:noVBand="1"/>
      </w:tblPr>
      <w:tblGrid>
        <w:gridCol w:w="2230"/>
        <w:gridCol w:w="5934"/>
        <w:gridCol w:w="6147"/>
      </w:tblGrid>
      <w:tr w:rsidR="001C369D" w:rsidRPr="007B3A9E" w14:paraId="612B6AA4" w14:textId="77777777" w:rsidTr="00F65B3D">
        <w:trPr>
          <w:tblHeader/>
        </w:trPr>
        <w:tc>
          <w:tcPr>
            <w:tcW w:w="716" w:type="pct"/>
          </w:tcPr>
          <w:p w14:paraId="4D9D41DC" w14:textId="77777777" w:rsidR="001C369D" w:rsidRPr="009B68E5" w:rsidRDefault="001C369D" w:rsidP="001C369D">
            <w:pPr>
              <w:spacing w:after="0" w:line="240" w:lineRule="auto"/>
              <w:jc w:val="both"/>
              <w:rPr>
                <w:rFonts w:cstheme="minorHAnsi"/>
                <w:b/>
                <w:bCs/>
              </w:rPr>
            </w:pPr>
            <w:r w:rsidRPr="009B68E5">
              <w:rPr>
                <w:rFonts w:cstheme="minorHAnsi"/>
                <w:b/>
                <w:bCs/>
              </w:rPr>
              <w:t>Element</w:t>
            </w:r>
          </w:p>
        </w:tc>
        <w:tc>
          <w:tcPr>
            <w:tcW w:w="2105" w:type="pct"/>
          </w:tcPr>
          <w:p w14:paraId="24F47CB3" w14:textId="77777777" w:rsidR="001C369D" w:rsidRPr="009B68E5" w:rsidRDefault="001C369D" w:rsidP="001C369D">
            <w:pPr>
              <w:spacing w:after="0" w:line="240" w:lineRule="auto"/>
              <w:jc w:val="both"/>
              <w:rPr>
                <w:rFonts w:cstheme="minorHAnsi"/>
                <w:b/>
                <w:bCs/>
              </w:rPr>
            </w:pPr>
            <w:r w:rsidRPr="009B68E5">
              <w:rPr>
                <w:rFonts w:cstheme="minorHAnsi"/>
                <w:b/>
                <w:bCs/>
              </w:rPr>
              <w:t>Microbiology-directed treatment</w:t>
            </w:r>
          </w:p>
        </w:tc>
        <w:tc>
          <w:tcPr>
            <w:tcW w:w="2179" w:type="pct"/>
          </w:tcPr>
          <w:p w14:paraId="5260A875" w14:textId="77777777" w:rsidR="001C369D" w:rsidRPr="009B68E5" w:rsidRDefault="001C369D" w:rsidP="00F65B3D">
            <w:pPr>
              <w:spacing w:line="264" w:lineRule="auto"/>
              <w:jc w:val="both"/>
              <w:rPr>
                <w:rFonts w:cstheme="minorHAnsi"/>
                <w:b/>
                <w:bCs/>
              </w:rPr>
            </w:pPr>
            <w:r w:rsidRPr="009B68E5">
              <w:rPr>
                <w:rFonts w:cstheme="minorHAnsi"/>
                <w:b/>
                <w:bCs/>
              </w:rPr>
              <w:t>Risk-based empiric treatment</w:t>
            </w:r>
          </w:p>
        </w:tc>
      </w:tr>
      <w:tr w:rsidR="001C369D" w:rsidRPr="007B3A9E" w14:paraId="3E12E605" w14:textId="77777777" w:rsidTr="009B68E5">
        <w:trPr>
          <w:cantSplit/>
        </w:trPr>
        <w:tc>
          <w:tcPr>
            <w:tcW w:w="716" w:type="pct"/>
          </w:tcPr>
          <w:p w14:paraId="59A7031F" w14:textId="77777777" w:rsidR="001C369D" w:rsidRPr="009B68E5" w:rsidRDefault="001C369D" w:rsidP="00205F28">
            <w:pPr>
              <w:spacing w:after="0" w:line="240" w:lineRule="auto"/>
              <w:rPr>
                <w:rFonts w:cstheme="minorHAnsi"/>
                <w:b/>
                <w:bCs/>
              </w:rPr>
            </w:pPr>
            <w:r w:rsidRPr="009B68E5">
              <w:rPr>
                <w:rFonts w:cstheme="minorHAnsi"/>
                <w:b/>
                <w:bCs/>
              </w:rPr>
              <w:t>Population - Patients</w:t>
            </w:r>
          </w:p>
        </w:tc>
        <w:tc>
          <w:tcPr>
            <w:tcW w:w="2105" w:type="pct"/>
          </w:tcPr>
          <w:p w14:paraId="772FAB87" w14:textId="77777777" w:rsidR="001C369D" w:rsidRPr="009B68E5" w:rsidRDefault="001C369D" w:rsidP="00205F28">
            <w:pPr>
              <w:spacing w:after="0" w:line="240" w:lineRule="auto"/>
              <w:rPr>
                <w:rFonts w:cstheme="minorHAnsi"/>
              </w:rPr>
            </w:pPr>
            <w:r w:rsidRPr="009B68E5">
              <w:rPr>
                <w:rFonts w:cstheme="minorHAnsi"/>
              </w:rPr>
              <w:t>Where microbiological susceptibility testing has been performed with or without gene testing</w:t>
            </w:r>
          </w:p>
        </w:tc>
        <w:tc>
          <w:tcPr>
            <w:tcW w:w="2179" w:type="pct"/>
          </w:tcPr>
          <w:p w14:paraId="7AD45020" w14:textId="54753291" w:rsidR="001C369D" w:rsidRPr="009B68E5" w:rsidRDefault="001C369D" w:rsidP="00205F28">
            <w:pPr>
              <w:spacing w:line="264" w:lineRule="auto"/>
              <w:rPr>
                <w:rFonts w:cstheme="minorHAnsi"/>
              </w:rPr>
            </w:pPr>
            <w:r w:rsidRPr="009B68E5">
              <w:rPr>
                <w:rFonts w:cstheme="minorHAnsi"/>
              </w:rPr>
              <w:t xml:space="preserve">With clinically urgent disease with high risk of an infection caused by a resistant pathogen.  Suspicion of infection may be based on knowledge of the local epidemiology where a patient was previously hospitalised, outbreak in the ward where the patient is currently admitted, or previous cultures (taken during previous hospitalisations stays) showing the patient was colonised by </w:t>
            </w:r>
            <w:proofErr w:type="spellStart"/>
            <w:r w:rsidRPr="009B68E5">
              <w:rPr>
                <w:rFonts w:cstheme="minorHAnsi"/>
              </w:rPr>
              <w:t>enterobacterales</w:t>
            </w:r>
            <w:proofErr w:type="spellEnd"/>
            <w:r w:rsidR="00746684" w:rsidRPr="009B68E5">
              <w:rPr>
                <w:rFonts w:cstheme="minorHAnsi"/>
              </w:rPr>
              <w:t xml:space="preserve"> with oxacillinase-48-like </w:t>
            </w:r>
            <w:proofErr w:type="spellStart"/>
            <w:r w:rsidR="00746684" w:rsidRPr="009B68E5">
              <w:rPr>
                <w:rFonts w:cstheme="minorHAnsi"/>
              </w:rPr>
              <w:t>carbapenemase</w:t>
            </w:r>
            <w:proofErr w:type="spellEnd"/>
            <w:r w:rsidR="00746684" w:rsidRPr="009B68E5">
              <w:rPr>
                <w:rFonts w:cstheme="minorHAnsi"/>
              </w:rPr>
              <w:t xml:space="preserve"> (OXA-48) mechanisms of resistance</w:t>
            </w:r>
            <w:r w:rsidRPr="009B68E5">
              <w:rPr>
                <w:rFonts w:cstheme="minorHAnsi"/>
              </w:rPr>
              <w:t xml:space="preserve">. </w:t>
            </w:r>
          </w:p>
        </w:tc>
      </w:tr>
      <w:tr w:rsidR="001C369D" w:rsidRPr="007B3A9E" w14:paraId="31708CE8" w14:textId="77777777" w:rsidTr="009B68E5">
        <w:trPr>
          <w:cantSplit/>
        </w:trPr>
        <w:tc>
          <w:tcPr>
            <w:tcW w:w="716" w:type="pct"/>
          </w:tcPr>
          <w:p w14:paraId="760F142C" w14:textId="77777777" w:rsidR="001C369D" w:rsidRPr="009B68E5" w:rsidRDefault="001C369D" w:rsidP="00205F28">
            <w:pPr>
              <w:spacing w:after="0" w:line="240" w:lineRule="auto"/>
              <w:rPr>
                <w:rFonts w:cstheme="minorHAnsi"/>
                <w:b/>
                <w:bCs/>
              </w:rPr>
            </w:pPr>
            <w:r w:rsidRPr="009B68E5">
              <w:rPr>
                <w:rFonts w:cstheme="minorHAnsi"/>
                <w:b/>
                <w:bCs/>
              </w:rPr>
              <w:t>Population -Pathogen/mechanism</w:t>
            </w:r>
          </w:p>
        </w:tc>
        <w:tc>
          <w:tcPr>
            <w:tcW w:w="2105" w:type="pct"/>
          </w:tcPr>
          <w:p w14:paraId="3B85CB54" w14:textId="3B26B02E" w:rsidR="001C369D" w:rsidRPr="009B68E5" w:rsidRDefault="001C369D" w:rsidP="00205F28">
            <w:pPr>
              <w:spacing w:after="0" w:line="240" w:lineRule="auto"/>
              <w:rPr>
                <w:rFonts w:cstheme="minorHAnsi"/>
              </w:rPr>
            </w:pPr>
            <w:r w:rsidRPr="009B68E5">
              <w:rPr>
                <w:rFonts w:cstheme="minorHAnsi"/>
              </w:rPr>
              <w:t xml:space="preserve">Patients with suspected or confirmed serine </w:t>
            </w:r>
            <w:proofErr w:type="spellStart"/>
            <w:r w:rsidRPr="009B68E5">
              <w:rPr>
                <w:rFonts w:cstheme="minorHAnsi"/>
              </w:rPr>
              <w:t>carbapenemase</w:t>
            </w:r>
            <w:proofErr w:type="spellEnd"/>
            <w:r w:rsidRPr="009B68E5">
              <w:rPr>
                <w:rFonts w:cstheme="minorHAnsi"/>
              </w:rPr>
              <w:t xml:space="preserve">-producing </w:t>
            </w:r>
            <w:proofErr w:type="spellStart"/>
            <w:r w:rsidRPr="009B68E5">
              <w:rPr>
                <w:rFonts w:cstheme="minorHAnsi"/>
              </w:rPr>
              <w:t>Enterobacterales</w:t>
            </w:r>
            <w:proofErr w:type="spellEnd"/>
            <w:r w:rsidRPr="009B68E5">
              <w:rPr>
                <w:rFonts w:cstheme="minorHAnsi"/>
              </w:rPr>
              <w:t xml:space="preserve"> (CPE) which have OXA-48 mechanisms of resistance</w:t>
            </w:r>
            <w:r w:rsidR="00205F28" w:rsidRPr="009B68E5">
              <w:rPr>
                <w:rFonts w:cstheme="minorHAnsi"/>
              </w:rPr>
              <w:t>.</w:t>
            </w:r>
          </w:p>
        </w:tc>
        <w:tc>
          <w:tcPr>
            <w:tcW w:w="2179" w:type="pct"/>
          </w:tcPr>
          <w:p w14:paraId="16D62C5C" w14:textId="30135748" w:rsidR="001C369D" w:rsidRPr="009B68E5" w:rsidRDefault="001C369D" w:rsidP="00205F28">
            <w:pPr>
              <w:spacing w:line="264" w:lineRule="auto"/>
              <w:rPr>
                <w:rFonts w:cstheme="minorHAnsi"/>
              </w:rPr>
            </w:pPr>
            <w:r w:rsidRPr="009B68E5">
              <w:rPr>
                <w:rFonts w:cstheme="minorHAnsi"/>
              </w:rPr>
              <w:t xml:space="preserve">Infections suspected to be caused by </w:t>
            </w:r>
            <w:proofErr w:type="spellStart"/>
            <w:r w:rsidRPr="009B68E5">
              <w:rPr>
                <w:rFonts w:cstheme="minorHAnsi"/>
              </w:rPr>
              <w:t>Enterobacterales</w:t>
            </w:r>
            <w:proofErr w:type="spellEnd"/>
            <w:r w:rsidRPr="009B68E5">
              <w:rPr>
                <w:rFonts w:cstheme="minorHAnsi"/>
              </w:rPr>
              <w:t xml:space="preserve"> which have OXA-48 mechanisms of resistance</w:t>
            </w:r>
            <w:r w:rsidR="00205F28" w:rsidRPr="009B68E5">
              <w:rPr>
                <w:rFonts w:cstheme="minorHAnsi"/>
              </w:rPr>
              <w:t>.</w:t>
            </w:r>
          </w:p>
        </w:tc>
      </w:tr>
      <w:tr w:rsidR="001C369D" w:rsidRPr="007B3A9E" w14:paraId="582C1FF2" w14:textId="77777777" w:rsidTr="009B68E5">
        <w:trPr>
          <w:cantSplit/>
        </w:trPr>
        <w:tc>
          <w:tcPr>
            <w:tcW w:w="716" w:type="pct"/>
          </w:tcPr>
          <w:p w14:paraId="45DA5EB2" w14:textId="77777777" w:rsidR="001C369D" w:rsidRPr="009B68E5" w:rsidRDefault="001C369D" w:rsidP="00205F28">
            <w:pPr>
              <w:spacing w:after="0" w:line="240" w:lineRule="auto"/>
              <w:rPr>
                <w:rFonts w:cstheme="minorHAnsi"/>
                <w:b/>
                <w:bCs/>
              </w:rPr>
            </w:pPr>
            <w:r w:rsidRPr="009B68E5">
              <w:rPr>
                <w:rFonts w:cstheme="minorHAnsi"/>
                <w:b/>
                <w:bCs/>
              </w:rPr>
              <w:t>Population - Site of infection</w:t>
            </w:r>
          </w:p>
        </w:tc>
        <w:tc>
          <w:tcPr>
            <w:tcW w:w="2105" w:type="pct"/>
          </w:tcPr>
          <w:p w14:paraId="5DEAE040" w14:textId="77777777" w:rsidR="009B68E5" w:rsidRDefault="001C369D" w:rsidP="009B68E5">
            <w:pPr>
              <w:pStyle w:val="ListParagraph"/>
              <w:numPr>
                <w:ilvl w:val="0"/>
                <w:numId w:val="22"/>
              </w:numPr>
              <w:spacing w:after="0" w:line="240" w:lineRule="auto"/>
              <w:rPr>
                <w:rFonts w:cstheme="minorHAnsi"/>
              </w:rPr>
            </w:pPr>
            <w:r w:rsidRPr="009B68E5">
              <w:rPr>
                <w:rFonts w:cstheme="minorHAnsi"/>
              </w:rPr>
              <w:t>Complicated urinary tract infection (</w:t>
            </w:r>
            <w:proofErr w:type="spellStart"/>
            <w:r w:rsidRPr="009B68E5">
              <w:rPr>
                <w:rFonts w:cstheme="minorHAnsi"/>
              </w:rPr>
              <w:t>cUTI</w:t>
            </w:r>
            <w:proofErr w:type="spellEnd"/>
            <w:r w:rsidRPr="009B68E5">
              <w:rPr>
                <w:rFonts w:cstheme="minorHAnsi"/>
              </w:rPr>
              <w:t>)</w:t>
            </w:r>
          </w:p>
          <w:p w14:paraId="474C2BFE" w14:textId="67D7D3F2" w:rsidR="001C369D" w:rsidRPr="009B68E5" w:rsidRDefault="001C369D" w:rsidP="009B68E5">
            <w:pPr>
              <w:pStyle w:val="ListParagraph"/>
              <w:numPr>
                <w:ilvl w:val="0"/>
                <w:numId w:val="22"/>
              </w:numPr>
              <w:spacing w:after="0" w:line="240" w:lineRule="auto"/>
              <w:rPr>
                <w:rFonts w:cstheme="minorHAnsi"/>
              </w:rPr>
            </w:pPr>
            <w:r w:rsidRPr="009B68E5">
              <w:rPr>
                <w:rFonts w:cstheme="minorHAnsi"/>
              </w:rPr>
              <w:t>Hospital associated pneumonia (HAP)/ Ventilator associated pneumonia (VAP)</w:t>
            </w:r>
          </w:p>
        </w:tc>
        <w:tc>
          <w:tcPr>
            <w:tcW w:w="2179" w:type="pct"/>
          </w:tcPr>
          <w:p w14:paraId="504091F4" w14:textId="77777777" w:rsidR="001C369D" w:rsidRPr="009B68E5" w:rsidRDefault="001C369D" w:rsidP="00205F28">
            <w:pPr>
              <w:spacing w:line="264" w:lineRule="auto"/>
              <w:rPr>
                <w:rFonts w:cstheme="minorHAnsi"/>
              </w:rPr>
            </w:pPr>
            <w:r w:rsidRPr="009B68E5">
              <w:rPr>
                <w:rFonts w:cstheme="minorHAnsi"/>
              </w:rPr>
              <w:t xml:space="preserve">HAP/ VAP </w:t>
            </w:r>
          </w:p>
        </w:tc>
      </w:tr>
      <w:tr w:rsidR="001C369D" w:rsidRPr="007B3A9E" w14:paraId="7BA507CF" w14:textId="77777777" w:rsidTr="009B68E5">
        <w:trPr>
          <w:cantSplit/>
        </w:trPr>
        <w:tc>
          <w:tcPr>
            <w:tcW w:w="716" w:type="pct"/>
          </w:tcPr>
          <w:p w14:paraId="2FD26CBE" w14:textId="77777777" w:rsidR="001C369D" w:rsidRPr="009B68E5" w:rsidRDefault="001C369D" w:rsidP="00205F28">
            <w:pPr>
              <w:spacing w:after="0" w:line="240" w:lineRule="auto"/>
              <w:rPr>
                <w:rFonts w:cstheme="minorHAnsi"/>
                <w:b/>
                <w:bCs/>
              </w:rPr>
            </w:pPr>
            <w:r w:rsidRPr="009B68E5">
              <w:rPr>
                <w:rFonts w:cstheme="minorHAnsi"/>
                <w:b/>
                <w:bCs/>
              </w:rPr>
              <w:t>Intervention</w:t>
            </w:r>
          </w:p>
        </w:tc>
        <w:tc>
          <w:tcPr>
            <w:tcW w:w="2105" w:type="pct"/>
          </w:tcPr>
          <w:p w14:paraId="36A28918" w14:textId="77777777" w:rsidR="001C369D" w:rsidRPr="009B68E5" w:rsidRDefault="001C369D" w:rsidP="00205F28">
            <w:pPr>
              <w:spacing w:after="0" w:line="240" w:lineRule="auto"/>
              <w:rPr>
                <w:rFonts w:cstheme="minorHAnsi"/>
              </w:rPr>
            </w:pPr>
            <w:r w:rsidRPr="009B68E5">
              <w:rPr>
                <w:rFonts w:cstheme="minorHAnsi"/>
              </w:rPr>
              <w:t>Ceftazidime-avibactam (CAZ-AVI) alone or in combination</w:t>
            </w:r>
          </w:p>
        </w:tc>
        <w:tc>
          <w:tcPr>
            <w:tcW w:w="2179" w:type="pct"/>
          </w:tcPr>
          <w:p w14:paraId="14722FEB" w14:textId="77777777" w:rsidR="001C369D" w:rsidRPr="009B68E5" w:rsidRDefault="001C369D" w:rsidP="00205F28">
            <w:pPr>
              <w:spacing w:line="336" w:lineRule="auto"/>
              <w:rPr>
                <w:rFonts w:cstheme="minorHAnsi"/>
              </w:rPr>
            </w:pPr>
            <w:r w:rsidRPr="009B68E5">
              <w:rPr>
                <w:rFonts w:cstheme="minorHAnsi"/>
              </w:rPr>
              <w:t>CAZ-AVI alone or in combination</w:t>
            </w:r>
          </w:p>
        </w:tc>
      </w:tr>
      <w:tr w:rsidR="001C369D" w:rsidRPr="007B3A9E" w14:paraId="3039EBFE" w14:textId="77777777" w:rsidTr="009B68E5">
        <w:trPr>
          <w:cantSplit/>
        </w:trPr>
        <w:tc>
          <w:tcPr>
            <w:tcW w:w="716" w:type="pct"/>
          </w:tcPr>
          <w:p w14:paraId="05298E4F" w14:textId="77777777" w:rsidR="001C369D" w:rsidRPr="009B68E5" w:rsidRDefault="001C369D" w:rsidP="00205F28">
            <w:pPr>
              <w:spacing w:after="0" w:line="240" w:lineRule="auto"/>
              <w:rPr>
                <w:rFonts w:cstheme="minorHAnsi"/>
                <w:b/>
                <w:bCs/>
              </w:rPr>
            </w:pPr>
            <w:r w:rsidRPr="009B68E5">
              <w:rPr>
                <w:rFonts w:cstheme="minorHAnsi"/>
                <w:b/>
                <w:bCs/>
              </w:rPr>
              <w:lastRenderedPageBreak/>
              <w:t>Comparators</w:t>
            </w:r>
          </w:p>
          <w:p w14:paraId="264514CA" w14:textId="77777777" w:rsidR="001C369D" w:rsidRPr="009B68E5" w:rsidRDefault="001C369D" w:rsidP="00205F28">
            <w:pPr>
              <w:spacing w:after="0" w:line="240" w:lineRule="auto"/>
              <w:rPr>
                <w:rFonts w:cstheme="minorHAnsi"/>
                <w:b/>
                <w:bCs/>
              </w:rPr>
            </w:pPr>
          </w:p>
          <w:p w14:paraId="433B43AD" w14:textId="77777777" w:rsidR="001C369D" w:rsidRPr="009B68E5" w:rsidRDefault="001C369D" w:rsidP="00205F28">
            <w:pPr>
              <w:spacing w:after="0" w:line="240" w:lineRule="auto"/>
              <w:rPr>
                <w:rFonts w:cstheme="minorHAnsi"/>
                <w:b/>
                <w:bCs/>
              </w:rPr>
            </w:pPr>
            <w:r w:rsidRPr="009B68E5">
              <w:rPr>
                <w:rFonts w:cstheme="minorHAnsi"/>
              </w:rPr>
              <w:t>Please note: These comparators reflect NHS practice based on clinical advice. The available evidence will determine which of those listed (and possible additional products including combinations) will be formally incorporated into the modelling</w:t>
            </w:r>
          </w:p>
        </w:tc>
        <w:tc>
          <w:tcPr>
            <w:tcW w:w="2105" w:type="pct"/>
          </w:tcPr>
          <w:p w14:paraId="53A029D3" w14:textId="77777777" w:rsidR="001C369D" w:rsidRPr="009B68E5" w:rsidRDefault="001C369D" w:rsidP="00205F28">
            <w:pPr>
              <w:spacing w:after="0" w:line="240" w:lineRule="auto"/>
              <w:rPr>
                <w:rFonts w:cstheme="minorHAnsi"/>
              </w:rPr>
            </w:pPr>
            <w:r w:rsidRPr="009B68E5">
              <w:rPr>
                <w:rFonts w:cstheme="minorHAnsi"/>
              </w:rPr>
              <w:t>Comparators used in clinical practice in England, as defined by susceptibility testing and/or gene testing and considering infection site and infiltration data. Potential comparators include:</w:t>
            </w:r>
          </w:p>
          <w:p w14:paraId="45F81CE7" w14:textId="77777777" w:rsidR="009B68E5" w:rsidRDefault="001C369D" w:rsidP="009B68E5">
            <w:pPr>
              <w:pStyle w:val="ListParagraph"/>
              <w:numPr>
                <w:ilvl w:val="0"/>
                <w:numId w:val="23"/>
              </w:numPr>
              <w:spacing w:after="0" w:line="240" w:lineRule="auto"/>
              <w:rPr>
                <w:rFonts w:cstheme="minorHAnsi"/>
              </w:rPr>
            </w:pPr>
            <w:r w:rsidRPr="009B68E5">
              <w:rPr>
                <w:rFonts w:cstheme="minorHAnsi"/>
              </w:rPr>
              <w:t>meropenem + colistin</w:t>
            </w:r>
          </w:p>
          <w:p w14:paraId="5430389B" w14:textId="77777777" w:rsidR="009B68E5" w:rsidRDefault="001C369D" w:rsidP="009B68E5">
            <w:pPr>
              <w:pStyle w:val="ListParagraph"/>
              <w:numPr>
                <w:ilvl w:val="0"/>
                <w:numId w:val="23"/>
              </w:numPr>
              <w:spacing w:after="0" w:line="240" w:lineRule="auto"/>
              <w:rPr>
                <w:rFonts w:cstheme="minorHAnsi"/>
              </w:rPr>
            </w:pPr>
            <w:r w:rsidRPr="009B68E5">
              <w:rPr>
                <w:rFonts w:cstheme="minorHAnsi"/>
              </w:rPr>
              <w:t>fluoroquinolones (</w:t>
            </w:r>
            <w:proofErr w:type="spellStart"/>
            <w:r w:rsidRPr="009B68E5">
              <w:rPr>
                <w:rFonts w:cstheme="minorHAnsi"/>
              </w:rPr>
              <w:t>levoflaxin</w:t>
            </w:r>
            <w:proofErr w:type="spellEnd"/>
            <w:r w:rsidRPr="009B68E5">
              <w:rPr>
                <w:rFonts w:cstheme="minorHAnsi"/>
              </w:rPr>
              <w:t xml:space="preserve">, </w:t>
            </w:r>
            <w:proofErr w:type="spellStart"/>
            <w:r w:rsidRPr="009B68E5">
              <w:rPr>
                <w:rFonts w:cstheme="minorHAnsi"/>
              </w:rPr>
              <w:t>ciproflaxin</w:t>
            </w:r>
            <w:proofErr w:type="spellEnd"/>
            <w:r w:rsidRPr="009B68E5">
              <w:rPr>
                <w:rFonts w:cstheme="minorHAnsi"/>
              </w:rPr>
              <w:t>) + meropenem</w:t>
            </w:r>
          </w:p>
          <w:p w14:paraId="5DDA10E2" w14:textId="36B18B0D" w:rsidR="001C369D" w:rsidRPr="009B68E5" w:rsidRDefault="001C369D" w:rsidP="009B68E5">
            <w:pPr>
              <w:pStyle w:val="ListParagraph"/>
              <w:numPr>
                <w:ilvl w:val="0"/>
                <w:numId w:val="23"/>
              </w:numPr>
              <w:spacing w:after="0" w:line="240" w:lineRule="auto"/>
              <w:rPr>
                <w:rFonts w:cstheme="minorHAnsi"/>
              </w:rPr>
            </w:pPr>
            <w:r w:rsidRPr="009B68E5">
              <w:rPr>
                <w:rFonts w:cstheme="minorHAnsi"/>
              </w:rPr>
              <w:t>aminoglycosides (gentamicin, amikacin, tobramycin)</w:t>
            </w:r>
          </w:p>
          <w:p w14:paraId="11C6A52A" w14:textId="77777777" w:rsidR="001C369D" w:rsidRPr="009B68E5" w:rsidRDefault="001C369D" w:rsidP="00205F28">
            <w:pPr>
              <w:pStyle w:val="ListParagraph"/>
              <w:spacing w:after="0" w:line="240" w:lineRule="auto"/>
              <w:rPr>
                <w:rFonts w:cstheme="minorHAnsi"/>
              </w:rPr>
            </w:pPr>
          </w:p>
          <w:p w14:paraId="0CBB07CA" w14:textId="77777777" w:rsidR="001C369D" w:rsidRPr="009B68E5" w:rsidRDefault="001C369D" w:rsidP="00205F28">
            <w:pPr>
              <w:spacing w:after="0" w:line="240" w:lineRule="auto"/>
              <w:rPr>
                <w:rFonts w:cstheme="minorHAnsi"/>
              </w:rPr>
            </w:pPr>
            <w:r w:rsidRPr="009B68E5">
              <w:rPr>
                <w:rFonts w:cstheme="minorHAnsi"/>
              </w:rPr>
              <w:t xml:space="preserve">If low risk of ESBL and </w:t>
            </w:r>
            <w:proofErr w:type="spellStart"/>
            <w:r w:rsidRPr="009B68E5">
              <w:rPr>
                <w:rFonts w:cstheme="minorHAnsi"/>
              </w:rPr>
              <w:t>AmpC</w:t>
            </w:r>
            <w:proofErr w:type="spellEnd"/>
            <w:r w:rsidRPr="009B68E5">
              <w:rPr>
                <w:rFonts w:cstheme="minorHAnsi"/>
              </w:rPr>
              <w:t xml:space="preserve"> beta- lactamase suggested by susceptibility testing:</w:t>
            </w:r>
          </w:p>
          <w:p w14:paraId="20324654" w14:textId="77777777" w:rsidR="009B68E5" w:rsidRDefault="001C369D" w:rsidP="009B68E5">
            <w:pPr>
              <w:pStyle w:val="ListParagraph"/>
              <w:numPr>
                <w:ilvl w:val="0"/>
                <w:numId w:val="24"/>
              </w:numPr>
              <w:spacing w:after="0" w:line="240" w:lineRule="auto"/>
              <w:rPr>
                <w:rFonts w:cstheme="minorHAnsi"/>
              </w:rPr>
            </w:pPr>
            <w:r w:rsidRPr="009B68E5">
              <w:rPr>
                <w:rFonts w:cstheme="minorHAnsi"/>
              </w:rPr>
              <w:t>cephalosporins (ceftriaxone, cefepime, ceftazidime)</w:t>
            </w:r>
          </w:p>
          <w:p w14:paraId="16123DED" w14:textId="712904B6" w:rsidR="009B68E5" w:rsidRDefault="001C369D" w:rsidP="009B68E5">
            <w:pPr>
              <w:pStyle w:val="ListParagraph"/>
              <w:numPr>
                <w:ilvl w:val="0"/>
                <w:numId w:val="24"/>
              </w:numPr>
              <w:spacing w:after="0" w:line="240" w:lineRule="auto"/>
              <w:rPr>
                <w:rFonts w:cstheme="minorHAnsi"/>
              </w:rPr>
            </w:pPr>
            <w:proofErr w:type="spellStart"/>
            <w:r w:rsidRPr="009B68E5">
              <w:rPr>
                <w:rFonts w:cstheme="minorHAnsi"/>
              </w:rPr>
              <w:t>astreonam</w:t>
            </w:r>
            <w:proofErr w:type="spellEnd"/>
            <w:r w:rsidRPr="009B68E5">
              <w:rPr>
                <w:rFonts w:cstheme="minorHAnsi"/>
              </w:rPr>
              <w:t xml:space="preserve"> + </w:t>
            </w:r>
            <w:r w:rsidR="009B68E5">
              <w:rPr>
                <w:rFonts w:cstheme="minorHAnsi"/>
              </w:rPr>
              <w:t>Fosfomycin</w:t>
            </w:r>
          </w:p>
          <w:p w14:paraId="2BC35B83" w14:textId="4520CAD6" w:rsidR="001C369D" w:rsidRPr="009B68E5" w:rsidRDefault="001C369D" w:rsidP="009B68E5">
            <w:pPr>
              <w:pStyle w:val="ListParagraph"/>
              <w:numPr>
                <w:ilvl w:val="0"/>
                <w:numId w:val="24"/>
              </w:numPr>
              <w:spacing w:after="0" w:line="240" w:lineRule="auto"/>
              <w:rPr>
                <w:rFonts w:cstheme="minorHAnsi"/>
              </w:rPr>
            </w:pPr>
            <w:proofErr w:type="spellStart"/>
            <w:r w:rsidRPr="009B68E5">
              <w:rPr>
                <w:rFonts w:cstheme="minorHAnsi"/>
              </w:rPr>
              <w:t>astreonam</w:t>
            </w:r>
            <w:proofErr w:type="spellEnd"/>
            <w:r w:rsidRPr="009B68E5">
              <w:rPr>
                <w:rFonts w:cstheme="minorHAnsi"/>
              </w:rPr>
              <w:t xml:space="preserve"> + colistin</w:t>
            </w:r>
          </w:p>
          <w:p w14:paraId="61BC7369" w14:textId="77777777" w:rsidR="00205F28" w:rsidRPr="009B68E5" w:rsidRDefault="00205F28" w:rsidP="00205F28">
            <w:pPr>
              <w:pStyle w:val="ListParagraph"/>
              <w:spacing w:after="0" w:line="240" w:lineRule="auto"/>
              <w:rPr>
                <w:rFonts w:cstheme="minorHAnsi"/>
              </w:rPr>
            </w:pPr>
          </w:p>
          <w:p w14:paraId="2D8D3DE5" w14:textId="77777777" w:rsidR="009B68E5" w:rsidRDefault="001C369D" w:rsidP="009B68E5">
            <w:pPr>
              <w:spacing w:after="0" w:line="240" w:lineRule="auto"/>
              <w:rPr>
                <w:rFonts w:cstheme="minorHAnsi"/>
              </w:rPr>
            </w:pPr>
            <w:r w:rsidRPr="009B68E5">
              <w:rPr>
                <w:rFonts w:cstheme="minorHAnsi"/>
              </w:rPr>
              <w:t>For HAP/VAP the following comparators may be included also:</w:t>
            </w:r>
          </w:p>
          <w:p w14:paraId="77EF7C26" w14:textId="77777777" w:rsidR="009B68E5" w:rsidRDefault="001C369D" w:rsidP="009B68E5">
            <w:pPr>
              <w:pStyle w:val="ListParagraph"/>
              <w:numPr>
                <w:ilvl w:val="0"/>
                <w:numId w:val="26"/>
              </w:numPr>
              <w:spacing w:after="0" w:line="240" w:lineRule="auto"/>
              <w:rPr>
                <w:rFonts w:cstheme="minorHAnsi"/>
              </w:rPr>
            </w:pPr>
            <w:r w:rsidRPr="009B68E5">
              <w:rPr>
                <w:rFonts w:cstheme="minorHAnsi"/>
              </w:rPr>
              <w:t>tigecycline   + colistin</w:t>
            </w:r>
          </w:p>
          <w:p w14:paraId="12D713B1" w14:textId="77777777" w:rsidR="009B68E5" w:rsidRDefault="001C369D" w:rsidP="009B68E5">
            <w:pPr>
              <w:pStyle w:val="ListParagraph"/>
              <w:numPr>
                <w:ilvl w:val="0"/>
                <w:numId w:val="26"/>
              </w:numPr>
              <w:spacing w:after="0" w:line="240" w:lineRule="auto"/>
              <w:rPr>
                <w:rFonts w:cstheme="minorHAnsi"/>
              </w:rPr>
            </w:pPr>
            <w:r w:rsidRPr="009B68E5">
              <w:rPr>
                <w:rFonts w:cstheme="minorHAnsi"/>
              </w:rPr>
              <w:t>tigecycline   + meropenem + colistin</w:t>
            </w:r>
          </w:p>
          <w:p w14:paraId="653EA0C9" w14:textId="5FE5ED8D" w:rsidR="001C369D" w:rsidRPr="009B68E5" w:rsidRDefault="001C369D" w:rsidP="009B68E5">
            <w:pPr>
              <w:pStyle w:val="ListParagraph"/>
              <w:numPr>
                <w:ilvl w:val="0"/>
                <w:numId w:val="26"/>
              </w:numPr>
              <w:spacing w:after="0" w:line="240" w:lineRule="auto"/>
              <w:rPr>
                <w:rFonts w:cstheme="minorHAnsi"/>
              </w:rPr>
            </w:pPr>
            <w:r w:rsidRPr="009B68E5">
              <w:rPr>
                <w:rFonts w:cstheme="minorHAnsi"/>
              </w:rPr>
              <w:t xml:space="preserve">aminoglycosides (gentamicin, amikacin, tobramycin) may be used in combination with fosfomycin instead of as </w:t>
            </w:r>
            <w:proofErr w:type="gramStart"/>
            <w:r w:rsidRPr="009B68E5">
              <w:rPr>
                <w:rFonts w:cstheme="minorHAnsi"/>
              </w:rPr>
              <w:t>monotherapy</w:t>
            </w:r>
            <w:proofErr w:type="gramEnd"/>
          </w:p>
          <w:p w14:paraId="2EAB31A9" w14:textId="77777777" w:rsidR="001C369D" w:rsidRPr="009B68E5" w:rsidRDefault="001C369D" w:rsidP="00205F28">
            <w:pPr>
              <w:spacing w:after="0" w:line="240" w:lineRule="auto"/>
              <w:rPr>
                <w:rFonts w:cstheme="minorHAnsi"/>
              </w:rPr>
            </w:pPr>
          </w:p>
        </w:tc>
        <w:tc>
          <w:tcPr>
            <w:tcW w:w="2179" w:type="pct"/>
          </w:tcPr>
          <w:p w14:paraId="789CF6C9" w14:textId="77777777" w:rsidR="001C369D" w:rsidRPr="009B68E5" w:rsidRDefault="001C369D" w:rsidP="00205F28">
            <w:pPr>
              <w:rPr>
                <w:rFonts w:cstheme="minorHAnsi"/>
              </w:rPr>
            </w:pPr>
            <w:r w:rsidRPr="009B68E5">
              <w:rPr>
                <w:rFonts w:cstheme="minorHAnsi"/>
              </w:rPr>
              <w:t xml:space="preserve">Comparators used in clinical practice in England, as defined by suspected infection, considering knowledge of the local epidemiology where a patient was previously hospitalised, outbreak in the ward where the patient is currently admitted, or previous cultures (taken during previous hospitalisations stays) showing the patient was colonised by an OXA-48 </w:t>
            </w:r>
            <w:proofErr w:type="spellStart"/>
            <w:r w:rsidRPr="009B68E5">
              <w:rPr>
                <w:rFonts w:cstheme="minorHAnsi"/>
              </w:rPr>
              <w:t>enterobacterales</w:t>
            </w:r>
            <w:proofErr w:type="spellEnd"/>
            <w:r w:rsidRPr="009B68E5">
              <w:rPr>
                <w:rFonts w:cstheme="minorHAnsi"/>
              </w:rPr>
              <w:t>.</w:t>
            </w:r>
          </w:p>
          <w:p w14:paraId="7BF04B02" w14:textId="77777777" w:rsidR="001C369D" w:rsidRPr="009B68E5" w:rsidRDefault="001C369D" w:rsidP="00205F28">
            <w:pPr>
              <w:spacing w:after="0" w:line="240" w:lineRule="auto"/>
              <w:rPr>
                <w:rFonts w:cstheme="minorHAnsi"/>
              </w:rPr>
            </w:pPr>
            <w:r w:rsidRPr="009B68E5">
              <w:rPr>
                <w:rFonts w:cstheme="minorHAnsi"/>
              </w:rPr>
              <w:t xml:space="preserve">Potential comparators in the risk-based empiric HVCS include: </w:t>
            </w:r>
          </w:p>
          <w:p w14:paraId="58FBC940" w14:textId="77777777" w:rsidR="009B68E5" w:rsidRDefault="001C369D" w:rsidP="009B68E5">
            <w:pPr>
              <w:pStyle w:val="ListParagraph"/>
              <w:numPr>
                <w:ilvl w:val="0"/>
                <w:numId w:val="25"/>
              </w:numPr>
              <w:spacing w:after="0" w:line="240" w:lineRule="auto"/>
              <w:rPr>
                <w:rFonts w:cstheme="minorHAnsi"/>
              </w:rPr>
            </w:pPr>
            <w:r w:rsidRPr="009B68E5">
              <w:rPr>
                <w:rFonts w:cstheme="minorHAnsi"/>
              </w:rPr>
              <w:t>meropenem + colistin</w:t>
            </w:r>
          </w:p>
          <w:p w14:paraId="142BB5B8" w14:textId="77777777" w:rsidR="009B68E5" w:rsidRDefault="001C369D" w:rsidP="009B68E5">
            <w:pPr>
              <w:pStyle w:val="ListParagraph"/>
              <w:numPr>
                <w:ilvl w:val="0"/>
                <w:numId w:val="25"/>
              </w:numPr>
              <w:spacing w:after="0" w:line="240" w:lineRule="auto"/>
              <w:rPr>
                <w:rFonts w:cstheme="minorHAnsi"/>
              </w:rPr>
            </w:pPr>
            <w:r w:rsidRPr="009B68E5">
              <w:rPr>
                <w:rFonts w:cstheme="minorHAnsi"/>
              </w:rPr>
              <w:t>fluoroquinolones (</w:t>
            </w:r>
            <w:proofErr w:type="spellStart"/>
            <w:r w:rsidRPr="009B68E5">
              <w:rPr>
                <w:rFonts w:cstheme="minorHAnsi"/>
              </w:rPr>
              <w:t>levoflaxin</w:t>
            </w:r>
            <w:proofErr w:type="spellEnd"/>
            <w:r w:rsidRPr="009B68E5">
              <w:rPr>
                <w:rFonts w:cstheme="minorHAnsi"/>
              </w:rPr>
              <w:t xml:space="preserve">, </w:t>
            </w:r>
            <w:proofErr w:type="spellStart"/>
            <w:r w:rsidRPr="009B68E5">
              <w:rPr>
                <w:rFonts w:cstheme="minorHAnsi"/>
              </w:rPr>
              <w:t>ciproflaxin</w:t>
            </w:r>
            <w:proofErr w:type="spellEnd"/>
            <w:r w:rsidRPr="009B68E5">
              <w:rPr>
                <w:rFonts w:cstheme="minorHAnsi"/>
              </w:rPr>
              <w:t>) + meropenem</w:t>
            </w:r>
          </w:p>
          <w:p w14:paraId="3B6A670C" w14:textId="29F9BF31" w:rsidR="009B68E5" w:rsidRDefault="001C369D" w:rsidP="009B68E5">
            <w:pPr>
              <w:pStyle w:val="ListParagraph"/>
              <w:numPr>
                <w:ilvl w:val="0"/>
                <w:numId w:val="25"/>
              </w:numPr>
              <w:spacing w:after="0" w:line="240" w:lineRule="auto"/>
              <w:rPr>
                <w:rFonts w:cstheme="minorHAnsi"/>
              </w:rPr>
            </w:pPr>
            <w:r w:rsidRPr="009B68E5">
              <w:rPr>
                <w:rFonts w:cstheme="minorHAnsi"/>
              </w:rPr>
              <w:t xml:space="preserve">aminoglycosides (gentamicin, amikacin, tobramycin) + </w:t>
            </w:r>
            <w:r w:rsidR="009B68E5">
              <w:rPr>
                <w:rFonts w:cstheme="minorHAnsi"/>
              </w:rPr>
              <w:t>Fosfomycin</w:t>
            </w:r>
          </w:p>
          <w:p w14:paraId="1D8EE8C8" w14:textId="77777777" w:rsidR="009B68E5" w:rsidRDefault="001C369D" w:rsidP="009B68E5">
            <w:pPr>
              <w:pStyle w:val="ListParagraph"/>
              <w:numPr>
                <w:ilvl w:val="0"/>
                <w:numId w:val="25"/>
              </w:numPr>
              <w:spacing w:after="0" w:line="240" w:lineRule="auto"/>
              <w:rPr>
                <w:rFonts w:cstheme="minorHAnsi"/>
              </w:rPr>
            </w:pPr>
            <w:r w:rsidRPr="009B68E5">
              <w:rPr>
                <w:rFonts w:cstheme="minorHAnsi"/>
              </w:rPr>
              <w:t>tigecycline   + colistin</w:t>
            </w:r>
          </w:p>
          <w:p w14:paraId="73D0C645" w14:textId="11484BC1" w:rsidR="001C369D" w:rsidRPr="009B68E5" w:rsidRDefault="001C369D" w:rsidP="009B68E5">
            <w:pPr>
              <w:pStyle w:val="ListParagraph"/>
              <w:numPr>
                <w:ilvl w:val="0"/>
                <w:numId w:val="25"/>
              </w:numPr>
              <w:spacing w:after="0" w:line="240" w:lineRule="auto"/>
              <w:rPr>
                <w:rFonts w:cstheme="minorHAnsi"/>
              </w:rPr>
            </w:pPr>
            <w:r w:rsidRPr="009B68E5">
              <w:rPr>
                <w:rFonts w:cstheme="minorHAnsi"/>
              </w:rPr>
              <w:t>tigecycline   + meropenem + colistin</w:t>
            </w:r>
          </w:p>
          <w:p w14:paraId="2B532833" w14:textId="77777777" w:rsidR="001C369D" w:rsidRPr="009B68E5" w:rsidRDefault="001C369D" w:rsidP="00205F28">
            <w:pPr>
              <w:tabs>
                <w:tab w:val="num" w:pos="342"/>
              </w:tabs>
              <w:rPr>
                <w:rFonts w:cstheme="minorHAnsi"/>
              </w:rPr>
            </w:pPr>
          </w:p>
        </w:tc>
      </w:tr>
      <w:tr w:rsidR="001C369D" w:rsidRPr="007B3A9E" w14:paraId="5D3B3FD8" w14:textId="77777777" w:rsidTr="009B68E5">
        <w:trPr>
          <w:cantSplit/>
        </w:trPr>
        <w:tc>
          <w:tcPr>
            <w:tcW w:w="716" w:type="pct"/>
          </w:tcPr>
          <w:p w14:paraId="391F4358" w14:textId="77777777" w:rsidR="001C369D" w:rsidRPr="009B68E5" w:rsidRDefault="001C369D" w:rsidP="00205F28">
            <w:pPr>
              <w:pStyle w:val="BodyText2"/>
              <w:spacing w:after="0" w:line="240" w:lineRule="auto"/>
              <w:rPr>
                <w:rFonts w:cstheme="minorHAnsi"/>
                <w:b/>
                <w:bCs/>
              </w:rPr>
            </w:pPr>
            <w:r w:rsidRPr="009B68E5">
              <w:rPr>
                <w:rFonts w:cstheme="minorHAnsi"/>
                <w:b/>
                <w:bCs/>
              </w:rPr>
              <w:lastRenderedPageBreak/>
              <w:t>Outcomes</w:t>
            </w:r>
          </w:p>
        </w:tc>
        <w:tc>
          <w:tcPr>
            <w:tcW w:w="2105" w:type="pct"/>
          </w:tcPr>
          <w:p w14:paraId="463CBA80" w14:textId="77777777" w:rsidR="009B68E5" w:rsidRDefault="001C369D" w:rsidP="009B68E5">
            <w:pPr>
              <w:pStyle w:val="BodyText2"/>
              <w:spacing w:after="0" w:line="240" w:lineRule="auto"/>
              <w:rPr>
                <w:rFonts w:cstheme="minorHAnsi"/>
              </w:rPr>
            </w:pPr>
            <w:r w:rsidRPr="009B68E5">
              <w:rPr>
                <w:rFonts w:cstheme="minorHAnsi"/>
              </w:rPr>
              <w:t>The outcome measures to be considered include:</w:t>
            </w:r>
          </w:p>
          <w:p w14:paraId="2FC59356" w14:textId="77777777" w:rsidR="009B68E5" w:rsidRDefault="001C369D" w:rsidP="009B68E5">
            <w:pPr>
              <w:pStyle w:val="BodyText2"/>
              <w:numPr>
                <w:ilvl w:val="0"/>
                <w:numId w:val="27"/>
              </w:numPr>
              <w:spacing w:after="0" w:line="240" w:lineRule="auto"/>
              <w:rPr>
                <w:rFonts w:cstheme="minorHAnsi"/>
              </w:rPr>
            </w:pPr>
            <w:r w:rsidRPr="009B68E5">
              <w:rPr>
                <w:rFonts w:cstheme="minorHAnsi"/>
              </w:rPr>
              <w:t>All-cause mortality</w:t>
            </w:r>
          </w:p>
          <w:p w14:paraId="40CC1CFD" w14:textId="77777777" w:rsidR="009B68E5" w:rsidRDefault="001C369D" w:rsidP="009B68E5">
            <w:pPr>
              <w:pStyle w:val="BodyText2"/>
              <w:numPr>
                <w:ilvl w:val="0"/>
                <w:numId w:val="27"/>
              </w:numPr>
              <w:spacing w:after="0" w:line="240" w:lineRule="auto"/>
              <w:rPr>
                <w:rFonts w:cstheme="minorHAnsi"/>
              </w:rPr>
            </w:pPr>
            <w:r w:rsidRPr="009B68E5">
              <w:rPr>
                <w:rFonts w:cstheme="minorHAnsi"/>
              </w:rPr>
              <w:t>Clinical cure (complete resolution of signs/symptoms of the index infection such that no further antimicrobial therapy is needed)</w:t>
            </w:r>
          </w:p>
          <w:p w14:paraId="44699CB3" w14:textId="77777777" w:rsidR="009B68E5" w:rsidRDefault="001C369D" w:rsidP="009B68E5">
            <w:pPr>
              <w:pStyle w:val="BodyText2"/>
              <w:numPr>
                <w:ilvl w:val="0"/>
                <w:numId w:val="27"/>
              </w:numPr>
              <w:spacing w:after="0" w:line="240" w:lineRule="auto"/>
              <w:rPr>
                <w:rFonts w:cstheme="minorHAnsi"/>
              </w:rPr>
            </w:pPr>
            <w:r w:rsidRPr="009B68E5">
              <w:rPr>
                <w:rFonts w:cstheme="minorHAnsi"/>
              </w:rPr>
              <w:t>Microbiologic eradication</w:t>
            </w:r>
          </w:p>
          <w:p w14:paraId="16CD08AC" w14:textId="77777777" w:rsidR="009B68E5" w:rsidRDefault="001C369D" w:rsidP="009B68E5">
            <w:pPr>
              <w:pStyle w:val="BodyText2"/>
              <w:numPr>
                <w:ilvl w:val="0"/>
                <w:numId w:val="27"/>
              </w:numPr>
              <w:spacing w:after="0" w:line="240" w:lineRule="auto"/>
              <w:rPr>
                <w:rFonts w:cstheme="minorHAnsi"/>
              </w:rPr>
            </w:pPr>
            <w:r w:rsidRPr="009B68E5">
              <w:rPr>
                <w:rFonts w:cstheme="minorHAnsi"/>
              </w:rPr>
              <w:t xml:space="preserve">Emergence of resistance </w:t>
            </w:r>
          </w:p>
          <w:p w14:paraId="60AB5629" w14:textId="77777777" w:rsidR="009B68E5" w:rsidRDefault="001C369D" w:rsidP="009B68E5">
            <w:pPr>
              <w:pStyle w:val="BodyText2"/>
              <w:numPr>
                <w:ilvl w:val="0"/>
                <w:numId w:val="27"/>
              </w:numPr>
              <w:spacing w:after="0" w:line="240" w:lineRule="auto"/>
              <w:rPr>
                <w:rFonts w:cstheme="minorHAnsi"/>
              </w:rPr>
            </w:pPr>
            <w:r w:rsidRPr="009B68E5">
              <w:rPr>
                <w:rFonts w:cstheme="minorHAnsi"/>
              </w:rPr>
              <w:t>Hospital days</w:t>
            </w:r>
          </w:p>
          <w:p w14:paraId="316E8C82" w14:textId="77777777" w:rsidR="009B68E5" w:rsidRDefault="001C369D" w:rsidP="009B68E5">
            <w:pPr>
              <w:pStyle w:val="BodyText2"/>
              <w:numPr>
                <w:ilvl w:val="0"/>
                <w:numId w:val="27"/>
              </w:numPr>
              <w:spacing w:after="0" w:line="240" w:lineRule="auto"/>
              <w:rPr>
                <w:rFonts w:cstheme="minorHAnsi"/>
              </w:rPr>
            </w:pPr>
            <w:r w:rsidRPr="009B68E5">
              <w:rPr>
                <w:rFonts w:cstheme="minorHAnsi"/>
              </w:rPr>
              <w:t>Intensive care unit (ICU) days</w:t>
            </w:r>
          </w:p>
          <w:p w14:paraId="18F4AE58" w14:textId="77777777" w:rsidR="009B68E5" w:rsidRDefault="001C369D" w:rsidP="009B68E5">
            <w:pPr>
              <w:pStyle w:val="BodyText2"/>
              <w:numPr>
                <w:ilvl w:val="0"/>
                <w:numId w:val="27"/>
              </w:numPr>
              <w:spacing w:after="0" w:line="240" w:lineRule="auto"/>
              <w:rPr>
                <w:rFonts w:cstheme="minorHAnsi"/>
              </w:rPr>
            </w:pPr>
            <w:r w:rsidRPr="009B68E5">
              <w:rPr>
                <w:rFonts w:cstheme="minorHAnsi"/>
              </w:rPr>
              <w:t>Readmission rate within 90 days of treatment</w:t>
            </w:r>
          </w:p>
          <w:p w14:paraId="72CD5DEF" w14:textId="77777777" w:rsidR="009B68E5" w:rsidRDefault="001C369D" w:rsidP="009B68E5">
            <w:pPr>
              <w:pStyle w:val="BodyText2"/>
              <w:numPr>
                <w:ilvl w:val="0"/>
                <w:numId w:val="27"/>
              </w:numPr>
              <w:spacing w:after="0" w:line="240" w:lineRule="auto"/>
              <w:rPr>
                <w:rFonts w:cstheme="minorHAnsi"/>
              </w:rPr>
            </w:pPr>
            <w:r w:rsidRPr="009B68E5">
              <w:rPr>
                <w:rFonts w:cstheme="minorHAnsi"/>
              </w:rPr>
              <w:t>Number of treatment days</w:t>
            </w:r>
          </w:p>
          <w:p w14:paraId="3DECE1C4" w14:textId="77777777" w:rsidR="009B68E5" w:rsidRDefault="001C369D" w:rsidP="009B68E5">
            <w:pPr>
              <w:pStyle w:val="BodyText2"/>
              <w:numPr>
                <w:ilvl w:val="0"/>
                <w:numId w:val="27"/>
              </w:numPr>
              <w:spacing w:after="0" w:line="240" w:lineRule="auto"/>
              <w:rPr>
                <w:rFonts w:cstheme="minorHAnsi"/>
              </w:rPr>
            </w:pPr>
            <w:r w:rsidRPr="009B68E5">
              <w:rPr>
                <w:rFonts w:cstheme="minorHAnsi"/>
              </w:rPr>
              <w:t>Health-related quality of life</w:t>
            </w:r>
          </w:p>
          <w:p w14:paraId="3009F83A" w14:textId="77FCF26B" w:rsidR="001C369D" w:rsidRPr="009B68E5" w:rsidRDefault="001C369D" w:rsidP="009B68E5">
            <w:pPr>
              <w:pStyle w:val="BodyText2"/>
              <w:numPr>
                <w:ilvl w:val="0"/>
                <w:numId w:val="27"/>
              </w:numPr>
              <w:spacing w:after="0" w:line="240" w:lineRule="auto"/>
              <w:rPr>
                <w:rFonts w:cstheme="minorHAnsi"/>
              </w:rPr>
            </w:pPr>
            <w:r w:rsidRPr="009B68E5">
              <w:rPr>
                <w:rFonts w:cstheme="minorHAnsi"/>
              </w:rPr>
              <w:t>Adverse events (including those associated with Clostridium Difficile infection and renal toxicity)</w:t>
            </w:r>
          </w:p>
          <w:p w14:paraId="0CFCF524" w14:textId="6ECFAC18" w:rsidR="00205F28" w:rsidRPr="009B68E5" w:rsidRDefault="00205F28" w:rsidP="002F09D1">
            <w:pPr>
              <w:pStyle w:val="ListParagraph"/>
              <w:spacing w:after="0" w:line="240" w:lineRule="auto"/>
              <w:rPr>
                <w:rFonts w:cstheme="minorHAnsi"/>
              </w:rPr>
            </w:pPr>
          </w:p>
        </w:tc>
        <w:tc>
          <w:tcPr>
            <w:tcW w:w="2179" w:type="pct"/>
          </w:tcPr>
          <w:p w14:paraId="5F550F5D" w14:textId="77777777" w:rsidR="001C369D" w:rsidRPr="009B68E5" w:rsidRDefault="001C369D" w:rsidP="00205F28">
            <w:pPr>
              <w:spacing w:line="264" w:lineRule="auto"/>
              <w:rPr>
                <w:rFonts w:cstheme="minorHAnsi"/>
              </w:rPr>
            </w:pPr>
            <w:r w:rsidRPr="009B68E5">
              <w:rPr>
                <w:rFonts w:cstheme="minorHAnsi"/>
              </w:rPr>
              <w:t>Same as for microbiology-directed treatment</w:t>
            </w:r>
          </w:p>
        </w:tc>
      </w:tr>
      <w:tr w:rsidR="001C369D" w:rsidRPr="007B3A9E" w14:paraId="2616F5FC" w14:textId="77777777" w:rsidTr="009B68E5">
        <w:trPr>
          <w:cantSplit/>
        </w:trPr>
        <w:tc>
          <w:tcPr>
            <w:tcW w:w="716" w:type="pct"/>
          </w:tcPr>
          <w:p w14:paraId="450D323C" w14:textId="77777777" w:rsidR="001C369D" w:rsidRPr="009B68E5" w:rsidRDefault="001C369D" w:rsidP="00205F28">
            <w:pPr>
              <w:pStyle w:val="BodyText2"/>
              <w:spacing w:after="0" w:line="240" w:lineRule="auto"/>
              <w:rPr>
                <w:rFonts w:cstheme="minorHAnsi"/>
                <w:b/>
                <w:bCs/>
              </w:rPr>
            </w:pPr>
            <w:r w:rsidRPr="009B68E5">
              <w:rPr>
                <w:rFonts w:cstheme="minorHAnsi"/>
                <w:b/>
                <w:bCs/>
              </w:rPr>
              <w:t>Study designs</w:t>
            </w:r>
          </w:p>
        </w:tc>
        <w:tc>
          <w:tcPr>
            <w:tcW w:w="2105" w:type="pct"/>
          </w:tcPr>
          <w:p w14:paraId="1FEF5014" w14:textId="77777777" w:rsidR="009B68E5" w:rsidRDefault="001C369D" w:rsidP="009B68E5">
            <w:pPr>
              <w:pStyle w:val="BodyText2"/>
              <w:spacing w:after="0" w:line="240" w:lineRule="auto"/>
              <w:rPr>
                <w:rFonts w:cstheme="minorHAnsi"/>
              </w:rPr>
            </w:pPr>
            <w:r w:rsidRPr="009B68E5">
              <w:rPr>
                <w:rFonts w:cstheme="minorHAnsi"/>
              </w:rPr>
              <w:t>The types of studies and data to be considered include:</w:t>
            </w:r>
          </w:p>
          <w:p w14:paraId="5CC7518D" w14:textId="77777777" w:rsidR="009B68E5" w:rsidRDefault="001C369D" w:rsidP="009B68E5">
            <w:pPr>
              <w:pStyle w:val="BodyText2"/>
              <w:numPr>
                <w:ilvl w:val="0"/>
                <w:numId w:val="28"/>
              </w:numPr>
              <w:spacing w:after="0" w:line="240" w:lineRule="auto"/>
              <w:rPr>
                <w:rFonts w:cstheme="minorHAnsi"/>
              </w:rPr>
            </w:pPr>
            <w:r w:rsidRPr="009B68E5">
              <w:rPr>
                <w:rFonts w:cstheme="minorHAnsi"/>
              </w:rPr>
              <w:t>Randomised controlled trials (RCTs)</w:t>
            </w:r>
          </w:p>
          <w:p w14:paraId="0735AD0F" w14:textId="77777777" w:rsidR="009B68E5" w:rsidRDefault="001C369D" w:rsidP="009B68E5">
            <w:pPr>
              <w:pStyle w:val="BodyText2"/>
              <w:numPr>
                <w:ilvl w:val="0"/>
                <w:numId w:val="28"/>
              </w:numPr>
              <w:spacing w:after="0" w:line="240" w:lineRule="auto"/>
              <w:rPr>
                <w:rFonts w:cstheme="minorHAnsi"/>
              </w:rPr>
            </w:pPr>
            <w:r w:rsidRPr="009B68E5">
              <w:rPr>
                <w:rFonts w:cstheme="minorHAnsi"/>
              </w:rPr>
              <w:t>Observational studies</w:t>
            </w:r>
          </w:p>
          <w:p w14:paraId="12A44800" w14:textId="77777777" w:rsidR="009B68E5" w:rsidRDefault="001C369D" w:rsidP="009B68E5">
            <w:pPr>
              <w:pStyle w:val="BodyText2"/>
              <w:numPr>
                <w:ilvl w:val="0"/>
                <w:numId w:val="28"/>
              </w:numPr>
              <w:spacing w:after="0" w:line="240" w:lineRule="auto"/>
              <w:rPr>
                <w:rFonts w:cstheme="minorHAnsi"/>
              </w:rPr>
            </w:pPr>
            <w:r w:rsidRPr="009B68E5">
              <w:rPr>
                <w:rFonts w:cstheme="minorHAnsi"/>
              </w:rPr>
              <w:t>In-vitro susceptibility data</w:t>
            </w:r>
          </w:p>
          <w:p w14:paraId="6909CB43" w14:textId="77777777" w:rsidR="009B68E5" w:rsidRDefault="001C369D" w:rsidP="009B68E5">
            <w:pPr>
              <w:pStyle w:val="BodyText2"/>
              <w:numPr>
                <w:ilvl w:val="0"/>
                <w:numId w:val="28"/>
              </w:numPr>
              <w:spacing w:after="0" w:line="240" w:lineRule="auto"/>
              <w:rPr>
                <w:rFonts w:cstheme="minorHAnsi"/>
              </w:rPr>
            </w:pPr>
            <w:r w:rsidRPr="009B68E5">
              <w:rPr>
                <w:rFonts w:cstheme="minorHAnsi"/>
              </w:rPr>
              <w:t xml:space="preserve">National, </w:t>
            </w:r>
            <w:proofErr w:type="gramStart"/>
            <w:r w:rsidRPr="009B68E5">
              <w:rPr>
                <w:rFonts w:cstheme="minorHAnsi"/>
              </w:rPr>
              <w:t>regional</w:t>
            </w:r>
            <w:proofErr w:type="gramEnd"/>
            <w:r w:rsidRPr="009B68E5">
              <w:rPr>
                <w:rFonts w:cstheme="minorHAnsi"/>
              </w:rPr>
              <w:t xml:space="preserve"> or international datasets</w:t>
            </w:r>
          </w:p>
          <w:p w14:paraId="2FB06602" w14:textId="12C6A08C" w:rsidR="001C369D" w:rsidRPr="009B68E5" w:rsidRDefault="001C369D" w:rsidP="009B68E5">
            <w:pPr>
              <w:pStyle w:val="BodyText2"/>
              <w:numPr>
                <w:ilvl w:val="0"/>
                <w:numId w:val="28"/>
              </w:numPr>
              <w:spacing w:after="0" w:line="240" w:lineRule="auto"/>
              <w:rPr>
                <w:rFonts w:cstheme="minorHAnsi"/>
              </w:rPr>
            </w:pPr>
            <w:r w:rsidRPr="009B68E5">
              <w:rPr>
                <w:rFonts w:cstheme="minorHAnsi"/>
              </w:rPr>
              <w:t>Pharmacokinetic and pharmacodynamic (PK/PD)</w:t>
            </w:r>
          </w:p>
        </w:tc>
        <w:tc>
          <w:tcPr>
            <w:tcW w:w="2179" w:type="pct"/>
          </w:tcPr>
          <w:p w14:paraId="1D461EC4" w14:textId="77777777" w:rsidR="001C369D" w:rsidRPr="009B68E5" w:rsidRDefault="001C369D" w:rsidP="00205F28">
            <w:pPr>
              <w:spacing w:after="120" w:line="264" w:lineRule="auto"/>
              <w:rPr>
                <w:rFonts w:cstheme="minorHAnsi"/>
              </w:rPr>
            </w:pPr>
            <w:r w:rsidRPr="009B68E5">
              <w:rPr>
                <w:rFonts w:cstheme="minorHAnsi"/>
              </w:rPr>
              <w:t>Same as for microbiology-directed treatment</w:t>
            </w:r>
          </w:p>
        </w:tc>
      </w:tr>
    </w:tbl>
    <w:p w14:paraId="3E88F2E0" w14:textId="77777777" w:rsidR="00443081" w:rsidRPr="00181A4A" w:rsidRDefault="00443081" w:rsidP="00181A4A">
      <w:pPr>
        <w:pStyle w:val="Title"/>
      </w:pPr>
    </w:p>
    <w:sectPr w:rsidR="00443081" w:rsidRPr="00181A4A" w:rsidSect="001C369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10D1" w14:textId="77777777" w:rsidR="001C369D" w:rsidRDefault="001C369D" w:rsidP="00446BEE">
      <w:r>
        <w:separator/>
      </w:r>
    </w:p>
  </w:endnote>
  <w:endnote w:type="continuationSeparator" w:id="0">
    <w:p w14:paraId="0D7A21B0" w14:textId="77777777" w:rsidR="001C369D" w:rsidRDefault="001C369D"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A415C" w14:textId="77777777" w:rsidR="001C369D" w:rsidRDefault="001C369D" w:rsidP="00446BEE">
      <w:r>
        <w:separator/>
      </w:r>
    </w:p>
  </w:footnote>
  <w:footnote w:type="continuationSeparator" w:id="0">
    <w:p w14:paraId="08507309" w14:textId="77777777" w:rsidR="001C369D" w:rsidRDefault="001C369D"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2F49"/>
    <w:multiLevelType w:val="hybridMultilevel"/>
    <w:tmpl w:val="6C96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165E1"/>
    <w:multiLevelType w:val="hybridMultilevel"/>
    <w:tmpl w:val="8FF2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C0775"/>
    <w:multiLevelType w:val="hybridMultilevel"/>
    <w:tmpl w:val="6CDE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B7705"/>
    <w:multiLevelType w:val="hybridMultilevel"/>
    <w:tmpl w:val="B914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F3680"/>
    <w:multiLevelType w:val="hybridMultilevel"/>
    <w:tmpl w:val="05B6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75079C"/>
    <w:multiLevelType w:val="hybridMultilevel"/>
    <w:tmpl w:val="AA36607C"/>
    <w:lvl w:ilvl="0" w:tplc="8AEC1E8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80739"/>
    <w:multiLevelType w:val="hybridMultilevel"/>
    <w:tmpl w:val="AED2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A71677"/>
    <w:multiLevelType w:val="hybridMultilevel"/>
    <w:tmpl w:val="EC0C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0"/>
    <w:lvlOverride w:ilvl="0">
      <w:startOverride w:val="1"/>
    </w:lvlOverride>
  </w:num>
  <w:num w:numId="4">
    <w:abstractNumId w:val="20"/>
    <w:lvlOverride w:ilvl="0">
      <w:startOverride w:val="1"/>
    </w:lvlOverride>
  </w:num>
  <w:num w:numId="5">
    <w:abstractNumId w:val="20"/>
    <w:lvlOverride w:ilvl="0">
      <w:startOverride w:val="1"/>
    </w:lvlOverride>
  </w:num>
  <w:num w:numId="6">
    <w:abstractNumId w:val="20"/>
    <w:lvlOverride w:ilvl="0">
      <w:startOverride w:val="1"/>
    </w:lvlOverride>
  </w:num>
  <w:num w:numId="7">
    <w:abstractNumId w:val="20"/>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num>
  <w:num w:numId="20">
    <w:abstractNumId w:val="12"/>
  </w:num>
  <w:num w:numId="21">
    <w:abstractNumId w:val="18"/>
  </w:num>
  <w:num w:numId="22">
    <w:abstractNumId w:val="21"/>
  </w:num>
  <w:num w:numId="23">
    <w:abstractNumId w:val="11"/>
  </w:num>
  <w:num w:numId="24">
    <w:abstractNumId w:val="10"/>
  </w:num>
  <w:num w:numId="25">
    <w:abstractNumId w:val="19"/>
  </w:num>
  <w:num w:numId="26">
    <w:abstractNumId w:val="13"/>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9D"/>
    <w:rsid w:val="000053F8"/>
    <w:rsid w:val="00024D0A"/>
    <w:rsid w:val="000472DC"/>
    <w:rsid w:val="00070065"/>
    <w:rsid w:val="000A4FEE"/>
    <w:rsid w:val="000B5939"/>
    <w:rsid w:val="00111CCE"/>
    <w:rsid w:val="001134E7"/>
    <w:rsid w:val="0017149E"/>
    <w:rsid w:val="0017169E"/>
    <w:rsid w:val="00172E99"/>
    <w:rsid w:val="00181A4A"/>
    <w:rsid w:val="001B0EE9"/>
    <w:rsid w:val="001B65B3"/>
    <w:rsid w:val="001C369D"/>
    <w:rsid w:val="002029A6"/>
    <w:rsid w:val="00205F28"/>
    <w:rsid w:val="002408EA"/>
    <w:rsid w:val="002819D7"/>
    <w:rsid w:val="002C1A7E"/>
    <w:rsid w:val="002D3376"/>
    <w:rsid w:val="002F09D1"/>
    <w:rsid w:val="00311ED0"/>
    <w:rsid w:val="003648C5"/>
    <w:rsid w:val="003722FA"/>
    <w:rsid w:val="003A4957"/>
    <w:rsid w:val="003C7AAF"/>
    <w:rsid w:val="004075B6"/>
    <w:rsid w:val="00420952"/>
    <w:rsid w:val="00433EFF"/>
    <w:rsid w:val="00443081"/>
    <w:rsid w:val="00446BEE"/>
    <w:rsid w:val="004B0733"/>
    <w:rsid w:val="005025A1"/>
    <w:rsid w:val="006921E1"/>
    <w:rsid w:val="006F4B25"/>
    <w:rsid w:val="006F6496"/>
    <w:rsid w:val="00736348"/>
    <w:rsid w:val="00746684"/>
    <w:rsid w:val="00760908"/>
    <w:rsid w:val="007F238D"/>
    <w:rsid w:val="00861B92"/>
    <w:rsid w:val="008814FB"/>
    <w:rsid w:val="008F5E30"/>
    <w:rsid w:val="00914D7F"/>
    <w:rsid w:val="009B68E5"/>
    <w:rsid w:val="009E680B"/>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47672"/>
    <w:rsid w:val="00D504B3"/>
    <w:rsid w:val="00D7250F"/>
    <w:rsid w:val="00D86BF0"/>
    <w:rsid w:val="00E05FC3"/>
    <w:rsid w:val="00E51920"/>
    <w:rsid w:val="00E624EE"/>
    <w:rsid w:val="00E64120"/>
    <w:rsid w:val="00E660A1"/>
    <w:rsid w:val="00E966C3"/>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DDB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69D"/>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styleId="ListParagraph">
    <w:name w:val="List Paragraph"/>
    <w:basedOn w:val="Normal"/>
    <w:link w:val="ListParagraphChar"/>
    <w:uiPriority w:val="34"/>
    <w:qFormat/>
    <w:rsid w:val="001C369D"/>
    <w:pPr>
      <w:ind w:left="720"/>
      <w:contextualSpacing/>
    </w:pPr>
  </w:style>
  <w:style w:type="table" w:styleId="TableGrid">
    <w:name w:val="Table Grid"/>
    <w:basedOn w:val="TableNormal"/>
    <w:uiPriority w:val="39"/>
    <w:rsid w:val="001C369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C369D"/>
    <w:pPr>
      <w:spacing w:after="120" w:line="480" w:lineRule="auto"/>
    </w:pPr>
  </w:style>
  <w:style w:type="character" w:customStyle="1" w:styleId="BodyText2Char">
    <w:name w:val="Body Text 2 Char"/>
    <w:basedOn w:val="DefaultParagraphFont"/>
    <w:link w:val="BodyText2"/>
    <w:uiPriority w:val="99"/>
    <w:rsid w:val="001C369D"/>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1C369D"/>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746684"/>
    <w:rPr>
      <w:sz w:val="16"/>
      <w:szCs w:val="16"/>
    </w:rPr>
  </w:style>
  <w:style w:type="paragraph" w:styleId="CommentText">
    <w:name w:val="annotation text"/>
    <w:basedOn w:val="Normal"/>
    <w:link w:val="CommentTextChar"/>
    <w:semiHidden/>
    <w:unhideWhenUsed/>
    <w:rsid w:val="00746684"/>
    <w:pPr>
      <w:spacing w:line="240" w:lineRule="auto"/>
    </w:pPr>
    <w:rPr>
      <w:sz w:val="20"/>
      <w:szCs w:val="20"/>
    </w:rPr>
  </w:style>
  <w:style w:type="character" w:customStyle="1" w:styleId="CommentTextChar">
    <w:name w:val="Comment Text Char"/>
    <w:basedOn w:val="DefaultParagraphFont"/>
    <w:link w:val="CommentText"/>
    <w:semiHidden/>
    <w:rsid w:val="0074668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746684"/>
    <w:rPr>
      <w:b/>
      <w:bCs/>
    </w:rPr>
  </w:style>
  <w:style w:type="character" w:customStyle="1" w:styleId="CommentSubjectChar">
    <w:name w:val="Comment Subject Char"/>
    <w:basedOn w:val="CommentTextChar"/>
    <w:link w:val="CommentSubject"/>
    <w:semiHidden/>
    <w:rsid w:val="00746684"/>
    <w:rPr>
      <w:rFonts w:asciiTheme="minorHAnsi" w:eastAsiaTheme="minorHAnsi" w:hAnsiTheme="minorHAnsi" w:cstheme="minorBidi"/>
      <w:b/>
      <w:bCs/>
      <w:lang w:eastAsia="en-US"/>
    </w:rPr>
  </w:style>
  <w:style w:type="paragraph" w:styleId="Revision">
    <w:name w:val="Revision"/>
    <w:hidden/>
    <w:uiPriority w:val="99"/>
    <w:semiHidden/>
    <w:rsid w:val="0074668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3443</Characters>
  <Application>Microsoft Office Word</Application>
  <DocSecurity>0</DocSecurity>
  <Lines>28</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2021-06-29T17:35:00Z</dcterms:created>
  <dcterms:modified xsi:type="dcterms:W3CDTF">2021-06-29T17:35:00Z</dcterms:modified>
</cp:coreProperties>
</file>