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8EAB" w14:textId="58E16651" w:rsidR="00443081" w:rsidRPr="00621F12" w:rsidRDefault="002B44CC" w:rsidP="00621F12">
      <w:pPr>
        <w:pStyle w:val="StyleArial14ptBoldCentered"/>
      </w:pPr>
      <w:r w:rsidRPr="00621F12">
        <w:t>NATIONAL INSTITUTE FOR HEALTH AND CARE EXCELLENCE</w:t>
      </w:r>
    </w:p>
    <w:p w14:paraId="7E8E1212" w14:textId="17926895" w:rsidR="004F500C" w:rsidRPr="00621F12" w:rsidRDefault="004F500C" w:rsidP="00621F12">
      <w:pPr>
        <w:pStyle w:val="StyleArial14ptBoldCentered"/>
      </w:pPr>
      <w:r w:rsidRPr="00621F12">
        <w:t>Antimicrobial Health Technology Evaluation</w:t>
      </w:r>
    </w:p>
    <w:p w14:paraId="1C7D71A5" w14:textId="77777777" w:rsidR="004F500C" w:rsidRPr="00621F12" w:rsidRDefault="004F500C" w:rsidP="00621F12">
      <w:pPr>
        <w:pStyle w:val="StyleArial14ptBoldCentered"/>
      </w:pPr>
      <w:r w:rsidRPr="00621F12">
        <w:t xml:space="preserve">Ceftazidime with avibactam for treating severe aerobic Gram-negative bacterial </w:t>
      </w:r>
      <w:proofErr w:type="gramStart"/>
      <w:r w:rsidRPr="00621F12">
        <w:t>infections</w:t>
      </w:r>
      <w:proofErr w:type="gramEnd"/>
    </w:p>
    <w:p w14:paraId="2A64A4F9" w14:textId="4C4F8972" w:rsidR="004F500C" w:rsidRPr="007E5BA7" w:rsidRDefault="00792504" w:rsidP="007E5BA7">
      <w:pPr>
        <w:pStyle w:val="Heading1"/>
        <w:jc w:val="center"/>
      </w:pPr>
      <w:r>
        <w:t>Final</w:t>
      </w:r>
      <w:r w:rsidRPr="007E5BA7">
        <w:t xml:space="preserve"> </w:t>
      </w:r>
      <w:r w:rsidR="004F500C" w:rsidRPr="007E5BA7">
        <w:t>stakeholder list of consultees and commentators</w:t>
      </w:r>
    </w:p>
    <w:p w14:paraId="7D2B2F9B" w14:textId="65D954ED" w:rsidR="002B44CC" w:rsidRDefault="002B44CC" w:rsidP="004F500C">
      <w:pPr>
        <w:pStyle w:val="Heading2"/>
      </w:pPr>
      <w:r>
        <w:t>Consultees</w:t>
      </w:r>
    </w:p>
    <w:p w14:paraId="7CCE450A" w14:textId="0423F164" w:rsidR="002B44CC" w:rsidRDefault="002B44CC" w:rsidP="002B44CC">
      <w:pPr>
        <w:pStyle w:val="Heading3"/>
      </w:pPr>
      <w:r>
        <w:t>Company</w:t>
      </w:r>
    </w:p>
    <w:p w14:paraId="59B721E6" w14:textId="2258C856" w:rsidR="002B44CC" w:rsidRDefault="004F500C" w:rsidP="004F500C">
      <w:pPr>
        <w:pStyle w:val="Bullets"/>
      </w:pPr>
      <w:r w:rsidRPr="004F500C">
        <w:t>Pfizer (</w:t>
      </w:r>
      <w:r w:rsidR="00680035">
        <w:t>c</w:t>
      </w:r>
      <w:r w:rsidRPr="004F500C">
        <w:t>eftazidime with avibactam)</w:t>
      </w:r>
    </w:p>
    <w:p w14:paraId="619C63E5" w14:textId="77777777" w:rsidR="002B44CC" w:rsidRDefault="002B44CC" w:rsidP="002B44CC">
      <w:pPr>
        <w:pStyle w:val="Heading3"/>
      </w:pPr>
      <w:r>
        <w:t>Patient/carer groups</w:t>
      </w:r>
    </w:p>
    <w:p w14:paraId="094F05EA" w14:textId="152F15A1" w:rsidR="004F500C" w:rsidRDefault="004F500C" w:rsidP="004F500C">
      <w:pPr>
        <w:pStyle w:val="Bullets"/>
      </w:pPr>
      <w:r>
        <w:t>Action for Sick Children</w:t>
      </w:r>
    </w:p>
    <w:p w14:paraId="4A5D7231" w14:textId="0BC6CD32" w:rsidR="00E22A63" w:rsidRDefault="00E22A63" w:rsidP="004F500C">
      <w:pPr>
        <w:pStyle w:val="Bullets"/>
      </w:pPr>
      <w:r>
        <w:t>Anthony Nolan</w:t>
      </w:r>
    </w:p>
    <w:p w14:paraId="37A2920A" w14:textId="77777777" w:rsidR="004F500C" w:rsidRDefault="004F500C" w:rsidP="004F500C">
      <w:pPr>
        <w:pStyle w:val="Bullets"/>
      </w:pPr>
      <w:r>
        <w:t>Bladder and Bowel UK</w:t>
      </w:r>
    </w:p>
    <w:p w14:paraId="72C94DAA" w14:textId="77777777" w:rsidR="004F500C" w:rsidRDefault="004F500C" w:rsidP="004F500C">
      <w:pPr>
        <w:pStyle w:val="Bullets"/>
      </w:pPr>
      <w:r>
        <w:t>Bladder Health UK</w:t>
      </w:r>
    </w:p>
    <w:p w14:paraId="2FB57044" w14:textId="77777777" w:rsidR="004F500C" w:rsidRDefault="004F500C" w:rsidP="004F500C">
      <w:pPr>
        <w:pStyle w:val="Bullets"/>
      </w:pPr>
      <w:r>
        <w:t>British Lung Foundation</w:t>
      </w:r>
    </w:p>
    <w:p w14:paraId="5EA09DC5" w14:textId="0CFEC819" w:rsidR="004F500C" w:rsidRDefault="004F500C" w:rsidP="004F500C">
      <w:pPr>
        <w:pStyle w:val="Bullets"/>
      </w:pPr>
      <w:r w:rsidRPr="00F1625E">
        <w:t>Chronic Urinary Tract Infection Campaign</w:t>
      </w:r>
    </w:p>
    <w:p w14:paraId="254F19F6" w14:textId="2509D0B3" w:rsidR="006D6AF5" w:rsidRPr="00F1625E" w:rsidRDefault="006D6AF5" w:rsidP="004F500C">
      <w:pPr>
        <w:pStyle w:val="Bullets"/>
      </w:pPr>
      <w:r>
        <w:t>CF Voices</w:t>
      </w:r>
    </w:p>
    <w:p w14:paraId="15E18123" w14:textId="52CC0D43" w:rsidR="00031C5B" w:rsidRPr="00F1625E" w:rsidRDefault="00031C5B" w:rsidP="00031C5B">
      <w:pPr>
        <w:pStyle w:val="Bullets"/>
      </w:pPr>
      <w:r w:rsidRPr="00F1625E">
        <w:t xml:space="preserve">Cystic Fibrosis Trust </w:t>
      </w:r>
    </w:p>
    <w:p w14:paraId="52D169D4" w14:textId="77777777" w:rsidR="004F500C" w:rsidRDefault="004F500C" w:rsidP="004F500C">
      <w:pPr>
        <w:pStyle w:val="Bullets"/>
      </w:pPr>
      <w:r>
        <w:t>GUTS UK</w:t>
      </w:r>
    </w:p>
    <w:p w14:paraId="46D5CCFF" w14:textId="77777777" w:rsidR="004F500C" w:rsidRDefault="004F500C" w:rsidP="004F500C">
      <w:pPr>
        <w:pStyle w:val="Bullets"/>
      </w:pPr>
      <w:r>
        <w:t xml:space="preserve">Contact a </w:t>
      </w:r>
      <w:proofErr w:type="gramStart"/>
      <w:r>
        <w:t>Family</w:t>
      </w:r>
      <w:proofErr w:type="gramEnd"/>
    </w:p>
    <w:p w14:paraId="13262A75" w14:textId="77777777" w:rsidR="004F500C" w:rsidRDefault="004F500C" w:rsidP="004F500C">
      <w:pPr>
        <w:pStyle w:val="Bullets"/>
      </w:pPr>
      <w:r>
        <w:t>Kidney Care UK</w:t>
      </w:r>
    </w:p>
    <w:p w14:paraId="3A37797C" w14:textId="55C05166" w:rsidR="004F500C" w:rsidRDefault="004F500C" w:rsidP="004F500C">
      <w:pPr>
        <w:pStyle w:val="Bullets"/>
      </w:pPr>
      <w:r>
        <w:t>Kidney Research UK</w:t>
      </w:r>
    </w:p>
    <w:p w14:paraId="4DFFA732" w14:textId="196772F3" w:rsidR="00D92FE1" w:rsidRDefault="00D92FE1" w:rsidP="004F500C">
      <w:pPr>
        <w:pStyle w:val="Bullets"/>
      </w:pPr>
      <w:r>
        <w:t xml:space="preserve">National Black, Asian, Mixed Race and Minority Ethnic </w:t>
      </w:r>
      <w:r w:rsidR="00E22A63">
        <w:t>(</w:t>
      </w:r>
      <w:r>
        <w:t xml:space="preserve">BAME) Transplant Alliance (NBTA) </w:t>
      </w:r>
    </w:p>
    <w:p w14:paraId="7D3C5F9D" w14:textId="77777777" w:rsidR="004F500C" w:rsidRDefault="004F500C" w:rsidP="004F500C">
      <w:pPr>
        <w:pStyle w:val="Bullets"/>
      </w:pPr>
      <w:r>
        <w:t>National Children’s Bureau</w:t>
      </w:r>
    </w:p>
    <w:p w14:paraId="102CF483" w14:textId="77777777" w:rsidR="004F500C" w:rsidRDefault="004F500C" w:rsidP="004F500C">
      <w:pPr>
        <w:pStyle w:val="Bullets"/>
      </w:pPr>
      <w:r>
        <w:t>National Kidney Federation</w:t>
      </w:r>
    </w:p>
    <w:p w14:paraId="27ACFD6A" w14:textId="37786F06" w:rsidR="004F500C" w:rsidRDefault="004F500C" w:rsidP="004F500C">
      <w:pPr>
        <w:pStyle w:val="Bullets"/>
      </w:pPr>
      <w:r>
        <w:t>Patients Association</w:t>
      </w:r>
    </w:p>
    <w:p w14:paraId="224812A5" w14:textId="56CEA3EF" w:rsidR="00E22A63" w:rsidRDefault="00E22A63" w:rsidP="004F500C">
      <w:pPr>
        <w:pStyle w:val="Bullets"/>
      </w:pPr>
      <w:r w:rsidRPr="00E22A63">
        <w:t>Primary Immunodeficiency UK</w:t>
      </w:r>
    </w:p>
    <w:p w14:paraId="2777E15B" w14:textId="3D0D35C7" w:rsidR="00E22A63" w:rsidRDefault="00E22A63" w:rsidP="00E22A63">
      <w:pPr>
        <w:pStyle w:val="Bullets"/>
      </w:pPr>
      <w:r w:rsidRPr="00F1625E">
        <w:t xml:space="preserve">Sepsis Trust </w:t>
      </w:r>
    </w:p>
    <w:p w14:paraId="3ED4E557" w14:textId="37183A11" w:rsidR="00E22A63" w:rsidRPr="00F1625E" w:rsidRDefault="00E22A63" w:rsidP="00E22A63">
      <w:pPr>
        <w:pStyle w:val="Bullets"/>
      </w:pPr>
      <w:r>
        <w:t>Sickle Cell Society</w:t>
      </w:r>
    </w:p>
    <w:p w14:paraId="76BA61CB" w14:textId="3414EEA5" w:rsidR="002B44CC" w:rsidRPr="00F1625E" w:rsidRDefault="004F500C" w:rsidP="004F500C">
      <w:pPr>
        <w:pStyle w:val="Bullets"/>
      </w:pPr>
      <w:r w:rsidRPr="00F1625E">
        <w:lastRenderedPageBreak/>
        <w:t>Specialised Healthcare Alliance</w:t>
      </w:r>
    </w:p>
    <w:p w14:paraId="19643B66" w14:textId="77777777" w:rsidR="00031C5B" w:rsidRPr="00F1625E" w:rsidRDefault="00031C5B" w:rsidP="00031C5B">
      <w:pPr>
        <w:pStyle w:val="Bullets"/>
      </w:pPr>
      <w:r w:rsidRPr="00F1625E">
        <w:t xml:space="preserve">Transplant Patients Trust </w:t>
      </w:r>
    </w:p>
    <w:p w14:paraId="674695C4" w14:textId="77777777" w:rsidR="002B44CC" w:rsidRPr="00970FC7" w:rsidRDefault="002B44CC" w:rsidP="002B44CC">
      <w:pPr>
        <w:pStyle w:val="Heading3"/>
      </w:pPr>
      <w:r w:rsidRPr="00970FC7">
        <w:t>Professional groups</w:t>
      </w:r>
    </w:p>
    <w:p w14:paraId="6B8AF55F" w14:textId="77777777" w:rsidR="00031C5B" w:rsidRPr="00970FC7" w:rsidRDefault="00031C5B" w:rsidP="00031C5B">
      <w:pPr>
        <w:pStyle w:val="Bullets"/>
      </w:pPr>
      <w:r w:rsidRPr="00970FC7">
        <w:t xml:space="preserve">Antibiotic Research UK </w:t>
      </w:r>
    </w:p>
    <w:p w14:paraId="2B2A0D3D" w14:textId="77777777" w:rsidR="00031C5B" w:rsidRPr="00970FC7" w:rsidRDefault="00031C5B" w:rsidP="00031C5B">
      <w:pPr>
        <w:pStyle w:val="Bullets"/>
      </w:pPr>
      <w:r w:rsidRPr="00970FC7">
        <w:t>Association for Respiratory Technology and Physiology</w:t>
      </w:r>
    </w:p>
    <w:p w14:paraId="758014F2" w14:textId="77777777" w:rsidR="004F500C" w:rsidRPr="00970FC7" w:rsidRDefault="004F500C" w:rsidP="004F500C">
      <w:pPr>
        <w:pStyle w:val="Bullets"/>
      </w:pPr>
      <w:r w:rsidRPr="00970FC7">
        <w:t>Association of Anaesthetists</w:t>
      </w:r>
    </w:p>
    <w:p w14:paraId="4DB0704A" w14:textId="77777777" w:rsidR="004F500C" w:rsidRPr="00970FC7" w:rsidRDefault="004F500C" w:rsidP="004F500C">
      <w:pPr>
        <w:pStyle w:val="Bullets"/>
      </w:pPr>
      <w:r w:rsidRPr="00970FC7">
        <w:t>Association of Clinical Biochemists - Microbiology Section</w:t>
      </w:r>
    </w:p>
    <w:p w14:paraId="04D0A1C6" w14:textId="77777777" w:rsidR="004F500C" w:rsidRPr="00970FC7" w:rsidRDefault="004F500C" w:rsidP="004F500C">
      <w:pPr>
        <w:pStyle w:val="Bullets"/>
      </w:pPr>
      <w:r w:rsidRPr="00970FC7">
        <w:t>Association of Paediatric Emergency Medicines</w:t>
      </w:r>
    </w:p>
    <w:p w14:paraId="52DAE911" w14:textId="77777777" w:rsidR="004F500C" w:rsidRPr="00970FC7" w:rsidRDefault="004F500C" w:rsidP="004F500C">
      <w:pPr>
        <w:pStyle w:val="Bullets"/>
      </w:pPr>
      <w:r w:rsidRPr="00970FC7">
        <w:t>Association of Renal Technologists</w:t>
      </w:r>
    </w:p>
    <w:p w14:paraId="332C1D99" w14:textId="77777777" w:rsidR="004F500C" w:rsidRPr="00970FC7" w:rsidRDefault="004F500C" w:rsidP="004F500C">
      <w:pPr>
        <w:pStyle w:val="Bullets"/>
      </w:pPr>
      <w:r w:rsidRPr="00970FC7">
        <w:t>Association of Respiratory Nurse Specialists</w:t>
      </w:r>
    </w:p>
    <w:p w14:paraId="3E784A0D" w14:textId="77777777" w:rsidR="004F500C" w:rsidRPr="00970FC7" w:rsidRDefault="004F500C" w:rsidP="004F500C">
      <w:pPr>
        <w:pStyle w:val="Bullets"/>
      </w:pPr>
      <w:r w:rsidRPr="00970FC7">
        <w:t>Association of Surgeons of Great Britain and Ireland</w:t>
      </w:r>
    </w:p>
    <w:p w14:paraId="27BDBBE7" w14:textId="77777777" w:rsidR="004F500C" w:rsidRPr="00970FC7" w:rsidRDefault="004F500C" w:rsidP="004F500C">
      <w:pPr>
        <w:pStyle w:val="Bullets"/>
      </w:pPr>
      <w:r w:rsidRPr="00970FC7">
        <w:t>British Association for Immediate Care</w:t>
      </w:r>
    </w:p>
    <w:p w14:paraId="34DE44F7" w14:textId="77777777" w:rsidR="004F500C" w:rsidRPr="00970FC7" w:rsidRDefault="004F500C" w:rsidP="004F500C">
      <w:pPr>
        <w:pStyle w:val="Bullets"/>
      </w:pPr>
      <w:r w:rsidRPr="00970FC7">
        <w:t>British Association of Paediatric Nephrology</w:t>
      </w:r>
    </w:p>
    <w:p w14:paraId="4E088C79" w14:textId="77777777" w:rsidR="004F500C" w:rsidRPr="00970FC7" w:rsidRDefault="004F500C" w:rsidP="004F500C">
      <w:pPr>
        <w:pStyle w:val="Bullets"/>
      </w:pPr>
      <w:r w:rsidRPr="00970FC7">
        <w:t>British Association for Parenteral &amp; Enteral Nutrition</w:t>
      </w:r>
    </w:p>
    <w:p w14:paraId="3901E881" w14:textId="77777777" w:rsidR="004F500C" w:rsidRPr="00970FC7" w:rsidRDefault="004F500C" w:rsidP="004F500C">
      <w:pPr>
        <w:pStyle w:val="Bullets"/>
      </w:pPr>
      <w:r w:rsidRPr="00970FC7">
        <w:t>British Association of Urological Nurses</w:t>
      </w:r>
    </w:p>
    <w:p w14:paraId="194181F2" w14:textId="77777777" w:rsidR="004F500C" w:rsidRPr="00970FC7" w:rsidRDefault="004F500C" w:rsidP="004F500C">
      <w:pPr>
        <w:pStyle w:val="Bullets"/>
      </w:pPr>
      <w:r w:rsidRPr="00970FC7">
        <w:t>British Association of Urological Surgeons</w:t>
      </w:r>
    </w:p>
    <w:p w14:paraId="0122D5AB" w14:textId="77777777" w:rsidR="004F500C" w:rsidRPr="00970FC7" w:rsidRDefault="004F500C" w:rsidP="004F500C">
      <w:pPr>
        <w:pStyle w:val="Bullets"/>
      </w:pPr>
      <w:r w:rsidRPr="00970FC7">
        <w:t>British Geriatrics Society</w:t>
      </w:r>
    </w:p>
    <w:p w14:paraId="306BAFCD" w14:textId="77777777" w:rsidR="004F500C" w:rsidRPr="00970FC7" w:rsidRDefault="004F500C" w:rsidP="004F500C">
      <w:pPr>
        <w:pStyle w:val="Bullets"/>
      </w:pPr>
      <w:r w:rsidRPr="00970FC7">
        <w:t>British Infection Association</w:t>
      </w:r>
    </w:p>
    <w:p w14:paraId="2E442B89" w14:textId="77777777" w:rsidR="004F500C" w:rsidRPr="00970FC7" w:rsidRDefault="004F500C" w:rsidP="004F500C">
      <w:pPr>
        <w:pStyle w:val="Bullets"/>
      </w:pPr>
      <w:r w:rsidRPr="00970FC7">
        <w:t>British Medical Association</w:t>
      </w:r>
    </w:p>
    <w:p w14:paraId="0846E081" w14:textId="77777777" w:rsidR="004F500C" w:rsidRPr="00970FC7" w:rsidRDefault="004F500C" w:rsidP="004F500C">
      <w:pPr>
        <w:pStyle w:val="Bullets"/>
      </w:pPr>
      <w:r w:rsidRPr="00970FC7">
        <w:t>British Paediatric Respiratory Society</w:t>
      </w:r>
    </w:p>
    <w:p w14:paraId="221F79C3" w14:textId="77777777" w:rsidR="004F500C" w:rsidRPr="00970FC7" w:rsidRDefault="004F500C" w:rsidP="004F500C">
      <w:pPr>
        <w:pStyle w:val="Bullets"/>
      </w:pPr>
      <w:r w:rsidRPr="00970FC7">
        <w:t>British Renal Society</w:t>
      </w:r>
    </w:p>
    <w:p w14:paraId="2C8EF536" w14:textId="77777777" w:rsidR="004F500C" w:rsidRPr="00970FC7" w:rsidRDefault="004F500C" w:rsidP="004F500C">
      <w:pPr>
        <w:pStyle w:val="Bullets"/>
      </w:pPr>
      <w:r w:rsidRPr="00970FC7">
        <w:t>British Society of Antimicrobial Chemotherapy</w:t>
      </w:r>
    </w:p>
    <w:p w14:paraId="0361DFC4" w14:textId="77777777" w:rsidR="004F500C" w:rsidRPr="00970FC7" w:rsidRDefault="004F500C" w:rsidP="004F500C">
      <w:pPr>
        <w:pStyle w:val="Bullets"/>
      </w:pPr>
      <w:r w:rsidRPr="00970FC7">
        <w:t>British Society for Haematology</w:t>
      </w:r>
    </w:p>
    <w:p w14:paraId="5CD21471" w14:textId="77777777" w:rsidR="004F500C" w:rsidRPr="00970FC7" w:rsidRDefault="004F500C" w:rsidP="004F500C">
      <w:pPr>
        <w:pStyle w:val="Bullets"/>
      </w:pPr>
      <w:r w:rsidRPr="00970FC7">
        <w:t>British Society of Gastroenterology</w:t>
      </w:r>
    </w:p>
    <w:p w14:paraId="02671805" w14:textId="77777777" w:rsidR="004F500C" w:rsidRPr="00970FC7" w:rsidRDefault="004F500C" w:rsidP="004F500C">
      <w:pPr>
        <w:pStyle w:val="Bullets"/>
      </w:pPr>
      <w:r w:rsidRPr="00970FC7">
        <w:t>British Thoracic Society</w:t>
      </w:r>
    </w:p>
    <w:p w14:paraId="48113542" w14:textId="267F70B2" w:rsidR="004F500C" w:rsidRPr="00970FC7" w:rsidRDefault="004F500C" w:rsidP="004F500C">
      <w:pPr>
        <w:pStyle w:val="Bullets"/>
      </w:pPr>
      <w:r w:rsidRPr="00970FC7">
        <w:t>British Transplantation Society</w:t>
      </w:r>
    </w:p>
    <w:p w14:paraId="5734FCB8" w14:textId="77777777" w:rsidR="004F500C" w:rsidRPr="00970FC7" w:rsidRDefault="004F500C" w:rsidP="004F500C">
      <w:pPr>
        <w:pStyle w:val="Bullets"/>
      </w:pPr>
      <w:r w:rsidRPr="00970FC7">
        <w:t>Faculty of Public Health</w:t>
      </w:r>
    </w:p>
    <w:p w14:paraId="26D00439" w14:textId="77777777" w:rsidR="004F500C" w:rsidRPr="00970FC7" w:rsidRDefault="004F500C" w:rsidP="004F500C">
      <w:pPr>
        <w:pStyle w:val="Bullets"/>
      </w:pPr>
      <w:r w:rsidRPr="00970FC7">
        <w:t>Healthcare Infection Society</w:t>
      </w:r>
    </w:p>
    <w:p w14:paraId="153ECF55" w14:textId="77777777" w:rsidR="004F500C" w:rsidRPr="00970FC7" w:rsidRDefault="004F500C" w:rsidP="004F500C">
      <w:pPr>
        <w:pStyle w:val="Bullets"/>
      </w:pPr>
      <w:r w:rsidRPr="00970FC7">
        <w:lastRenderedPageBreak/>
        <w:t>Infection Prevention Society</w:t>
      </w:r>
    </w:p>
    <w:p w14:paraId="25A4B471" w14:textId="77777777" w:rsidR="004F500C" w:rsidRPr="00970FC7" w:rsidRDefault="004F500C" w:rsidP="004F500C">
      <w:pPr>
        <w:pStyle w:val="Bullets"/>
      </w:pPr>
      <w:r w:rsidRPr="00970FC7">
        <w:t>Intensive Care Society</w:t>
      </w:r>
    </w:p>
    <w:p w14:paraId="3AAB0E3F" w14:textId="77777777" w:rsidR="004F500C" w:rsidRPr="00970FC7" w:rsidRDefault="004F500C" w:rsidP="004F500C">
      <w:pPr>
        <w:pStyle w:val="Bullets"/>
      </w:pPr>
      <w:r w:rsidRPr="00970FC7">
        <w:t>National Heart and Lung Institute</w:t>
      </w:r>
    </w:p>
    <w:p w14:paraId="4F4E4D65" w14:textId="77777777" w:rsidR="004F500C" w:rsidRPr="00970FC7" w:rsidRDefault="004F500C" w:rsidP="004F500C">
      <w:pPr>
        <w:pStyle w:val="Bullets"/>
      </w:pPr>
      <w:r w:rsidRPr="00970FC7">
        <w:t>NHS Blood and Transplant</w:t>
      </w:r>
    </w:p>
    <w:p w14:paraId="09FBF29D" w14:textId="77777777" w:rsidR="004F500C" w:rsidRPr="00970FC7" w:rsidRDefault="004F500C" w:rsidP="004F500C">
      <w:pPr>
        <w:pStyle w:val="Bullets"/>
      </w:pPr>
      <w:r w:rsidRPr="00970FC7">
        <w:t>Royal College of Emergency Medicine</w:t>
      </w:r>
    </w:p>
    <w:p w14:paraId="21971920" w14:textId="77777777" w:rsidR="004F500C" w:rsidRPr="00970FC7" w:rsidRDefault="004F500C" w:rsidP="004F500C">
      <w:pPr>
        <w:pStyle w:val="Bullets"/>
      </w:pPr>
      <w:r w:rsidRPr="00970FC7">
        <w:t>Royal College of General Practitioners</w:t>
      </w:r>
    </w:p>
    <w:p w14:paraId="3CAB9AEB" w14:textId="77777777" w:rsidR="004F500C" w:rsidRPr="00970FC7" w:rsidRDefault="004F500C" w:rsidP="004F500C">
      <w:pPr>
        <w:pStyle w:val="Bullets"/>
      </w:pPr>
      <w:r w:rsidRPr="00970FC7">
        <w:t>Royal College of Nursing</w:t>
      </w:r>
    </w:p>
    <w:p w14:paraId="1E630F5A" w14:textId="77777777" w:rsidR="004F500C" w:rsidRPr="00970FC7" w:rsidRDefault="004F500C" w:rsidP="004F500C">
      <w:pPr>
        <w:pStyle w:val="Bullets"/>
      </w:pPr>
      <w:r w:rsidRPr="00970FC7">
        <w:t>Royal College of Paediatrics &amp; Child Health</w:t>
      </w:r>
    </w:p>
    <w:p w14:paraId="5950AB56" w14:textId="77777777" w:rsidR="004F500C" w:rsidRPr="00970FC7" w:rsidRDefault="004F500C" w:rsidP="004F500C">
      <w:pPr>
        <w:pStyle w:val="Bullets"/>
      </w:pPr>
      <w:r w:rsidRPr="00970FC7">
        <w:t xml:space="preserve">Royal College of Pathologists </w:t>
      </w:r>
    </w:p>
    <w:p w14:paraId="06C9F290" w14:textId="77777777" w:rsidR="004F500C" w:rsidRPr="00970FC7" w:rsidRDefault="004F500C" w:rsidP="004F500C">
      <w:pPr>
        <w:pStyle w:val="Bullets"/>
      </w:pPr>
      <w:r w:rsidRPr="00970FC7">
        <w:t xml:space="preserve">Royal College of Physicians </w:t>
      </w:r>
    </w:p>
    <w:p w14:paraId="0C6B3C82" w14:textId="77777777" w:rsidR="004F500C" w:rsidRPr="00970FC7" w:rsidRDefault="004F500C" w:rsidP="004F500C">
      <w:pPr>
        <w:pStyle w:val="Bullets"/>
      </w:pPr>
      <w:r w:rsidRPr="00970FC7">
        <w:t>Royal College of Surgeons</w:t>
      </w:r>
    </w:p>
    <w:p w14:paraId="08FCF191" w14:textId="77777777" w:rsidR="004F500C" w:rsidRPr="00970FC7" w:rsidRDefault="004F500C" w:rsidP="004F500C">
      <w:pPr>
        <w:pStyle w:val="Bullets"/>
      </w:pPr>
      <w:r w:rsidRPr="00970FC7">
        <w:t>Royal Pharmaceutical Society</w:t>
      </w:r>
    </w:p>
    <w:p w14:paraId="6ACBECD7" w14:textId="77777777" w:rsidR="004F500C" w:rsidRPr="00970FC7" w:rsidRDefault="004F500C" w:rsidP="004F500C">
      <w:pPr>
        <w:pStyle w:val="Bullets"/>
      </w:pPr>
      <w:r w:rsidRPr="00970FC7">
        <w:t>Royal Society of Medicine</w:t>
      </w:r>
    </w:p>
    <w:p w14:paraId="2C49D18B" w14:textId="25D8DBE2" w:rsidR="004F500C" w:rsidRPr="00970FC7" w:rsidRDefault="004F500C" w:rsidP="004F500C">
      <w:pPr>
        <w:pStyle w:val="Bullets"/>
      </w:pPr>
      <w:r w:rsidRPr="00970FC7">
        <w:t>Surgical Dressing Manufacturers Association</w:t>
      </w:r>
    </w:p>
    <w:p w14:paraId="1AA91DE3" w14:textId="04982498" w:rsidR="00031C5B" w:rsidRDefault="00031C5B" w:rsidP="00031C5B">
      <w:pPr>
        <w:pStyle w:val="Bullets"/>
      </w:pPr>
      <w:r w:rsidRPr="00970FC7">
        <w:t xml:space="preserve">Transplant Association </w:t>
      </w:r>
    </w:p>
    <w:p w14:paraId="26F88874" w14:textId="77777777" w:rsidR="004F500C" w:rsidRPr="00970FC7" w:rsidRDefault="004F500C" w:rsidP="004F500C">
      <w:pPr>
        <w:pStyle w:val="Bullets"/>
      </w:pPr>
      <w:r w:rsidRPr="00970FC7">
        <w:t>UK Clinical Pharmacy Association</w:t>
      </w:r>
    </w:p>
    <w:p w14:paraId="2797A482" w14:textId="598DB261" w:rsidR="004F500C" w:rsidRDefault="004F500C" w:rsidP="004F500C">
      <w:pPr>
        <w:pStyle w:val="Bullets"/>
      </w:pPr>
      <w:r w:rsidRPr="00970FC7">
        <w:t>UK Critical Care Nursing Alliance</w:t>
      </w:r>
    </w:p>
    <w:p w14:paraId="64F2C833" w14:textId="77777777" w:rsidR="006D6AF5" w:rsidRPr="00970FC7" w:rsidRDefault="006D6AF5" w:rsidP="006D6AF5">
      <w:pPr>
        <w:pStyle w:val="Bullets"/>
      </w:pPr>
      <w:r>
        <w:t>UK Cystic Fibrosis Medical Association</w:t>
      </w:r>
    </w:p>
    <w:p w14:paraId="1CF09688" w14:textId="2399259A" w:rsidR="002B44CC" w:rsidRPr="00970FC7" w:rsidRDefault="004F500C" w:rsidP="004F500C">
      <w:pPr>
        <w:pStyle w:val="Bullets"/>
      </w:pPr>
      <w:r w:rsidRPr="00970FC7">
        <w:t>UK Renal Pharmacy Group</w:t>
      </w:r>
    </w:p>
    <w:p w14:paraId="54CB9654" w14:textId="77777777" w:rsidR="002B44CC" w:rsidRDefault="002B44CC" w:rsidP="002B44CC">
      <w:pPr>
        <w:pStyle w:val="Heading3"/>
      </w:pPr>
      <w:r w:rsidRPr="00970FC7">
        <w:t>Others</w:t>
      </w:r>
    </w:p>
    <w:p w14:paraId="70C5CC7D" w14:textId="77777777" w:rsidR="004F500C" w:rsidRDefault="004F500C" w:rsidP="004F500C">
      <w:pPr>
        <w:pStyle w:val="Bullets"/>
      </w:pPr>
      <w:r>
        <w:t>Department of Health and Social Care</w:t>
      </w:r>
    </w:p>
    <w:p w14:paraId="6F42DA3B" w14:textId="77777777" w:rsidR="004F500C" w:rsidRDefault="004F500C" w:rsidP="004F500C">
      <w:pPr>
        <w:pStyle w:val="Bullets"/>
      </w:pPr>
      <w:r>
        <w:t>NHS England and NHS Improvement</w:t>
      </w:r>
    </w:p>
    <w:p w14:paraId="72BB0F54" w14:textId="77777777" w:rsidR="004F500C" w:rsidRDefault="004F500C" w:rsidP="004F500C">
      <w:pPr>
        <w:pStyle w:val="Bullets"/>
      </w:pPr>
      <w:r>
        <w:t>Northern Ireland Government</w:t>
      </w:r>
    </w:p>
    <w:p w14:paraId="0D47FA23" w14:textId="77777777" w:rsidR="004F500C" w:rsidRDefault="004F500C" w:rsidP="004F500C">
      <w:pPr>
        <w:pStyle w:val="Bullets"/>
      </w:pPr>
      <w:r>
        <w:t>Scottish Government</w:t>
      </w:r>
    </w:p>
    <w:p w14:paraId="1D53C47E" w14:textId="77777777" w:rsidR="004F500C" w:rsidRDefault="004F500C" w:rsidP="004F500C">
      <w:pPr>
        <w:pStyle w:val="Bullets"/>
      </w:pPr>
      <w:r>
        <w:t>Welsh Government</w:t>
      </w:r>
    </w:p>
    <w:p w14:paraId="31A5DCF5" w14:textId="77777777" w:rsidR="004F500C" w:rsidRDefault="004F500C" w:rsidP="004F500C">
      <w:pPr>
        <w:pStyle w:val="Bullets"/>
      </w:pPr>
      <w:r>
        <w:t>NHS North Yorkshire CCG</w:t>
      </w:r>
    </w:p>
    <w:p w14:paraId="6CD90971" w14:textId="63790152" w:rsidR="004F500C" w:rsidRDefault="004F500C" w:rsidP="00621F12">
      <w:pPr>
        <w:pStyle w:val="Bullets"/>
      </w:pPr>
      <w:r>
        <w:t xml:space="preserve">NHS Herefordshire and Worcestershire </w:t>
      </w:r>
      <w:r w:rsidR="00E27C7C">
        <w:t>CCG</w:t>
      </w:r>
    </w:p>
    <w:p w14:paraId="48E41357" w14:textId="77777777" w:rsidR="002B44CC" w:rsidRDefault="002B44CC" w:rsidP="002B44CC">
      <w:pPr>
        <w:pStyle w:val="Heading2"/>
      </w:pPr>
      <w:r>
        <w:t>Commentators</w:t>
      </w:r>
    </w:p>
    <w:p w14:paraId="70C6DA2D" w14:textId="77777777" w:rsidR="002B44CC" w:rsidRDefault="002B44CC" w:rsidP="002B44CC">
      <w:pPr>
        <w:pStyle w:val="Heading3"/>
      </w:pPr>
      <w:r>
        <w:t>General commentators</w:t>
      </w:r>
    </w:p>
    <w:p w14:paraId="40CF12FD" w14:textId="77777777" w:rsidR="004F500C" w:rsidRDefault="004F500C" w:rsidP="004F500C">
      <w:pPr>
        <w:pStyle w:val="Bullets"/>
      </w:pPr>
      <w:r>
        <w:t>All Wales Therapeutics and Toxicology Centre</w:t>
      </w:r>
    </w:p>
    <w:p w14:paraId="63184D86" w14:textId="77777777" w:rsidR="004F500C" w:rsidRDefault="004F500C" w:rsidP="004F500C">
      <w:pPr>
        <w:pStyle w:val="Bullets"/>
      </w:pPr>
      <w:r>
        <w:t>Allied Health Professionals Federation</w:t>
      </w:r>
    </w:p>
    <w:p w14:paraId="3662F0D0" w14:textId="77777777" w:rsidR="004F500C" w:rsidRDefault="004F500C" w:rsidP="004F500C">
      <w:pPr>
        <w:pStyle w:val="Bullets"/>
      </w:pPr>
      <w:r>
        <w:t>Board of Community Health Councils in Wales</w:t>
      </w:r>
    </w:p>
    <w:p w14:paraId="0CBD1AF5" w14:textId="77777777" w:rsidR="004F500C" w:rsidRDefault="004F500C" w:rsidP="004F500C">
      <w:pPr>
        <w:pStyle w:val="Bullets"/>
      </w:pPr>
      <w:r>
        <w:t>British National Formulary</w:t>
      </w:r>
    </w:p>
    <w:p w14:paraId="4DBFCFBE" w14:textId="77777777" w:rsidR="004F500C" w:rsidRDefault="004F500C" w:rsidP="004F500C">
      <w:pPr>
        <w:pStyle w:val="Bullets"/>
      </w:pPr>
      <w:r>
        <w:t>Care Quality Commission</w:t>
      </w:r>
    </w:p>
    <w:p w14:paraId="52918257" w14:textId="77777777" w:rsidR="004F500C" w:rsidRDefault="004F500C" w:rsidP="004F500C">
      <w:pPr>
        <w:pStyle w:val="Bullets"/>
      </w:pPr>
      <w:r>
        <w:t>Department of Health, Social Services and Public Safety for Northern Ireland</w:t>
      </w:r>
    </w:p>
    <w:p w14:paraId="33422709" w14:textId="77777777" w:rsidR="004F500C" w:rsidRDefault="004F500C" w:rsidP="004F500C">
      <w:pPr>
        <w:pStyle w:val="Bullets"/>
      </w:pPr>
      <w:r>
        <w:t>Healthcare Improvement Scotland</w:t>
      </w:r>
    </w:p>
    <w:p w14:paraId="0BE05F89" w14:textId="77777777" w:rsidR="004F500C" w:rsidRDefault="004F500C" w:rsidP="004F500C">
      <w:pPr>
        <w:pStyle w:val="Bullets"/>
      </w:pPr>
      <w:r>
        <w:t xml:space="preserve">Medicines and Healthcare Products Regulatory Agency </w:t>
      </w:r>
    </w:p>
    <w:p w14:paraId="39BDC763" w14:textId="77777777" w:rsidR="004F500C" w:rsidRDefault="004F500C" w:rsidP="004F500C">
      <w:pPr>
        <w:pStyle w:val="Bullets"/>
      </w:pPr>
      <w:r>
        <w:t>National Association of Primary Care</w:t>
      </w:r>
    </w:p>
    <w:p w14:paraId="4096F8C8" w14:textId="77777777" w:rsidR="004F500C" w:rsidRDefault="004F500C" w:rsidP="004F500C">
      <w:pPr>
        <w:pStyle w:val="Bullets"/>
      </w:pPr>
      <w:r>
        <w:t>National Pharmacy Association</w:t>
      </w:r>
    </w:p>
    <w:p w14:paraId="7AD2E5FF" w14:textId="77777777" w:rsidR="004F500C" w:rsidRDefault="004F500C" w:rsidP="004F500C">
      <w:pPr>
        <w:pStyle w:val="Bullets"/>
      </w:pPr>
      <w:r>
        <w:t>NHS Alliance</w:t>
      </w:r>
    </w:p>
    <w:p w14:paraId="07CE6392" w14:textId="77777777" w:rsidR="004F500C" w:rsidRDefault="004F500C" w:rsidP="004F500C">
      <w:pPr>
        <w:pStyle w:val="Bullets"/>
      </w:pPr>
      <w:r>
        <w:t>NHS Confederation</w:t>
      </w:r>
    </w:p>
    <w:p w14:paraId="13CE9C4D" w14:textId="77777777" w:rsidR="004F500C" w:rsidRDefault="004F500C" w:rsidP="004F500C">
      <w:pPr>
        <w:pStyle w:val="Bullets"/>
      </w:pPr>
      <w:r>
        <w:t>Scottish Medicines Consortium</w:t>
      </w:r>
    </w:p>
    <w:p w14:paraId="6030876B" w14:textId="3D032500" w:rsidR="002B44CC" w:rsidRDefault="004F500C" w:rsidP="004F500C">
      <w:pPr>
        <w:pStyle w:val="Bullets"/>
      </w:pPr>
      <w:r>
        <w:t>Welsh Health Specialised Services Committee</w:t>
      </w:r>
    </w:p>
    <w:p w14:paraId="40C80A68" w14:textId="75E4094B" w:rsidR="002B44CC" w:rsidRDefault="004F500C" w:rsidP="002B44CC">
      <w:pPr>
        <w:pStyle w:val="Heading3"/>
      </w:pPr>
      <w:r>
        <w:t>Possible c</w:t>
      </w:r>
      <w:r w:rsidR="002B44CC">
        <w:t>omparator</w:t>
      </w:r>
      <w:r>
        <w:t xml:space="preserve"> companies</w:t>
      </w:r>
    </w:p>
    <w:p w14:paraId="7C4EF4DD" w14:textId="28C00D22" w:rsidR="004F500C" w:rsidRDefault="004F500C" w:rsidP="004F500C">
      <w:pPr>
        <w:pStyle w:val="Bullets"/>
      </w:pPr>
      <w:r>
        <w:t>Advanz Pharma (</w:t>
      </w:r>
      <w:proofErr w:type="spellStart"/>
      <w:r w:rsidR="00E13C35">
        <w:t>f</w:t>
      </w:r>
      <w:r w:rsidR="00195F5D">
        <w:t>osfomycin</w:t>
      </w:r>
      <w:proofErr w:type="spellEnd"/>
      <w:r w:rsidR="00195F5D">
        <w:t>,</w:t>
      </w:r>
      <w:r w:rsidR="00F1625E">
        <w:t xml:space="preserve"> </w:t>
      </w:r>
      <w:r>
        <w:t>gentamicin)</w:t>
      </w:r>
    </w:p>
    <w:p w14:paraId="7C14C089" w14:textId="77777777" w:rsidR="004F500C" w:rsidRDefault="004F500C" w:rsidP="004F500C">
      <w:pPr>
        <w:pStyle w:val="Bullets"/>
      </w:pPr>
      <w:r>
        <w:t>Aurobindo Pharma (piperacillin with tazobactam, meropenem)</w:t>
      </w:r>
    </w:p>
    <w:p w14:paraId="432B4A85" w14:textId="77777777" w:rsidR="004F500C" w:rsidRDefault="004F500C" w:rsidP="004F500C">
      <w:pPr>
        <w:pStyle w:val="Bullets"/>
      </w:pPr>
      <w:r>
        <w:t>Beacon Pharma (</w:t>
      </w:r>
      <w:proofErr w:type="spellStart"/>
      <w:r>
        <w:t>colistimethate</w:t>
      </w:r>
      <w:proofErr w:type="spellEnd"/>
      <w:r>
        <w:t xml:space="preserve"> sodium)</w:t>
      </w:r>
    </w:p>
    <w:p w14:paraId="6ED6A8CE" w14:textId="77777777" w:rsidR="004F500C" w:rsidRDefault="004F500C" w:rsidP="004F500C">
      <w:pPr>
        <w:pStyle w:val="Bullets"/>
      </w:pPr>
      <w:proofErr w:type="spellStart"/>
      <w:r>
        <w:t>Bowmed</w:t>
      </w:r>
      <w:proofErr w:type="spellEnd"/>
      <w:r>
        <w:t xml:space="preserve"> </w:t>
      </w:r>
      <w:proofErr w:type="spellStart"/>
      <w:r>
        <w:t>Ibisqus</w:t>
      </w:r>
      <w:proofErr w:type="spellEnd"/>
      <w:r>
        <w:t xml:space="preserve"> (piperacillin with tazobactam, meropenem)</w:t>
      </w:r>
    </w:p>
    <w:p w14:paraId="3C16D488" w14:textId="19733EC2" w:rsidR="004F500C" w:rsidRDefault="004F500C" w:rsidP="004F500C">
      <w:pPr>
        <w:pStyle w:val="Bullets"/>
      </w:pPr>
      <w:r>
        <w:t xml:space="preserve">Consilient Health (imipenem with </w:t>
      </w:r>
      <w:proofErr w:type="spellStart"/>
      <w:r>
        <w:t>cilastatin</w:t>
      </w:r>
      <w:proofErr w:type="spellEnd"/>
      <w:r>
        <w:t>, ertapenem, meropenem)</w:t>
      </w:r>
    </w:p>
    <w:p w14:paraId="7EEEE088" w14:textId="738FC4C5" w:rsidR="00031C5B" w:rsidRPr="00F1625E" w:rsidRDefault="004150CA" w:rsidP="00031C5B">
      <w:pPr>
        <w:pStyle w:val="Bullets"/>
      </w:pPr>
      <w:r w:rsidRPr="00F1625E">
        <w:t xml:space="preserve">EUMEDICA </w:t>
      </w:r>
      <w:r w:rsidR="00195F5D" w:rsidRPr="00F1625E">
        <w:t>S.A</w:t>
      </w:r>
      <w:r w:rsidRPr="00F1625E">
        <w:t>.</w:t>
      </w:r>
      <w:r w:rsidR="00031C5B" w:rsidRPr="00F1625E">
        <w:t xml:space="preserve"> (temocillin) </w:t>
      </w:r>
    </w:p>
    <w:p w14:paraId="52E43C3F" w14:textId="77777777" w:rsidR="004F500C" w:rsidRDefault="004F500C" w:rsidP="004F500C">
      <w:pPr>
        <w:pStyle w:val="Bullets"/>
      </w:pPr>
      <w:r>
        <w:t>Flynn pharma (tobramycin)</w:t>
      </w:r>
    </w:p>
    <w:p w14:paraId="18E82ABC" w14:textId="7BC50367" w:rsidR="004F500C" w:rsidRDefault="004F500C" w:rsidP="004F500C">
      <w:pPr>
        <w:pStyle w:val="Bullets"/>
      </w:pPr>
      <w:r>
        <w:t>Hospira UK (</w:t>
      </w:r>
      <w:r w:rsidR="00195F5D">
        <w:t xml:space="preserve">amikacin, </w:t>
      </w:r>
      <w:r>
        <w:t>gentamicin, tobramycin)</w:t>
      </w:r>
    </w:p>
    <w:p w14:paraId="1DBC2CB7" w14:textId="77777777" w:rsidR="004F500C" w:rsidRDefault="004F500C" w:rsidP="004F500C">
      <w:pPr>
        <w:pStyle w:val="Bullets"/>
      </w:pPr>
      <w:r>
        <w:t>Kent Pharmaceuticals (</w:t>
      </w:r>
      <w:proofErr w:type="spellStart"/>
      <w:r>
        <w:t>fosfomycin</w:t>
      </w:r>
      <w:proofErr w:type="spellEnd"/>
      <w:r>
        <w:t>)</w:t>
      </w:r>
    </w:p>
    <w:p w14:paraId="570C27B8" w14:textId="77777777" w:rsidR="004F500C" w:rsidRDefault="004F500C" w:rsidP="004F500C">
      <w:pPr>
        <w:pStyle w:val="Bullets"/>
      </w:pPr>
      <w:proofErr w:type="spellStart"/>
      <w:r>
        <w:t>Menarini</w:t>
      </w:r>
      <w:proofErr w:type="spellEnd"/>
      <w:r>
        <w:t xml:space="preserve"> (meropenem with </w:t>
      </w:r>
      <w:proofErr w:type="spellStart"/>
      <w:r>
        <w:t>vaborbactam</w:t>
      </w:r>
      <w:proofErr w:type="spellEnd"/>
      <w:r>
        <w:t>)</w:t>
      </w:r>
    </w:p>
    <w:p w14:paraId="085CA360" w14:textId="77777777" w:rsidR="004F500C" w:rsidRDefault="004F500C" w:rsidP="004F500C">
      <w:pPr>
        <w:pStyle w:val="Bullets"/>
      </w:pPr>
      <w:r>
        <w:t xml:space="preserve">Merck Sharpe &amp; Dohme (ertapenem, imipenem with </w:t>
      </w:r>
      <w:proofErr w:type="spellStart"/>
      <w:r>
        <w:t>cilastatin</w:t>
      </w:r>
      <w:proofErr w:type="spellEnd"/>
      <w:r>
        <w:t xml:space="preserve"> and </w:t>
      </w:r>
      <w:proofErr w:type="spellStart"/>
      <w:r>
        <w:t>relebactam</w:t>
      </w:r>
      <w:proofErr w:type="spellEnd"/>
      <w:r>
        <w:t>)</w:t>
      </w:r>
    </w:p>
    <w:p w14:paraId="64F45212" w14:textId="77777777" w:rsidR="004F500C" w:rsidRDefault="004F500C" w:rsidP="004F500C">
      <w:pPr>
        <w:pStyle w:val="Bullets"/>
      </w:pPr>
      <w:r>
        <w:t>Mylan (piperacillin with tazobactam, tigecycline)</w:t>
      </w:r>
    </w:p>
    <w:p w14:paraId="0BFD5F39" w14:textId="77777777" w:rsidR="004F500C" w:rsidRDefault="004F500C" w:rsidP="004F500C">
      <w:pPr>
        <w:pStyle w:val="Bullets"/>
      </w:pPr>
      <w:proofErr w:type="spellStart"/>
      <w:r>
        <w:t>Panpharma</w:t>
      </w:r>
      <w:proofErr w:type="spellEnd"/>
      <w:r>
        <w:t xml:space="preserve"> UK (ertapenem)</w:t>
      </w:r>
    </w:p>
    <w:p w14:paraId="123AC9A7" w14:textId="77777777" w:rsidR="004F500C" w:rsidRDefault="004F500C" w:rsidP="004F500C">
      <w:pPr>
        <w:pStyle w:val="Bullets"/>
      </w:pPr>
      <w:r>
        <w:t>Pfizer (meropenem, tigecycline)</w:t>
      </w:r>
    </w:p>
    <w:p w14:paraId="7456CB21" w14:textId="6D7CB6C5" w:rsidR="004F500C" w:rsidRDefault="004F500C" w:rsidP="004F500C">
      <w:pPr>
        <w:pStyle w:val="Bullets"/>
      </w:pPr>
      <w:r>
        <w:t>Profile Pharma (</w:t>
      </w:r>
      <w:proofErr w:type="spellStart"/>
      <w:r>
        <w:t>colistimethate</w:t>
      </w:r>
      <w:proofErr w:type="spellEnd"/>
      <w:r>
        <w:t xml:space="preserve"> sodium</w:t>
      </w:r>
      <w:r w:rsidR="00195F5D">
        <w:t>,</w:t>
      </w:r>
      <w:r w:rsidR="00F1625E">
        <w:t xml:space="preserve"> </w:t>
      </w:r>
      <w:proofErr w:type="spellStart"/>
      <w:r w:rsidR="00195F5D">
        <w:t>fo</w:t>
      </w:r>
      <w:r w:rsidR="004150CA">
        <w:t>s</w:t>
      </w:r>
      <w:r w:rsidR="00195F5D">
        <w:t>fomycin</w:t>
      </w:r>
      <w:proofErr w:type="spellEnd"/>
      <w:r>
        <w:t>)</w:t>
      </w:r>
    </w:p>
    <w:p w14:paraId="40BBAB6C" w14:textId="77777777" w:rsidR="004F500C" w:rsidRDefault="004F500C" w:rsidP="004F500C">
      <w:pPr>
        <w:pStyle w:val="Bullets"/>
      </w:pPr>
      <w:r>
        <w:t>Ranbaxy UK (meropenem)</w:t>
      </w:r>
    </w:p>
    <w:p w14:paraId="7AAC2094" w14:textId="77777777" w:rsidR="004F500C" w:rsidRDefault="004F500C" w:rsidP="004F500C">
      <w:pPr>
        <w:pStyle w:val="Bullets"/>
      </w:pPr>
      <w:r>
        <w:t>Sandoz (piperacillin with tazobactam)</w:t>
      </w:r>
    </w:p>
    <w:p w14:paraId="386ABF82" w14:textId="77777777" w:rsidR="004F500C" w:rsidRDefault="004F500C" w:rsidP="004F500C">
      <w:pPr>
        <w:pStyle w:val="Bullets"/>
      </w:pPr>
      <w:r>
        <w:t>Sanofi (gentamicin)</w:t>
      </w:r>
    </w:p>
    <w:p w14:paraId="7241ADDF" w14:textId="77777777" w:rsidR="004F500C" w:rsidRDefault="004F500C" w:rsidP="004F500C">
      <w:pPr>
        <w:pStyle w:val="Bullets"/>
      </w:pPr>
      <w:r>
        <w:t>Shionogi (cefiderocol)</w:t>
      </w:r>
    </w:p>
    <w:p w14:paraId="5CB8476F" w14:textId="77777777" w:rsidR="004F500C" w:rsidRDefault="004F500C" w:rsidP="004F500C">
      <w:pPr>
        <w:pStyle w:val="Bullets"/>
      </w:pPr>
      <w:r>
        <w:t>Synchrony (meropenem)</w:t>
      </w:r>
    </w:p>
    <w:p w14:paraId="24995E3E" w14:textId="434FABFD" w:rsidR="004F500C" w:rsidRDefault="004F500C" w:rsidP="004F500C">
      <w:pPr>
        <w:pStyle w:val="Bullets"/>
      </w:pPr>
      <w:r>
        <w:t>Teva UK (</w:t>
      </w:r>
      <w:proofErr w:type="spellStart"/>
      <w:r>
        <w:t>colistimethate</w:t>
      </w:r>
      <w:proofErr w:type="spellEnd"/>
      <w:r>
        <w:t xml:space="preserve"> sodium)</w:t>
      </w:r>
    </w:p>
    <w:p w14:paraId="3A196C9D" w14:textId="77777777" w:rsidR="00F1625E" w:rsidRDefault="00195F5D" w:rsidP="004F500C">
      <w:pPr>
        <w:pStyle w:val="Bullets"/>
      </w:pPr>
      <w:proofErr w:type="spellStart"/>
      <w:r>
        <w:t>Tillomed</w:t>
      </w:r>
      <w:proofErr w:type="spellEnd"/>
      <w:r>
        <w:t xml:space="preserve"> Laboratories (amikacin) </w:t>
      </w:r>
    </w:p>
    <w:p w14:paraId="2AC14019" w14:textId="654C45AA" w:rsidR="004F500C" w:rsidRDefault="004F500C" w:rsidP="004F500C">
      <w:pPr>
        <w:pStyle w:val="Bullets"/>
      </w:pPr>
      <w:proofErr w:type="spellStart"/>
      <w:r>
        <w:t>Wockhardt</w:t>
      </w:r>
      <w:proofErr w:type="spellEnd"/>
      <w:r>
        <w:t xml:space="preserve"> UK (piperacillin with tazobactam, gentamicin)</w:t>
      </w:r>
    </w:p>
    <w:p w14:paraId="316FFAE6" w14:textId="38BAD2A3" w:rsidR="002B44CC" w:rsidRDefault="004F500C" w:rsidP="004F500C">
      <w:pPr>
        <w:pStyle w:val="Bullets"/>
      </w:pPr>
      <w:r>
        <w:t>Zentiva (gentamicin)</w:t>
      </w:r>
    </w:p>
    <w:p w14:paraId="2FF90DD1" w14:textId="77777777" w:rsidR="002B44CC" w:rsidRDefault="002B44CC" w:rsidP="002B44CC">
      <w:pPr>
        <w:pStyle w:val="Heading3"/>
      </w:pPr>
      <w:r>
        <w:t>Relevant research groups</w:t>
      </w:r>
    </w:p>
    <w:p w14:paraId="7C0F5B8D" w14:textId="77777777" w:rsidR="004F500C" w:rsidRDefault="004F500C" w:rsidP="004F500C">
      <w:pPr>
        <w:pStyle w:val="Bullets"/>
      </w:pPr>
      <w:r>
        <w:t>Cochrane Acute Respiratory Infections</w:t>
      </w:r>
    </w:p>
    <w:p w14:paraId="74382675" w14:textId="77777777" w:rsidR="004F500C" w:rsidRDefault="004F500C" w:rsidP="004F500C">
      <w:pPr>
        <w:pStyle w:val="Bullets"/>
      </w:pPr>
      <w:r>
        <w:t>Cochrane Airways Group</w:t>
      </w:r>
    </w:p>
    <w:p w14:paraId="2928489F" w14:textId="77777777" w:rsidR="004F500C" w:rsidRDefault="004F500C" w:rsidP="004F500C">
      <w:pPr>
        <w:pStyle w:val="Bullets"/>
      </w:pPr>
      <w:r>
        <w:t>Cochrane Infectious Diseases Group</w:t>
      </w:r>
    </w:p>
    <w:p w14:paraId="0976C7D1" w14:textId="77777777" w:rsidR="004F500C" w:rsidRDefault="004F500C" w:rsidP="004F500C">
      <w:pPr>
        <w:pStyle w:val="Bullets"/>
      </w:pPr>
      <w:r>
        <w:t>Cochrane Kidney and Transplant Group</w:t>
      </w:r>
    </w:p>
    <w:p w14:paraId="2CDC5E6A" w14:textId="77777777" w:rsidR="004F500C" w:rsidRDefault="004F500C" w:rsidP="004F500C">
      <w:pPr>
        <w:pStyle w:val="Bullets"/>
      </w:pPr>
      <w:r>
        <w:t>Genomics England</w:t>
      </w:r>
    </w:p>
    <w:p w14:paraId="1D1ED8E9" w14:textId="77777777" w:rsidR="004F500C" w:rsidRDefault="004F500C" w:rsidP="004F500C">
      <w:pPr>
        <w:pStyle w:val="Bullets"/>
      </w:pPr>
      <w:proofErr w:type="spellStart"/>
      <w:r>
        <w:t>LifeArc</w:t>
      </w:r>
      <w:proofErr w:type="spellEnd"/>
    </w:p>
    <w:p w14:paraId="4374124D" w14:textId="77777777" w:rsidR="004F500C" w:rsidRDefault="004F500C" w:rsidP="004F500C">
      <w:pPr>
        <w:pStyle w:val="Bullets"/>
      </w:pPr>
      <w:r>
        <w:t>MRC Clinical Trials Unit</w:t>
      </w:r>
    </w:p>
    <w:p w14:paraId="56EEDB87" w14:textId="77777777" w:rsidR="004F500C" w:rsidRDefault="004F500C" w:rsidP="004F500C">
      <w:pPr>
        <w:pStyle w:val="Bullets"/>
      </w:pPr>
      <w:r>
        <w:t>National Institute for Health Research</w:t>
      </w:r>
    </w:p>
    <w:p w14:paraId="2468B5CB" w14:textId="77777777" w:rsidR="004F500C" w:rsidRDefault="004F500C" w:rsidP="004F500C">
      <w:pPr>
        <w:pStyle w:val="Bullets"/>
      </w:pPr>
      <w:r>
        <w:t>UK Research and Innovation</w:t>
      </w:r>
    </w:p>
    <w:p w14:paraId="41B6C7AA" w14:textId="71C6A70F" w:rsidR="002B44CC" w:rsidRDefault="004F500C" w:rsidP="004F500C">
      <w:pPr>
        <w:pStyle w:val="Bullets"/>
      </w:pPr>
      <w:proofErr w:type="spellStart"/>
      <w:r>
        <w:t>Wellcome</w:t>
      </w:r>
      <w:proofErr w:type="spellEnd"/>
      <w:r>
        <w:t xml:space="preserve"> Trust</w:t>
      </w:r>
    </w:p>
    <w:p w14:paraId="1C169A2E" w14:textId="77777777" w:rsidR="002B44CC" w:rsidRDefault="002B44CC" w:rsidP="002B44CC">
      <w:pPr>
        <w:pStyle w:val="Heading3"/>
      </w:pPr>
      <w:r>
        <w:t>Associated Public Health groups</w:t>
      </w:r>
    </w:p>
    <w:p w14:paraId="22F2F6A8" w14:textId="77777777" w:rsidR="004F500C" w:rsidRDefault="004F500C" w:rsidP="004F500C">
      <w:pPr>
        <w:pStyle w:val="Bullets"/>
      </w:pPr>
      <w:r>
        <w:t>Advisory Committee on Antimicrobial Prescribing, Resistance and Healthcare Associated Infections (APRHAI)</w:t>
      </w:r>
    </w:p>
    <w:p w14:paraId="5DED4732" w14:textId="77777777" w:rsidR="004F500C" w:rsidRDefault="004F500C" w:rsidP="004F500C">
      <w:pPr>
        <w:pStyle w:val="Bullets"/>
      </w:pPr>
      <w:r>
        <w:t>Public Health England</w:t>
      </w:r>
    </w:p>
    <w:p w14:paraId="70300829" w14:textId="39B0A9D0" w:rsidR="00E106CA" w:rsidRDefault="004F500C" w:rsidP="00621F12">
      <w:pPr>
        <w:pStyle w:val="Bullets"/>
      </w:pPr>
      <w:r>
        <w:t>Public Health Wales</w:t>
      </w:r>
    </w:p>
    <w:p w14:paraId="75FE3249" w14:textId="258E064B" w:rsidR="00E106CA" w:rsidRPr="00621F12" w:rsidRDefault="00E106CA" w:rsidP="00621F12">
      <w:pPr>
        <w:pStyle w:val="Bullets"/>
        <w:numPr>
          <w:ilvl w:val="0"/>
          <w:numId w:val="0"/>
        </w:numPr>
        <w:ind w:left="-567"/>
      </w:pPr>
      <w:r w:rsidRPr="00E106CA">
        <w:t xml:space="preserve">NICE is committed to promoting equality, eliminating unlawful </w:t>
      </w:r>
      <w:proofErr w:type="gramStart"/>
      <w:r w:rsidRPr="00E106CA">
        <w:t>discrimination</w:t>
      </w:r>
      <w:proofErr w:type="gramEnd"/>
      <w:r w:rsidRPr="00E106CA">
        <w:t xml:space="preserve"> and fostering good relations between people who share a protected characteristic and those who do not. Please let us know if we have missed any important organisations from the stakeholder list, and which organisations we should include that have a particular focus on relevant equality issues.</w:t>
      </w:r>
    </w:p>
    <w:p w14:paraId="5C3A0A38" w14:textId="236F0ACD" w:rsidR="00E106CA" w:rsidRPr="00E106CA" w:rsidRDefault="00E106CA" w:rsidP="00E106CA">
      <w:pPr>
        <w:pStyle w:val="Heading2"/>
        <w:ind w:left="-567"/>
      </w:pPr>
      <w:r w:rsidRPr="00E106CA">
        <w:rPr>
          <w:lang w:eastAsia="en-US"/>
        </w:rPr>
        <w:t>Definitions</w:t>
      </w:r>
    </w:p>
    <w:p w14:paraId="52663792" w14:textId="466D6C2F" w:rsidR="00E106CA" w:rsidRPr="00621F12" w:rsidRDefault="00E106CA" w:rsidP="00621F12">
      <w:pPr>
        <w:pStyle w:val="Heading3"/>
        <w:ind w:left="-567"/>
        <w:rPr>
          <w:lang w:eastAsia="en-US"/>
        </w:rPr>
      </w:pPr>
      <w:r w:rsidRPr="00E106CA">
        <w:rPr>
          <w:lang w:eastAsia="en-US"/>
        </w:rPr>
        <w:t>Consultees</w:t>
      </w:r>
    </w:p>
    <w:p w14:paraId="543DDCA1" w14:textId="2B456921" w:rsidR="00E106CA" w:rsidRPr="00E106CA" w:rsidRDefault="00E106CA" w:rsidP="00621F12">
      <w:pPr>
        <w:ind w:left="-540"/>
        <w:rPr>
          <w:rFonts w:cs="Arial"/>
          <w:bCs/>
          <w:lang w:eastAsia="en-US"/>
        </w:rPr>
      </w:pPr>
      <w:r w:rsidRPr="00E106CA">
        <w:rPr>
          <w:rFonts w:cs="Arial"/>
          <w:bCs/>
          <w:lang w:eastAsia="en-US"/>
        </w:rPr>
        <w:t>Organisations that accept an invitation to participate in the evaluation; the company that markets the technology; national professional organisations; national patient organisations; the Department of Health and Social Care and the Welsh Government and relevant NHS organisations in England.</w:t>
      </w:r>
    </w:p>
    <w:p w14:paraId="686878C6" w14:textId="485A26E5" w:rsidR="00E106CA" w:rsidRPr="00E106CA" w:rsidRDefault="00E106CA" w:rsidP="00621F12">
      <w:pPr>
        <w:ind w:left="-540"/>
        <w:rPr>
          <w:rFonts w:cs="Arial"/>
          <w:bCs/>
          <w:lang w:eastAsia="en-US"/>
        </w:rPr>
      </w:pPr>
      <w:r w:rsidRPr="00E106CA">
        <w:rPr>
          <w:rFonts w:cs="Arial"/>
          <w:bCs/>
          <w:lang w:eastAsia="en-US"/>
        </w:rPr>
        <w:t xml:space="preserve">The company that markets the technology is invited to make an evidence submission, respond to </w:t>
      </w:r>
      <w:proofErr w:type="gramStart"/>
      <w:r w:rsidRPr="00E106CA">
        <w:rPr>
          <w:rFonts w:cs="Arial"/>
          <w:bCs/>
          <w:lang w:eastAsia="en-US"/>
        </w:rPr>
        <w:t>consultations</w:t>
      </w:r>
      <w:proofErr w:type="gramEnd"/>
      <w:r w:rsidRPr="00E106CA">
        <w:rPr>
          <w:rFonts w:cs="Arial"/>
          <w:bCs/>
          <w:lang w:eastAsia="en-US"/>
        </w:rPr>
        <w:t xml:space="preserve"> and nominate clinical experts.</w:t>
      </w:r>
    </w:p>
    <w:p w14:paraId="6CC2172F" w14:textId="5A8E8F59" w:rsidR="00E106CA" w:rsidRPr="00E106CA" w:rsidRDefault="00E106CA" w:rsidP="00621F12">
      <w:pPr>
        <w:ind w:left="-540"/>
        <w:rPr>
          <w:rFonts w:cs="Arial"/>
          <w:bCs/>
          <w:lang w:eastAsia="en-US"/>
        </w:rPr>
      </w:pPr>
      <w:r w:rsidRPr="00E106CA">
        <w:rPr>
          <w:rFonts w:cs="Arial"/>
          <w:bCs/>
          <w:lang w:eastAsia="en-US"/>
        </w:rPr>
        <w:t xml:space="preserve">All non-company consultees are invited to submit a statement, respond to </w:t>
      </w:r>
      <w:proofErr w:type="gramStart"/>
      <w:r w:rsidRPr="00E106CA">
        <w:rPr>
          <w:rFonts w:cs="Arial"/>
          <w:bCs/>
          <w:lang w:eastAsia="en-US"/>
        </w:rPr>
        <w:t>consultations</w:t>
      </w:r>
      <w:proofErr w:type="gramEnd"/>
      <w:r w:rsidRPr="00E106CA">
        <w:rPr>
          <w:rFonts w:cs="Arial"/>
          <w:bCs/>
          <w:lang w:eastAsia="en-US"/>
        </w:rPr>
        <w:t xml:space="preserve"> and nominate clinical or patient experts.</w:t>
      </w:r>
      <w:r w:rsidR="00621F12">
        <w:rPr>
          <w:rFonts w:cs="Arial"/>
          <w:bCs/>
          <w:lang w:eastAsia="en-US"/>
        </w:rPr>
        <w:t xml:space="preserve"> </w:t>
      </w:r>
      <w:r w:rsidR="00621F12" w:rsidRPr="00FA55A7">
        <w:rPr>
          <w:rFonts w:cs="Arial"/>
        </w:rPr>
        <w:t>Non</w:t>
      </w:r>
      <w:r w:rsidR="00621F12">
        <w:rPr>
          <w:rFonts w:cs="Arial"/>
        </w:rPr>
        <w:t>-</w:t>
      </w:r>
      <w:r w:rsidR="00621F12">
        <w:rPr>
          <w:rFonts w:cs="Arial"/>
        </w:rPr>
        <w:t>company</w:t>
      </w:r>
      <w:r w:rsidR="00621F12" w:rsidRPr="00FA55A7">
        <w:rPr>
          <w:rFonts w:cs="Arial"/>
        </w:rPr>
        <w:t xml:space="preserve"> consultees are invited to submit statements relevant to the group they are representing</w:t>
      </w:r>
      <w:r w:rsidR="00621F12">
        <w:t>.</w:t>
      </w:r>
    </w:p>
    <w:p w14:paraId="4052A6B7" w14:textId="67CFEF10" w:rsidR="00E106CA" w:rsidRPr="00621F12" w:rsidRDefault="00E106CA" w:rsidP="00621F12">
      <w:pPr>
        <w:pStyle w:val="Heading3"/>
        <w:ind w:left="-567"/>
        <w:rPr>
          <w:lang w:eastAsia="en-US"/>
        </w:rPr>
      </w:pPr>
      <w:r w:rsidRPr="00E106CA">
        <w:rPr>
          <w:lang w:eastAsia="en-US"/>
        </w:rPr>
        <w:t>Commentators</w:t>
      </w:r>
    </w:p>
    <w:p w14:paraId="54CFC598" w14:textId="2A1E20C7" w:rsidR="00E106CA" w:rsidRPr="00E106CA" w:rsidRDefault="00E106CA" w:rsidP="00621F12">
      <w:pPr>
        <w:ind w:left="-567"/>
        <w:rPr>
          <w:lang w:eastAsia="en-US"/>
        </w:rPr>
      </w:pPr>
      <w:r w:rsidRPr="00E106CA">
        <w:rPr>
          <w:lang w:eastAsia="en-US"/>
        </w:rPr>
        <w:t xml:space="preserve">Organisations that engage in the evaluation process but that are not asked to prepare an evidence submission or statement. These organisations </w:t>
      </w:r>
      <w:proofErr w:type="gramStart"/>
      <w:r w:rsidRPr="00E106CA">
        <w:rPr>
          <w:lang w:eastAsia="en-US"/>
        </w:rPr>
        <w:t>are:</w:t>
      </w:r>
      <w:proofErr w:type="gramEnd"/>
      <w:r w:rsidRPr="00E106CA">
        <w:rPr>
          <w:lang w:eastAsia="en-US"/>
        </w:rPr>
        <w:t xml:space="preserve"> companies that market comparator technologies; Healthcare Improvement Scotland; related research groups where appropriate (for example, the Medical Research Council [MRC], National Cancer Research Institute); other groups (for example, the NHS Confederation, NHS Alliance, and the British National Formulary).</w:t>
      </w:r>
    </w:p>
    <w:p w14:paraId="41DC4564" w14:textId="77777777" w:rsidR="00E106CA" w:rsidRPr="00E106CA" w:rsidRDefault="00E106CA" w:rsidP="00621F12">
      <w:pPr>
        <w:ind w:left="-567"/>
        <w:rPr>
          <w:lang w:eastAsia="en-US"/>
        </w:rPr>
      </w:pPr>
      <w:r w:rsidRPr="00E106CA">
        <w:rPr>
          <w:lang w:eastAsia="en-US"/>
        </w:rPr>
        <w:t>All non-company commentators are invited to nominate clinical or patient experts.</w:t>
      </w:r>
    </w:p>
    <w:p w14:paraId="3A5ED9C1" w14:textId="77777777" w:rsidR="00E106CA" w:rsidRPr="00E106CA" w:rsidRDefault="00E106CA" w:rsidP="00E106CA">
      <w:pPr>
        <w:ind w:left="-540"/>
        <w:rPr>
          <w:rFonts w:cs="Arial"/>
          <w:bCs/>
          <w:lang w:eastAsia="en-US"/>
        </w:rPr>
      </w:pPr>
    </w:p>
    <w:p w14:paraId="63D4A571" w14:textId="77777777" w:rsidR="00E106CA" w:rsidRPr="00E106CA" w:rsidRDefault="00E106CA" w:rsidP="00E106CA">
      <w:pPr>
        <w:spacing w:after="240" w:line="360" w:lineRule="auto"/>
        <w:rPr>
          <w:lang w:val="en-US" w:eastAsia="en-US"/>
        </w:rPr>
      </w:pPr>
    </w:p>
    <w:p w14:paraId="6FDBC234" w14:textId="77777777" w:rsidR="00E106CA" w:rsidRPr="00E106CA" w:rsidRDefault="00E106CA" w:rsidP="00E106CA">
      <w:pPr>
        <w:spacing w:after="240" w:line="276" w:lineRule="auto"/>
      </w:pPr>
    </w:p>
    <w:p w14:paraId="5CB64325" w14:textId="77777777" w:rsidR="00E106CA" w:rsidRPr="00E106CA" w:rsidRDefault="00E106CA" w:rsidP="00E106CA">
      <w:pPr>
        <w:spacing w:before="240" w:after="240"/>
        <w:outlineLvl w:val="0"/>
        <w:rPr>
          <w:rFonts w:cs="Arial"/>
          <w:b/>
          <w:bCs/>
          <w:lang w:eastAsia="en-US"/>
        </w:rPr>
      </w:pPr>
    </w:p>
    <w:p w14:paraId="6D37C547" w14:textId="77777777" w:rsidR="00E106CA" w:rsidRDefault="00E106CA" w:rsidP="002B44CC">
      <w:pPr>
        <w:pStyle w:val="Bullets"/>
        <w:numPr>
          <w:ilvl w:val="0"/>
          <w:numId w:val="0"/>
        </w:numPr>
      </w:pPr>
    </w:p>
    <w:p w14:paraId="6658305D" w14:textId="77777777" w:rsidR="002B44CC" w:rsidRPr="002B44CC" w:rsidRDefault="002B44CC" w:rsidP="002B44CC">
      <w:pPr>
        <w:pStyle w:val="Bullets"/>
        <w:numPr>
          <w:ilvl w:val="0"/>
          <w:numId w:val="0"/>
        </w:numPr>
        <w:ind w:left="1134" w:hanging="454"/>
      </w:pPr>
    </w:p>
    <w:sectPr w:rsidR="002B44CC" w:rsidRPr="002B44CC" w:rsidSect="00171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A61A" w14:textId="77777777" w:rsidR="004F500C" w:rsidRDefault="004F500C" w:rsidP="00446BEE">
      <w:r>
        <w:separator/>
      </w:r>
    </w:p>
  </w:endnote>
  <w:endnote w:type="continuationSeparator" w:id="0">
    <w:p w14:paraId="41FA2332" w14:textId="77777777" w:rsidR="004F500C" w:rsidRDefault="004F500C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70D8" w14:textId="77777777" w:rsidR="004F500C" w:rsidRDefault="004F500C" w:rsidP="00446BEE">
      <w:r>
        <w:separator/>
      </w:r>
    </w:p>
  </w:footnote>
  <w:footnote w:type="continuationSeparator" w:id="0">
    <w:p w14:paraId="4B4C4FFD" w14:textId="77777777" w:rsidR="004F500C" w:rsidRDefault="004F500C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CA9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8B7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49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2C2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4A6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ED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C6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042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E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A4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0E42"/>
    <w:multiLevelType w:val="hybridMultilevel"/>
    <w:tmpl w:val="892255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D746B"/>
    <w:multiLevelType w:val="hybridMultilevel"/>
    <w:tmpl w:val="5BDA24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0C"/>
    <w:rsid w:val="000053F8"/>
    <w:rsid w:val="00024D0A"/>
    <w:rsid w:val="00031C5B"/>
    <w:rsid w:val="0004437F"/>
    <w:rsid w:val="000472DC"/>
    <w:rsid w:val="00070065"/>
    <w:rsid w:val="000A4FEE"/>
    <w:rsid w:val="000B5939"/>
    <w:rsid w:val="000C3328"/>
    <w:rsid w:val="00111CCE"/>
    <w:rsid w:val="001134E7"/>
    <w:rsid w:val="0013770E"/>
    <w:rsid w:val="0017149E"/>
    <w:rsid w:val="0017169E"/>
    <w:rsid w:val="00181A4A"/>
    <w:rsid w:val="00195F5D"/>
    <w:rsid w:val="001B0EE9"/>
    <w:rsid w:val="001B65B3"/>
    <w:rsid w:val="002029A6"/>
    <w:rsid w:val="00227BF7"/>
    <w:rsid w:val="002408EA"/>
    <w:rsid w:val="002819D7"/>
    <w:rsid w:val="002B44CC"/>
    <w:rsid w:val="002C1A7E"/>
    <w:rsid w:val="002D3376"/>
    <w:rsid w:val="00311ED0"/>
    <w:rsid w:val="003648C5"/>
    <w:rsid w:val="003722FA"/>
    <w:rsid w:val="003C7AAF"/>
    <w:rsid w:val="004075B6"/>
    <w:rsid w:val="004150CA"/>
    <w:rsid w:val="00420952"/>
    <w:rsid w:val="00433EFF"/>
    <w:rsid w:val="00443081"/>
    <w:rsid w:val="00446BEE"/>
    <w:rsid w:val="004F500C"/>
    <w:rsid w:val="005025A1"/>
    <w:rsid w:val="00512086"/>
    <w:rsid w:val="00595855"/>
    <w:rsid w:val="00621F12"/>
    <w:rsid w:val="00680035"/>
    <w:rsid w:val="006921E1"/>
    <w:rsid w:val="006D6AF5"/>
    <w:rsid w:val="006F4B25"/>
    <w:rsid w:val="006F6496"/>
    <w:rsid w:val="00736348"/>
    <w:rsid w:val="00745D4D"/>
    <w:rsid w:val="00760908"/>
    <w:rsid w:val="00792504"/>
    <w:rsid w:val="007B28DE"/>
    <w:rsid w:val="007D68D8"/>
    <w:rsid w:val="007E3513"/>
    <w:rsid w:val="007E5BA7"/>
    <w:rsid w:val="007F238D"/>
    <w:rsid w:val="00861B92"/>
    <w:rsid w:val="008814FB"/>
    <w:rsid w:val="008F5E30"/>
    <w:rsid w:val="00914D7F"/>
    <w:rsid w:val="00947895"/>
    <w:rsid w:val="00970FC7"/>
    <w:rsid w:val="009B3211"/>
    <w:rsid w:val="009B4B1D"/>
    <w:rsid w:val="009E680B"/>
    <w:rsid w:val="00A15A1F"/>
    <w:rsid w:val="00A3325A"/>
    <w:rsid w:val="00A43013"/>
    <w:rsid w:val="00A86AA7"/>
    <w:rsid w:val="00AA16DA"/>
    <w:rsid w:val="00AF108A"/>
    <w:rsid w:val="00B02E55"/>
    <w:rsid w:val="00B036C1"/>
    <w:rsid w:val="00B5431F"/>
    <w:rsid w:val="00BE165D"/>
    <w:rsid w:val="00BF7FE0"/>
    <w:rsid w:val="00C4169A"/>
    <w:rsid w:val="00C81104"/>
    <w:rsid w:val="00C96411"/>
    <w:rsid w:val="00CB5671"/>
    <w:rsid w:val="00CF58B7"/>
    <w:rsid w:val="00D2087D"/>
    <w:rsid w:val="00D351C1"/>
    <w:rsid w:val="00D35EFB"/>
    <w:rsid w:val="00D504B3"/>
    <w:rsid w:val="00D86BF0"/>
    <w:rsid w:val="00D92FE1"/>
    <w:rsid w:val="00E106CA"/>
    <w:rsid w:val="00E13C35"/>
    <w:rsid w:val="00E17B5B"/>
    <w:rsid w:val="00E22A63"/>
    <w:rsid w:val="00E27C7C"/>
    <w:rsid w:val="00E51920"/>
    <w:rsid w:val="00E64120"/>
    <w:rsid w:val="00E660A1"/>
    <w:rsid w:val="00E73303"/>
    <w:rsid w:val="00E919C6"/>
    <w:rsid w:val="00EA3CCF"/>
    <w:rsid w:val="00EC6BB9"/>
    <w:rsid w:val="00F055F1"/>
    <w:rsid w:val="00F14962"/>
    <w:rsid w:val="00F1625E"/>
    <w:rsid w:val="00F610AF"/>
    <w:rsid w:val="00FA2C5A"/>
    <w:rsid w:val="00FB2A24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EC2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621F12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Hyperlink">
    <w:name w:val="Hyperlink"/>
    <w:basedOn w:val="DefaultParagraphFont"/>
    <w:unhideWhenUsed/>
    <w:rsid w:val="002B44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44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4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44C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4C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B44CC"/>
    <w:rPr>
      <w:color w:val="800080" w:themeColor="followedHyperlink"/>
      <w:u w:val="single"/>
    </w:rPr>
  </w:style>
  <w:style w:type="paragraph" w:styleId="Subtitle">
    <w:name w:val="Subtitle"/>
    <w:basedOn w:val="Normal"/>
    <w:link w:val="SubtitleChar"/>
    <w:qFormat/>
    <w:rsid w:val="004F500C"/>
    <w:pPr>
      <w:jc w:val="center"/>
    </w:pPr>
    <w:rPr>
      <w:rFonts w:cs="Arial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4F500C"/>
    <w:rPr>
      <w:rFonts w:ascii="Arial" w:hAnsi="Arial" w:cs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E106CA"/>
    <w:rPr>
      <w:sz w:val="20"/>
      <w:szCs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rsid w:val="00E106CA"/>
    <w:rPr>
      <w:lang w:val="x-none" w:eastAsia="en-US"/>
    </w:rPr>
  </w:style>
  <w:style w:type="character" w:styleId="FootnoteReference">
    <w:name w:val="footnote reference"/>
    <w:rsid w:val="00E106CA"/>
    <w:rPr>
      <w:vertAlign w:val="superscript"/>
    </w:rPr>
  </w:style>
  <w:style w:type="paragraph" w:customStyle="1" w:styleId="StyleArial14ptBoldCentered">
    <w:name w:val="Style Arial 14 pt Bold Centered"/>
    <w:basedOn w:val="Normal"/>
    <w:rsid w:val="00621F12"/>
    <w:pPr>
      <w:spacing w:before="120"/>
      <w:jc w:val="center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2021-06-29T17:28:00Z</dcterms:created>
  <dcterms:modified xsi:type="dcterms:W3CDTF">2021-06-29T17:28:00Z</dcterms:modified>
</cp:coreProperties>
</file>