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41B5" w14:textId="098D3935" w:rsidR="00F946B8" w:rsidRPr="00C94971" w:rsidRDefault="00B92289" w:rsidP="001F2929">
      <w:pPr>
        <w:pStyle w:val="Title"/>
      </w:pPr>
      <w:r w:rsidRPr="00C94971">
        <w:t xml:space="preserve">Key issues for </w:t>
      </w:r>
      <w:r w:rsidR="00410596" w:rsidRPr="00C94971">
        <w:t xml:space="preserve">committee </w:t>
      </w:r>
      <w:r w:rsidR="00941617">
        <w:t>discussion</w:t>
      </w:r>
    </w:p>
    <w:p w14:paraId="42C551AC" w14:textId="77777777" w:rsidR="00981016" w:rsidRPr="00C94971" w:rsidRDefault="00981016" w:rsidP="006D5A16"/>
    <w:p w14:paraId="0ED00635" w14:textId="41557A0A" w:rsidR="005051B4" w:rsidRDefault="00941617" w:rsidP="00A71F67">
      <w:pPr>
        <w:rPr>
          <w:rFonts w:ascii="Arial" w:hAnsi="Arial" w:cs="Arial"/>
        </w:rPr>
      </w:pPr>
      <w:r>
        <w:rPr>
          <w:rFonts w:ascii="Arial" w:hAnsi="Arial" w:cs="Arial"/>
        </w:rPr>
        <w:t xml:space="preserve">Table 1 </w:t>
      </w:r>
      <w:r w:rsidRPr="00665E9D">
        <w:rPr>
          <w:rFonts w:ascii="Arial" w:hAnsi="Arial" w:cs="Arial"/>
        </w:rPr>
        <w:t>summar</w:t>
      </w:r>
      <w:r>
        <w:rPr>
          <w:rFonts w:ascii="Arial" w:hAnsi="Arial" w:cs="Arial"/>
        </w:rPr>
        <w:t xml:space="preserve">ises </w:t>
      </w:r>
      <w:r w:rsidRPr="00665E9D">
        <w:rPr>
          <w:rFonts w:ascii="Arial" w:hAnsi="Arial" w:cs="Arial"/>
        </w:rPr>
        <w:t>the key issues</w:t>
      </w:r>
      <w:r>
        <w:rPr>
          <w:rFonts w:ascii="Arial" w:hAnsi="Arial" w:cs="Arial"/>
        </w:rPr>
        <w:t xml:space="preserve"> for committee discussion. Additional context and cross-references to committee papers are provided in the prose below the table</w:t>
      </w:r>
      <w:r w:rsidRPr="00665E9D">
        <w:rPr>
          <w:rFonts w:ascii="Arial" w:hAnsi="Arial" w:cs="Arial"/>
        </w:rPr>
        <w:t>.</w:t>
      </w:r>
      <w:r w:rsidRPr="00394220">
        <w:rPr>
          <w:rFonts w:ascii="Arial" w:hAnsi="Arial" w:cs="Arial"/>
        </w:rPr>
        <w:t xml:space="preserve"> </w:t>
      </w:r>
      <w:r>
        <w:rPr>
          <w:rFonts w:ascii="Arial" w:hAnsi="Arial" w:cs="Arial"/>
        </w:rPr>
        <w:t>Q</w:t>
      </w:r>
      <w:r w:rsidRPr="003072CB">
        <w:rPr>
          <w:rFonts w:ascii="Arial" w:hAnsi="Arial" w:cs="Arial"/>
        </w:rPr>
        <w:t xml:space="preserve">uestions which </w:t>
      </w:r>
      <w:r>
        <w:rPr>
          <w:rFonts w:ascii="Arial" w:hAnsi="Arial" w:cs="Arial"/>
        </w:rPr>
        <w:t xml:space="preserve">are likely to </w:t>
      </w:r>
      <w:r w:rsidRPr="003072CB">
        <w:rPr>
          <w:rFonts w:ascii="Arial" w:hAnsi="Arial" w:cs="Arial"/>
        </w:rPr>
        <w:t xml:space="preserve">have the </w:t>
      </w:r>
      <w:r>
        <w:rPr>
          <w:rFonts w:ascii="Arial" w:hAnsi="Arial" w:cs="Arial"/>
        </w:rPr>
        <w:t xml:space="preserve">greatest </w:t>
      </w:r>
      <w:r w:rsidRPr="003072CB">
        <w:rPr>
          <w:rFonts w:ascii="Arial" w:hAnsi="Arial" w:cs="Arial"/>
        </w:rPr>
        <w:t>impact on QALY estimates have been designated “high priority</w:t>
      </w:r>
      <w:r>
        <w:rPr>
          <w:rFonts w:ascii="Arial" w:hAnsi="Arial" w:cs="Arial"/>
        </w:rPr>
        <w:t xml:space="preserve">” and are marked in bold in table 1. </w:t>
      </w:r>
    </w:p>
    <w:p w14:paraId="31336813" w14:textId="77777777" w:rsidR="005051B4" w:rsidRDefault="005051B4" w:rsidP="00A71F67">
      <w:pPr>
        <w:rPr>
          <w:rFonts w:ascii="Arial" w:hAnsi="Arial" w:cs="Arial"/>
        </w:rPr>
      </w:pPr>
    </w:p>
    <w:p w14:paraId="3160E5D0" w14:textId="1BBFD188" w:rsidR="00941617" w:rsidRDefault="003D4A59" w:rsidP="00A71F67">
      <w:pPr>
        <w:rPr>
          <w:rFonts w:ascii="Arial" w:hAnsi="Arial" w:cs="Arial"/>
        </w:rPr>
      </w:pPr>
      <w:r>
        <w:rPr>
          <w:rFonts w:ascii="Arial" w:hAnsi="Arial" w:cs="Arial"/>
        </w:rPr>
        <w:t xml:space="preserve">This document has been prepared for the </w:t>
      </w:r>
      <w:r w:rsidR="004B2974">
        <w:rPr>
          <w:rFonts w:ascii="Arial" w:hAnsi="Arial" w:cs="Arial"/>
        </w:rPr>
        <w:t>cefiderocol</w:t>
      </w:r>
      <w:r>
        <w:rPr>
          <w:rFonts w:ascii="Arial" w:hAnsi="Arial" w:cs="Arial"/>
        </w:rPr>
        <w:t xml:space="preserve"> evaluation</w:t>
      </w:r>
      <w:r w:rsidR="004B2974">
        <w:rPr>
          <w:rFonts w:ascii="Arial" w:hAnsi="Arial" w:cs="Arial"/>
        </w:rPr>
        <w:t xml:space="preserve">. It was adapted from the </w:t>
      </w:r>
      <w:r w:rsidR="00145378">
        <w:rPr>
          <w:rFonts w:ascii="Arial" w:hAnsi="Arial" w:cs="Arial"/>
        </w:rPr>
        <w:t xml:space="preserve">one prepared for the CAZ-AVI evaluation to include </w:t>
      </w:r>
      <w:r w:rsidR="004C31CA">
        <w:rPr>
          <w:rFonts w:ascii="Arial" w:hAnsi="Arial" w:cs="Arial"/>
        </w:rPr>
        <w:t xml:space="preserve"> additional </w:t>
      </w:r>
      <w:r w:rsidR="006A3A92">
        <w:rPr>
          <w:rFonts w:ascii="Arial" w:hAnsi="Arial" w:cs="Arial"/>
        </w:rPr>
        <w:t xml:space="preserve">issues relevant </w:t>
      </w:r>
      <w:r w:rsidR="00814AF0">
        <w:rPr>
          <w:rFonts w:ascii="Arial" w:hAnsi="Arial" w:cs="Arial"/>
        </w:rPr>
        <w:t xml:space="preserve">only </w:t>
      </w:r>
      <w:r w:rsidR="006A3A92">
        <w:rPr>
          <w:rFonts w:ascii="Arial" w:hAnsi="Arial" w:cs="Arial"/>
        </w:rPr>
        <w:t>to cefiderocol</w:t>
      </w:r>
      <w:r w:rsidR="00814AF0">
        <w:rPr>
          <w:rFonts w:ascii="Arial" w:hAnsi="Arial" w:cs="Arial"/>
        </w:rPr>
        <w:t xml:space="preserve">, </w:t>
      </w:r>
      <w:r>
        <w:rPr>
          <w:rFonts w:ascii="Arial" w:hAnsi="Arial" w:cs="Arial"/>
        </w:rPr>
        <w:t xml:space="preserve">and to update the cross-references to the </w:t>
      </w:r>
      <w:r w:rsidR="00145378">
        <w:rPr>
          <w:rFonts w:ascii="Arial" w:hAnsi="Arial" w:cs="Arial"/>
        </w:rPr>
        <w:t xml:space="preserve">cefiderocol </w:t>
      </w:r>
      <w:r>
        <w:rPr>
          <w:rFonts w:ascii="Arial" w:hAnsi="Arial" w:cs="Arial"/>
        </w:rPr>
        <w:t>committee papers.</w:t>
      </w:r>
    </w:p>
    <w:p w14:paraId="59B4EFB4" w14:textId="0D5CBA50" w:rsidR="00660DD2" w:rsidRDefault="00660DD2" w:rsidP="00A71F67">
      <w:pPr>
        <w:rPr>
          <w:rFonts w:ascii="Arial" w:hAnsi="Arial" w:cs="Arial"/>
        </w:rPr>
      </w:pPr>
    </w:p>
    <w:p w14:paraId="39645472" w14:textId="35C308F6" w:rsidR="00660DD2" w:rsidRPr="00660DD2" w:rsidRDefault="00660DD2" w:rsidP="00A71F67">
      <w:pPr>
        <w:rPr>
          <w:rFonts w:ascii="Arial" w:hAnsi="Arial" w:cs="Arial"/>
          <w:b/>
          <w:bCs/>
        </w:rPr>
      </w:pPr>
      <w:r>
        <w:rPr>
          <w:rFonts w:ascii="Arial" w:hAnsi="Arial" w:cs="Arial"/>
          <w:b/>
          <w:bCs/>
        </w:rPr>
        <w:t>Table 1: Summary of key issues</w:t>
      </w:r>
    </w:p>
    <w:p w14:paraId="449B7445" w14:textId="1AC84A91" w:rsidR="00194A3E" w:rsidRDefault="00194A3E" w:rsidP="00A71F67">
      <w:pPr>
        <w:rPr>
          <w:rFonts w:ascii="Arial" w:hAnsi="Arial" w:cs="Arial"/>
        </w:rPr>
      </w:pPr>
    </w:p>
    <w:tbl>
      <w:tblPr>
        <w:tblStyle w:val="TableGrid"/>
        <w:tblW w:w="14180" w:type="dxa"/>
        <w:tblLook w:val="04A0" w:firstRow="1" w:lastRow="0" w:firstColumn="1" w:lastColumn="0" w:noHBand="0" w:noVBand="1"/>
      </w:tblPr>
      <w:tblGrid>
        <w:gridCol w:w="2814"/>
        <w:gridCol w:w="3754"/>
        <w:gridCol w:w="3752"/>
        <w:gridCol w:w="3860"/>
      </w:tblGrid>
      <w:tr w:rsidR="00194A3E" w14:paraId="0E5FEDC4" w14:textId="77777777" w:rsidTr="003940BE">
        <w:trPr>
          <w:trHeight w:val="403"/>
          <w:tblHeader/>
        </w:trPr>
        <w:tc>
          <w:tcPr>
            <w:tcW w:w="2814" w:type="dxa"/>
            <w:shd w:val="clear" w:color="auto" w:fill="EEECE1" w:themeFill="background2"/>
          </w:tcPr>
          <w:p w14:paraId="372AE851" w14:textId="43D819AE" w:rsidR="00194A3E" w:rsidRPr="0053510C" w:rsidRDefault="00194A3E" w:rsidP="00A71F67">
            <w:pPr>
              <w:rPr>
                <w:rFonts w:ascii="Arial" w:hAnsi="Arial" w:cs="Arial"/>
                <w:b/>
                <w:bCs/>
              </w:rPr>
            </w:pPr>
            <w:bookmarkStart w:id="0" w:name="_Hlk90975753"/>
            <w:r w:rsidRPr="0053510C">
              <w:rPr>
                <w:rFonts w:ascii="Arial" w:hAnsi="Arial" w:cs="Arial"/>
                <w:b/>
                <w:bCs/>
              </w:rPr>
              <w:t>Category</w:t>
            </w:r>
          </w:p>
        </w:tc>
        <w:tc>
          <w:tcPr>
            <w:tcW w:w="3754" w:type="dxa"/>
            <w:shd w:val="clear" w:color="auto" w:fill="EEECE1" w:themeFill="background2"/>
          </w:tcPr>
          <w:p w14:paraId="041F3083" w14:textId="2A93DF5B" w:rsidR="00194A3E" w:rsidRPr="0053510C" w:rsidRDefault="00194A3E" w:rsidP="00A71F67">
            <w:pPr>
              <w:rPr>
                <w:rFonts w:ascii="Arial" w:hAnsi="Arial" w:cs="Arial"/>
                <w:b/>
                <w:bCs/>
              </w:rPr>
            </w:pPr>
            <w:r w:rsidRPr="0053510C">
              <w:rPr>
                <w:rFonts w:ascii="Arial" w:hAnsi="Arial" w:cs="Arial"/>
                <w:b/>
                <w:bCs/>
              </w:rPr>
              <w:t>Issue</w:t>
            </w:r>
          </w:p>
        </w:tc>
        <w:tc>
          <w:tcPr>
            <w:tcW w:w="3752" w:type="dxa"/>
            <w:shd w:val="clear" w:color="auto" w:fill="EEECE1" w:themeFill="background2"/>
          </w:tcPr>
          <w:p w14:paraId="3B94D733" w14:textId="17B9AC77" w:rsidR="00194A3E" w:rsidRPr="0053510C" w:rsidRDefault="00194A3E" w:rsidP="00A71F67">
            <w:pPr>
              <w:rPr>
                <w:rFonts w:ascii="Arial" w:hAnsi="Arial" w:cs="Arial"/>
                <w:b/>
                <w:bCs/>
              </w:rPr>
            </w:pPr>
            <w:r w:rsidRPr="0053510C">
              <w:rPr>
                <w:rFonts w:ascii="Arial" w:hAnsi="Arial" w:cs="Arial"/>
                <w:b/>
                <w:bCs/>
              </w:rPr>
              <w:t>Form of judgement</w:t>
            </w:r>
          </w:p>
        </w:tc>
        <w:tc>
          <w:tcPr>
            <w:tcW w:w="3860" w:type="dxa"/>
            <w:shd w:val="clear" w:color="auto" w:fill="EEECE1" w:themeFill="background2"/>
          </w:tcPr>
          <w:p w14:paraId="58108F8D" w14:textId="02377085" w:rsidR="00194A3E" w:rsidRPr="0053510C" w:rsidRDefault="00E07D2D" w:rsidP="00A71F67">
            <w:pPr>
              <w:rPr>
                <w:rFonts w:ascii="Arial" w:hAnsi="Arial" w:cs="Arial"/>
                <w:b/>
                <w:bCs/>
              </w:rPr>
            </w:pPr>
            <w:r>
              <w:rPr>
                <w:rFonts w:ascii="Arial" w:hAnsi="Arial" w:cs="Arial"/>
                <w:b/>
                <w:bCs/>
              </w:rPr>
              <w:t>Effect on committee conclusions</w:t>
            </w:r>
          </w:p>
        </w:tc>
      </w:tr>
      <w:tr w:rsidR="004311F8" w14:paraId="58314086" w14:textId="77777777" w:rsidTr="003940BE">
        <w:trPr>
          <w:trHeight w:val="631"/>
        </w:trPr>
        <w:tc>
          <w:tcPr>
            <w:tcW w:w="2814" w:type="dxa"/>
          </w:tcPr>
          <w:p w14:paraId="109328CC" w14:textId="5E45AF4E" w:rsidR="004311F8" w:rsidRPr="0053510C" w:rsidRDefault="004311F8" w:rsidP="004311F8">
            <w:pPr>
              <w:rPr>
                <w:rFonts w:ascii="Arial" w:hAnsi="Arial" w:cs="Arial"/>
              </w:rPr>
            </w:pPr>
            <w:r>
              <w:rPr>
                <w:rFonts w:ascii="Arial" w:hAnsi="Arial" w:cs="Arial"/>
              </w:rPr>
              <w:t>Potential uncaptured value: missing patient groups</w:t>
            </w:r>
          </w:p>
        </w:tc>
        <w:tc>
          <w:tcPr>
            <w:tcW w:w="3754" w:type="dxa"/>
          </w:tcPr>
          <w:p w14:paraId="22BE925A" w14:textId="374DDCB3" w:rsidR="004311F8" w:rsidRDefault="004311F8" w:rsidP="004311F8">
            <w:pPr>
              <w:rPr>
                <w:rFonts w:ascii="Arial" w:hAnsi="Arial" w:cs="Arial"/>
              </w:rPr>
            </w:pPr>
            <w:r>
              <w:rPr>
                <w:rFonts w:ascii="Arial" w:hAnsi="Arial" w:cs="Arial"/>
                <w:b/>
                <w:bCs/>
              </w:rPr>
              <w:t xml:space="preserve">Key issue </w:t>
            </w:r>
            <w:r w:rsidR="00225BE7">
              <w:rPr>
                <w:rFonts w:ascii="Arial" w:hAnsi="Arial" w:cs="Arial"/>
                <w:b/>
                <w:bCs/>
              </w:rPr>
              <w:t>1</w:t>
            </w:r>
            <w:r>
              <w:rPr>
                <w:rFonts w:ascii="Arial" w:hAnsi="Arial" w:cs="Arial"/>
                <w:b/>
                <w:bCs/>
              </w:rPr>
              <w:t xml:space="preserve">: </w:t>
            </w:r>
            <w:bookmarkStart w:id="1" w:name="_Hlk91083459"/>
            <w:r>
              <w:rPr>
                <w:rFonts w:ascii="Arial" w:hAnsi="Arial" w:cs="Arial"/>
                <w:b/>
                <w:bCs/>
              </w:rPr>
              <w:t xml:space="preserve">Have patients who are likely to benefit from </w:t>
            </w:r>
            <w:r w:rsidR="00145378">
              <w:rPr>
                <w:rFonts w:ascii="Arial" w:hAnsi="Arial" w:cs="Arial"/>
                <w:b/>
                <w:bCs/>
              </w:rPr>
              <w:t>cefiderocol</w:t>
            </w:r>
            <w:r>
              <w:rPr>
                <w:rFonts w:ascii="Arial" w:hAnsi="Arial" w:cs="Arial"/>
                <w:b/>
                <w:bCs/>
              </w:rPr>
              <w:t xml:space="preserve"> been excluded from the analysis?</w:t>
            </w:r>
            <w:bookmarkEnd w:id="1"/>
            <w:r>
              <w:rPr>
                <w:rFonts w:ascii="Arial" w:hAnsi="Arial" w:cs="Arial"/>
              </w:rPr>
              <w:t xml:space="preserve"> </w:t>
            </w:r>
          </w:p>
          <w:p w14:paraId="04015B85" w14:textId="7306D5ED" w:rsidR="004311F8" w:rsidRDefault="004311F8" w:rsidP="004311F8">
            <w:pPr>
              <w:rPr>
                <w:rFonts w:ascii="Arial" w:hAnsi="Arial" w:cs="Arial"/>
              </w:rPr>
            </w:pPr>
          </w:p>
          <w:p w14:paraId="7890C80A" w14:textId="7FF27419" w:rsidR="004311F8" w:rsidRPr="00AA7059" w:rsidRDefault="004311F8" w:rsidP="00617752">
            <w:pPr>
              <w:rPr>
                <w:rFonts w:ascii="Arial" w:hAnsi="Arial" w:cs="Arial"/>
                <w:b/>
                <w:bCs/>
              </w:rPr>
            </w:pPr>
            <w:r>
              <w:rPr>
                <w:rFonts w:ascii="Arial" w:hAnsi="Arial" w:cs="Arial"/>
              </w:rPr>
              <w:t xml:space="preserve"> </w:t>
            </w:r>
          </w:p>
        </w:tc>
        <w:tc>
          <w:tcPr>
            <w:tcW w:w="3752" w:type="dxa"/>
          </w:tcPr>
          <w:p w14:paraId="1D9128B1" w14:textId="0F10891C" w:rsidR="004311F8" w:rsidRDefault="004311F8" w:rsidP="004311F8">
            <w:pPr>
              <w:rPr>
                <w:rFonts w:ascii="Arial" w:eastAsia="Times New Roman" w:hAnsi="Arial" w:cs="Arial"/>
              </w:rPr>
            </w:pPr>
            <w:r>
              <w:rPr>
                <w:rFonts w:ascii="Arial" w:eastAsia="Times New Roman" w:hAnsi="Arial" w:cs="Arial"/>
              </w:rPr>
              <w:t xml:space="preserve">That there is additional </w:t>
            </w:r>
            <w:r w:rsidR="005860A4">
              <w:rPr>
                <w:rFonts w:ascii="Arial" w:eastAsia="Times New Roman" w:hAnsi="Arial" w:cs="Arial"/>
              </w:rPr>
              <w:t xml:space="preserve">benefit </w:t>
            </w:r>
            <w:r>
              <w:rPr>
                <w:rFonts w:ascii="Arial" w:eastAsia="Times New Roman" w:hAnsi="Arial" w:cs="Arial"/>
              </w:rPr>
              <w:t>that can be quantified, and in a form that can be used to modify committee’s QALY estimate</w:t>
            </w:r>
            <w:r w:rsidR="0045029D">
              <w:rPr>
                <w:rFonts w:ascii="Arial" w:eastAsia="Times New Roman" w:hAnsi="Arial" w:cs="Arial"/>
              </w:rPr>
              <w:t>.</w:t>
            </w:r>
            <w:r>
              <w:rPr>
                <w:rFonts w:ascii="Arial" w:eastAsia="Times New Roman" w:hAnsi="Arial" w:cs="Arial"/>
              </w:rPr>
              <w:t xml:space="preserve"> </w:t>
            </w:r>
          </w:p>
          <w:p w14:paraId="64D2DFD2" w14:textId="77777777" w:rsidR="004311F8" w:rsidRDefault="004311F8" w:rsidP="004311F8">
            <w:pPr>
              <w:jc w:val="center"/>
              <w:rPr>
                <w:rFonts w:ascii="Arial" w:eastAsia="Times New Roman" w:hAnsi="Arial" w:cs="Arial"/>
              </w:rPr>
            </w:pPr>
            <w:r>
              <w:rPr>
                <w:rFonts w:ascii="Arial" w:eastAsia="Times New Roman" w:hAnsi="Arial" w:cs="Arial"/>
              </w:rPr>
              <w:t>+</w:t>
            </w:r>
          </w:p>
          <w:p w14:paraId="65570EBB" w14:textId="29757B95" w:rsidR="004311F8" w:rsidRPr="0053510C" w:rsidRDefault="004311F8" w:rsidP="004311F8">
            <w:pPr>
              <w:rPr>
                <w:rFonts w:ascii="Arial" w:eastAsia="Times New Roman" w:hAnsi="Arial" w:cs="Arial"/>
              </w:rPr>
            </w:pPr>
            <w:r>
              <w:rPr>
                <w:rFonts w:ascii="Arial" w:eastAsia="Times New Roman" w:hAnsi="Arial" w:cs="Arial"/>
              </w:rPr>
              <w:t>That there is further additional benefit that can be quantified, but not in a form that can be applied to committee’s QALY estimate</w:t>
            </w:r>
            <w:r w:rsidR="0045029D">
              <w:rPr>
                <w:rFonts w:ascii="Arial" w:eastAsia="Times New Roman" w:hAnsi="Arial" w:cs="Arial"/>
              </w:rPr>
              <w:t>.</w:t>
            </w:r>
          </w:p>
        </w:tc>
        <w:tc>
          <w:tcPr>
            <w:tcW w:w="3860" w:type="dxa"/>
          </w:tcPr>
          <w:p w14:paraId="3CEFCCB2" w14:textId="6E3F34C1" w:rsidR="00DF5394" w:rsidRDefault="004311F8" w:rsidP="004311F8">
            <w:pPr>
              <w:rPr>
                <w:rFonts w:ascii="Arial" w:eastAsia="Times New Roman" w:hAnsi="Arial" w:cs="Arial"/>
              </w:rPr>
            </w:pPr>
            <w:r>
              <w:rPr>
                <w:rFonts w:ascii="Arial" w:eastAsia="Times New Roman" w:hAnsi="Arial" w:cs="Arial"/>
              </w:rPr>
              <w:t>Adjust committee’s quantitative estimate of overall incremental value</w:t>
            </w:r>
            <w:r w:rsidR="0045029D">
              <w:rPr>
                <w:rFonts w:ascii="Arial" w:eastAsia="Times New Roman" w:hAnsi="Arial" w:cs="Arial"/>
              </w:rPr>
              <w:t>.</w:t>
            </w:r>
            <w:r>
              <w:rPr>
                <w:rFonts w:ascii="Arial" w:eastAsia="Times New Roman" w:hAnsi="Arial" w:cs="Arial"/>
              </w:rPr>
              <w:t xml:space="preserve"> </w:t>
            </w:r>
          </w:p>
          <w:p w14:paraId="62ACEE21" w14:textId="2A49A20D" w:rsidR="004311F8" w:rsidRDefault="004311F8" w:rsidP="004311F8">
            <w:pPr>
              <w:jc w:val="center"/>
              <w:rPr>
                <w:rFonts w:ascii="Arial" w:eastAsia="Times New Roman" w:hAnsi="Arial" w:cs="Arial"/>
              </w:rPr>
            </w:pPr>
            <w:r>
              <w:rPr>
                <w:rFonts w:ascii="Arial" w:eastAsia="Times New Roman" w:hAnsi="Arial" w:cs="Arial"/>
              </w:rPr>
              <w:t>+</w:t>
            </w:r>
          </w:p>
          <w:p w14:paraId="57DD19BD" w14:textId="5E9D389C" w:rsidR="004311F8" w:rsidRPr="005434CB" w:rsidRDefault="004311F8" w:rsidP="004311F8">
            <w:pPr>
              <w:rPr>
                <w:rFonts w:ascii="Arial" w:hAnsi="Arial" w:cs="Arial"/>
              </w:rPr>
            </w:pPr>
            <w:r>
              <w:rPr>
                <w:rFonts w:ascii="Arial" w:hAnsi="Arial" w:cs="Arial"/>
              </w:rPr>
              <w:t>Supplement the overall QALY estimate with the additional numerical estimate of uncaptured value.</w:t>
            </w:r>
          </w:p>
        </w:tc>
      </w:tr>
      <w:tr w:rsidR="004311F8" w14:paraId="06DE32BA" w14:textId="77777777" w:rsidTr="003940BE">
        <w:trPr>
          <w:trHeight w:val="683"/>
        </w:trPr>
        <w:tc>
          <w:tcPr>
            <w:tcW w:w="2814" w:type="dxa"/>
          </w:tcPr>
          <w:p w14:paraId="74853EDA" w14:textId="7F1459E4" w:rsidR="004311F8" w:rsidRPr="0053510C" w:rsidRDefault="004311F8" w:rsidP="004311F8">
            <w:pPr>
              <w:rPr>
                <w:rFonts w:ascii="Arial" w:hAnsi="Arial" w:cs="Arial"/>
              </w:rPr>
            </w:pPr>
            <w:r>
              <w:rPr>
                <w:rFonts w:ascii="Arial" w:hAnsi="Arial" w:cs="Arial"/>
              </w:rPr>
              <w:t xml:space="preserve">Potential uncaptured value: incremental benefit in patients outside the ‘High Value Clinical Scenarios’ </w:t>
            </w:r>
          </w:p>
        </w:tc>
        <w:tc>
          <w:tcPr>
            <w:tcW w:w="3754" w:type="dxa"/>
          </w:tcPr>
          <w:p w14:paraId="36C919CC" w14:textId="7650FCF6" w:rsidR="004311F8" w:rsidRPr="00AA7059" w:rsidRDefault="004311F8" w:rsidP="004311F8">
            <w:pPr>
              <w:rPr>
                <w:rFonts w:ascii="Arial" w:hAnsi="Arial" w:cs="Arial"/>
                <w:b/>
                <w:bCs/>
              </w:rPr>
            </w:pPr>
            <w:r>
              <w:rPr>
                <w:rFonts w:ascii="Arial" w:hAnsi="Arial" w:cs="Arial"/>
              </w:rPr>
              <w:t xml:space="preserve">Key issue </w:t>
            </w:r>
            <w:r w:rsidR="00225BE7">
              <w:rPr>
                <w:rFonts w:ascii="Arial" w:hAnsi="Arial" w:cs="Arial"/>
              </w:rPr>
              <w:t>2</w:t>
            </w:r>
            <w:r>
              <w:rPr>
                <w:rFonts w:ascii="Arial" w:hAnsi="Arial" w:cs="Arial"/>
              </w:rPr>
              <w:t xml:space="preserve">: </w:t>
            </w:r>
            <w:bookmarkStart w:id="2" w:name="_Hlk91083346"/>
            <w:r>
              <w:rPr>
                <w:rFonts w:ascii="Arial" w:hAnsi="Arial" w:cs="Arial"/>
              </w:rPr>
              <w:t>Is the magnitude of benefit in the high value clinical scenarios generalisable to wider expected usage?</w:t>
            </w:r>
            <w:bookmarkEnd w:id="2"/>
          </w:p>
        </w:tc>
        <w:tc>
          <w:tcPr>
            <w:tcW w:w="3752" w:type="dxa"/>
          </w:tcPr>
          <w:p w14:paraId="5BEF7076" w14:textId="0D63901D" w:rsidR="004311F8" w:rsidRPr="0053510C" w:rsidRDefault="004311F8" w:rsidP="004311F8">
            <w:pPr>
              <w:rPr>
                <w:rFonts w:ascii="Arial" w:eastAsia="Times New Roman" w:hAnsi="Arial" w:cs="Arial"/>
              </w:rPr>
            </w:pPr>
            <w:r>
              <w:rPr>
                <w:rFonts w:ascii="Arial" w:eastAsia="Times New Roman" w:hAnsi="Arial" w:cs="Arial"/>
              </w:rPr>
              <w:t>That there is additional benefit/harm that can only be expressed in qualitative terms</w:t>
            </w:r>
            <w:r w:rsidR="0045029D">
              <w:rPr>
                <w:rFonts w:ascii="Arial" w:eastAsia="Times New Roman" w:hAnsi="Arial" w:cs="Arial"/>
              </w:rPr>
              <w:t>.</w:t>
            </w:r>
          </w:p>
        </w:tc>
        <w:tc>
          <w:tcPr>
            <w:tcW w:w="3860" w:type="dxa"/>
          </w:tcPr>
          <w:p w14:paraId="0BBA5868" w14:textId="269467F0" w:rsidR="004311F8" w:rsidRPr="0053510C" w:rsidRDefault="004311F8" w:rsidP="004311F8">
            <w:pPr>
              <w:rPr>
                <w:rFonts w:ascii="Arial" w:hAnsi="Arial" w:cs="Arial"/>
              </w:rPr>
            </w:pPr>
            <w:r>
              <w:rPr>
                <w:rFonts w:ascii="Arial" w:hAnsi="Arial" w:cs="Arial"/>
              </w:rPr>
              <w:t>No effect on quantitative estimate of overall incremental value. Narrative output only.</w:t>
            </w:r>
          </w:p>
        </w:tc>
      </w:tr>
      <w:tr w:rsidR="004311F8" w14:paraId="30682355" w14:textId="77777777" w:rsidTr="003940BE">
        <w:trPr>
          <w:trHeight w:val="565"/>
        </w:trPr>
        <w:tc>
          <w:tcPr>
            <w:tcW w:w="2814" w:type="dxa"/>
          </w:tcPr>
          <w:p w14:paraId="154CABBE" w14:textId="6CD8BBCD" w:rsidR="004311F8" w:rsidRPr="0053510C" w:rsidRDefault="004311F8" w:rsidP="004311F8">
            <w:pPr>
              <w:rPr>
                <w:rFonts w:ascii="Arial" w:hAnsi="Arial" w:cs="Arial"/>
              </w:rPr>
            </w:pPr>
            <w:r>
              <w:rPr>
                <w:rFonts w:ascii="Arial" w:hAnsi="Arial" w:cs="Arial"/>
              </w:rPr>
              <w:t>Potential uncaptured value: Insurance value</w:t>
            </w:r>
          </w:p>
        </w:tc>
        <w:tc>
          <w:tcPr>
            <w:tcW w:w="3754" w:type="dxa"/>
          </w:tcPr>
          <w:p w14:paraId="7242443C" w14:textId="1C055B30" w:rsidR="004311F8" w:rsidRDefault="004311F8" w:rsidP="004311F8">
            <w:pPr>
              <w:rPr>
                <w:rFonts w:ascii="Arial" w:hAnsi="Arial" w:cs="Arial"/>
                <w:b/>
                <w:bCs/>
              </w:rPr>
            </w:pPr>
            <w:r>
              <w:rPr>
                <w:rFonts w:ascii="Arial" w:hAnsi="Arial" w:cs="Arial"/>
                <w:b/>
                <w:bCs/>
              </w:rPr>
              <w:t xml:space="preserve">Key issue </w:t>
            </w:r>
            <w:r w:rsidR="00225BE7">
              <w:rPr>
                <w:rFonts w:ascii="Arial" w:hAnsi="Arial" w:cs="Arial"/>
                <w:b/>
                <w:bCs/>
              </w:rPr>
              <w:t>3</w:t>
            </w:r>
            <w:r>
              <w:rPr>
                <w:rFonts w:ascii="Arial" w:hAnsi="Arial" w:cs="Arial"/>
                <w:b/>
                <w:bCs/>
              </w:rPr>
              <w:t xml:space="preserve">: Has insurance value been fully quantified? </w:t>
            </w:r>
          </w:p>
          <w:p w14:paraId="73409719" w14:textId="77777777" w:rsidR="004311F8" w:rsidRDefault="004311F8" w:rsidP="004311F8">
            <w:pPr>
              <w:rPr>
                <w:rFonts w:ascii="Arial" w:hAnsi="Arial" w:cs="Arial"/>
                <w:b/>
                <w:bCs/>
              </w:rPr>
            </w:pPr>
          </w:p>
          <w:p w14:paraId="0FF18A1A" w14:textId="77777777" w:rsidR="004311F8" w:rsidRDefault="004311F8" w:rsidP="004311F8">
            <w:pPr>
              <w:rPr>
                <w:rFonts w:ascii="Arial" w:hAnsi="Arial" w:cs="Arial"/>
              </w:rPr>
            </w:pPr>
            <w:r>
              <w:rPr>
                <w:rFonts w:ascii="Arial" w:hAnsi="Arial" w:cs="Arial"/>
              </w:rPr>
              <w:t xml:space="preserve">Note: Additional analyses to be made available by EEPRU. </w:t>
            </w:r>
          </w:p>
          <w:p w14:paraId="396544E8" w14:textId="51A9983D" w:rsidR="004311F8" w:rsidRPr="00563EDF" w:rsidRDefault="004311F8" w:rsidP="004311F8">
            <w:pPr>
              <w:rPr>
                <w:rFonts w:ascii="Arial" w:hAnsi="Arial" w:cs="Arial"/>
                <w:b/>
                <w:bCs/>
              </w:rPr>
            </w:pPr>
          </w:p>
        </w:tc>
        <w:tc>
          <w:tcPr>
            <w:tcW w:w="3752" w:type="dxa"/>
          </w:tcPr>
          <w:p w14:paraId="377F1CAE" w14:textId="3D4D30F4" w:rsidR="004311F8" w:rsidRDefault="004311F8" w:rsidP="004311F8">
            <w:pPr>
              <w:rPr>
                <w:rFonts w:ascii="Arial" w:eastAsia="Times New Roman" w:hAnsi="Arial" w:cs="Arial"/>
              </w:rPr>
            </w:pPr>
            <w:r>
              <w:rPr>
                <w:rFonts w:ascii="Arial" w:eastAsia="Times New Roman" w:hAnsi="Arial" w:cs="Arial"/>
              </w:rPr>
              <w:t>That there is additional benefit that can be quantified,</w:t>
            </w:r>
            <w:r>
              <w:t xml:space="preserve"> </w:t>
            </w:r>
            <w:r>
              <w:rPr>
                <w:rFonts w:ascii="Arial" w:eastAsia="Times New Roman" w:hAnsi="Arial" w:cs="Arial"/>
              </w:rPr>
              <w:t>and in a form that can be used to modify committee’s QALY estimate</w:t>
            </w:r>
            <w:r w:rsidR="0045029D">
              <w:rPr>
                <w:rFonts w:ascii="Arial" w:eastAsia="Times New Roman" w:hAnsi="Arial" w:cs="Arial"/>
              </w:rPr>
              <w:t>.</w:t>
            </w:r>
          </w:p>
          <w:p w14:paraId="7D114A8D" w14:textId="4152016A" w:rsidR="004311F8" w:rsidRPr="0053510C" w:rsidRDefault="004311F8" w:rsidP="004311F8">
            <w:pPr>
              <w:rPr>
                <w:rFonts w:ascii="Arial" w:eastAsia="Times New Roman" w:hAnsi="Arial" w:cs="Arial"/>
              </w:rPr>
            </w:pPr>
          </w:p>
        </w:tc>
        <w:tc>
          <w:tcPr>
            <w:tcW w:w="3860" w:type="dxa"/>
          </w:tcPr>
          <w:p w14:paraId="1B65EDFF" w14:textId="4A59F3B2" w:rsidR="004311F8" w:rsidRPr="0053510C" w:rsidRDefault="004311F8" w:rsidP="004311F8">
            <w:pPr>
              <w:rPr>
                <w:rFonts w:ascii="Arial" w:hAnsi="Arial" w:cs="Arial"/>
              </w:rPr>
            </w:pPr>
            <w:r>
              <w:rPr>
                <w:rFonts w:ascii="Arial" w:eastAsia="Times New Roman" w:hAnsi="Arial" w:cs="Arial"/>
              </w:rPr>
              <w:t>Adjust committee’s quantitative estimate of overall incremental value</w:t>
            </w:r>
            <w:r w:rsidR="0045029D">
              <w:rPr>
                <w:rFonts w:ascii="Arial" w:eastAsia="Times New Roman" w:hAnsi="Arial" w:cs="Arial"/>
              </w:rPr>
              <w:t>.</w:t>
            </w:r>
            <w:r>
              <w:rPr>
                <w:rFonts w:ascii="Arial" w:eastAsia="Times New Roman" w:hAnsi="Arial" w:cs="Arial"/>
              </w:rPr>
              <w:t xml:space="preserve"> </w:t>
            </w:r>
          </w:p>
        </w:tc>
      </w:tr>
      <w:tr w:rsidR="004311F8" w14:paraId="6B1A14EC" w14:textId="77777777" w:rsidTr="003940BE">
        <w:trPr>
          <w:trHeight w:val="417"/>
        </w:trPr>
        <w:tc>
          <w:tcPr>
            <w:tcW w:w="2814" w:type="dxa"/>
          </w:tcPr>
          <w:p w14:paraId="22F87FE3" w14:textId="170F90EE" w:rsidR="004311F8" w:rsidRDefault="004311F8" w:rsidP="004311F8">
            <w:pPr>
              <w:rPr>
                <w:rFonts w:ascii="Arial" w:hAnsi="Arial" w:cs="Arial"/>
              </w:rPr>
            </w:pPr>
            <w:r>
              <w:rPr>
                <w:rFonts w:ascii="Arial" w:hAnsi="Arial" w:cs="Arial"/>
              </w:rPr>
              <w:lastRenderedPageBreak/>
              <w:t>Potential uncaptured value: Enablement value</w:t>
            </w:r>
          </w:p>
        </w:tc>
        <w:tc>
          <w:tcPr>
            <w:tcW w:w="3754" w:type="dxa"/>
          </w:tcPr>
          <w:p w14:paraId="324EF684" w14:textId="020D1621" w:rsidR="004311F8" w:rsidRPr="00563EDF" w:rsidRDefault="004311F8" w:rsidP="004311F8">
            <w:pPr>
              <w:rPr>
                <w:rFonts w:ascii="Arial" w:hAnsi="Arial" w:cs="Arial"/>
                <w:b/>
                <w:bCs/>
              </w:rPr>
            </w:pPr>
            <w:r>
              <w:rPr>
                <w:rFonts w:ascii="Arial" w:hAnsi="Arial" w:cs="Arial"/>
                <w:b/>
                <w:bCs/>
              </w:rPr>
              <w:t xml:space="preserve">Key issue </w:t>
            </w:r>
            <w:r w:rsidR="00225BE7">
              <w:rPr>
                <w:rFonts w:ascii="Arial" w:hAnsi="Arial" w:cs="Arial"/>
                <w:b/>
                <w:bCs/>
              </w:rPr>
              <w:t>4</w:t>
            </w:r>
            <w:r>
              <w:rPr>
                <w:rFonts w:ascii="Arial" w:hAnsi="Arial" w:cs="Arial"/>
                <w:b/>
                <w:bCs/>
              </w:rPr>
              <w:t>: Are there uncaptured benefits related to the ability to keep wards open during an outbreak?</w:t>
            </w:r>
          </w:p>
        </w:tc>
        <w:tc>
          <w:tcPr>
            <w:tcW w:w="3752" w:type="dxa"/>
          </w:tcPr>
          <w:p w14:paraId="1A53F1A2" w14:textId="4B16A291" w:rsidR="004311F8" w:rsidRPr="0053510C" w:rsidRDefault="004311F8" w:rsidP="004311F8">
            <w:pPr>
              <w:rPr>
                <w:rFonts w:ascii="Arial" w:eastAsia="Times New Roman" w:hAnsi="Arial" w:cs="Arial"/>
              </w:rPr>
            </w:pPr>
            <w:r>
              <w:rPr>
                <w:rFonts w:ascii="Arial" w:eastAsia="Times New Roman" w:hAnsi="Arial" w:cs="Arial"/>
              </w:rPr>
              <w:t>That there is additional benefit that can only be expressed in qualitative terms</w:t>
            </w:r>
            <w:r w:rsidR="0045029D">
              <w:rPr>
                <w:rFonts w:ascii="Arial" w:eastAsia="Times New Roman" w:hAnsi="Arial" w:cs="Arial"/>
              </w:rPr>
              <w:t>.</w:t>
            </w:r>
          </w:p>
        </w:tc>
        <w:tc>
          <w:tcPr>
            <w:tcW w:w="3860" w:type="dxa"/>
          </w:tcPr>
          <w:p w14:paraId="216998DD" w14:textId="2F192A68" w:rsidR="004311F8" w:rsidRPr="0053510C" w:rsidRDefault="004311F8" w:rsidP="004311F8">
            <w:pPr>
              <w:rPr>
                <w:rFonts w:ascii="Arial" w:hAnsi="Arial" w:cs="Arial"/>
              </w:rPr>
            </w:pPr>
            <w:r>
              <w:rPr>
                <w:rFonts w:ascii="Arial" w:hAnsi="Arial" w:cs="Arial"/>
              </w:rPr>
              <w:t>No effect on quantitative estimate of overall incremental value. Narrative output only.</w:t>
            </w:r>
          </w:p>
        </w:tc>
      </w:tr>
      <w:tr w:rsidR="004311F8" w14:paraId="266A84A0" w14:textId="77777777" w:rsidTr="003940BE">
        <w:trPr>
          <w:cantSplit/>
          <w:trHeight w:val="417"/>
        </w:trPr>
        <w:tc>
          <w:tcPr>
            <w:tcW w:w="2814" w:type="dxa"/>
          </w:tcPr>
          <w:p w14:paraId="26204999" w14:textId="0DE59E68" w:rsidR="004311F8" w:rsidRPr="0053510C" w:rsidRDefault="004311F8" w:rsidP="004311F8">
            <w:pPr>
              <w:rPr>
                <w:rFonts w:ascii="Arial" w:hAnsi="Arial" w:cs="Arial"/>
              </w:rPr>
            </w:pPr>
            <w:r>
              <w:rPr>
                <w:rFonts w:ascii="Arial" w:hAnsi="Arial" w:cs="Arial"/>
              </w:rPr>
              <w:t>Potential uncaptured value: Enablement value</w:t>
            </w:r>
          </w:p>
        </w:tc>
        <w:tc>
          <w:tcPr>
            <w:tcW w:w="3754" w:type="dxa"/>
          </w:tcPr>
          <w:p w14:paraId="3FB444A1" w14:textId="3E675F75" w:rsidR="004311F8" w:rsidRPr="0053510C" w:rsidRDefault="004311F8" w:rsidP="004311F8">
            <w:pPr>
              <w:rPr>
                <w:rFonts w:ascii="Arial" w:hAnsi="Arial" w:cs="Arial"/>
              </w:rPr>
            </w:pPr>
            <w:r>
              <w:rPr>
                <w:rFonts w:ascii="Arial" w:hAnsi="Arial" w:cs="Arial"/>
                <w:b/>
                <w:bCs/>
              </w:rPr>
              <w:t xml:space="preserve">Key issue </w:t>
            </w:r>
            <w:r w:rsidR="00225BE7">
              <w:rPr>
                <w:rFonts w:ascii="Arial" w:hAnsi="Arial" w:cs="Arial"/>
                <w:b/>
                <w:bCs/>
              </w:rPr>
              <w:t>5</w:t>
            </w:r>
            <w:r>
              <w:rPr>
                <w:rFonts w:ascii="Arial" w:hAnsi="Arial" w:cs="Arial"/>
                <w:b/>
                <w:bCs/>
              </w:rPr>
              <w:t>: Are there uncaptured benefits related to increasing the number of procedures that can go ahead following successful treatment?</w:t>
            </w:r>
          </w:p>
        </w:tc>
        <w:tc>
          <w:tcPr>
            <w:tcW w:w="3752" w:type="dxa"/>
          </w:tcPr>
          <w:p w14:paraId="01B9AA5C" w14:textId="1EC5E0A0" w:rsidR="004311F8" w:rsidRPr="0053510C" w:rsidRDefault="004311F8" w:rsidP="004311F8">
            <w:pPr>
              <w:rPr>
                <w:rFonts w:ascii="Arial" w:eastAsia="Times New Roman" w:hAnsi="Arial" w:cs="Arial"/>
              </w:rPr>
            </w:pPr>
            <w:r>
              <w:rPr>
                <w:rFonts w:ascii="Arial" w:eastAsia="Times New Roman" w:hAnsi="Arial" w:cs="Arial"/>
              </w:rPr>
              <w:t>That there is additional benefit that can only be expressed in qualitative terms</w:t>
            </w:r>
            <w:r w:rsidR="0045029D">
              <w:rPr>
                <w:rFonts w:ascii="Arial" w:eastAsia="Times New Roman" w:hAnsi="Arial" w:cs="Arial"/>
              </w:rPr>
              <w:t>.</w:t>
            </w:r>
          </w:p>
        </w:tc>
        <w:tc>
          <w:tcPr>
            <w:tcW w:w="3860" w:type="dxa"/>
          </w:tcPr>
          <w:p w14:paraId="4AC9450B" w14:textId="62BC164C" w:rsidR="004311F8" w:rsidRPr="0053510C" w:rsidRDefault="004311F8" w:rsidP="004311F8">
            <w:pPr>
              <w:rPr>
                <w:rFonts w:ascii="Arial" w:hAnsi="Arial" w:cs="Arial"/>
              </w:rPr>
            </w:pPr>
            <w:r>
              <w:rPr>
                <w:rFonts w:ascii="Arial" w:hAnsi="Arial" w:cs="Arial"/>
              </w:rPr>
              <w:t>No effect on quantitative estimate of overall incremental value. Narrative output only.</w:t>
            </w:r>
          </w:p>
        </w:tc>
      </w:tr>
      <w:tr w:rsidR="004311F8" w14:paraId="6D974BC3" w14:textId="77777777" w:rsidTr="003940BE">
        <w:trPr>
          <w:trHeight w:val="692"/>
        </w:trPr>
        <w:tc>
          <w:tcPr>
            <w:tcW w:w="2814" w:type="dxa"/>
          </w:tcPr>
          <w:p w14:paraId="487C63C8" w14:textId="586116E3" w:rsidR="004311F8" w:rsidRPr="0053510C" w:rsidRDefault="004311F8" w:rsidP="004311F8">
            <w:pPr>
              <w:rPr>
                <w:rFonts w:ascii="Arial" w:hAnsi="Arial" w:cs="Arial"/>
              </w:rPr>
            </w:pPr>
            <w:r>
              <w:rPr>
                <w:rFonts w:ascii="Arial" w:hAnsi="Arial" w:cs="Arial"/>
              </w:rPr>
              <w:t>Potential uncaptured value: transmission value</w:t>
            </w:r>
          </w:p>
        </w:tc>
        <w:tc>
          <w:tcPr>
            <w:tcW w:w="3754" w:type="dxa"/>
          </w:tcPr>
          <w:p w14:paraId="670CD28F" w14:textId="135CE815" w:rsidR="004311F8" w:rsidRPr="0053510C" w:rsidRDefault="004311F8" w:rsidP="004311F8">
            <w:pPr>
              <w:rPr>
                <w:rFonts w:ascii="Arial" w:hAnsi="Arial" w:cs="Arial"/>
              </w:rPr>
            </w:pPr>
            <w:r>
              <w:rPr>
                <w:rFonts w:ascii="Arial" w:hAnsi="Arial" w:cs="Arial"/>
              </w:rPr>
              <w:t xml:space="preserve">Key issue </w:t>
            </w:r>
            <w:r w:rsidR="00225BE7">
              <w:rPr>
                <w:rFonts w:ascii="Arial" w:hAnsi="Arial" w:cs="Arial"/>
              </w:rPr>
              <w:t>6</w:t>
            </w:r>
            <w:r>
              <w:rPr>
                <w:rFonts w:ascii="Arial" w:hAnsi="Arial" w:cs="Arial"/>
              </w:rPr>
              <w:t xml:space="preserve">: Is </w:t>
            </w:r>
            <w:r w:rsidR="00145378">
              <w:rPr>
                <w:rFonts w:ascii="Arial" w:hAnsi="Arial" w:cs="Arial"/>
              </w:rPr>
              <w:t>cefiderocol</w:t>
            </w:r>
            <w:r>
              <w:rPr>
                <w:rFonts w:ascii="Arial" w:hAnsi="Arial" w:cs="Arial"/>
              </w:rPr>
              <w:t xml:space="preserve"> expected to completely eradicate colonisation in the gut?</w:t>
            </w:r>
          </w:p>
        </w:tc>
        <w:tc>
          <w:tcPr>
            <w:tcW w:w="3752" w:type="dxa"/>
          </w:tcPr>
          <w:p w14:paraId="71F6AF28" w14:textId="4ADB87DB" w:rsidR="004311F8" w:rsidRPr="0053510C" w:rsidRDefault="004311F8" w:rsidP="004311F8">
            <w:pPr>
              <w:rPr>
                <w:rFonts w:ascii="Arial" w:eastAsia="Times New Roman" w:hAnsi="Arial" w:cs="Arial"/>
              </w:rPr>
            </w:pPr>
            <w:r>
              <w:rPr>
                <w:rFonts w:ascii="Arial" w:eastAsia="Times New Roman" w:hAnsi="Arial" w:cs="Arial"/>
              </w:rPr>
              <w:t>That there is additional benefit that can only be expressed in qualitative terms</w:t>
            </w:r>
            <w:r w:rsidR="0045029D">
              <w:rPr>
                <w:rFonts w:ascii="Arial" w:eastAsia="Times New Roman" w:hAnsi="Arial" w:cs="Arial"/>
              </w:rPr>
              <w:t>.</w:t>
            </w:r>
            <w:r>
              <w:rPr>
                <w:rFonts w:ascii="Arial" w:eastAsia="Times New Roman" w:hAnsi="Arial" w:cs="Arial"/>
              </w:rPr>
              <w:t xml:space="preserve"> </w:t>
            </w:r>
          </w:p>
        </w:tc>
        <w:tc>
          <w:tcPr>
            <w:tcW w:w="3860" w:type="dxa"/>
          </w:tcPr>
          <w:p w14:paraId="1FAA915C" w14:textId="1B6C6A51" w:rsidR="004311F8" w:rsidRPr="0053510C" w:rsidRDefault="004311F8" w:rsidP="004311F8">
            <w:pPr>
              <w:rPr>
                <w:rFonts w:ascii="Arial" w:hAnsi="Arial" w:cs="Arial"/>
              </w:rPr>
            </w:pPr>
            <w:r>
              <w:rPr>
                <w:rFonts w:ascii="Arial" w:hAnsi="Arial" w:cs="Arial"/>
              </w:rPr>
              <w:t>No effect on quantitative estimate of overall incremental value. Narrative output only.</w:t>
            </w:r>
          </w:p>
        </w:tc>
      </w:tr>
      <w:tr w:rsidR="004311F8" w14:paraId="1C358C2C" w14:textId="77777777" w:rsidTr="003940BE">
        <w:trPr>
          <w:trHeight w:val="692"/>
        </w:trPr>
        <w:tc>
          <w:tcPr>
            <w:tcW w:w="2814" w:type="dxa"/>
          </w:tcPr>
          <w:p w14:paraId="10A69D3F" w14:textId="4DD5AB02" w:rsidR="004311F8" w:rsidRPr="0053510C" w:rsidRDefault="004311F8" w:rsidP="004311F8">
            <w:pPr>
              <w:rPr>
                <w:rFonts w:ascii="Arial" w:hAnsi="Arial" w:cs="Arial"/>
              </w:rPr>
            </w:pPr>
            <w:r>
              <w:rPr>
                <w:rFonts w:ascii="Arial" w:hAnsi="Arial" w:cs="Arial"/>
              </w:rPr>
              <w:t>Potential uncaptured value: transmission value</w:t>
            </w:r>
          </w:p>
        </w:tc>
        <w:tc>
          <w:tcPr>
            <w:tcW w:w="3754" w:type="dxa"/>
          </w:tcPr>
          <w:p w14:paraId="62EB2F75" w14:textId="62F7B98B" w:rsidR="004311F8" w:rsidRPr="0053510C" w:rsidRDefault="004311F8" w:rsidP="004311F8">
            <w:pPr>
              <w:rPr>
                <w:rFonts w:ascii="Arial" w:hAnsi="Arial" w:cs="Arial"/>
              </w:rPr>
            </w:pPr>
            <w:r>
              <w:rPr>
                <w:rFonts w:ascii="Arial" w:hAnsi="Arial" w:cs="Arial"/>
              </w:rPr>
              <w:t xml:space="preserve">Key issue </w:t>
            </w:r>
            <w:r w:rsidR="00225BE7">
              <w:rPr>
                <w:rFonts w:ascii="Arial" w:hAnsi="Arial" w:cs="Arial"/>
              </w:rPr>
              <w:t>7</w:t>
            </w:r>
            <w:r>
              <w:rPr>
                <w:rFonts w:ascii="Arial" w:hAnsi="Arial" w:cs="Arial"/>
              </w:rPr>
              <w:t>: Is transmission value a significant driver of population incremental benefits or not?</w:t>
            </w:r>
          </w:p>
        </w:tc>
        <w:tc>
          <w:tcPr>
            <w:tcW w:w="3752" w:type="dxa"/>
          </w:tcPr>
          <w:p w14:paraId="738896D5" w14:textId="17A3705F" w:rsidR="004311F8" w:rsidRPr="0053510C" w:rsidRDefault="004311F8" w:rsidP="004311F8">
            <w:pPr>
              <w:rPr>
                <w:rFonts w:ascii="Arial" w:eastAsia="Times New Roman" w:hAnsi="Arial" w:cs="Arial"/>
              </w:rPr>
            </w:pPr>
            <w:r>
              <w:rPr>
                <w:rFonts w:ascii="Arial" w:eastAsia="Times New Roman" w:hAnsi="Arial" w:cs="Arial"/>
              </w:rPr>
              <w:t>That there is additional benefit that can only be expressed in qualitative terms</w:t>
            </w:r>
            <w:r w:rsidR="0045029D">
              <w:rPr>
                <w:rFonts w:ascii="Arial" w:eastAsia="Times New Roman" w:hAnsi="Arial" w:cs="Arial"/>
              </w:rPr>
              <w:t>.</w:t>
            </w:r>
          </w:p>
        </w:tc>
        <w:tc>
          <w:tcPr>
            <w:tcW w:w="3860" w:type="dxa"/>
          </w:tcPr>
          <w:p w14:paraId="5A0F68D5" w14:textId="0EF4E93C" w:rsidR="004311F8" w:rsidRPr="0053510C" w:rsidRDefault="004311F8" w:rsidP="004311F8">
            <w:pPr>
              <w:rPr>
                <w:rFonts w:ascii="Arial" w:hAnsi="Arial" w:cs="Arial"/>
              </w:rPr>
            </w:pPr>
            <w:r>
              <w:rPr>
                <w:rFonts w:ascii="Arial" w:hAnsi="Arial" w:cs="Arial"/>
              </w:rPr>
              <w:t>No effect on quantitative estimate of overall incremental value. Narrative output only.</w:t>
            </w:r>
          </w:p>
        </w:tc>
      </w:tr>
      <w:tr w:rsidR="004311F8" w14:paraId="716CD365" w14:textId="77777777" w:rsidTr="003940BE">
        <w:trPr>
          <w:trHeight w:val="692"/>
        </w:trPr>
        <w:tc>
          <w:tcPr>
            <w:tcW w:w="2814" w:type="dxa"/>
          </w:tcPr>
          <w:p w14:paraId="09E34286" w14:textId="1126BABE" w:rsidR="004311F8" w:rsidRPr="0053510C" w:rsidRDefault="004311F8" w:rsidP="004311F8">
            <w:pPr>
              <w:rPr>
                <w:rFonts w:ascii="Arial" w:hAnsi="Arial" w:cs="Arial"/>
              </w:rPr>
            </w:pPr>
            <w:r>
              <w:rPr>
                <w:rFonts w:ascii="Arial" w:hAnsi="Arial" w:cs="Arial"/>
              </w:rPr>
              <w:t>Potential uncaptured value: transmission value</w:t>
            </w:r>
          </w:p>
        </w:tc>
        <w:tc>
          <w:tcPr>
            <w:tcW w:w="3754" w:type="dxa"/>
          </w:tcPr>
          <w:p w14:paraId="15D6B450" w14:textId="6E4030FD" w:rsidR="004311F8" w:rsidRDefault="004311F8" w:rsidP="004311F8">
            <w:pPr>
              <w:rPr>
                <w:rFonts w:ascii="Arial" w:hAnsi="Arial" w:cs="Arial"/>
              </w:rPr>
            </w:pPr>
            <w:r>
              <w:rPr>
                <w:rFonts w:ascii="Arial" w:hAnsi="Arial" w:cs="Arial"/>
              </w:rPr>
              <w:t xml:space="preserve">Key issue </w:t>
            </w:r>
            <w:r w:rsidR="00225BE7">
              <w:rPr>
                <w:rFonts w:ascii="Arial" w:hAnsi="Arial" w:cs="Arial"/>
              </w:rPr>
              <w:t>8</w:t>
            </w:r>
            <w:r>
              <w:rPr>
                <w:rFonts w:ascii="Arial" w:hAnsi="Arial" w:cs="Arial"/>
              </w:rPr>
              <w:t xml:space="preserve">: Is </w:t>
            </w:r>
            <w:r w:rsidR="00145378">
              <w:rPr>
                <w:rFonts w:ascii="Arial" w:hAnsi="Arial" w:cs="Arial"/>
              </w:rPr>
              <w:t>cefiderocol</w:t>
            </w:r>
            <w:r>
              <w:rPr>
                <w:rFonts w:ascii="Arial" w:hAnsi="Arial" w:cs="Arial"/>
              </w:rPr>
              <w:t>likely to impact on the likelihood of an outbreak and its spread?</w:t>
            </w:r>
          </w:p>
          <w:p w14:paraId="6E7BD2C9" w14:textId="77777777" w:rsidR="004311F8" w:rsidRPr="0053510C" w:rsidRDefault="004311F8" w:rsidP="004311F8">
            <w:pPr>
              <w:rPr>
                <w:rFonts w:ascii="Arial" w:hAnsi="Arial" w:cs="Arial"/>
              </w:rPr>
            </w:pPr>
          </w:p>
        </w:tc>
        <w:tc>
          <w:tcPr>
            <w:tcW w:w="3752" w:type="dxa"/>
          </w:tcPr>
          <w:p w14:paraId="1F526D7F" w14:textId="3D169778" w:rsidR="004311F8" w:rsidRPr="0053510C" w:rsidRDefault="004311F8" w:rsidP="004311F8">
            <w:pPr>
              <w:rPr>
                <w:rFonts w:ascii="Arial" w:eastAsia="Times New Roman" w:hAnsi="Arial" w:cs="Arial"/>
              </w:rPr>
            </w:pPr>
            <w:r>
              <w:rPr>
                <w:rFonts w:ascii="Arial" w:eastAsia="Times New Roman" w:hAnsi="Arial" w:cs="Arial"/>
              </w:rPr>
              <w:t>That there is additional benefit that can only be expressed in qualitative terms</w:t>
            </w:r>
            <w:r w:rsidR="0045029D">
              <w:rPr>
                <w:rFonts w:ascii="Arial" w:eastAsia="Times New Roman" w:hAnsi="Arial" w:cs="Arial"/>
              </w:rPr>
              <w:t>.</w:t>
            </w:r>
            <w:r>
              <w:rPr>
                <w:rFonts w:ascii="Arial" w:eastAsia="Times New Roman" w:hAnsi="Arial" w:cs="Arial"/>
              </w:rPr>
              <w:t xml:space="preserve"> </w:t>
            </w:r>
          </w:p>
        </w:tc>
        <w:tc>
          <w:tcPr>
            <w:tcW w:w="3860" w:type="dxa"/>
          </w:tcPr>
          <w:p w14:paraId="383F5A02" w14:textId="65D8EB03" w:rsidR="004311F8" w:rsidRPr="0053510C" w:rsidRDefault="004311F8" w:rsidP="004311F8">
            <w:pPr>
              <w:rPr>
                <w:rFonts w:ascii="Arial" w:hAnsi="Arial" w:cs="Arial"/>
              </w:rPr>
            </w:pPr>
            <w:r>
              <w:rPr>
                <w:rFonts w:ascii="Arial" w:hAnsi="Arial" w:cs="Arial"/>
              </w:rPr>
              <w:t>No effect on quantitative estimate of overall incremental value. Narrative output only.</w:t>
            </w:r>
          </w:p>
        </w:tc>
      </w:tr>
      <w:tr w:rsidR="006C6ED8" w14:paraId="05933128" w14:textId="77777777" w:rsidTr="003940BE">
        <w:trPr>
          <w:trHeight w:val="692"/>
        </w:trPr>
        <w:tc>
          <w:tcPr>
            <w:tcW w:w="2814" w:type="dxa"/>
          </w:tcPr>
          <w:p w14:paraId="6F6E136B" w14:textId="4AE25139" w:rsidR="006C6ED8" w:rsidRDefault="00620B10" w:rsidP="004311F8">
            <w:pPr>
              <w:rPr>
                <w:rFonts w:ascii="Arial" w:hAnsi="Arial" w:cs="Arial"/>
              </w:rPr>
            </w:pPr>
            <w:r>
              <w:rPr>
                <w:rFonts w:ascii="Arial" w:hAnsi="Arial" w:cs="Arial"/>
              </w:rPr>
              <w:t>Potential uncaptured value: diversity and spectrum value</w:t>
            </w:r>
          </w:p>
        </w:tc>
        <w:tc>
          <w:tcPr>
            <w:tcW w:w="3754" w:type="dxa"/>
          </w:tcPr>
          <w:p w14:paraId="6CEBF398" w14:textId="6188F994" w:rsidR="006C6ED8" w:rsidRDefault="00620B10" w:rsidP="004311F8">
            <w:pPr>
              <w:rPr>
                <w:rFonts w:ascii="Arial" w:hAnsi="Arial" w:cs="Arial"/>
              </w:rPr>
            </w:pPr>
            <w:r>
              <w:rPr>
                <w:rFonts w:ascii="Arial" w:hAnsi="Arial" w:cs="Arial"/>
              </w:rPr>
              <w:t xml:space="preserve">Key issue 9: </w:t>
            </w:r>
            <w:r w:rsidR="00746B60">
              <w:rPr>
                <w:rFonts w:ascii="Arial" w:hAnsi="Arial" w:cs="Arial"/>
              </w:rPr>
              <w:t>Is there uncaptured value related to diversity and spectrum value</w:t>
            </w:r>
          </w:p>
        </w:tc>
        <w:tc>
          <w:tcPr>
            <w:tcW w:w="3752" w:type="dxa"/>
          </w:tcPr>
          <w:p w14:paraId="32ECF4A6" w14:textId="074213D7" w:rsidR="006C6ED8" w:rsidRDefault="00746B60" w:rsidP="004311F8">
            <w:pPr>
              <w:rPr>
                <w:rFonts w:ascii="Arial" w:eastAsia="Times New Roman" w:hAnsi="Arial" w:cs="Arial"/>
              </w:rPr>
            </w:pPr>
            <w:r>
              <w:rPr>
                <w:rFonts w:ascii="Arial" w:eastAsia="Times New Roman" w:hAnsi="Arial" w:cs="Arial"/>
              </w:rPr>
              <w:t>That there is additional benefit that can only be expressed in qualitative terms.</w:t>
            </w:r>
          </w:p>
        </w:tc>
        <w:tc>
          <w:tcPr>
            <w:tcW w:w="3860" w:type="dxa"/>
          </w:tcPr>
          <w:p w14:paraId="47724378" w14:textId="5E0F0FB6" w:rsidR="006C6ED8" w:rsidRDefault="00746B60" w:rsidP="004311F8">
            <w:pPr>
              <w:rPr>
                <w:rFonts w:ascii="Arial" w:hAnsi="Arial" w:cs="Arial"/>
              </w:rPr>
            </w:pPr>
            <w:r>
              <w:rPr>
                <w:rFonts w:ascii="Arial" w:hAnsi="Arial" w:cs="Arial"/>
              </w:rPr>
              <w:t>No effect on quantitative estimate of overall incremental value. Narrative output only.</w:t>
            </w:r>
          </w:p>
        </w:tc>
      </w:tr>
      <w:tr w:rsidR="00604DF6" w14:paraId="5C460E44" w14:textId="77777777" w:rsidTr="003940BE">
        <w:trPr>
          <w:trHeight w:val="1125"/>
        </w:trPr>
        <w:tc>
          <w:tcPr>
            <w:tcW w:w="2814" w:type="dxa"/>
          </w:tcPr>
          <w:p w14:paraId="11312E01" w14:textId="5E0D8DBD" w:rsidR="00604DF6" w:rsidRPr="0053510C" w:rsidRDefault="00604DF6" w:rsidP="00604DF6">
            <w:pPr>
              <w:rPr>
                <w:rFonts w:ascii="Arial" w:hAnsi="Arial" w:cs="Arial"/>
              </w:rPr>
            </w:pPr>
            <w:r>
              <w:rPr>
                <w:rFonts w:ascii="Arial" w:hAnsi="Arial" w:cs="Arial"/>
              </w:rPr>
              <w:t>Estimating population size</w:t>
            </w:r>
          </w:p>
        </w:tc>
        <w:tc>
          <w:tcPr>
            <w:tcW w:w="3754" w:type="dxa"/>
          </w:tcPr>
          <w:p w14:paraId="26BE9FE0" w14:textId="7E18C549" w:rsidR="00604DF6" w:rsidRPr="00DE0DC7" w:rsidRDefault="00604DF6" w:rsidP="00604DF6">
            <w:pPr>
              <w:rPr>
                <w:rFonts w:ascii="Arial" w:hAnsi="Arial" w:cs="Arial"/>
                <w:b/>
                <w:bCs/>
              </w:rPr>
            </w:pPr>
            <w:r>
              <w:rPr>
                <w:rFonts w:ascii="Arial" w:hAnsi="Arial" w:cs="Arial"/>
                <w:b/>
                <w:bCs/>
              </w:rPr>
              <w:t xml:space="preserve">Key issue </w:t>
            </w:r>
            <w:r w:rsidR="006C6ED8">
              <w:rPr>
                <w:rFonts w:ascii="Arial" w:hAnsi="Arial" w:cs="Arial"/>
                <w:b/>
                <w:bCs/>
              </w:rPr>
              <w:t>10</w:t>
            </w:r>
            <w:r>
              <w:rPr>
                <w:rFonts w:ascii="Arial" w:hAnsi="Arial" w:cs="Arial"/>
                <w:b/>
                <w:bCs/>
              </w:rPr>
              <w:t>: What is the size of the baseline patient population (clinical expert v</w:t>
            </w:r>
            <w:r w:rsidR="00225BE7">
              <w:rPr>
                <w:rFonts w:ascii="Arial" w:hAnsi="Arial" w:cs="Arial"/>
                <w:b/>
                <w:bCs/>
              </w:rPr>
              <w:t>er</w:t>
            </w:r>
            <w:r>
              <w:rPr>
                <w:rFonts w:ascii="Arial" w:hAnsi="Arial" w:cs="Arial"/>
                <w:b/>
                <w:bCs/>
              </w:rPr>
              <w:t>s</w:t>
            </w:r>
            <w:r w:rsidR="00225BE7">
              <w:rPr>
                <w:rFonts w:ascii="Arial" w:hAnsi="Arial" w:cs="Arial"/>
                <w:b/>
                <w:bCs/>
              </w:rPr>
              <w:t>us</w:t>
            </w:r>
            <w:r>
              <w:rPr>
                <w:rFonts w:ascii="Arial" w:hAnsi="Arial" w:cs="Arial"/>
                <w:b/>
                <w:bCs/>
              </w:rPr>
              <w:t xml:space="preserve"> PHE classification)?</w:t>
            </w:r>
          </w:p>
        </w:tc>
        <w:tc>
          <w:tcPr>
            <w:tcW w:w="3752" w:type="dxa"/>
          </w:tcPr>
          <w:p w14:paraId="7A082119" w14:textId="569F1E90" w:rsidR="00604DF6" w:rsidRPr="0053510C" w:rsidRDefault="00604DF6" w:rsidP="00604DF6">
            <w:pPr>
              <w:rPr>
                <w:rFonts w:ascii="Arial" w:hAnsi="Arial" w:cs="Arial"/>
              </w:rPr>
            </w:pPr>
            <w:r>
              <w:rPr>
                <w:rFonts w:ascii="Arial" w:eastAsia="Times New Roman" w:hAnsi="Arial" w:cs="Arial"/>
              </w:rPr>
              <w:t>A preference for one parameter estimate over another</w:t>
            </w:r>
            <w:r w:rsidR="0045029D">
              <w:rPr>
                <w:rFonts w:ascii="Arial" w:eastAsia="Times New Roman" w:hAnsi="Arial" w:cs="Arial"/>
              </w:rPr>
              <w:t>.</w:t>
            </w:r>
          </w:p>
        </w:tc>
        <w:tc>
          <w:tcPr>
            <w:tcW w:w="3860" w:type="dxa"/>
          </w:tcPr>
          <w:p w14:paraId="24EABC49" w14:textId="03C2C9EA" w:rsidR="00604DF6" w:rsidRPr="0053510C" w:rsidRDefault="00604DF6" w:rsidP="00604DF6">
            <w:pPr>
              <w:rPr>
                <w:rFonts w:ascii="Arial" w:hAnsi="Arial" w:cs="Arial"/>
              </w:rPr>
            </w:pPr>
            <w:r>
              <w:rPr>
                <w:rFonts w:ascii="Arial" w:hAnsi="Arial" w:cs="Arial"/>
              </w:rPr>
              <w:t xml:space="preserve">Select committee’s preferred </w:t>
            </w:r>
            <w:r w:rsidR="00617752">
              <w:rPr>
                <w:rFonts w:ascii="Arial" w:hAnsi="Arial" w:cs="Arial"/>
              </w:rPr>
              <w:t xml:space="preserve">approach </w:t>
            </w:r>
            <w:r>
              <w:rPr>
                <w:rFonts w:ascii="Arial" w:hAnsi="Arial" w:cs="Arial"/>
              </w:rPr>
              <w:t xml:space="preserve">– </w:t>
            </w:r>
            <w:r w:rsidR="00617752">
              <w:rPr>
                <w:rFonts w:ascii="Arial" w:hAnsi="Arial" w:cs="Arial"/>
              </w:rPr>
              <w:t>this will</w:t>
            </w:r>
            <w:r>
              <w:rPr>
                <w:rFonts w:ascii="Arial" w:hAnsi="Arial" w:cs="Arial"/>
              </w:rPr>
              <w:t xml:space="preserve"> affect</w:t>
            </w:r>
            <w:r w:rsidR="00617752">
              <w:rPr>
                <w:rFonts w:ascii="Arial" w:hAnsi="Arial" w:cs="Arial"/>
              </w:rPr>
              <w:t xml:space="preserve"> the</w:t>
            </w:r>
            <w:r>
              <w:rPr>
                <w:rFonts w:ascii="Arial" w:hAnsi="Arial" w:cs="Arial"/>
              </w:rPr>
              <w:t xml:space="preserve"> QALY estimate</w:t>
            </w:r>
            <w:r w:rsidR="00617752">
              <w:rPr>
                <w:rFonts w:ascii="Arial" w:hAnsi="Arial" w:cs="Arial"/>
              </w:rPr>
              <w:t>(s)</w:t>
            </w:r>
            <w:r w:rsidR="0045029D">
              <w:rPr>
                <w:rFonts w:ascii="Arial" w:hAnsi="Arial" w:cs="Arial"/>
              </w:rPr>
              <w:t>.</w:t>
            </w:r>
          </w:p>
        </w:tc>
      </w:tr>
      <w:tr w:rsidR="00604DF6" w14:paraId="460DFE48" w14:textId="77777777" w:rsidTr="003940BE">
        <w:trPr>
          <w:trHeight w:val="250"/>
        </w:trPr>
        <w:tc>
          <w:tcPr>
            <w:tcW w:w="2814" w:type="dxa"/>
          </w:tcPr>
          <w:p w14:paraId="069E2711" w14:textId="4CF5825A" w:rsidR="00604DF6" w:rsidRPr="0053510C" w:rsidRDefault="00604DF6" w:rsidP="00604DF6">
            <w:pPr>
              <w:rPr>
                <w:rFonts w:ascii="Arial" w:hAnsi="Arial" w:cs="Arial"/>
              </w:rPr>
            </w:pPr>
            <w:r>
              <w:rPr>
                <w:rFonts w:ascii="Arial" w:hAnsi="Arial" w:cs="Arial"/>
              </w:rPr>
              <w:t>Estimating population size</w:t>
            </w:r>
          </w:p>
        </w:tc>
        <w:tc>
          <w:tcPr>
            <w:tcW w:w="3754" w:type="dxa"/>
          </w:tcPr>
          <w:p w14:paraId="7C4D5AEA" w14:textId="1FE641EC" w:rsidR="00604DF6" w:rsidRPr="00145378" w:rsidRDefault="00604DF6" w:rsidP="00604DF6">
            <w:pPr>
              <w:rPr>
                <w:rFonts w:ascii="Arial" w:hAnsi="Arial" w:cs="Arial"/>
                <w:b/>
                <w:bCs/>
                <w:i/>
                <w:iCs/>
              </w:rPr>
            </w:pPr>
            <w:r>
              <w:rPr>
                <w:rFonts w:ascii="Arial" w:hAnsi="Arial" w:cs="Arial"/>
                <w:b/>
                <w:bCs/>
              </w:rPr>
              <w:t xml:space="preserve">Key issue </w:t>
            </w:r>
            <w:r w:rsidR="00225BE7">
              <w:rPr>
                <w:rFonts w:ascii="Arial" w:hAnsi="Arial" w:cs="Arial"/>
                <w:b/>
                <w:bCs/>
              </w:rPr>
              <w:t>1</w:t>
            </w:r>
            <w:r w:rsidR="006C6ED8">
              <w:rPr>
                <w:rFonts w:ascii="Arial" w:hAnsi="Arial" w:cs="Arial"/>
                <w:b/>
                <w:bCs/>
              </w:rPr>
              <w:t>1</w:t>
            </w:r>
            <w:r>
              <w:rPr>
                <w:rFonts w:ascii="Arial" w:hAnsi="Arial" w:cs="Arial"/>
                <w:b/>
                <w:bCs/>
              </w:rPr>
              <w:t>: How does the patient population grow over time (persistent</w:t>
            </w:r>
            <w:r w:rsidR="007C1661">
              <w:rPr>
                <w:rFonts w:ascii="Arial" w:hAnsi="Arial" w:cs="Arial"/>
                <w:b/>
                <w:bCs/>
              </w:rPr>
              <w:t xml:space="preserve"> growth,</w:t>
            </w:r>
            <w:r>
              <w:rPr>
                <w:rFonts w:ascii="Arial" w:hAnsi="Arial" w:cs="Arial"/>
                <w:b/>
                <w:bCs/>
              </w:rPr>
              <w:t xml:space="preserve"> short-term</w:t>
            </w:r>
            <w:r w:rsidR="0011785A">
              <w:rPr>
                <w:rFonts w:ascii="Arial" w:hAnsi="Arial" w:cs="Arial"/>
                <w:b/>
                <w:bCs/>
              </w:rPr>
              <w:t>/’damped trend’</w:t>
            </w:r>
            <w:r w:rsidR="009E5432">
              <w:rPr>
                <w:rFonts w:ascii="Arial" w:hAnsi="Arial" w:cs="Arial"/>
                <w:b/>
                <w:bCs/>
              </w:rPr>
              <w:t xml:space="preserve"> </w:t>
            </w:r>
            <w:r w:rsidR="007C1661">
              <w:rPr>
                <w:rFonts w:ascii="Arial" w:hAnsi="Arial" w:cs="Arial"/>
                <w:b/>
                <w:bCs/>
              </w:rPr>
              <w:t xml:space="preserve">or no </w:t>
            </w:r>
            <w:r>
              <w:rPr>
                <w:rFonts w:ascii="Arial" w:hAnsi="Arial" w:cs="Arial"/>
                <w:b/>
                <w:bCs/>
              </w:rPr>
              <w:t>growth)?</w:t>
            </w:r>
            <w:r w:rsidR="00145378">
              <w:rPr>
                <w:rFonts w:ascii="Arial" w:hAnsi="Arial" w:cs="Arial"/>
                <w:b/>
                <w:bCs/>
              </w:rPr>
              <w:t xml:space="preserve"> </w:t>
            </w:r>
          </w:p>
        </w:tc>
        <w:tc>
          <w:tcPr>
            <w:tcW w:w="3752" w:type="dxa"/>
          </w:tcPr>
          <w:p w14:paraId="3EA5B580" w14:textId="4E4AB02C" w:rsidR="00604DF6" w:rsidRPr="0053510C" w:rsidRDefault="00604DF6" w:rsidP="00604DF6">
            <w:pPr>
              <w:rPr>
                <w:rFonts w:ascii="Arial" w:hAnsi="Arial" w:cs="Arial"/>
              </w:rPr>
            </w:pPr>
            <w:r>
              <w:rPr>
                <w:rFonts w:ascii="Arial" w:eastAsia="Times New Roman" w:hAnsi="Arial" w:cs="Arial"/>
              </w:rPr>
              <w:t>A preference for one modelling approach over another</w:t>
            </w:r>
            <w:r w:rsidR="0045029D">
              <w:rPr>
                <w:rFonts w:ascii="Arial" w:eastAsia="Times New Roman" w:hAnsi="Arial" w:cs="Arial"/>
              </w:rPr>
              <w:t>.</w:t>
            </w:r>
          </w:p>
        </w:tc>
        <w:tc>
          <w:tcPr>
            <w:tcW w:w="3860" w:type="dxa"/>
          </w:tcPr>
          <w:p w14:paraId="7630B7F4" w14:textId="225565F2" w:rsidR="00604DF6" w:rsidRPr="0053510C" w:rsidRDefault="00617752" w:rsidP="00604DF6">
            <w:pPr>
              <w:rPr>
                <w:rFonts w:ascii="Arial" w:hAnsi="Arial" w:cs="Arial"/>
              </w:rPr>
            </w:pPr>
            <w:r>
              <w:rPr>
                <w:rFonts w:ascii="Arial" w:hAnsi="Arial" w:cs="Arial"/>
              </w:rPr>
              <w:t>Select committee’s preferred approach – this will affect the QALY estimate(s).</w:t>
            </w:r>
          </w:p>
        </w:tc>
      </w:tr>
      <w:tr w:rsidR="00250DC9" w14:paraId="6E42F55C" w14:textId="77777777" w:rsidTr="003940BE">
        <w:trPr>
          <w:trHeight w:val="262"/>
        </w:trPr>
        <w:tc>
          <w:tcPr>
            <w:tcW w:w="2814" w:type="dxa"/>
          </w:tcPr>
          <w:p w14:paraId="19DA03C2" w14:textId="7AF7FD8E" w:rsidR="00250DC9" w:rsidRDefault="00250DC9" w:rsidP="00250DC9">
            <w:pPr>
              <w:rPr>
                <w:rFonts w:ascii="Arial" w:hAnsi="Arial" w:cs="Arial"/>
              </w:rPr>
            </w:pPr>
            <w:r>
              <w:rPr>
                <w:rFonts w:ascii="Arial" w:hAnsi="Arial" w:cs="Arial"/>
              </w:rPr>
              <w:lastRenderedPageBreak/>
              <w:t>Estimating population size</w:t>
            </w:r>
          </w:p>
        </w:tc>
        <w:tc>
          <w:tcPr>
            <w:tcW w:w="3754" w:type="dxa"/>
          </w:tcPr>
          <w:p w14:paraId="5BCEF7ED" w14:textId="3F1AA415" w:rsidR="00250DC9" w:rsidRDefault="00250DC9" w:rsidP="00250DC9">
            <w:pPr>
              <w:rPr>
                <w:rFonts w:ascii="Arial" w:hAnsi="Arial" w:cs="Arial"/>
                <w:b/>
                <w:bCs/>
              </w:rPr>
            </w:pPr>
            <w:r w:rsidRPr="00814AF0">
              <w:rPr>
                <w:rFonts w:ascii="Arial" w:hAnsi="Arial" w:cs="Arial"/>
              </w:rPr>
              <w:t>Key issue 12:</w:t>
            </w:r>
            <w:r w:rsidRPr="00814AF0">
              <w:rPr>
                <w:rFonts w:ascii="Arial" w:hAnsi="Arial" w:cs="Arial"/>
              </w:rPr>
              <w:t xml:space="preserve"> </w:t>
            </w:r>
            <w:r w:rsidRPr="001164FB">
              <w:rPr>
                <w:rFonts w:ascii="Arial" w:hAnsi="Arial" w:cs="Arial"/>
              </w:rPr>
              <w:t xml:space="preserve">Is it reasonable to assume no growth in the eligible </w:t>
            </w:r>
            <w:r w:rsidRPr="001164FB">
              <w:rPr>
                <w:rFonts w:ascii="Arial" w:hAnsi="Arial" w:cs="Arial"/>
                <w:i/>
                <w:iCs/>
              </w:rPr>
              <w:t>Pseudomonas</w:t>
            </w:r>
            <w:r w:rsidRPr="001164FB">
              <w:rPr>
                <w:rFonts w:ascii="Arial" w:hAnsi="Arial" w:cs="Arial"/>
              </w:rPr>
              <w:t xml:space="preserve"> </w:t>
            </w:r>
            <w:r w:rsidRPr="00814AF0">
              <w:rPr>
                <w:rFonts w:ascii="Arial" w:hAnsi="Arial" w:cs="Arial"/>
                <w:i/>
                <w:iCs/>
              </w:rPr>
              <w:t>aeruginosa</w:t>
            </w:r>
            <w:r w:rsidRPr="001164FB">
              <w:rPr>
                <w:rFonts w:ascii="Arial" w:hAnsi="Arial" w:cs="Arial"/>
              </w:rPr>
              <w:t xml:space="preserve"> population over time?</w:t>
            </w:r>
          </w:p>
        </w:tc>
        <w:tc>
          <w:tcPr>
            <w:tcW w:w="3752" w:type="dxa"/>
          </w:tcPr>
          <w:p w14:paraId="2E0A1FC2" w14:textId="4735A29C" w:rsidR="00250DC9" w:rsidRDefault="00250DC9" w:rsidP="00250DC9">
            <w:pPr>
              <w:rPr>
                <w:rFonts w:ascii="Arial" w:eastAsia="Times New Roman" w:hAnsi="Arial" w:cs="Arial"/>
              </w:rPr>
            </w:pPr>
            <w:r>
              <w:rPr>
                <w:rFonts w:ascii="Arial" w:eastAsia="Times New Roman" w:hAnsi="Arial" w:cs="Arial"/>
              </w:rPr>
              <w:t>That there is additional benefit that can only be expressed in qualitative terms.</w:t>
            </w:r>
          </w:p>
        </w:tc>
        <w:tc>
          <w:tcPr>
            <w:tcW w:w="3860" w:type="dxa"/>
          </w:tcPr>
          <w:p w14:paraId="55711517" w14:textId="6FAC0F57" w:rsidR="00250DC9" w:rsidRDefault="00250DC9" w:rsidP="00250DC9">
            <w:pPr>
              <w:rPr>
                <w:rFonts w:ascii="Arial" w:hAnsi="Arial" w:cs="Arial"/>
              </w:rPr>
            </w:pPr>
            <w:r>
              <w:rPr>
                <w:rFonts w:ascii="Arial" w:hAnsi="Arial" w:cs="Arial"/>
              </w:rPr>
              <w:t>No effect on quantitative estimate of overall incremental value. Narrative output only.</w:t>
            </w:r>
          </w:p>
        </w:tc>
      </w:tr>
      <w:tr w:rsidR="00250DC9" w14:paraId="4AD3ECA5" w14:textId="77777777" w:rsidTr="003940BE">
        <w:trPr>
          <w:trHeight w:val="262"/>
        </w:trPr>
        <w:tc>
          <w:tcPr>
            <w:tcW w:w="2814" w:type="dxa"/>
          </w:tcPr>
          <w:p w14:paraId="21E0E6B3" w14:textId="3C673BD4" w:rsidR="00250DC9" w:rsidRPr="0053510C" w:rsidRDefault="00250DC9" w:rsidP="00250DC9">
            <w:pPr>
              <w:rPr>
                <w:rFonts w:ascii="Arial" w:hAnsi="Arial" w:cs="Arial"/>
              </w:rPr>
            </w:pPr>
            <w:r>
              <w:rPr>
                <w:rFonts w:ascii="Arial" w:hAnsi="Arial" w:cs="Arial"/>
              </w:rPr>
              <w:t>Estimating population size</w:t>
            </w:r>
          </w:p>
        </w:tc>
        <w:tc>
          <w:tcPr>
            <w:tcW w:w="3754" w:type="dxa"/>
          </w:tcPr>
          <w:p w14:paraId="4BFF3300" w14:textId="292744A6" w:rsidR="00250DC9" w:rsidRPr="00AA7059" w:rsidRDefault="00250DC9" w:rsidP="00250DC9">
            <w:pPr>
              <w:rPr>
                <w:rFonts w:ascii="Arial" w:hAnsi="Arial" w:cs="Arial"/>
                <w:b/>
                <w:bCs/>
              </w:rPr>
            </w:pPr>
            <w:r>
              <w:rPr>
                <w:rFonts w:ascii="Arial" w:hAnsi="Arial" w:cs="Arial"/>
                <w:b/>
                <w:bCs/>
              </w:rPr>
              <w:t xml:space="preserve">Key issue 13: How much will resistance to </w:t>
            </w:r>
            <w:r w:rsidRPr="00145378">
              <w:rPr>
                <w:rFonts w:ascii="Arial" w:hAnsi="Arial" w:cs="Arial"/>
                <w:b/>
                <w:bCs/>
              </w:rPr>
              <w:t>cefiderocol</w:t>
            </w:r>
            <w:r>
              <w:rPr>
                <w:rFonts w:ascii="Arial" w:hAnsi="Arial" w:cs="Arial"/>
                <w:b/>
                <w:bCs/>
              </w:rPr>
              <w:t>increase over 20 years?</w:t>
            </w:r>
          </w:p>
        </w:tc>
        <w:tc>
          <w:tcPr>
            <w:tcW w:w="3752" w:type="dxa"/>
          </w:tcPr>
          <w:p w14:paraId="185455E7" w14:textId="20A4E288" w:rsidR="00250DC9" w:rsidRPr="0053510C" w:rsidRDefault="00250DC9" w:rsidP="00250DC9">
            <w:pPr>
              <w:rPr>
                <w:rFonts w:ascii="Arial" w:hAnsi="Arial" w:cs="Arial"/>
              </w:rPr>
            </w:pPr>
            <w:r>
              <w:rPr>
                <w:rFonts w:ascii="Arial" w:eastAsia="Times New Roman" w:hAnsi="Arial" w:cs="Arial"/>
              </w:rPr>
              <w:t>A preference for one parameter estimate over another.</w:t>
            </w:r>
          </w:p>
        </w:tc>
        <w:tc>
          <w:tcPr>
            <w:tcW w:w="3860" w:type="dxa"/>
          </w:tcPr>
          <w:p w14:paraId="76703CA8" w14:textId="709337DF" w:rsidR="00250DC9" w:rsidRPr="0053510C" w:rsidRDefault="00250DC9" w:rsidP="00250DC9">
            <w:pPr>
              <w:rPr>
                <w:rFonts w:ascii="Arial" w:hAnsi="Arial" w:cs="Arial"/>
              </w:rPr>
            </w:pPr>
            <w:r>
              <w:rPr>
                <w:rFonts w:ascii="Arial" w:hAnsi="Arial" w:cs="Arial"/>
              </w:rPr>
              <w:t>Select committee’s preferred approach – this will affect the QALY estimate(s).</w:t>
            </w:r>
          </w:p>
        </w:tc>
      </w:tr>
      <w:tr w:rsidR="00250DC9" w14:paraId="37E37199" w14:textId="77777777" w:rsidTr="003940BE">
        <w:trPr>
          <w:trHeight w:val="262"/>
        </w:trPr>
        <w:tc>
          <w:tcPr>
            <w:tcW w:w="2814" w:type="dxa"/>
          </w:tcPr>
          <w:p w14:paraId="5E286E81" w14:textId="077BAE47" w:rsidR="00250DC9" w:rsidRPr="0044426A" w:rsidRDefault="00250DC9" w:rsidP="00250DC9">
            <w:pPr>
              <w:rPr>
                <w:rFonts w:ascii="Arial" w:hAnsi="Arial" w:cs="Arial"/>
              </w:rPr>
            </w:pPr>
            <w:r w:rsidRPr="0044426A">
              <w:rPr>
                <w:rFonts w:ascii="Arial" w:hAnsi="Arial" w:cs="Arial"/>
              </w:rPr>
              <w:t>Relative effectiveness</w:t>
            </w:r>
          </w:p>
        </w:tc>
        <w:tc>
          <w:tcPr>
            <w:tcW w:w="3754" w:type="dxa"/>
          </w:tcPr>
          <w:p w14:paraId="50242B5F" w14:textId="628168BF" w:rsidR="00250DC9" w:rsidRPr="0044426A" w:rsidRDefault="00250DC9" w:rsidP="00250DC9">
            <w:pPr>
              <w:rPr>
                <w:rFonts w:ascii="Arial" w:hAnsi="Arial" w:cs="Arial"/>
              </w:rPr>
            </w:pPr>
            <w:r w:rsidRPr="0044426A">
              <w:rPr>
                <w:rFonts w:ascii="Arial" w:hAnsi="Arial" w:cs="Arial"/>
              </w:rPr>
              <w:t>Key issue 1</w:t>
            </w:r>
            <w:r>
              <w:rPr>
                <w:rFonts w:ascii="Arial" w:hAnsi="Arial" w:cs="Arial"/>
              </w:rPr>
              <w:t>4</w:t>
            </w:r>
            <w:r w:rsidRPr="0044426A">
              <w:rPr>
                <w:rFonts w:ascii="Arial" w:hAnsi="Arial" w:cs="Arial"/>
              </w:rPr>
              <w:t>: Which network of susceptibility evidence should be used?</w:t>
            </w:r>
          </w:p>
        </w:tc>
        <w:tc>
          <w:tcPr>
            <w:tcW w:w="3752" w:type="dxa"/>
          </w:tcPr>
          <w:p w14:paraId="16A0CA8F" w14:textId="0CB9BCFB" w:rsidR="00250DC9" w:rsidRPr="0044426A" w:rsidRDefault="00250DC9" w:rsidP="00250DC9">
            <w:pPr>
              <w:rPr>
                <w:rFonts w:ascii="Arial" w:eastAsia="Times New Roman" w:hAnsi="Arial" w:cs="Arial"/>
              </w:rPr>
            </w:pPr>
            <w:r w:rsidRPr="0044426A">
              <w:rPr>
                <w:rFonts w:ascii="Arial" w:eastAsia="Times New Roman" w:hAnsi="Arial" w:cs="Arial"/>
              </w:rPr>
              <w:t xml:space="preserve">Preference for one modelling approach over another. </w:t>
            </w:r>
          </w:p>
        </w:tc>
        <w:tc>
          <w:tcPr>
            <w:tcW w:w="3860" w:type="dxa"/>
          </w:tcPr>
          <w:p w14:paraId="31878AC5" w14:textId="52E75EB8" w:rsidR="00250DC9" w:rsidRPr="0044426A" w:rsidRDefault="00250DC9" w:rsidP="00250DC9">
            <w:pPr>
              <w:rPr>
                <w:rFonts w:ascii="Arial" w:hAnsi="Arial" w:cs="Arial"/>
              </w:rPr>
            </w:pPr>
            <w:r>
              <w:rPr>
                <w:rFonts w:ascii="Arial" w:hAnsi="Arial" w:cs="Arial"/>
              </w:rPr>
              <w:t>Select committee’s preferred approach – this will affect the QALY estimate(s).</w:t>
            </w:r>
          </w:p>
        </w:tc>
      </w:tr>
      <w:tr w:rsidR="00250DC9" w14:paraId="7E4BAD89" w14:textId="77777777" w:rsidTr="003940BE">
        <w:trPr>
          <w:trHeight w:val="262"/>
        </w:trPr>
        <w:tc>
          <w:tcPr>
            <w:tcW w:w="2814" w:type="dxa"/>
          </w:tcPr>
          <w:p w14:paraId="13700531" w14:textId="384BA062" w:rsidR="00250DC9" w:rsidRPr="0044426A" w:rsidRDefault="00250DC9" w:rsidP="00250DC9">
            <w:pPr>
              <w:rPr>
                <w:rFonts w:ascii="Arial" w:hAnsi="Arial" w:cs="Arial"/>
              </w:rPr>
            </w:pPr>
            <w:r w:rsidRPr="0044426A">
              <w:rPr>
                <w:rFonts w:ascii="Arial" w:hAnsi="Arial" w:cs="Arial"/>
              </w:rPr>
              <w:t>Relative effectiveness</w:t>
            </w:r>
          </w:p>
        </w:tc>
        <w:tc>
          <w:tcPr>
            <w:tcW w:w="3754" w:type="dxa"/>
          </w:tcPr>
          <w:p w14:paraId="4B83DB01" w14:textId="1E9290CD" w:rsidR="00250DC9" w:rsidRPr="0044426A" w:rsidRDefault="00250DC9" w:rsidP="00250DC9">
            <w:pPr>
              <w:rPr>
                <w:rFonts w:ascii="Arial" w:hAnsi="Arial" w:cs="Arial"/>
              </w:rPr>
            </w:pPr>
            <w:r w:rsidRPr="0044426A">
              <w:rPr>
                <w:rFonts w:ascii="Arial" w:hAnsi="Arial" w:cs="Arial"/>
              </w:rPr>
              <w:t>Key issue 1</w:t>
            </w:r>
            <w:r>
              <w:rPr>
                <w:rFonts w:ascii="Arial" w:hAnsi="Arial" w:cs="Arial"/>
              </w:rPr>
              <w:t>5</w:t>
            </w:r>
            <w:r w:rsidRPr="0044426A">
              <w:rPr>
                <w:rFonts w:ascii="Arial" w:hAnsi="Arial" w:cs="Arial"/>
              </w:rPr>
              <w:t xml:space="preserve">: </w:t>
            </w:r>
            <w:r>
              <w:rPr>
                <w:rFonts w:ascii="Arial" w:hAnsi="Arial" w:cs="Arial"/>
              </w:rPr>
              <w:t xml:space="preserve">Are the estimates of susceptibility to </w:t>
            </w:r>
            <w:r w:rsidRPr="005778DB">
              <w:rPr>
                <w:rFonts w:ascii="Arial" w:hAnsi="Arial" w:cs="Arial"/>
              </w:rPr>
              <w:t>cefiderocol</w:t>
            </w:r>
            <w:r>
              <w:rPr>
                <w:rFonts w:ascii="Arial" w:hAnsi="Arial" w:cs="Arial"/>
              </w:rPr>
              <w:t xml:space="preserve">, relative to colistin, </w:t>
            </w:r>
            <w:r w:rsidRPr="0044426A">
              <w:rPr>
                <w:rFonts w:ascii="Arial" w:hAnsi="Arial" w:cs="Arial"/>
              </w:rPr>
              <w:t>likely to be accurate?</w:t>
            </w:r>
          </w:p>
        </w:tc>
        <w:tc>
          <w:tcPr>
            <w:tcW w:w="3752" w:type="dxa"/>
          </w:tcPr>
          <w:p w14:paraId="1C7583AA" w14:textId="4F3CD15F" w:rsidR="00250DC9" w:rsidRPr="0044426A" w:rsidRDefault="00250DC9" w:rsidP="00250DC9">
            <w:pPr>
              <w:rPr>
                <w:rFonts w:ascii="Arial" w:eastAsia="Times New Roman" w:hAnsi="Arial" w:cs="Arial"/>
              </w:rPr>
            </w:pPr>
            <w:r w:rsidRPr="0044426A">
              <w:rPr>
                <w:rFonts w:ascii="Arial" w:eastAsia="Times New Roman" w:hAnsi="Arial" w:cs="Arial"/>
              </w:rPr>
              <w:t xml:space="preserve">That there is additional benefit </w:t>
            </w:r>
            <w:r>
              <w:rPr>
                <w:rFonts w:ascii="Arial" w:eastAsia="Times New Roman" w:hAnsi="Arial" w:cs="Arial"/>
              </w:rPr>
              <w:t>or</w:t>
            </w:r>
            <w:r w:rsidRPr="0044426A">
              <w:rPr>
                <w:rFonts w:ascii="Arial" w:eastAsia="Times New Roman" w:hAnsi="Arial" w:cs="Arial"/>
              </w:rPr>
              <w:t xml:space="preserve"> uncaptured uncertainty that can only be expressed in qualitative terms. </w:t>
            </w:r>
          </w:p>
        </w:tc>
        <w:tc>
          <w:tcPr>
            <w:tcW w:w="3860" w:type="dxa"/>
          </w:tcPr>
          <w:p w14:paraId="6348E37A" w14:textId="6B38F8EF" w:rsidR="00250DC9" w:rsidRPr="0044426A" w:rsidRDefault="00250DC9" w:rsidP="00250DC9">
            <w:pPr>
              <w:rPr>
                <w:rFonts w:ascii="Arial" w:hAnsi="Arial" w:cs="Arial"/>
              </w:rPr>
            </w:pPr>
            <w:r>
              <w:rPr>
                <w:rFonts w:ascii="Arial" w:hAnsi="Arial" w:cs="Arial"/>
              </w:rPr>
              <w:t>No effect on quantitative estimate of overall incremental value. Narrative output only.</w:t>
            </w:r>
          </w:p>
        </w:tc>
      </w:tr>
      <w:tr w:rsidR="00250DC9" w14:paraId="1B66899E" w14:textId="77777777" w:rsidTr="003940BE">
        <w:trPr>
          <w:trHeight w:val="262"/>
        </w:trPr>
        <w:tc>
          <w:tcPr>
            <w:tcW w:w="2814" w:type="dxa"/>
          </w:tcPr>
          <w:p w14:paraId="6ADB868C" w14:textId="13E7A49A" w:rsidR="00250DC9" w:rsidRPr="0044426A" w:rsidRDefault="00250DC9" w:rsidP="00250DC9">
            <w:pPr>
              <w:rPr>
                <w:rFonts w:ascii="Arial" w:hAnsi="Arial" w:cs="Arial"/>
              </w:rPr>
            </w:pPr>
            <w:r>
              <w:rPr>
                <w:rFonts w:ascii="Arial" w:hAnsi="Arial" w:cs="Arial"/>
              </w:rPr>
              <w:t>Relative effectiveness</w:t>
            </w:r>
          </w:p>
        </w:tc>
        <w:tc>
          <w:tcPr>
            <w:tcW w:w="3754" w:type="dxa"/>
          </w:tcPr>
          <w:p w14:paraId="02C59F66" w14:textId="77C9BBB8" w:rsidR="00250DC9" w:rsidRPr="0044426A" w:rsidRDefault="00250DC9" w:rsidP="00250DC9">
            <w:pPr>
              <w:rPr>
                <w:rFonts w:ascii="Arial" w:hAnsi="Arial" w:cs="Arial"/>
              </w:rPr>
            </w:pPr>
            <w:r>
              <w:rPr>
                <w:rFonts w:ascii="Arial" w:hAnsi="Arial" w:cs="Arial"/>
              </w:rPr>
              <w:t>Key issue 16: Is the relationship between susceptibility and outcomes likely to be constant across all antimicrobials?</w:t>
            </w:r>
          </w:p>
        </w:tc>
        <w:tc>
          <w:tcPr>
            <w:tcW w:w="3752" w:type="dxa"/>
          </w:tcPr>
          <w:p w14:paraId="7280CD51" w14:textId="7EFC21CF" w:rsidR="00250DC9" w:rsidRPr="0044426A" w:rsidRDefault="00250DC9" w:rsidP="00250DC9">
            <w:pPr>
              <w:rPr>
                <w:rFonts w:ascii="Arial" w:eastAsia="Times New Roman" w:hAnsi="Arial" w:cs="Arial"/>
              </w:rPr>
            </w:pPr>
            <w:r>
              <w:rPr>
                <w:rFonts w:ascii="Arial" w:eastAsia="Times New Roman" w:hAnsi="Arial" w:cs="Arial"/>
              </w:rPr>
              <w:t>That there is additional benefit/harm that can only be expressed in qualitative terms.</w:t>
            </w:r>
          </w:p>
        </w:tc>
        <w:tc>
          <w:tcPr>
            <w:tcW w:w="3860" w:type="dxa"/>
          </w:tcPr>
          <w:p w14:paraId="52517E49" w14:textId="76AC647A" w:rsidR="00250DC9" w:rsidRDefault="00250DC9" w:rsidP="00250DC9">
            <w:pPr>
              <w:rPr>
                <w:rFonts w:ascii="Arial" w:hAnsi="Arial" w:cs="Arial"/>
              </w:rPr>
            </w:pPr>
            <w:r>
              <w:rPr>
                <w:rFonts w:ascii="Arial" w:hAnsi="Arial" w:cs="Arial"/>
              </w:rPr>
              <w:t>No effect on quantitative estimate of overall incremental value. Narrative output only.</w:t>
            </w:r>
          </w:p>
        </w:tc>
      </w:tr>
      <w:tr w:rsidR="00250DC9" w14:paraId="22B39F1A" w14:textId="77777777" w:rsidTr="003940BE">
        <w:trPr>
          <w:trHeight w:val="262"/>
        </w:trPr>
        <w:tc>
          <w:tcPr>
            <w:tcW w:w="2814" w:type="dxa"/>
          </w:tcPr>
          <w:p w14:paraId="307EAF00" w14:textId="7FE0B096" w:rsidR="00250DC9" w:rsidRPr="0053510C" w:rsidRDefault="00250DC9" w:rsidP="00250DC9">
            <w:pPr>
              <w:rPr>
                <w:rFonts w:ascii="Arial" w:hAnsi="Arial" w:cs="Arial"/>
              </w:rPr>
            </w:pPr>
            <w:r>
              <w:rPr>
                <w:rFonts w:ascii="Arial" w:hAnsi="Arial" w:cs="Arial"/>
              </w:rPr>
              <w:t>Model assumptions</w:t>
            </w:r>
          </w:p>
        </w:tc>
        <w:tc>
          <w:tcPr>
            <w:tcW w:w="3754" w:type="dxa"/>
          </w:tcPr>
          <w:p w14:paraId="070C5F48" w14:textId="11338B57" w:rsidR="00250DC9" w:rsidRPr="00F1375C" w:rsidRDefault="00250DC9" w:rsidP="00250DC9">
            <w:pPr>
              <w:rPr>
                <w:rFonts w:ascii="Arial" w:hAnsi="Arial" w:cs="Arial"/>
                <w:b/>
                <w:bCs/>
              </w:rPr>
            </w:pPr>
            <w:r>
              <w:rPr>
                <w:rFonts w:ascii="Arial" w:hAnsi="Arial" w:cs="Arial"/>
                <w:b/>
                <w:bCs/>
              </w:rPr>
              <w:t>Key issue 17: which patients should be classed as being at high risk of having a multi-drug-resistant pathogen?</w:t>
            </w:r>
          </w:p>
        </w:tc>
        <w:tc>
          <w:tcPr>
            <w:tcW w:w="3752" w:type="dxa"/>
          </w:tcPr>
          <w:p w14:paraId="00AFFD31" w14:textId="2A33B790" w:rsidR="00250DC9" w:rsidRPr="0053510C" w:rsidRDefault="00250DC9" w:rsidP="00250DC9">
            <w:pPr>
              <w:rPr>
                <w:rFonts w:ascii="Arial" w:hAnsi="Arial" w:cs="Arial"/>
              </w:rPr>
            </w:pPr>
            <w:r>
              <w:rPr>
                <w:rFonts w:ascii="Arial" w:hAnsi="Arial" w:cs="Arial"/>
              </w:rPr>
              <w:t>Recommendations for how the antimicrobial should be used.</w:t>
            </w:r>
          </w:p>
        </w:tc>
        <w:tc>
          <w:tcPr>
            <w:tcW w:w="3860" w:type="dxa"/>
          </w:tcPr>
          <w:p w14:paraId="7A90DE78" w14:textId="324568B3" w:rsidR="00250DC9" w:rsidRPr="0053510C" w:rsidRDefault="00250DC9" w:rsidP="00250DC9">
            <w:pPr>
              <w:rPr>
                <w:rFonts w:ascii="Arial" w:hAnsi="Arial" w:cs="Arial"/>
              </w:rPr>
            </w:pPr>
            <w:r>
              <w:rPr>
                <w:rFonts w:ascii="Arial" w:hAnsi="Arial" w:cs="Arial"/>
              </w:rPr>
              <w:t>Narrative recommendation.</w:t>
            </w:r>
          </w:p>
        </w:tc>
      </w:tr>
      <w:tr w:rsidR="00250DC9" w14:paraId="55E82BA7" w14:textId="77777777" w:rsidTr="003940BE">
        <w:trPr>
          <w:trHeight w:val="262"/>
        </w:trPr>
        <w:tc>
          <w:tcPr>
            <w:tcW w:w="2814" w:type="dxa"/>
          </w:tcPr>
          <w:p w14:paraId="7E06885A" w14:textId="256F489D" w:rsidR="00250DC9" w:rsidRPr="0053510C" w:rsidRDefault="00250DC9" w:rsidP="00250DC9">
            <w:pPr>
              <w:rPr>
                <w:rFonts w:ascii="Arial" w:hAnsi="Arial" w:cs="Arial"/>
              </w:rPr>
            </w:pPr>
            <w:r>
              <w:rPr>
                <w:rFonts w:ascii="Arial" w:hAnsi="Arial" w:cs="Arial"/>
              </w:rPr>
              <w:t>Model assumptions</w:t>
            </w:r>
          </w:p>
        </w:tc>
        <w:tc>
          <w:tcPr>
            <w:tcW w:w="3754" w:type="dxa"/>
          </w:tcPr>
          <w:p w14:paraId="3941807C" w14:textId="01754813" w:rsidR="00250DC9" w:rsidRDefault="00250DC9" w:rsidP="00250DC9">
            <w:pPr>
              <w:rPr>
                <w:rFonts w:ascii="Arial" w:hAnsi="Arial" w:cs="Arial"/>
              </w:rPr>
            </w:pPr>
            <w:r>
              <w:rPr>
                <w:rFonts w:ascii="Arial" w:hAnsi="Arial" w:cs="Arial"/>
              </w:rPr>
              <w:t xml:space="preserve">Key issue 18: Are the estimates of the proportion of patients in the empiric setting correctly identified as having the suspected resistant pathogen likely to be accurate, or under/over-estimated?  </w:t>
            </w:r>
          </w:p>
          <w:p w14:paraId="5BA9CEA4" w14:textId="2176CB2D" w:rsidR="00250DC9" w:rsidRPr="0053510C" w:rsidRDefault="00250DC9" w:rsidP="00250DC9">
            <w:pPr>
              <w:rPr>
                <w:rFonts w:ascii="Arial" w:hAnsi="Arial" w:cs="Arial"/>
              </w:rPr>
            </w:pPr>
          </w:p>
        </w:tc>
        <w:tc>
          <w:tcPr>
            <w:tcW w:w="3752" w:type="dxa"/>
          </w:tcPr>
          <w:p w14:paraId="6CA810FE" w14:textId="174B793B" w:rsidR="00250DC9" w:rsidRDefault="00250DC9" w:rsidP="00250DC9">
            <w:pPr>
              <w:rPr>
                <w:rFonts w:ascii="Arial" w:hAnsi="Arial" w:cs="Arial"/>
              </w:rPr>
            </w:pPr>
            <w:r>
              <w:rPr>
                <w:rFonts w:ascii="Arial" w:hAnsi="Arial" w:cs="Arial"/>
              </w:rPr>
              <w:t xml:space="preserve">That there is ‘captured uncertainty’. </w:t>
            </w:r>
          </w:p>
          <w:p w14:paraId="06A0D145" w14:textId="77777777" w:rsidR="00250DC9" w:rsidRDefault="00250DC9" w:rsidP="00250DC9">
            <w:pPr>
              <w:rPr>
                <w:rFonts w:ascii="Arial" w:hAnsi="Arial" w:cs="Arial"/>
              </w:rPr>
            </w:pPr>
          </w:p>
          <w:p w14:paraId="1C6963CA" w14:textId="6227F887" w:rsidR="00250DC9" w:rsidRPr="0053510C" w:rsidRDefault="00250DC9" w:rsidP="00250DC9">
            <w:pPr>
              <w:rPr>
                <w:rFonts w:ascii="Arial" w:hAnsi="Arial" w:cs="Arial"/>
              </w:rPr>
            </w:pPr>
          </w:p>
        </w:tc>
        <w:tc>
          <w:tcPr>
            <w:tcW w:w="3860" w:type="dxa"/>
          </w:tcPr>
          <w:p w14:paraId="1225F9AD" w14:textId="32764CF4" w:rsidR="00250DC9" w:rsidRPr="0053510C" w:rsidRDefault="00250DC9" w:rsidP="00250DC9">
            <w:pPr>
              <w:rPr>
                <w:rFonts w:ascii="Arial" w:hAnsi="Arial" w:cs="Arial"/>
              </w:rPr>
            </w:pPr>
            <w:r w:rsidRPr="0045029D">
              <w:rPr>
                <w:rFonts w:ascii="Arial" w:hAnsi="Arial" w:cs="Arial"/>
              </w:rPr>
              <w:t>Quantitative estimate of overall incremental value expressed as a range</w:t>
            </w:r>
            <w:r>
              <w:rPr>
                <w:rFonts w:ascii="Arial" w:hAnsi="Arial" w:cs="Arial"/>
              </w:rPr>
              <w:t>, to capture uncertainty.</w:t>
            </w:r>
          </w:p>
        </w:tc>
      </w:tr>
      <w:tr w:rsidR="00250DC9" w14:paraId="707D8DDB" w14:textId="77777777" w:rsidTr="003940BE">
        <w:trPr>
          <w:trHeight w:val="262"/>
        </w:trPr>
        <w:tc>
          <w:tcPr>
            <w:tcW w:w="2814" w:type="dxa"/>
          </w:tcPr>
          <w:p w14:paraId="4A27C1B3" w14:textId="616678F7" w:rsidR="00250DC9" w:rsidRDefault="00250DC9" w:rsidP="00250DC9">
            <w:pPr>
              <w:rPr>
                <w:rFonts w:ascii="Arial" w:hAnsi="Arial" w:cs="Arial"/>
              </w:rPr>
            </w:pPr>
            <w:r>
              <w:rPr>
                <w:rFonts w:ascii="Arial" w:hAnsi="Arial" w:cs="Arial"/>
              </w:rPr>
              <w:t>Research recommendations</w:t>
            </w:r>
          </w:p>
        </w:tc>
        <w:tc>
          <w:tcPr>
            <w:tcW w:w="3754" w:type="dxa"/>
          </w:tcPr>
          <w:p w14:paraId="723EBE66" w14:textId="0B5AAE9D" w:rsidR="00250DC9" w:rsidRDefault="00250DC9" w:rsidP="00250DC9">
            <w:pPr>
              <w:rPr>
                <w:rFonts w:ascii="Arial" w:hAnsi="Arial" w:cs="Arial"/>
              </w:rPr>
            </w:pPr>
            <w:r>
              <w:rPr>
                <w:rFonts w:ascii="Arial" w:hAnsi="Arial" w:cs="Arial"/>
              </w:rPr>
              <w:t>Key issue 19: Could further data collection help to reduce areas of uncertainty in the QALY estimates.</w:t>
            </w:r>
          </w:p>
        </w:tc>
        <w:tc>
          <w:tcPr>
            <w:tcW w:w="3752" w:type="dxa"/>
          </w:tcPr>
          <w:p w14:paraId="6C1B4F1B" w14:textId="7A839BFC" w:rsidR="00250DC9" w:rsidRDefault="00250DC9" w:rsidP="00250DC9">
            <w:pPr>
              <w:rPr>
                <w:rStyle w:val="CommentReference"/>
                <w:rFonts w:ascii="Times New Roman" w:eastAsia="Times New Roman" w:hAnsi="Times New Roman"/>
                <w:lang w:eastAsia="en-GB"/>
              </w:rPr>
            </w:pPr>
            <w:r>
              <w:rPr>
                <w:rFonts w:ascii="Arial" w:hAnsi="Arial" w:cs="Arial"/>
              </w:rPr>
              <w:t>R</w:t>
            </w:r>
            <w:r w:rsidRPr="00B95137">
              <w:rPr>
                <w:rFonts w:ascii="Arial" w:hAnsi="Arial" w:cs="Arial"/>
              </w:rPr>
              <w:t xml:space="preserve">ecommendations for </w:t>
            </w:r>
            <w:r>
              <w:rPr>
                <w:rFonts w:ascii="Arial" w:hAnsi="Arial" w:cs="Arial"/>
              </w:rPr>
              <w:t>further data collection.</w:t>
            </w:r>
          </w:p>
        </w:tc>
        <w:tc>
          <w:tcPr>
            <w:tcW w:w="3860" w:type="dxa"/>
          </w:tcPr>
          <w:p w14:paraId="6EB6A8FB" w14:textId="7817AD85" w:rsidR="00250DC9" w:rsidRDefault="00250DC9" w:rsidP="00250DC9">
            <w:pPr>
              <w:rPr>
                <w:rFonts w:ascii="Arial" w:hAnsi="Arial" w:cs="Arial"/>
              </w:rPr>
            </w:pPr>
            <w:r>
              <w:rPr>
                <w:rFonts w:ascii="Arial" w:hAnsi="Arial" w:cs="Arial"/>
              </w:rPr>
              <w:t>Narrative recommendations.</w:t>
            </w:r>
          </w:p>
        </w:tc>
      </w:tr>
      <w:tr w:rsidR="00250DC9" w14:paraId="5B8A0DAF" w14:textId="77777777" w:rsidTr="003940BE">
        <w:trPr>
          <w:trHeight w:val="262"/>
        </w:trPr>
        <w:tc>
          <w:tcPr>
            <w:tcW w:w="2814" w:type="dxa"/>
          </w:tcPr>
          <w:p w14:paraId="7A8237DA" w14:textId="65294FFD" w:rsidR="00250DC9" w:rsidRDefault="00250DC9" w:rsidP="00250DC9">
            <w:pPr>
              <w:rPr>
                <w:rFonts w:ascii="Arial" w:hAnsi="Arial" w:cs="Arial"/>
              </w:rPr>
            </w:pPr>
            <w:r>
              <w:rPr>
                <w:rFonts w:ascii="Arial" w:hAnsi="Arial" w:cs="Arial"/>
              </w:rPr>
              <w:lastRenderedPageBreak/>
              <w:t>Comparators</w:t>
            </w:r>
          </w:p>
        </w:tc>
        <w:tc>
          <w:tcPr>
            <w:tcW w:w="3754" w:type="dxa"/>
          </w:tcPr>
          <w:p w14:paraId="70A5AF63" w14:textId="0568FBF5" w:rsidR="00250DC9" w:rsidRDefault="00250DC9" w:rsidP="00250DC9">
            <w:pPr>
              <w:rPr>
                <w:rFonts w:ascii="Arial" w:hAnsi="Arial" w:cs="Arial"/>
              </w:rPr>
            </w:pPr>
            <w:r>
              <w:rPr>
                <w:rFonts w:ascii="Arial" w:hAnsi="Arial" w:cs="Arial"/>
              </w:rPr>
              <w:t>Key issue 20: Do the comparators reflect NHS practice?</w:t>
            </w:r>
          </w:p>
        </w:tc>
        <w:tc>
          <w:tcPr>
            <w:tcW w:w="3752" w:type="dxa"/>
          </w:tcPr>
          <w:p w14:paraId="1F465949" w14:textId="030A3219" w:rsidR="00250DC9" w:rsidRDefault="00250DC9" w:rsidP="00250DC9">
            <w:pPr>
              <w:rPr>
                <w:rFonts w:ascii="Arial" w:hAnsi="Arial" w:cs="Arial"/>
              </w:rPr>
            </w:pPr>
            <w:r>
              <w:rPr>
                <w:rFonts w:ascii="Arial" w:hAnsi="Arial" w:cs="Arial"/>
              </w:rPr>
              <w:t>Recommendations on how the antimicrobial should be used.</w:t>
            </w:r>
          </w:p>
        </w:tc>
        <w:tc>
          <w:tcPr>
            <w:tcW w:w="3860" w:type="dxa"/>
          </w:tcPr>
          <w:p w14:paraId="68DC03C8" w14:textId="6A7B9BB9" w:rsidR="00250DC9" w:rsidRDefault="00250DC9" w:rsidP="00250DC9">
            <w:pPr>
              <w:rPr>
                <w:rFonts w:ascii="Arial" w:hAnsi="Arial" w:cs="Arial"/>
              </w:rPr>
            </w:pPr>
            <w:r>
              <w:rPr>
                <w:rFonts w:ascii="Arial" w:hAnsi="Arial" w:cs="Arial"/>
              </w:rPr>
              <w:t>Identification of any inappropriate or important missing comparators. Narrative output only.</w:t>
            </w:r>
          </w:p>
        </w:tc>
      </w:tr>
      <w:tr w:rsidR="00250DC9" w14:paraId="2F446C37" w14:textId="77777777" w:rsidTr="003940BE">
        <w:trPr>
          <w:trHeight w:val="262"/>
        </w:trPr>
        <w:tc>
          <w:tcPr>
            <w:tcW w:w="2814" w:type="dxa"/>
          </w:tcPr>
          <w:p w14:paraId="6E8E0F2E" w14:textId="596102EB" w:rsidR="00250DC9" w:rsidRDefault="00250DC9" w:rsidP="00250DC9">
            <w:pPr>
              <w:rPr>
                <w:rFonts w:ascii="Arial" w:hAnsi="Arial" w:cs="Arial"/>
              </w:rPr>
            </w:pPr>
            <w:r>
              <w:rPr>
                <w:rFonts w:ascii="Arial" w:hAnsi="Arial" w:cs="Arial"/>
              </w:rPr>
              <w:t>Contract value</w:t>
            </w:r>
          </w:p>
        </w:tc>
        <w:tc>
          <w:tcPr>
            <w:tcW w:w="3754" w:type="dxa"/>
          </w:tcPr>
          <w:p w14:paraId="5AE94BC6" w14:textId="2796A608" w:rsidR="00250DC9" w:rsidRDefault="00250DC9" w:rsidP="00250DC9">
            <w:pPr>
              <w:rPr>
                <w:rFonts w:ascii="Arial" w:hAnsi="Arial" w:cs="Arial"/>
              </w:rPr>
            </w:pPr>
            <w:r>
              <w:rPr>
                <w:rFonts w:ascii="Arial" w:hAnsi="Arial" w:cs="Arial"/>
                <w:b/>
                <w:bCs/>
              </w:rPr>
              <w:t>Key issue 21: What proportion of the drug’s total value over the 20-year modelled time horizon should be assigned to the potential 10-year contract period.</w:t>
            </w:r>
          </w:p>
        </w:tc>
        <w:tc>
          <w:tcPr>
            <w:tcW w:w="3752" w:type="dxa"/>
          </w:tcPr>
          <w:p w14:paraId="430CD2B5" w14:textId="36B7DB41" w:rsidR="00250DC9" w:rsidRDefault="00250DC9" w:rsidP="00250DC9">
            <w:pPr>
              <w:rPr>
                <w:rFonts w:ascii="Arial" w:hAnsi="Arial" w:cs="Arial"/>
              </w:rPr>
            </w:pPr>
            <w:r>
              <w:rPr>
                <w:rFonts w:ascii="Arial" w:hAnsi="Arial" w:cs="Arial"/>
              </w:rPr>
              <w:t>Consideration of policy aims.</w:t>
            </w:r>
          </w:p>
        </w:tc>
        <w:tc>
          <w:tcPr>
            <w:tcW w:w="3860" w:type="dxa"/>
          </w:tcPr>
          <w:p w14:paraId="46631B37" w14:textId="77777777" w:rsidR="00250DC9" w:rsidRDefault="00250DC9" w:rsidP="00250DC9">
            <w:pPr>
              <w:rPr>
                <w:rFonts w:ascii="Arial" w:hAnsi="Arial" w:cs="Arial"/>
              </w:rPr>
            </w:pPr>
            <w:r>
              <w:rPr>
                <w:rFonts w:ascii="Arial" w:hAnsi="Arial" w:cs="Arial"/>
              </w:rPr>
              <w:t>Proportion of value that should be assigned to the contract period.</w:t>
            </w:r>
          </w:p>
          <w:p w14:paraId="5DFC332F" w14:textId="77777777" w:rsidR="00250DC9" w:rsidRDefault="00250DC9" w:rsidP="00250DC9">
            <w:pPr>
              <w:rPr>
                <w:rFonts w:ascii="Arial" w:hAnsi="Arial" w:cs="Arial"/>
              </w:rPr>
            </w:pPr>
          </w:p>
        </w:tc>
      </w:tr>
      <w:bookmarkEnd w:id="0"/>
    </w:tbl>
    <w:p w14:paraId="0B438E1A" w14:textId="77777777" w:rsidR="0053510C" w:rsidRDefault="0053510C" w:rsidP="00892FF5">
      <w:pPr>
        <w:pStyle w:val="Paragraphnonumbers"/>
        <w:sectPr w:rsidR="0053510C" w:rsidSect="0053510C">
          <w:footerReference w:type="default" r:id="rId8"/>
          <w:pgSz w:w="16838" w:h="11906" w:orient="landscape"/>
          <w:pgMar w:top="1440" w:right="1440" w:bottom="1440" w:left="1440" w:header="708" w:footer="708" w:gutter="0"/>
          <w:cols w:space="708"/>
          <w:docGrid w:linePitch="360"/>
        </w:sectPr>
      </w:pPr>
    </w:p>
    <w:p w14:paraId="1D117F0A" w14:textId="77777777" w:rsidR="00BA2479" w:rsidRPr="00C94971" w:rsidRDefault="00BA2479" w:rsidP="00BA2479">
      <w:pPr>
        <w:pStyle w:val="Heading1"/>
      </w:pPr>
      <w:r>
        <w:lastRenderedPageBreak/>
        <w:t>Potential u</w:t>
      </w:r>
      <w:r w:rsidRPr="00C94971">
        <w:t>ncaptured value: missing patient groups and uncertainty in population size</w:t>
      </w:r>
    </w:p>
    <w:p w14:paraId="434359EE" w14:textId="69F0F7DC" w:rsidR="00BA2479" w:rsidRPr="00C94971" w:rsidRDefault="003618B7" w:rsidP="00BA2479">
      <w:pPr>
        <w:pStyle w:val="Paragraph"/>
      </w:pPr>
      <w:r>
        <w:rPr>
          <w:b/>
          <w:bCs/>
        </w:rPr>
        <w:t xml:space="preserve">High priority: </w:t>
      </w:r>
      <w:r w:rsidR="00BA2479" w:rsidRPr="00C94971">
        <w:t xml:space="preserve">Are there groups of patients which have been excluded from the analysis, who are likely to benefit from the intervention compared with current treatment options? </w:t>
      </w:r>
    </w:p>
    <w:p w14:paraId="09DDDB40" w14:textId="042684AE" w:rsidR="00BA2479" w:rsidRPr="00C94971" w:rsidRDefault="00BA2479" w:rsidP="00BA2479">
      <w:pPr>
        <w:pStyle w:val="Paragraphnonumbers"/>
        <w:numPr>
          <w:ilvl w:val="1"/>
          <w:numId w:val="3"/>
        </w:numPr>
      </w:pPr>
      <w:r w:rsidRPr="00C94971">
        <w:rPr>
          <w:b/>
          <w:bCs/>
        </w:rPr>
        <w:t xml:space="preserve">Context: </w:t>
      </w:r>
      <w:r w:rsidRPr="00C94971">
        <w:t xml:space="preserve">EEPRU noted that there may be areas of wider usage not reflected in </w:t>
      </w:r>
      <w:r>
        <w:t>its analysis</w:t>
      </w:r>
      <w:r w:rsidRPr="00C94971">
        <w:t xml:space="preserve">. </w:t>
      </w:r>
      <w:r w:rsidR="00A359A3">
        <w:t xml:space="preserve">This has also been noted </w:t>
      </w:r>
      <w:r w:rsidR="00C87663">
        <w:t xml:space="preserve">in </w:t>
      </w:r>
      <w:r w:rsidR="00A359A3">
        <w:t>the manufacturers</w:t>
      </w:r>
      <w:r w:rsidR="00967AD4">
        <w:t>’</w:t>
      </w:r>
      <w:r w:rsidR="00A359A3">
        <w:t xml:space="preserve"> consultation comments</w:t>
      </w:r>
      <w:r w:rsidR="00C20DC8">
        <w:t>.</w:t>
      </w:r>
      <w:r w:rsidR="00290D0E">
        <w:t xml:space="preserve"> </w:t>
      </w:r>
      <w:r w:rsidR="006548DB">
        <w:t xml:space="preserve">Shionogi note that a number of other MBL pathogens are relevant to the assessment (eg </w:t>
      </w:r>
      <w:r w:rsidR="006548DB" w:rsidRPr="006548DB">
        <w:rPr>
          <w:i/>
          <w:iCs/>
        </w:rPr>
        <w:t>Acinetobacter</w:t>
      </w:r>
      <w:r w:rsidR="006548DB" w:rsidRPr="006548DB">
        <w:t xml:space="preserve">, </w:t>
      </w:r>
      <w:r w:rsidR="006548DB" w:rsidRPr="006548DB">
        <w:rPr>
          <w:i/>
          <w:iCs/>
        </w:rPr>
        <w:t>Serratia</w:t>
      </w:r>
      <w:r w:rsidR="006548DB" w:rsidRPr="006548DB">
        <w:t xml:space="preserve">, </w:t>
      </w:r>
      <w:r w:rsidR="006548DB" w:rsidRPr="006548DB">
        <w:rPr>
          <w:i/>
          <w:iCs/>
        </w:rPr>
        <w:t>Burkholderia</w:t>
      </w:r>
      <w:r w:rsidR="00BB3E38">
        <w:rPr>
          <w:i/>
          <w:iCs/>
        </w:rPr>
        <w:t>,</w:t>
      </w:r>
      <w:r w:rsidR="006548DB">
        <w:t xml:space="preserve"> </w:t>
      </w:r>
      <w:r w:rsidR="00BB3E38" w:rsidRPr="0021457F">
        <w:rPr>
          <w:rFonts w:eastAsia="Arial" w:cs="Arial"/>
          <w:i/>
          <w:iCs/>
        </w:rPr>
        <w:t>Serratia, Burkholderia, Proteus, Providencia, Morganella</w:t>
      </w:r>
      <w:r w:rsidR="00BB3E38">
        <w:rPr>
          <w:rFonts w:eastAsia="Arial" w:cs="Arial"/>
        </w:rPr>
        <w:t xml:space="preserve"> and </w:t>
      </w:r>
      <w:r w:rsidR="00BB3E38" w:rsidRPr="0021457F">
        <w:rPr>
          <w:rFonts w:eastAsia="Arial" w:cs="Arial"/>
          <w:i/>
          <w:iCs/>
        </w:rPr>
        <w:t>Achromobacter</w:t>
      </w:r>
      <w:r w:rsidR="006548DB">
        <w:t>)</w:t>
      </w:r>
      <w:r w:rsidR="00290D0E">
        <w:t xml:space="preserve">. </w:t>
      </w:r>
      <w:r w:rsidR="00BB3E38">
        <w:t xml:space="preserve">They suggest other infection sites should be included, noting that </w:t>
      </w:r>
      <w:r w:rsidR="00BB3E38" w:rsidRPr="33104A37">
        <w:rPr>
          <w:rFonts w:eastAsia="Arial" w:cs="Arial"/>
        </w:rPr>
        <w:t>15% of the early use of cefiderocol has been in bone &amp; joint infections</w:t>
      </w:r>
      <w:r w:rsidR="00BB3E38">
        <w:rPr>
          <w:rFonts w:eastAsia="Arial" w:cs="Arial"/>
        </w:rPr>
        <w:t>.</w:t>
      </w:r>
      <w:r w:rsidR="00C20DC8">
        <w:rPr>
          <w:rFonts w:eastAsia="Arial" w:cs="Arial"/>
        </w:rPr>
        <w:t xml:space="preserve"> Shionogi also disagreed with EEPRU’s </w:t>
      </w:r>
      <w:r w:rsidR="00425A01">
        <w:rPr>
          <w:rFonts w:eastAsia="Arial" w:cs="Arial"/>
        </w:rPr>
        <w:t xml:space="preserve">assumption that 85% of </w:t>
      </w:r>
      <w:r w:rsidR="0031217B" w:rsidRPr="0031217B">
        <w:rPr>
          <w:rFonts w:eastAsia="Arial" w:cs="Arial"/>
          <w:i/>
          <w:iCs/>
        </w:rPr>
        <w:t>Stenotrophomas</w:t>
      </w:r>
      <w:r w:rsidR="0031217B" w:rsidRPr="0031217B">
        <w:rPr>
          <w:rFonts w:eastAsia="Arial" w:cs="Arial"/>
        </w:rPr>
        <w:t xml:space="preserve"> </w:t>
      </w:r>
      <w:r w:rsidR="0031217B">
        <w:rPr>
          <w:rFonts w:eastAsia="Arial" w:cs="Arial"/>
        </w:rPr>
        <w:t xml:space="preserve">infections would not be eligible to receive cefiderocol. </w:t>
      </w:r>
      <w:r w:rsidR="00C87663">
        <w:t>EEPRU consider the main areas of additional usage are</w:t>
      </w:r>
      <w:r w:rsidR="00C87663" w:rsidRPr="00C94971">
        <w:t xml:space="preserve"> </w:t>
      </w:r>
      <w:r w:rsidR="00C87663">
        <w:t xml:space="preserve">in </w:t>
      </w:r>
      <w:r w:rsidRPr="00C94971">
        <w:t>people with cystic fibrosis, compromised immune systems (e.g., haematology, transplant), burn injuries, and renal complications.</w:t>
      </w:r>
      <w:r>
        <w:t xml:space="preserve"> EEPRU n</w:t>
      </w:r>
      <w:r w:rsidRPr="00C94971">
        <w:t>ote</w:t>
      </w:r>
      <w:r>
        <w:t>d</w:t>
      </w:r>
      <w:r w:rsidRPr="00C94971">
        <w:t xml:space="preserve"> </w:t>
      </w:r>
      <w:r>
        <w:t>that i</w:t>
      </w:r>
      <w:r w:rsidRPr="005435A2">
        <w:t xml:space="preserve">nfections in these patient groups </w:t>
      </w:r>
      <w:r>
        <w:t xml:space="preserve">have been </w:t>
      </w:r>
      <w:r w:rsidRPr="005435A2">
        <w:t>reflected</w:t>
      </w:r>
      <w:r w:rsidR="002F4FDC">
        <w:t xml:space="preserve"> in their analysis</w:t>
      </w:r>
      <w:r w:rsidRPr="005435A2">
        <w:t xml:space="preserve"> to the extent that they are caused by the </w:t>
      </w:r>
      <w:r>
        <w:t xml:space="preserve">pathogens and infection sites </w:t>
      </w:r>
      <w:r w:rsidRPr="005435A2">
        <w:t>modelled (HAP/VAP, cUTI, IAI and BSI</w:t>
      </w:r>
      <w:r>
        <w:t xml:space="preserve"> caused by </w:t>
      </w:r>
      <w:r w:rsidR="006548DB">
        <w:t>MBL</w:t>
      </w:r>
      <w:r w:rsidR="00425A01">
        <w:t>-producing</w:t>
      </w:r>
      <w:r w:rsidRPr="005435A2">
        <w:t xml:space="preserve"> </w:t>
      </w:r>
      <w:r w:rsidRPr="006548DB">
        <w:rPr>
          <w:i/>
          <w:iCs/>
        </w:rPr>
        <w:t>Enterobacterales</w:t>
      </w:r>
      <w:r w:rsidR="00425A01">
        <w:t xml:space="preserve">, </w:t>
      </w:r>
      <w:r w:rsidR="006548DB" w:rsidRPr="006548DB">
        <w:rPr>
          <w:i/>
          <w:iCs/>
        </w:rPr>
        <w:t>Pseudomonas aeruginosa</w:t>
      </w:r>
      <w:r w:rsidR="00425A01">
        <w:rPr>
          <w:i/>
          <w:iCs/>
        </w:rPr>
        <w:t xml:space="preserve"> </w:t>
      </w:r>
      <w:r w:rsidR="00425A01" w:rsidRPr="0031217B">
        <w:rPr>
          <w:i/>
          <w:iCs/>
        </w:rPr>
        <w:t>and</w:t>
      </w:r>
      <w:r w:rsidR="00425A01">
        <w:rPr>
          <w:i/>
          <w:iCs/>
        </w:rPr>
        <w:t xml:space="preserve"> </w:t>
      </w:r>
      <w:r w:rsidR="00425A01" w:rsidRPr="00425A01">
        <w:rPr>
          <w:i/>
          <w:iCs/>
        </w:rPr>
        <w:t>Stenotrophomas</w:t>
      </w:r>
      <w:r w:rsidRPr="005435A2">
        <w:t xml:space="preserve">). The question is, therefore, whether there are infections within these patient groups caused by different pathogens and/or presenting at different sites where </w:t>
      </w:r>
      <w:r w:rsidR="006548DB">
        <w:t>cefiderocol</w:t>
      </w:r>
      <w:r>
        <w:t xml:space="preserve"> </w:t>
      </w:r>
      <w:r w:rsidRPr="005435A2">
        <w:t>offer</w:t>
      </w:r>
      <w:r>
        <w:t>s</w:t>
      </w:r>
      <w:r w:rsidRPr="005435A2">
        <w:t xml:space="preserve"> health benefits over existing therapies</w:t>
      </w:r>
      <w:r>
        <w:t>. Note also</w:t>
      </w:r>
      <w:r w:rsidRPr="005435A2">
        <w:t xml:space="preserve"> </w:t>
      </w:r>
      <w:r w:rsidRPr="00C94971">
        <w:t>that the proportion of patients not captured may differ depending on whether the PHE or clinical adviser classification of samples is use</w:t>
      </w:r>
      <w:r>
        <w:t>d</w:t>
      </w:r>
      <w:r w:rsidRPr="00C94971">
        <w:t xml:space="preserve">. </w:t>
      </w:r>
      <w:r w:rsidR="00B73A43" w:rsidRPr="003072CB">
        <w:t>EEPRU is currently working on additional analysis modelling usage in patients for whom colistin isn’t a treatment option</w:t>
      </w:r>
      <w:r w:rsidR="00055EFA" w:rsidRPr="003072CB">
        <w:t>.</w:t>
      </w:r>
      <w:r w:rsidR="00941617">
        <w:t xml:space="preserve"> There may still be important patient populations who have not been captured in EEPRU’s QALY estimates. </w:t>
      </w:r>
    </w:p>
    <w:p w14:paraId="1F30ED49" w14:textId="46E52E9C" w:rsidR="00BA2479" w:rsidRDefault="00BA2479" w:rsidP="00BA2479">
      <w:pPr>
        <w:pStyle w:val="Paragraphnonumbers"/>
        <w:numPr>
          <w:ilvl w:val="1"/>
          <w:numId w:val="3"/>
        </w:numPr>
      </w:pPr>
      <w:r w:rsidRPr="00C94971">
        <w:rPr>
          <w:b/>
          <w:bCs/>
        </w:rPr>
        <w:t>Why it matters:</w:t>
      </w:r>
      <w:r w:rsidRPr="00C94971">
        <w:t xml:space="preserve"> If patients have been excluded from the analysis the full population incremental net health benefit may not have been captured.</w:t>
      </w:r>
    </w:p>
    <w:p w14:paraId="6139FB26" w14:textId="73C3A781" w:rsidR="00B07D1A" w:rsidRPr="00C94971" w:rsidRDefault="0028235B" w:rsidP="00BA2479">
      <w:pPr>
        <w:pStyle w:val="Paragraphnonumbers"/>
        <w:numPr>
          <w:ilvl w:val="1"/>
          <w:numId w:val="3"/>
        </w:numPr>
      </w:pPr>
      <w:r>
        <w:rPr>
          <w:b/>
          <w:bCs/>
        </w:rPr>
        <w:t xml:space="preserve">Cross-references to committee papers for </w:t>
      </w:r>
      <w:r w:rsidR="00E0307E" w:rsidRPr="00E0307E">
        <w:rPr>
          <w:b/>
          <w:bCs/>
        </w:rPr>
        <w:t>cefiderocol</w:t>
      </w:r>
      <w:r w:rsidR="00B07D1A">
        <w:rPr>
          <w:b/>
          <w:bCs/>
        </w:rPr>
        <w:t xml:space="preserve">: </w:t>
      </w:r>
      <w:r w:rsidR="00B07D1A">
        <w:t xml:space="preserve">The population included in the high value clinical scenarios is described in the Assessment Report, Section </w:t>
      </w:r>
      <w:r w:rsidR="00E0307E">
        <w:t>4.2.4</w:t>
      </w:r>
      <w:r w:rsidR="003C37CD">
        <w:t xml:space="preserve"> and </w:t>
      </w:r>
      <w:r w:rsidR="00E0307E">
        <w:t>8</w:t>
      </w:r>
      <w:r w:rsidR="003C37CD">
        <w:t>.2.1.1</w:t>
      </w:r>
      <w:r w:rsidR="00B07D1A">
        <w:t>. The population included in wider expected usage is descri</w:t>
      </w:r>
      <w:r w:rsidR="003C37CD">
        <w:t>b</w:t>
      </w:r>
      <w:r w:rsidR="00B07D1A">
        <w:t>ed in</w:t>
      </w:r>
      <w:r w:rsidR="003C37CD">
        <w:t xml:space="preserve"> the Assessment Report, Section </w:t>
      </w:r>
      <w:r w:rsidR="00E0307E">
        <w:t>8.2.6.3</w:t>
      </w:r>
      <w:r w:rsidR="003C37CD">
        <w:t>.</w:t>
      </w:r>
    </w:p>
    <w:p w14:paraId="4F0710A0" w14:textId="77777777" w:rsidR="00236C48" w:rsidRPr="00C94971" w:rsidRDefault="00236C48" w:rsidP="00236C48">
      <w:pPr>
        <w:pStyle w:val="Heading1"/>
      </w:pPr>
      <w:r>
        <w:t>Potential u</w:t>
      </w:r>
      <w:r w:rsidRPr="00C94971">
        <w:t xml:space="preserve">ncaptured value: incremental benefits in populations outside </w:t>
      </w:r>
      <w:r>
        <w:t>high value clinical scenarios</w:t>
      </w:r>
    </w:p>
    <w:p w14:paraId="5D15B38C" w14:textId="016131C1" w:rsidR="00236C48" w:rsidRPr="00C94971" w:rsidRDefault="00236C48" w:rsidP="00236C48">
      <w:pPr>
        <w:pStyle w:val="Paragraph"/>
      </w:pPr>
      <w:r w:rsidRPr="00C94971">
        <w:t xml:space="preserve"> </w:t>
      </w:r>
      <w:r w:rsidR="003618B7">
        <w:rPr>
          <w:b/>
          <w:bCs/>
        </w:rPr>
        <w:t xml:space="preserve">High priority: </w:t>
      </w:r>
      <w:r w:rsidRPr="00C94971">
        <w:t xml:space="preserve">Is the magnitude of incremental health benefit in the high value clinical scenarios generalisable to wider expected usage? </w:t>
      </w:r>
    </w:p>
    <w:p w14:paraId="2495F181" w14:textId="33FDFE0B" w:rsidR="00236C48" w:rsidRPr="00C94971" w:rsidRDefault="00236C48" w:rsidP="00236C48">
      <w:pPr>
        <w:pStyle w:val="Paragraphnonumbers"/>
        <w:numPr>
          <w:ilvl w:val="1"/>
          <w:numId w:val="3"/>
        </w:numPr>
      </w:pPr>
      <w:r w:rsidRPr="00C94971">
        <w:rPr>
          <w:b/>
          <w:bCs/>
        </w:rPr>
        <w:t xml:space="preserve">Context: </w:t>
      </w:r>
      <w:r w:rsidRPr="00040DAC">
        <w:t xml:space="preserve">Estimating the </w:t>
      </w:r>
      <w:r>
        <w:t xml:space="preserve">benefit of </w:t>
      </w:r>
      <w:r w:rsidR="005778DB" w:rsidRPr="005778DB">
        <w:t>cefiderocol</w:t>
      </w:r>
      <w:r>
        <w:t xml:space="preserve">across its full </w:t>
      </w:r>
      <w:r w:rsidRPr="00C94971">
        <w:t xml:space="preserve">expected usage relies on the assumption that </w:t>
      </w:r>
      <w:r>
        <w:t>incremental net health benefits</w:t>
      </w:r>
      <w:r w:rsidRPr="00C94971">
        <w:t xml:space="preserve"> </w:t>
      </w:r>
      <w:r>
        <w:t xml:space="preserve">(QALY gains) </w:t>
      </w:r>
      <w:r w:rsidRPr="00C94971">
        <w:lastRenderedPageBreak/>
        <w:t>are the same in the additional populations</w:t>
      </w:r>
      <w:r>
        <w:t xml:space="preserve">, which weren’t included in the patient level model, </w:t>
      </w:r>
      <w:r w:rsidRPr="00C94971">
        <w:t xml:space="preserve">as in the </w:t>
      </w:r>
      <w:r>
        <w:t>high value clinical scenarios</w:t>
      </w:r>
      <w:r w:rsidRPr="00C94971">
        <w:t>.</w:t>
      </w:r>
      <w:r w:rsidR="00B73A43">
        <w:t xml:space="preserve"> </w:t>
      </w:r>
    </w:p>
    <w:p w14:paraId="275EAE11" w14:textId="353372CA" w:rsidR="00236C48" w:rsidRDefault="00236C48" w:rsidP="00236C48">
      <w:pPr>
        <w:pStyle w:val="Paragraphnonumbers"/>
        <w:numPr>
          <w:ilvl w:val="1"/>
          <w:numId w:val="3"/>
        </w:numPr>
      </w:pPr>
      <w:r w:rsidRPr="00C94971">
        <w:rPr>
          <w:b/>
          <w:bCs/>
        </w:rPr>
        <w:t>Why it matters:</w:t>
      </w:r>
      <w:r w:rsidRPr="00C94971">
        <w:t xml:space="preserve"> This is a strong assumption</w:t>
      </w:r>
      <w:r w:rsidR="00D049FF">
        <w:t>.</w:t>
      </w:r>
      <w:r w:rsidRPr="00C94971">
        <w:t xml:space="preserve"> </w:t>
      </w:r>
      <w:r w:rsidR="00055EFA" w:rsidRPr="003072CB">
        <w:t>Committee will need to consider whether (on average) the QALY gains for patients in the wider expected usage or excluded populations are the same, larger or smaller than in the high value clinical scenarios.</w:t>
      </w:r>
      <w:r w:rsidR="00055EFA">
        <w:t xml:space="preserve"> </w:t>
      </w:r>
    </w:p>
    <w:p w14:paraId="11C77080" w14:textId="6E90FC2C" w:rsidR="003C37CD" w:rsidRDefault="0028235B" w:rsidP="003C37CD">
      <w:pPr>
        <w:pStyle w:val="Paragraphnonumbers"/>
        <w:numPr>
          <w:ilvl w:val="1"/>
          <w:numId w:val="3"/>
        </w:numPr>
      </w:pPr>
      <w:r>
        <w:rPr>
          <w:b/>
          <w:bCs/>
        </w:rPr>
        <w:t xml:space="preserve">Cross-references to committee papers for </w:t>
      </w:r>
      <w:r w:rsidR="005778DB" w:rsidRPr="005778DB">
        <w:rPr>
          <w:b/>
          <w:bCs/>
        </w:rPr>
        <w:t>cefiderocol</w:t>
      </w:r>
      <w:r w:rsidR="003C37CD">
        <w:rPr>
          <w:b/>
          <w:bCs/>
        </w:rPr>
        <w:t xml:space="preserve">: </w:t>
      </w:r>
      <w:r w:rsidR="003C37CD">
        <w:t xml:space="preserve">Methods for extrapolating results to wider expected usage are described in the Assessment Report, Section </w:t>
      </w:r>
      <w:r w:rsidR="006330E7">
        <w:t>8.2.6</w:t>
      </w:r>
      <w:r w:rsidR="003C37CD">
        <w:t>.</w:t>
      </w:r>
    </w:p>
    <w:p w14:paraId="6951E02B" w14:textId="38E81111" w:rsidR="001B2DE2" w:rsidRPr="00C94971" w:rsidRDefault="001B2DE2" w:rsidP="001B2DE2">
      <w:pPr>
        <w:pStyle w:val="Heading1"/>
      </w:pPr>
      <w:r>
        <w:t xml:space="preserve">Potential uncaptured value: </w:t>
      </w:r>
      <w:r w:rsidR="00713592">
        <w:t>additional attributes of value (</w:t>
      </w:r>
      <w:r>
        <w:t>‘STEDI’ values</w:t>
      </w:r>
      <w:r w:rsidR="00713592">
        <w:t>)</w:t>
      </w:r>
    </w:p>
    <w:p w14:paraId="3A0BC669" w14:textId="5E005F83" w:rsidR="00B740BD" w:rsidRPr="00C94971" w:rsidRDefault="00A535FF" w:rsidP="00A535FF">
      <w:pPr>
        <w:pStyle w:val="Paragraph"/>
        <w:numPr>
          <w:ilvl w:val="0"/>
          <w:numId w:val="0"/>
        </w:numPr>
        <w:ind w:left="360"/>
      </w:pPr>
      <w:r>
        <w:rPr>
          <w:b/>
          <w:bCs/>
        </w:rPr>
        <w:t xml:space="preserve">Context and why it matters: </w:t>
      </w:r>
      <w:r w:rsidR="001B2DE2">
        <w:t>Key issues 3-</w:t>
      </w:r>
      <w:r w:rsidR="006C6ED8">
        <w:t>9</w:t>
      </w:r>
      <w:r w:rsidR="001B2DE2">
        <w:t xml:space="preserve"> cover </w:t>
      </w:r>
      <w:r w:rsidR="001B2DE2">
        <w:rPr>
          <w:rFonts w:cs="Arial"/>
        </w:rPr>
        <w:t xml:space="preserve">additional </w:t>
      </w:r>
      <w:r w:rsidR="00713592">
        <w:rPr>
          <w:rFonts w:cs="Arial"/>
        </w:rPr>
        <w:t xml:space="preserve">attributes </w:t>
      </w:r>
      <w:r w:rsidR="001B2DE2">
        <w:rPr>
          <w:rFonts w:cs="Arial"/>
        </w:rPr>
        <w:t>of value specific to antimicrobials</w:t>
      </w:r>
      <w:r w:rsidR="00713592">
        <w:rPr>
          <w:rFonts w:cs="Arial"/>
        </w:rPr>
        <w:t xml:space="preserve"> (the ‘STEDI’ values)</w:t>
      </w:r>
      <w:r w:rsidR="001B2DE2">
        <w:rPr>
          <w:rFonts w:cs="Arial"/>
        </w:rPr>
        <w:t xml:space="preserve">. </w:t>
      </w:r>
      <w:r w:rsidR="001B2DE2" w:rsidRPr="003072CB">
        <w:rPr>
          <w:rFonts w:cs="Arial"/>
        </w:rPr>
        <w:t>Not all the ‘STEDI’ elements of value have been fully modelled by EEPRU, either because they weren’t considered to be significant drivers of incremental population benefits, or because there was insufficient evidence or uncertainties in the data</w:t>
      </w:r>
      <w:r w:rsidR="001B2DE2">
        <w:rPr>
          <w:rFonts w:cs="Arial"/>
        </w:rPr>
        <w:t xml:space="preserve">. </w:t>
      </w:r>
      <w:r w:rsidR="005614BD">
        <w:rPr>
          <w:rFonts w:cs="Arial"/>
        </w:rPr>
        <w:t>Because t</w:t>
      </w:r>
      <w:r w:rsidR="005614BD" w:rsidRPr="003072CB">
        <w:rPr>
          <w:rFonts w:cs="Arial"/>
        </w:rPr>
        <w:t xml:space="preserve">he aim of </w:t>
      </w:r>
      <w:r w:rsidR="005614BD">
        <w:rPr>
          <w:rFonts w:cs="Arial"/>
        </w:rPr>
        <w:t>this evaluation</w:t>
      </w:r>
      <w:r w:rsidR="005614BD" w:rsidRPr="003072CB">
        <w:rPr>
          <w:rFonts w:cs="Arial"/>
        </w:rPr>
        <w:t xml:space="preserve"> and delinked payment model is to incentivise the market by recognising the full value of antimicrobials</w:t>
      </w:r>
      <w:r w:rsidR="005614BD">
        <w:rPr>
          <w:rFonts w:cs="Arial"/>
        </w:rPr>
        <w:t xml:space="preserve">, </w:t>
      </w:r>
      <w:r w:rsidR="001B2DE2">
        <w:rPr>
          <w:rFonts w:cs="Arial"/>
        </w:rPr>
        <w:t>it is important for committee to determine whether there is uncaptured value and the likely magnitude of any uncaptured benefits</w:t>
      </w:r>
      <w:r>
        <w:rPr>
          <w:rFonts w:cs="Arial"/>
        </w:rPr>
        <w:t>.</w:t>
      </w:r>
      <w:r w:rsidR="005614BD">
        <w:rPr>
          <w:rFonts w:cs="Arial"/>
        </w:rPr>
        <w:t xml:space="preserve"> </w:t>
      </w:r>
      <w:r w:rsidR="000C6160">
        <w:rPr>
          <w:rFonts w:cs="Arial"/>
        </w:rPr>
        <w:t xml:space="preserve">Consideration of potential uncaptured value </w:t>
      </w:r>
      <w:r w:rsidR="00B740BD">
        <w:rPr>
          <w:rFonts w:cs="Arial"/>
        </w:rPr>
        <w:t xml:space="preserve">should be </w:t>
      </w:r>
      <w:r w:rsidR="00B740BD" w:rsidRPr="003072CB">
        <w:rPr>
          <w:rFonts w:cs="Arial"/>
        </w:rPr>
        <w:t xml:space="preserve">specific to </w:t>
      </w:r>
      <w:r w:rsidR="00B740BD">
        <w:rPr>
          <w:rFonts w:cs="Arial"/>
        </w:rPr>
        <w:t xml:space="preserve">the </w:t>
      </w:r>
      <w:r w:rsidR="000C6160">
        <w:rPr>
          <w:rFonts w:cs="Arial"/>
        </w:rPr>
        <w:t xml:space="preserve">benefits </w:t>
      </w:r>
      <w:r w:rsidR="00B740BD">
        <w:rPr>
          <w:rFonts w:cs="Arial"/>
        </w:rPr>
        <w:t xml:space="preserve">generated by the antimicrobials under evaluation, </w:t>
      </w:r>
      <w:r w:rsidR="00B740BD" w:rsidRPr="003072CB">
        <w:rPr>
          <w:rFonts w:cs="Arial"/>
        </w:rPr>
        <w:t xml:space="preserve">as opposed to how </w:t>
      </w:r>
      <w:r w:rsidR="00B740BD">
        <w:rPr>
          <w:rFonts w:cs="Arial"/>
        </w:rPr>
        <w:t xml:space="preserve">any </w:t>
      </w:r>
      <w:r w:rsidR="00B740BD" w:rsidRPr="003072CB">
        <w:rPr>
          <w:rFonts w:cs="Arial"/>
        </w:rPr>
        <w:t>antimicrobial</w:t>
      </w:r>
      <w:r w:rsidR="00B740BD">
        <w:rPr>
          <w:rFonts w:cs="Arial"/>
        </w:rPr>
        <w:t xml:space="preserve"> could</w:t>
      </w:r>
      <w:r w:rsidR="000C6160">
        <w:rPr>
          <w:rFonts w:cs="Arial"/>
        </w:rPr>
        <w:t>,</w:t>
      </w:r>
      <w:r w:rsidR="00B740BD">
        <w:rPr>
          <w:rFonts w:cs="Arial"/>
        </w:rPr>
        <w:t xml:space="preserve"> in principle</w:t>
      </w:r>
      <w:r w:rsidR="000C6160">
        <w:rPr>
          <w:rFonts w:cs="Arial"/>
        </w:rPr>
        <w:t>,</w:t>
      </w:r>
      <w:r w:rsidR="00B740BD" w:rsidRPr="003072CB">
        <w:rPr>
          <w:rFonts w:cs="Arial"/>
        </w:rPr>
        <w:t xml:space="preserve"> </w:t>
      </w:r>
      <w:r w:rsidR="000C6160">
        <w:rPr>
          <w:rFonts w:cs="Arial"/>
        </w:rPr>
        <w:t xml:space="preserve">provide </w:t>
      </w:r>
      <w:r w:rsidR="00B740BD" w:rsidRPr="003072CB">
        <w:rPr>
          <w:rFonts w:cs="Arial"/>
        </w:rPr>
        <w:t>value</w:t>
      </w:r>
      <w:r w:rsidR="00D36A72">
        <w:rPr>
          <w:rFonts w:cs="Arial"/>
        </w:rPr>
        <w:t>.</w:t>
      </w:r>
    </w:p>
    <w:p w14:paraId="2B95385E" w14:textId="77777777" w:rsidR="006A4487" w:rsidRPr="00C94971" w:rsidRDefault="006A4487" w:rsidP="006A4487">
      <w:pPr>
        <w:pStyle w:val="Heading1"/>
      </w:pPr>
      <w:r>
        <w:t>Potential uncaptured value: insurance value</w:t>
      </w:r>
    </w:p>
    <w:p w14:paraId="16A02F90" w14:textId="5BC5E782" w:rsidR="006A4487" w:rsidRPr="00C94971" w:rsidRDefault="006D0C2A" w:rsidP="006A4487">
      <w:pPr>
        <w:pStyle w:val="Paragraph"/>
        <w:rPr>
          <w:i/>
          <w:iCs/>
        </w:rPr>
      </w:pPr>
      <w:r>
        <w:rPr>
          <w:b/>
          <w:bCs/>
        </w:rPr>
        <w:t xml:space="preserve">High priority: </w:t>
      </w:r>
      <w:r w:rsidR="006A4487" w:rsidRPr="00C94971">
        <w:t>Has insurance value been fully quantified?</w:t>
      </w:r>
    </w:p>
    <w:p w14:paraId="1A4D70BF" w14:textId="41565224" w:rsidR="006A4487" w:rsidRPr="00C94971" w:rsidRDefault="006A4487" w:rsidP="006A4487">
      <w:pPr>
        <w:pStyle w:val="Paragraphnonumbers"/>
        <w:numPr>
          <w:ilvl w:val="1"/>
          <w:numId w:val="3"/>
        </w:numPr>
      </w:pPr>
      <w:r w:rsidRPr="00C94971">
        <w:rPr>
          <w:b/>
          <w:bCs/>
        </w:rPr>
        <w:t xml:space="preserve">Context: </w:t>
      </w:r>
      <w:r w:rsidRPr="00C94971">
        <w:t>Insurance</w:t>
      </w:r>
      <w:r w:rsidRPr="00C94971">
        <w:rPr>
          <w:b/>
          <w:bCs/>
        </w:rPr>
        <w:t xml:space="preserve"> </w:t>
      </w:r>
      <w:r w:rsidRPr="00C94971">
        <w:t>value</w:t>
      </w:r>
      <w:r w:rsidRPr="00C94971">
        <w:rPr>
          <w:b/>
          <w:bCs/>
        </w:rPr>
        <w:t xml:space="preserve"> </w:t>
      </w:r>
      <w:r w:rsidRPr="00C94971">
        <w:t>has been</w:t>
      </w:r>
      <w:r w:rsidRPr="00C94971">
        <w:rPr>
          <w:b/>
          <w:bCs/>
        </w:rPr>
        <w:t xml:space="preserve"> </w:t>
      </w:r>
      <w:r w:rsidRPr="00C94971">
        <w:t>captured in the model by</w:t>
      </w:r>
      <w:r w:rsidRPr="00C94971">
        <w:rPr>
          <w:b/>
          <w:bCs/>
        </w:rPr>
        <w:t xml:space="preserve"> </w:t>
      </w:r>
      <w:r w:rsidRPr="00C94971">
        <w:t xml:space="preserve">reflecting low levels of resistance emergence to </w:t>
      </w:r>
      <w:r w:rsidR="00611242" w:rsidRPr="00611242">
        <w:t>cefiderocol</w:t>
      </w:r>
      <w:r w:rsidRPr="00C94971">
        <w:t xml:space="preserve">and growth in the numbers of infections within the </w:t>
      </w:r>
      <w:r>
        <w:t xml:space="preserve">high value clinical scenarios </w:t>
      </w:r>
      <w:r w:rsidRPr="00C94971">
        <w:t>and other areas of expected usage over 20 years.</w:t>
      </w:r>
      <w:r>
        <w:t xml:space="preserve"> R</w:t>
      </w:r>
      <w:r w:rsidRPr="00C94971">
        <w:t xml:space="preserve">estricting usage </w:t>
      </w:r>
      <w:r>
        <w:t xml:space="preserve">of </w:t>
      </w:r>
      <w:r w:rsidR="00611242" w:rsidRPr="00611242">
        <w:t>cefiderocol</w:t>
      </w:r>
      <w:r w:rsidRPr="00C94971">
        <w:t>preserve</w:t>
      </w:r>
      <w:r>
        <w:t>s its</w:t>
      </w:r>
      <w:r w:rsidRPr="00C94971">
        <w:t xml:space="preserve"> efficacy in the long term, meaning that health benefits accrue in future cohorts of patients</w:t>
      </w:r>
      <w:r>
        <w:t>.</w:t>
      </w:r>
      <w:r w:rsidRPr="00C94971">
        <w:rPr>
          <w:b/>
          <w:bCs/>
        </w:rPr>
        <w:t xml:space="preserve"> </w:t>
      </w:r>
      <w:r w:rsidRPr="00B25CCD">
        <w:t>However, t</w:t>
      </w:r>
      <w:r w:rsidRPr="00C94971">
        <w:t xml:space="preserve">here may be scenarios where insurance value has not been captured. These include: </w:t>
      </w:r>
    </w:p>
    <w:p w14:paraId="27EB032A" w14:textId="68BEC231" w:rsidR="006A4487" w:rsidRDefault="006A4487" w:rsidP="006A4487">
      <w:pPr>
        <w:pStyle w:val="Paragraph"/>
        <w:numPr>
          <w:ilvl w:val="2"/>
          <w:numId w:val="17"/>
        </w:numPr>
      </w:pPr>
      <w:r>
        <w:t xml:space="preserve">Higher levels of resistance to </w:t>
      </w:r>
      <w:r w:rsidR="00D36A72">
        <w:t>existing drugs</w:t>
      </w:r>
      <w:r>
        <w:t xml:space="preserve"> within the areas of expected usage over time</w:t>
      </w:r>
    </w:p>
    <w:p w14:paraId="7DE52970" w14:textId="77777777" w:rsidR="006A4487" w:rsidRPr="00C94971" w:rsidRDefault="006A4487" w:rsidP="006A4487">
      <w:pPr>
        <w:pStyle w:val="Paragraph"/>
        <w:numPr>
          <w:ilvl w:val="2"/>
          <w:numId w:val="17"/>
        </w:numPr>
      </w:pPr>
      <w:r w:rsidRPr="00C94971">
        <w:t xml:space="preserve">The emergence of multi-drug resistant pathogens </w:t>
      </w:r>
      <w:r>
        <w:t xml:space="preserve">against </w:t>
      </w:r>
      <w:r w:rsidRPr="00C94971">
        <w:t>which CAZ-AVI</w:t>
      </w:r>
      <w:r>
        <w:t>/cefiderocol</w:t>
      </w:r>
      <w:r w:rsidRPr="00C94971">
        <w:t xml:space="preserve"> is effective</w:t>
      </w:r>
      <w:r>
        <w:t xml:space="preserve"> that are currently rare or even unknown.</w:t>
      </w:r>
    </w:p>
    <w:p w14:paraId="5B739CF4" w14:textId="77777777" w:rsidR="006A4487" w:rsidRDefault="006A4487" w:rsidP="006A4487">
      <w:pPr>
        <w:pStyle w:val="Paragraph"/>
        <w:numPr>
          <w:ilvl w:val="2"/>
          <w:numId w:val="17"/>
        </w:numPr>
      </w:pPr>
      <w:r w:rsidRPr="00C94971">
        <w:t>Pathogens that are currently treatable with existing therapies becoming resistant to those treatments</w:t>
      </w:r>
      <w:r>
        <w:t>,</w:t>
      </w:r>
      <w:r w:rsidRPr="00C94971">
        <w:t xml:space="preserve"> but </w:t>
      </w:r>
      <w:r>
        <w:t xml:space="preserve">susceptible to </w:t>
      </w:r>
      <w:r w:rsidRPr="00C94971">
        <w:t>CAZ-AVI</w:t>
      </w:r>
      <w:r>
        <w:t>/cefiderocol</w:t>
      </w:r>
      <w:r w:rsidRPr="00C94971">
        <w:t>.</w:t>
      </w:r>
    </w:p>
    <w:p w14:paraId="7D5932CD" w14:textId="37E1270C" w:rsidR="006A4487" w:rsidRDefault="006A4487" w:rsidP="006A4487">
      <w:pPr>
        <w:pStyle w:val="Paragraph"/>
        <w:numPr>
          <w:ilvl w:val="0"/>
          <w:numId w:val="0"/>
        </w:numPr>
        <w:ind w:left="1440" w:hanging="360"/>
      </w:pPr>
      <w:r>
        <w:tab/>
      </w:r>
      <w:r w:rsidR="00611242">
        <w:t xml:space="preserve">In response to committee feedback, </w:t>
      </w:r>
      <w:r w:rsidRPr="002F4FDC">
        <w:t>EEPRU perform</w:t>
      </w:r>
      <w:r w:rsidR="00530EA6">
        <w:t>ed</w:t>
      </w:r>
      <w:r w:rsidRPr="002F4FDC">
        <w:t xml:space="preserve"> additional scenario analyses which model increased resistance to current treatments, including </w:t>
      </w:r>
      <w:r w:rsidRPr="002F4FDC">
        <w:lastRenderedPageBreak/>
        <w:t xml:space="preserve">catastrophic scenarios where high levels of resistance emerge, to estimate QALY gains should such scenarios occur. </w:t>
      </w:r>
    </w:p>
    <w:p w14:paraId="61FECD78" w14:textId="77777777" w:rsidR="006A4487" w:rsidRDefault="006A4487" w:rsidP="006A4487">
      <w:pPr>
        <w:pStyle w:val="Paragraph"/>
        <w:numPr>
          <w:ilvl w:val="0"/>
          <w:numId w:val="0"/>
        </w:numPr>
        <w:ind w:left="1440" w:hanging="360"/>
      </w:pPr>
      <w:r>
        <w:tab/>
        <w:t xml:space="preserve">Note that </w:t>
      </w:r>
      <w:r w:rsidRPr="003754CA">
        <w:t xml:space="preserve">EEPRU’s </w:t>
      </w:r>
      <w:r>
        <w:t xml:space="preserve">analysis </w:t>
      </w:r>
      <w:r w:rsidRPr="003754CA">
        <w:t>assesses the value of a specific</w:t>
      </w:r>
      <w:r>
        <w:t xml:space="preserve">, </w:t>
      </w:r>
      <w:r w:rsidRPr="003754CA">
        <w:t>restrictive stewardship</w:t>
      </w:r>
      <w:r>
        <w:t>,</w:t>
      </w:r>
      <w:r w:rsidRPr="003754CA">
        <w:t xml:space="preserve"> usage scenario. </w:t>
      </w:r>
      <w:r>
        <w:t xml:space="preserve">It does not </w:t>
      </w:r>
      <w:r w:rsidRPr="003754CA">
        <w:t>compare the value of this restrictive scenario with high</w:t>
      </w:r>
      <w:r>
        <w:t>er</w:t>
      </w:r>
      <w:r w:rsidRPr="003754CA">
        <w:t xml:space="preserve"> usage scenarios, because this would have required a </w:t>
      </w:r>
      <w:r>
        <w:t>different</w:t>
      </w:r>
      <w:r w:rsidRPr="003754CA">
        <w:t xml:space="preserve"> model </w:t>
      </w:r>
      <w:r>
        <w:t xml:space="preserve">structure, which includes </w:t>
      </w:r>
      <w:r w:rsidRPr="003754CA">
        <w:t>the relationship between usage and resistance emergence.</w:t>
      </w:r>
      <w:r>
        <w:t xml:space="preserve"> </w:t>
      </w:r>
    </w:p>
    <w:p w14:paraId="071D5D1F" w14:textId="1CF0E777" w:rsidR="006A4487" w:rsidRPr="00C94971" w:rsidRDefault="006A4487" w:rsidP="006A4487">
      <w:pPr>
        <w:pStyle w:val="Paragraphnonumbers"/>
        <w:numPr>
          <w:ilvl w:val="1"/>
          <w:numId w:val="3"/>
        </w:numPr>
      </w:pPr>
      <w:r>
        <w:rPr>
          <w:b/>
          <w:bCs/>
        </w:rPr>
        <w:t xml:space="preserve">Cross-references to committee papers for </w:t>
      </w:r>
      <w:r w:rsidR="00611242" w:rsidRPr="00611242">
        <w:rPr>
          <w:b/>
          <w:bCs/>
        </w:rPr>
        <w:t>cefiderocol</w:t>
      </w:r>
      <w:r>
        <w:rPr>
          <w:b/>
          <w:bCs/>
        </w:rPr>
        <w:t xml:space="preserve">: </w:t>
      </w:r>
      <w:r>
        <w:t xml:space="preserve">Insurance value is examined in the Assessment Report, Section </w:t>
      </w:r>
      <w:r w:rsidR="00611242">
        <w:t>9</w:t>
      </w:r>
      <w:r>
        <w:t xml:space="preserve">.3.2.3. EEPRU’s assessment of the importance of additional elements of value and whether it has been quantified is summarised in section </w:t>
      </w:r>
      <w:r w:rsidR="00611242">
        <w:t>9.3</w:t>
      </w:r>
      <w:r>
        <w:t xml:space="preserve">.3, table </w:t>
      </w:r>
      <w:r w:rsidR="00611242">
        <w:t>45</w:t>
      </w:r>
      <w:r>
        <w:t xml:space="preserve">. The results of EEPRU’s additional analyses </w:t>
      </w:r>
      <w:r w:rsidR="00530EA6">
        <w:t>are</w:t>
      </w:r>
      <w:r w:rsidR="00530EA6">
        <w:t xml:space="preserve"> </w:t>
      </w:r>
      <w:r>
        <w:t xml:space="preserve">provided in an addendum to their report (addendum </w:t>
      </w:r>
      <w:r w:rsidR="00530EA6">
        <w:t>1</w:t>
      </w:r>
      <w:r>
        <w:t>).</w:t>
      </w:r>
    </w:p>
    <w:p w14:paraId="327B19BA" w14:textId="77777777" w:rsidR="00236C48" w:rsidRPr="00C94971" w:rsidRDefault="00236C48" w:rsidP="00236C48">
      <w:pPr>
        <w:pStyle w:val="Heading1"/>
      </w:pPr>
      <w:r>
        <w:t>Potential uncaptured value: enablement value</w:t>
      </w:r>
    </w:p>
    <w:p w14:paraId="3796C5F1" w14:textId="60EC7AF9" w:rsidR="00236C48" w:rsidRPr="008D6F23" w:rsidRDefault="00493ECE" w:rsidP="00236C48">
      <w:pPr>
        <w:pStyle w:val="Paragraph"/>
      </w:pPr>
      <w:r>
        <w:rPr>
          <w:b/>
          <w:bCs/>
        </w:rPr>
        <w:t xml:space="preserve">High priority: </w:t>
      </w:r>
      <w:r w:rsidR="00236C48" w:rsidRPr="008D6F23">
        <w:t xml:space="preserve">Does committee agree with EEPRU’s conclusion that the ability to keep wards open during an outbreak is unlikely to be a significant driver of population </w:t>
      </w:r>
      <w:r w:rsidR="00236C48" w:rsidRPr="008D6F23">
        <w:rPr>
          <w:b/>
          <w:bCs/>
        </w:rPr>
        <w:t>incremental</w:t>
      </w:r>
      <w:r w:rsidR="00236C48" w:rsidRPr="008D6F23">
        <w:t xml:space="preserve"> benefits with </w:t>
      </w:r>
      <w:r w:rsidR="00611242" w:rsidRPr="00611242">
        <w:t>cefiderocol</w:t>
      </w:r>
      <w:r w:rsidR="00236C48" w:rsidRPr="008D6F23">
        <w:t>? If not, what is the likely magnitude of any uncaptured benefits?</w:t>
      </w:r>
    </w:p>
    <w:p w14:paraId="2E34926E" w14:textId="6B369761" w:rsidR="00236C48" w:rsidRPr="003C37CD" w:rsidRDefault="00236C48" w:rsidP="00236C48">
      <w:pPr>
        <w:pStyle w:val="Paragraph"/>
        <w:numPr>
          <w:ilvl w:val="1"/>
          <w:numId w:val="3"/>
        </w:numPr>
        <w:rPr>
          <w:b/>
          <w:bCs/>
        </w:rPr>
      </w:pPr>
      <w:r w:rsidRPr="008D6F23">
        <w:rPr>
          <w:b/>
          <w:bCs/>
        </w:rPr>
        <w:t xml:space="preserve">Context: </w:t>
      </w:r>
      <w:r>
        <w:t>Hospital wards may be closed d</w:t>
      </w:r>
      <w:r w:rsidRPr="007100A8">
        <w:t>uring an outbreak of a multi-drug resistant infection,</w:t>
      </w:r>
      <w:r>
        <w:rPr>
          <w:b/>
          <w:bCs/>
        </w:rPr>
        <w:t xml:space="preserve"> </w:t>
      </w:r>
      <w:r>
        <w:t>to prevent transmission to other patients. Wards may also be closed as a result of only one patient being infected.</w:t>
      </w:r>
      <w:r w:rsidRPr="00C6773D">
        <w:t xml:space="preserve"> </w:t>
      </w:r>
      <w:r w:rsidRPr="008D6F23">
        <w:t xml:space="preserve">EEPRU considered it unlikely that </w:t>
      </w:r>
      <w:r w:rsidR="00611242" w:rsidRPr="00611242">
        <w:t>cefiderocol</w:t>
      </w:r>
      <w:r w:rsidRPr="008D6F23">
        <w:t xml:space="preserve">will </w:t>
      </w:r>
      <w:r>
        <w:t xml:space="preserve">increase the likelihood of keeping wards open compared to existing antimicrobials, because </w:t>
      </w:r>
      <w:r w:rsidRPr="008D6F23">
        <w:t>most patients have alternative treatment options available.</w:t>
      </w:r>
      <w:r>
        <w:t xml:space="preserve"> Note this aspect of enablement value overlaps with other elements which </w:t>
      </w:r>
      <w:r w:rsidRPr="00745BAD">
        <w:rPr>
          <w:b/>
          <w:bCs/>
        </w:rPr>
        <w:t>have</w:t>
      </w:r>
      <w:r>
        <w:t xml:space="preserve"> been quantified in EEPRU’s model. That is, the b</w:t>
      </w:r>
      <w:r w:rsidRPr="00745BAD">
        <w:t>enefits of reduced use of hospital resources leading to enablement of procedures and health care for other patients</w:t>
      </w:r>
      <w:r>
        <w:t xml:space="preserve">. </w:t>
      </w:r>
    </w:p>
    <w:p w14:paraId="3EFF7F9A" w14:textId="5DA57885" w:rsidR="003C37CD" w:rsidRPr="001B2DE2" w:rsidRDefault="0028235B" w:rsidP="001B2DE2">
      <w:pPr>
        <w:pStyle w:val="Paragraphnonumbers"/>
        <w:numPr>
          <w:ilvl w:val="1"/>
          <w:numId w:val="3"/>
        </w:numPr>
      </w:pPr>
      <w:r>
        <w:rPr>
          <w:b/>
          <w:bCs/>
        </w:rPr>
        <w:t xml:space="preserve">Cross-references to committee papers for </w:t>
      </w:r>
      <w:r w:rsidR="00611242" w:rsidRPr="00611242">
        <w:rPr>
          <w:b/>
          <w:bCs/>
        </w:rPr>
        <w:t>cefiderocol</w:t>
      </w:r>
      <w:r w:rsidR="003C37CD">
        <w:rPr>
          <w:b/>
          <w:bCs/>
        </w:rPr>
        <w:t xml:space="preserve">: </w:t>
      </w:r>
      <w:r w:rsidR="00A01C87">
        <w:t xml:space="preserve">Enablement value </w:t>
      </w:r>
      <w:r w:rsidR="003C37CD">
        <w:t xml:space="preserve">is </w:t>
      </w:r>
      <w:r w:rsidR="00A01C87">
        <w:t>examined</w:t>
      </w:r>
      <w:r w:rsidR="003C37CD">
        <w:t xml:space="preserve"> in the Assessment Report, Section </w:t>
      </w:r>
      <w:r w:rsidR="004F16CB">
        <w:t>9</w:t>
      </w:r>
      <w:r w:rsidR="00A01C87">
        <w:t>.3.2.1.</w:t>
      </w:r>
      <w:r w:rsidR="00DA7CE4">
        <w:t xml:space="preserve"> </w:t>
      </w:r>
      <w:r w:rsidR="00A950FF">
        <w:t xml:space="preserve">EEPRU’s assessment of the importance of additional elements of value and whether it has been quantified is summarised in section </w:t>
      </w:r>
      <w:r w:rsidR="004F16CB">
        <w:t>9.3</w:t>
      </w:r>
      <w:r w:rsidR="00A950FF">
        <w:t xml:space="preserve">.3, table </w:t>
      </w:r>
      <w:r w:rsidR="004F16CB">
        <w:t>45</w:t>
      </w:r>
      <w:r w:rsidR="00A950FF">
        <w:t>.</w:t>
      </w:r>
    </w:p>
    <w:p w14:paraId="31E264AC" w14:textId="09091146" w:rsidR="00236C48" w:rsidRPr="008D6F23" w:rsidRDefault="00493ECE" w:rsidP="00236C48">
      <w:pPr>
        <w:pStyle w:val="Paragraph"/>
      </w:pPr>
      <w:r>
        <w:t xml:space="preserve"> </w:t>
      </w:r>
      <w:r>
        <w:rPr>
          <w:b/>
          <w:bCs/>
        </w:rPr>
        <w:t xml:space="preserve">High priority: </w:t>
      </w:r>
      <w:r w:rsidR="00236C48">
        <w:t>W</w:t>
      </w:r>
      <w:r w:rsidR="00236C48" w:rsidRPr="008D6F23">
        <w:t xml:space="preserve">hat is the likely magnitude of </w:t>
      </w:r>
      <w:r w:rsidR="00236C48">
        <w:t>the aspects of enablement value that EEPRU considered to be potential drivers of incremental benefits, but were unable to model because of uncertainty in the data?</w:t>
      </w:r>
    </w:p>
    <w:p w14:paraId="553CE4BD" w14:textId="77777777" w:rsidR="00236C48" w:rsidRPr="008D6F23" w:rsidRDefault="00236C48" w:rsidP="00236C48">
      <w:pPr>
        <w:pStyle w:val="Paragraph"/>
        <w:numPr>
          <w:ilvl w:val="1"/>
          <w:numId w:val="3"/>
        </w:numPr>
      </w:pPr>
      <w:r w:rsidRPr="00F10EAF">
        <w:rPr>
          <w:b/>
          <w:bCs/>
        </w:rPr>
        <w:t>Context</w:t>
      </w:r>
      <w:r w:rsidRPr="008D6F23">
        <w:t xml:space="preserve">: EEPRU considered </w:t>
      </w:r>
      <w:r>
        <w:t xml:space="preserve">the following aspects of </w:t>
      </w:r>
      <w:r w:rsidRPr="008D6F23">
        <w:t xml:space="preserve">enablement value </w:t>
      </w:r>
      <w:r>
        <w:t xml:space="preserve">to be potentially important, but could not quantify the impact: </w:t>
      </w:r>
    </w:p>
    <w:p w14:paraId="1C2000BA" w14:textId="77777777" w:rsidR="00236C48" w:rsidRDefault="00236C48" w:rsidP="00236C48">
      <w:pPr>
        <w:pStyle w:val="Paragraph"/>
        <w:numPr>
          <w:ilvl w:val="2"/>
          <w:numId w:val="3"/>
        </w:numPr>
      </w:pPr>
      <w:r>
        <w:t>I</w:t>
      </w:r>
      <w:r w:rsidRPr="008D6F23">
        <w:t xml:space="preserve">ncreasing number of procedures that can go ahead, in patients for whom existing antimicrobials are not an option </w:t>
      </w:r>
      <w:r>
        <w:t xml:space="preserve">due to tolerability issues </w:t>
      </w:r>
      <w:r w:rsidRPr="008D6F23">
        <w:t>(e.g.</w:t>
      </w:r>
      <w:r>
        <w:t>,</w:t>
      </w:r>
      <w:r w:rsidRPr="008D6F23">
        <w:t xml:space="preserve"> myeloma patients with renal impairment could not be treated with colistin)</w:t>
      </w:r>
      <w:r>
        <w:t xml:space="preserve"> or are not effective (e.g., cystic fibrosis patients </w:t>
      </w:r>
      <w:r>
        <w:lastRenderedPageBreak/>
        <w:t xml:space="preserve">who have been removed from lung transplant list, who are made well enough through treatment with new antimicrobial) – not quantified. </w:t>
      </w:r>
    </w:p>
    <w:p w14:paraId="12C89FC9" w14:textId="44F99DC4" w:rsidR="00236C48" w:rsidRDefault="00236C48" w:rsidP="00236C48">
      <w:pPr>
        <w:pStyle w:val="Paragraph"/>
        <w:numPr>
          <w:ilvl w:val="2"/>
          <w:numId w:val="3"/>
        </w:numPr>
      </w:pPr>
      <w:r w:rsidRPr="008D6F23">
        <w:t>Improved treatment of pre-operative infections</w:t>
      </w:r>
      <w:r>
        <w:t xml:space="preserve"> - p</w:t>
      </w:r>
      <w:r w:rsidRPr="008D6F23">
        <w:t>artially quantified</w:t>
      </w:r>
      <w:r>
        <w:t xml:space="preserve">. </w:t>
      </w:r>
      <w:r w:rsidR="00317B00" w:rsidRPr="001602D2">
        <w:t>While this usage is included within the HVCS and wider usage populations the model assumes that all patients who are alive after 30 days experience the same survival. If, however, the speed of resolution of an infection influences whether a procedure or treatment can go ahead, then it is possible that 30 day survival is longer for patients whose infection resolves more quickly as they may be more likely to receive procedures.</w:t>
      </w:r>
      <w:r w:rsidR="00A0714B">
        <w:t xml:space="preserve"> </w:t>
      </w:r>
      <w:r w:rsidR="002F4FDC">
        <w:t>Consultation c</w:t>
      </w:r>
      <w:r w:rsidR="00A0714B">
        <w:t>omments from Shi</w:t>
      </w:r>
      <w:r w:rsidR="00645711">
        <w:t>o</w:t>
      </w:r>
      <w:r w:rsidR="00A0714B">
        <w:t>nogi indicate that they consider that this aspect of enablement value has not been captured.</w:t>
      </w:r>
    </w:p>
    <w:p w14:paraId="0017159E" w14:textId="017AE6E9" w:rsidR="00A01C87" w:rsidRPr="008D6F23" w:rsidRDefault="0028235B" w:rsidP="00A01C87">
      <w:pPr>
        <w:pStyle w:val="Paragraphnonumbers"/>
        <w:numPr>
          <w:ilvl w:val="1"/>
          <w:numId w:val="3"/>
        </w:numPr>
      </w:pPr>
      <w:r>
        <w:rPr>
          <w:b/>
          <w:bCs/>
        </w:rPr>
        <w:t xml:space="preserve">Cross-references to committee papers for </w:t>
      </w:r>
      <w:r w:rsidR="004F16CB" w:rsidRPr="004F16CB">
        <w:rPr>
          <w:b/>
          <w:bCs/>
        </w:rPr>
        <w:t>cefiderocol</w:t>
      </w:r>
      <w:r w:rsidR="00A01C87">
        <w:rPr>
          <w:b/>
          <w:bCs/>
        </w:rPr>
        <w:t xml:space="preserve">: </w:t>
      </w:r>
      <w:r w:rsidR="00A01C87">
        <w:t xml:space="preserve">Enablement value is examined in the Assessment Report, Section </w:t>
      </w:r>
      <w:r w:rsidR="004F16CB">
        <w:t>9</w:t>
      </w:r>
      <w:r w:rsidR="00A01C87">
        <w:t>.3.2.1.</w:t>
      </w:r>
      <w:r w:rsidR="00A950FF">
        <w:t xml:space="preserve"> EEPRU’s assessment of the importance of additional elements of value and whether it has been quantified is summarised in section </w:t>
      </w:r>
      <w:r w:rsidR="004F16CB">
        <w:t>9.3</w:t>
      </w:r>
      <w:r w:rsidR="00A950FF">
        <w:t xml:space="preserve">.3, table </w:t>
      </w:r>
      <w:r w:rsidR="004F16CB">
        <w:t>45</w:t>
      </w:r>
      <w:r w:rsidR="00A950FF">
        <w:t>.</w:t>
      </w:r>
      <w:r w:rsidR="002F4FDC">
        <w:t xml:space="preserve"> See Shionogi’s consultation comments on the Assessment report: numbers 64 and 65.</w:t>
      </w:r>
    </w:p>
    <w:p w14:paraId="142DC652" w14:textId="77777777" w:rsidR="00236C48" w:rsidRPr="00C94971" w:rsidRDefault="00236C48" w:rsidP="00236C48">
      <w:pPr>
        <w:pStyle w:val="Heading1"/>
      </w:pPr>
      <w:r>
        <w:t>Potential uncaptured value: transmission value</w:t>
      </w:r>
    </w:p>
    <w:p w14:paraId="3B1DF89A" w14:textId="0CC24B91" w:rsidR="00236C48" w:rsidRPr="00C94971" w:rsidRDefault="00236C48" w:rsidP="00236C48">
      <w:pPr>
        <w:pStyle w:val="Paragraph"/>
      </w:pPr>
      <w:r w:rsidRPr="00C94971">
        <w:t xml:space="preserve">Is </w:t>
      </w:r>
      <w:r w:rsidR="004F16CB" w:rsidRPr="004F16CB">
        <w:t>cefiderocol</w:t>
      </w:r>
      <w:r w:rsidRPr="00C94971">
        <w:t xml:space="preserve">expected to completely eradicate colonisation in the gut? </w:t>
      </w:r>
    </w:p>
    <w:p w14:paraId="07D70A5C" w14:textId="14D9B373" w:rsidR="00236C48" w:rsidRPr="00C94971" w:rsidRDefault="00236C48" w:rsidP="00236C48">
      <w:pPr>
        <w:pStyle w:val="Paragraphnonumbers"/>
        <w:numPr>
          <w:ilvl w:val="1"/>
          <w:numId w:val="3"/>
        </w:numPr>
        <w:rPr>
          <w:b/>
          <w:bCs/>
        </w:rPr>
      </w:pPr>
      <w:r w:rsidRPr="00C94971">
        <w:rPr>
          <w:b/>
          <w:bCs/>
        </w:rPr>
        <w:t xml:space="preserve">Context: </w:t>
      </w:r>
      <w:r w:rsidRPr="00C94971">
        <w:t>EEPRU’s model assumes</w:t>
      </w:r>
      <w:r w:rsidRPr="00C94971">
        <w:rPr>
          <w:b/>
          <w:bCs/>
        </w:rPr>
        <w:t xml:space="preserve"> </w:t>
      </w:r>
      <w:r w:rsidRPr="00C94971">
        <w:t xml:space="preserve">that when an infection is considered clinically resolved, the pathogen may not be fully eradicated from the gut. Where use of </w:t>
      </w:r>
      <w:r w:rsidR="004F16CB" w:rsidRPr="004F16CB">
        <w:t>cefiderocol</w:t>
      </w:r>
      <w:r w:rsidRPr="00C94971">
        <w:t>reduces mortality, it will increase the number of people returning to the community, and therefore increase the risk of patients introducing a resistant strain in the wider community</w:t>
      </w:r>
      <w:r>
        <w:t xml:space="preserve"> if colonisation is not eradicated</w:t>
      </w:r>
      <w:r w:rsidRPr="00C94971">
        <w:t xml:space="preserve">. </w:t>
      </w:r>
    </w:p>
    <w:p w14:paraId="5FB519CD" w14:textId="0E36EB28" w:rsidR="00236C48" w:rsidRDefault="00236C48" w:rsidP="00236C48">
      <w:pPr>
        <w:pStyle w:val="Paragraphnonumbers"/>
        <w:numPr>
          <w:ilvl w:val="1"/>
          <w:numId w:val="3"/>
        </w:numPr>
      </w:pPr>
      <w:r w:rsidRPr="00C94971">
        <w:rPr>
          <w:b/>
          <w:bCs/>
        </w:rPr>
        <w:t>Why it matters:</w:t>
      </w:r>
      <w:r w:rsidRPr="00C94971">
        <w:t xml:space="preserve"> If pathogens are completely eradicated this will have a positive effect on transmission value, as it will prevent resistant strains being spread to the community. </w:t>
      </w:r>
    </w:p>
    <w:p w14:paraId="6BE806D0" w14:textId="47DEE767" w:rsidR="00DA7CE4" w:rsidRDefault="0028235B" w:rsidP="00A950FF">
      <w:pPr>
        <w:pStyle w:val="Paragraphnonumbers"/>
        <w:numPr>
          <w:ilvl w:val="1"/>
          <w:numId w:val="3"/>
        </w:numPr>
      </w:pPr>
      <w:r>
        <w:rPr>
          <w:b/>
          <w:bCs/>
        </w:rPr>
        <w:t xml:space="preserve">Cross-references to committee papers for </w:t>
      </w:r>
      <w:r w:rsidR="004F16CB" w:rsidRPr="004F16CB">
        <w:rPr>
          <w:b/>
          <w:bCs/>
        </w:rPr>
        <w:t>cefiderocol</w:t>
      </w:r>
      <w:r w:rsidR="00DA7CE4">
        <w:rPr>
          <w:b/>
          <w:bCs/>
        </w:rPr>
        <w:t xml:space="preserve">: </w:t>
      </w:r>
      <w:r w:rsidR="00DA7CE4">
        <w:t xml:space="preserve">Transmission value is examined in the Assessment Report, Section </w:t>
      </w:r>
      <w:r w:rsidR="004F16CB">
        <w:t>9</w:t>
      </w:r>
      <w:r w:rsidR="00DA7CE4">
        <w:t>.3.2.4.</w:t>
      </w:r>
      <w:r w:rsidR="00A950FF">
        <w:t xml:space="preserve"> EEPRU’s assessment of the importance of additional elements of value and whether it has been quantified is summarised in section </w:t>
      </w:r>
      <w:r w:rsidR="004F16CB">
        <w:t>9.3</w:t>
      </w:r>
      <w:r w:rsidR="00A950FF">
        <w:t xml:space="preserve">.3, table </w:t>
      </w:r>
      <w:r w:rsidR="004F16CB">
        <w:t>45</w:t>
      </w:r>
      <w:r w:rsidR="00A950FF">
        <w:t>.</w:t>
      </w:r>
    </w:p>
    <w:p w14:paraId="41ABB805" w14:textId="77777777" w:rsidR="00236C48" w:rsidRDefault="00236C48" w:rsidP="00236C48">
      <w:pPr>
        <w:pStyle w:val="Paragraph"/>
      </w:pPr>
      <w:r w:rsidRPr="00C94971">
        <w:t xml:space="preserve">Does committee agree with EEPRU’s conclusion that </w:t>
      </w:r>
      <w:r>
        <w:t xml:space="preserve">transmission value is </w:t>
      </w:r>
      <w:r w:rsidRPr="00C94971">
        <w:t xml:space="preserve">unlikely to be </w:t>
      </w:r>
      <w:r>
        <w:t xml:space="preserve">a </w:t>
      </w:r>
      <w:r w:rsidRPr="00C94971">
        <w:t xml:space="preserve">significant driver of population </w:t>
      </w:r>
      <w:r w:rsidRPr="00C94971">
        <w:rPr>
          <w:b/>
          <w:bCs/>
        </w:rPr>
        <w:t>incremental</w:t>
      </w:r>
      <w:r w:rsidRPr="00C94971">
        <w:t xml:space="preserve"> benefits? If not, what is the likely magnitude of any uncaptured benefits?</w:t>
      </w:r>
    </w:p>
    <w:p w14:paraId="73BF7CE4" w14:textId="367FFF84" w:rsidR="00236C48" w:rsidRPr="00A950FF" w:rsidRDefault="00236C48" w:rsidP="00236C48">
      <w:pPr>
        <w:pStyle w:val="Paragraphnonumbers"/>
        <w:numPr>
          <w:ilvl w:val="1"/>
          <w:numId w:val="3"/>
        </w:numPr>
        <w:rPr>
          <w:b/>
          <w:bCs/>
        </w:rPr>
      </w:pPr>
      <w:r w:rsidRPr="00C94971">
        <w:rPr>
          <w:b/>
          <w:bCs/>
        </w:rPr>
        <w:t xml:space="preserve">Context: </w:t>
      </w:r>
      <w:r>
        <w:t>EEPRU’s</w:t>
      </w:r>
      <w:r w:rsidRPr="00C94971">
        <w:t xml:space="preserve"> model assumes that </w:t>
      </w:r>
      <w:r w:rsidR="004F16CB" w:rsidRPr="004F16CB">
        <w:t>cefiderocol</w:t>
      </w:r>
      <w:r w:rsidRPr="00C94971">
        <w:t xml:space="preserve">has neither a positive </w:t>
      </w:r>
      <w:r w:rsidR="007741F8">
        <w:t>n</w:t>
      </w:r>
      <w:r w:rsidRPr="00C94971">
        <w:t xml:space="preserve">or negative impact on transmission rates because of countervailing effects: if the antimicrobial reduces time in hospital this is expected to reduce transmission, but the antimicrobial could also increase time spent in hospital </w:t>
      </w:r>
      <w:r>
        <w:t xml:space="preserve">(thus increasing the risk of transmission) </w:t>
      </w:r>
      <w:r w:rsidRPr="00C94971">
        <w:t xml:space="preserve">by reducing mortality in patients with poor </w:t>
      </w:r>
      <w:r w:rsidRPr="00C94971">
        <w:lastRenderedPageBreak/>
        <w:t>prognosis</w:t>
      </w:r>
      <w:r>
        <w:t xml:space="preserve">. </w:t>
      </w:r>
      <w:r w:rsidR="004F16CB">
        <w:t>C</w:t>
      </w:r>
      <w:r w:rsidR="004F16CB" w:rsidRPr="004F16CB">
        <w:t>efiderocol</w:t>
      </w:r>
      <w:r>
        <w:t xml:space="preserve">could also lead to </w:t>
      </w:r>
      <w:r w:rsidRPr="00C94971">
        <w:t>transmission in the community</w:t>
      </w:r>
      <w:r>
        <w:t xml:space="preserve"> if it is assumed that treatment does not completely eradicate gut colonisation </w:t>
      </w:r>
      <w:r w:rsidRPr="00C94971">
        <w:t>(</w:t>
      </w:r>
      <w:r>
        <w:t>see question above</w:t>
      </w:r>
      <w:r w:rsidRPr="00C94971">
        <w:t xml:space="preserve">). </w:t>
      </w:r>
      <w:r w:rsidR="004F16CB">
        <w:t>C</w:t>
      </w:r>
      <w:r w:rsidR="004F16CB" w:rsidRPr="004F16CB">
        <w:t>efiderocol</w:t>
      </w:r>
      <w:r w:rsidRPr="00C94971">
        <w:t>reduced hospital length of stay by of 0–1.1 days, and increased length of life by up to 33 days. Patients are also likely to be re-admitted to hospital after discharge, but this were not quantified.</w:t>
      </w:r>
    </w:p>
    <w:p w14:paraId="6FADC30F" w14:textId="783C2CB4" w:rsidR="00A950FF" w:rsidRPr="00A950FF" w:rsidRDefault="0028235B" w:rsidP="00A950FF">
      <w:pPr>
        <w:pStyle w:val="Paragraphnonumbers"/>
        <w:numPr>
          <w:ilvl w:val="1"/>
          <w:numId w:val="3"/>
        </w:numPr>
      </w:pPr>
      <w:r>
        <w:rPr>
          <w:b/>
          <w:bCs/>
        </w:rPr>
        <w:t xml:space="preserve">Cross-references to committee papers for </w:t>
      </w:r>
      <w:r w:rsidR="004F16CB" w:rsidRPr="004F16CB">
        <w:rPr>
          <w:b/>
          <w:bCs/>
        </w:rPr>
        <w:t>cefiderocol</w:t>
      </w:r>
      <w:r w:rsidR="00A950FF">
        <w:rPr>
          <w:b/>
          <w:bCs/>
        </w:rPr>
        <w:t xml:space="preserve">: </w:t>
      </w:r>
      <w:r w:rsidR="00A950FF">
        <w:t xml:space="preserve">Transmission value is examined in the Assessment Report, Section </w:t>
      </w:r>
      <w:r w:rsidR="004F16CB">
        <w:t>9</w:t>
      </w:r>
      <w:r w:rsidR="00A950FF">
        <w:t xml:space="preserve">.3.2.4. EEPRU’s assessment of the importance of additional elements of value and whether it has been quantified is summarised in section </w:t>
      </w:r>
      <w:r w:rsidR="004F16CB">
        <w:t>9.3</w:t>
      </w:r>
      <w:r w:rsidR="00A950FF">
        <w:t xml:space="preserve">.3, table </w:t>
      </w:r>
      <w:r w:rsidR="004F16CB">
        <w:t>45</w:t>
      </w:r>
      <w:r w:rsidR="00A950FF">
        <w:t>.</w:t>
      </w:r>
    </w:p>
    <w:p w14:paraId="1427384F" w14:textId="0FA4569B" w:rsidR="00236C48" w:rsidRDefault="00236C48" w:rsidP="00236C48">
      <w:pPr>
        <w:pStyle w:val="Paragraph"/>
      </w:pPr>
      <w:r>
        <w:t xml:space="preserve">Is </w:t>
      </w:r>
      <w:r w:rsidR="004F16CB" w:rsidRPr="004F16CB">
        <w:t>cefiderocol</w:t>
      </w:r>
      <w:r w:rsidR="00C30D15">
        <w:t xml:space="preserve"> </w:t>
      </w:r>
      <w:r>
        <w:t>likely to impact on the likelihood of an outbreak and its spread?</w:t>
      </w:r>
    </w:p>
    <w:p w14:paraId="3FA7DD61" w14:textId="2E9B3A3F" w:rsidR="00236C48" w:rsidRPr="00A950FF" w:rsidRDefault="00236C48" w:rsidP="00236C48">
      <w:pPr>
        <w:pStyle w:val="Paragraph"/>
        <w:numPr>
          <w:ilvl w:val="1"/>
          <w:numId w:val="3"/>
        </w:numPr>
        <w:rPr>
          <w:b/>
          <w:bCs/>
        </w:rPr>
      </w:pPr>
      <w:r w:rsidRPr="00A85543">
        <w:rPr>
          <w:b/>
          <w:bCs/>
        </w:rPr>
        <w:t>Context</w:t>
      </w:r>
      <w:r>
        <w:rPr>
          <w:b/>
          <w:bCs/>
        </w:rPr>
        <w:t xml:space="preserve">: </w:t>
      </w:r>
      <w:r w:rsidRPr="005E314C">
        <w:t xml:space="preserve">EEPRU’s clinical advisors discussed the substantial impact of outbreaks of </w:t>
      </w:r>
      <w:r>
        <w:t>multi-drug resistant</w:t>
      </w:r>
      <w:r w:rsidRPr="005E314C">
        <w:t xml:space="preserve"> infections in terms of disrupting healthcare provision and incurring large costs due to the need for more extensive infection control measures. However, no evidence was provided that </w:t>
      </w:r>
      <w:r w:rsidR="004F16CB" w:rsidRPr="004F16CB">
        <w:t>cefiderocol</w:t>
      </w:r>
      <w:r w:rsidR="004F16CB">
        <w:t xml:space="preserve"> </w:t>
      </w:r>
      <w:r w:rsidRPr="005E314C">
        <w:t>would substantially impact on the likelihood of an outbreak or its spread</w:t>
      </w:r>
      <w:r>
        <w:t>.</w:t>
      </w:r>
    </w:p>
    <w:p w14:paraId="367D6A21" w14:textId="50834B03" w:rsidR="00A950FF" w:rsidRDefault="0028235B" w:rsidP="00A950FF">
      <w:pPr>
        <w:pStyle w:val="Paragraphnonumbers"/>
        <w:numPr>
          <w:ilvl w:val="1"/>
          <w:numId w:val="3"/>
        </w:numPr>
      </w:pPr>
      <w:r>
        <w:rPr>
          <w:b/>
          <w:bCs/>
        </w:rPr>
        <w:t xml:space="preserve">Cross-references to committee papers for </w:t>
      </w:r>
      <w:r w:rsidR="00C30D15" w:rsidRPr="00C30D15">
        <w:rPr>
          <w:b/>
          <w:bCs/>
        </w:rPr>
        <w:t>cefiderocol</w:t>
      </w:r>
      <w:r w:rsidR="00A950FF">
        <w:rPr>
          <w:b/>
          <w:bCs/>
        </w:rPr>
        <w:t xml:space="preserve">: </w:t>
      </w:r>
      <w:r w:rsidR="00A950FF">
        <w:t xml:space="preserve">Transmission value is examined in the Assessment Report, Section </w:t>
      </w:r>
      <w:r w:rsidR="00C30D15">
        <w:t>9</w:t>
      </w:r>
      <w:r w:rsidR="00A950FF">
        <w:t xml:space="preserve">.3.2.4. EEPRU’s assessment of the importance of additional elements of value and whether it has been quantified is summarised in section </w:t>
      </w:r>
      <w:r w:rsidR="00C30D15">
        <w:t>9.3</w:t>
      </w:r>
      <w:r w:rsidR="00A950FF">
        <w:t xml:space="preserve">.3, table </w:t>
      </w:r>
      <w:r w:rsidR="00C30D15">
        <w:t>45</w:t>
      </w:r>
      <w:r w:rsidR="00A950FF">
        <w:t>.</w:t>
      </w:r>
    </w:p>
    <w:p w14:paraId="651D254B" w14:textId="1A1308F1" w:rsidR="006C6ED8" w:rsidRDefault="006C6ED8" w:rsidP="006C6ED8">
      <w:pPr>
        <w:pStyle w:val="Heading1"/>
      </w:pPr>
      <w:r>
        <w:t>Potential uncaptured value: diversity and spectrum value</w:t>
      </w:r>
    </w:p>
    <w:p w14:paraId="205D3C6A" w14:textId="1F584932" w:rsidR="006C6ED8" w:rsidRDefault="00D36A72" w:rsidP="006C6ED8">
      <w:pPr>
        <w:pStyle w:val="Paragraph"/>
      </w:pPr>
      <w:r>
        <w:t>Is there uncaptured value related to diversity and spectrum value?</w:t>
      </w:r>
    </w:p>
    <w:p w14:paraId="3C507C98" w14:textId="467E2F4D" w:rsidR="00753CBF" w:rsidRDefault="00D36A72" w:rsidP="00D36A72">
      <w:pPr>
        <w:pStyle w:val="Paragraph"/>
        <w:numPr>
          <w:ilvl w:val="1"/>
          <w:numId w:val="3"/>
        </w:numPr>
      </w:pPr>
      <w:r>
        <w:rPr>
          <w:b/>
          <w:bCs/>
        </w:rPr>
        <w:t xml:space="preserve">Context: </w:t>
      </w:r>
      <w:r>
        <w:t xml:space="preserve">EEPRU have concluded that </w:t>
      </w:r>
      <w:r w:rsidR="00753CBF">
        <w:t>diversity value and spectrum value are unlikely to be significant drivers of population incremental net health benefits. Pfizer</w:t>
      </w:r>
      <w:r w:rsidR="00C835AB">
        <w:t xml:space="preserve"> and Shi</w:t>
      </w:r>
      <w:r w:rsidR="00AE330E">
        <w:t>o</w:t>
      </w:r>
      <w:r w:rsidR="00C835AB">
        <w:t>nogi’s responses to consultation both indi</w:t>
      </w:r>
      <w:r w:rsidR="0091097B">
        <w:t xml:space="preserve">cate that there may be benefits related to diversity value </w:t>
      </w:r>
      <w:r w:rsidR="008A1FF7">
        <w:t>because</w:t>
      </w:r>
      <w:r w:rsidR="0091097B">
        <w:t xml:space="preserve"> new antimicrobials reduc</w:t>
      </w:r>
      <w:r w:rsidR="008A1FF7">
        <w:t>e</w:t>
      </w:r>
      <w:r w:rsidR="0091097B">
        <w:t xml:space="preserve"> use of existing antimicrobials, therefore prolonging their efficacy. Shi</w:t>
      </w:r>
      <w:r w:rsidR="00AE330E">
        <w:t>o</w:t>
      </w:r>
      <w:r w:rsidR="0091097B">
        <w:t>nogi also identified potential spectrum val</w:t>
      </w:r>
      <w:r w:rsidR="008A1FF7">
        <w:t>ue for cefiderocol</w:t>
      </w:r>
      <w:r w:rsidR="0091097B">
        <w:t xml:space="preserve"> due to </w:t>
      </w:r>
      <w:r w:rsidR="008A1FF7">
        <w:t xml:space="preserve">its </w:t>
      </w:r>
      <w:r w:rsidR="0091097B">
        <w:t xml:space="preserve">minimal/reduced impact on gut microbiota. </w:t>
      </w:r>
    </w:p>
    <w:p w14:paraId="6FBF34CE" w14:textId="187D24D2" w:rsidR="00D36A72" w:rsidRPr="006C6ED8" w:rsidRDefault="00753CBF" w:rsidP="00753CBF">
      <w:pPr>
        <w:pStyle w:val="Paragraphnonumbers"/>
        <w:numPr>
          <w:ilvl w:val="1"/>
          <w:numId w:val="3"/>
        </w:numPr>
      </w:pPr>
      <w:r>
        <w:rPr>
          <w:b/>
          <w:bCs/>
        </w:rPr>
        <w:t xml:space="preserve">Cross-references to committee papers for </w:t>
      </w:r>
      <w:r w:rsidR="00C30D15" w:rsidRPr="00C30D15">
        <w:rPr>
          <w:b/>
          <w:bCs/>
        </w:rPr>
        <w:t>cefiderocol</w:t>
      </w:r>
      <w:r>
        <w:rPr>
          <w:b/>
          <w:bCs/>
        </w:rPr>
        <w:t xml:space="preserve">: </w:t>
      </w:r>
      <w:r w:rsidR="00AE330E">
        <w:t xml:space="preserve">See </w:t>
      </w:r>
      <w:r w:rsidR="00AE330E" w:rsidRPr="00AE330E">
        <w:t>EEPRU’s assessment report s</w:t>
      </w:r>
      <w:r w:rsidRPr="00AE330E">
        <w:t>ection</w:t>
      </w:r>
      <w:r w:rsidR="00AE330E">
        <w:t>s</w:t>
      </w:r>
      <w:r>
        <w:t xml:space="preserve"> </w:t>
      </w:r>
      <w:r w:rsidR="00C30D15">
        <w:t>9</w:t>
      </w:r>
      <w:r>
        <w:t xml:space="preserve">.3.2.2 </w:t>
      </w:r>
      <w:r w:rsidR="00AE330E">
        <w:t xml:space="preserve">(diversity value), </w:t>
      </w:r>
      <w:r w:rsidR="00C30D15">
        <w:t>9</w:t>
      </w:r>
      <w:r>
        <w:t>.3.2.5</w:t>
      </w:r>
      <w:r w:rsidR="00AE330E">
        <w:t xml:space="preserve"> (spectrum value) and table </w:t>
      </w:r>
      <w:r w:rsidR="00C30D15">
        <w:t xml:space="preserve">45 </w:t>
      </w:r>
      <w:r w:rsidR="00AE330E">
        <w:t xml:space="preserve">(summary). </w:t>
      </w:r>
      <w:r w:rsidR="00C835AB">
        <w:t>See Pfizer’s consultation response section 1.3 and Shionogi’s consultation comments on the Assessment report: numbers 66 and 69.</w:t>
      </w:r>
    </w:p>
    <w:p w14:paraId="489A5FD9" w14:textId="77A16E12" w:rsidR="00B92289" w:rsidRPr="00C94971" w:rsidRDefault="00961ABC" w:rsidP="001F2929">
      <w:pPr>
        <w:pStyle w:val="Heading1"/>
      </w:pPr>
      <w:r>
        <w:t>Estimating population size</w:t>
      </w:r>
    </w:p>
    <w:p w14:paraId="4171B7ED" w14:textId="3638A0C8" w:rsidR="00B92289" w:rsidRPr="00C94971" w:rsidRDefault="00D36A72" w:rsidP="006D5A16">
      <w:pPr>
        <w:pStyle w:val="Paragraph"/>
      </w:pPr>
      <w:r>
        <w:rPr>
          <w:b/>
          <w:bCs/>
        </w:rPr>
        <w:t xml:space="preserve">High priority: </w:t>
      </w:r>
      <w:r w:rsidR="00814698" w:rsidRPr="00C94971">
        <w:t xml:space="preserve">Is the true size of the </w:t>
      </w:r>
      <w:r w:rsidR="007C5C96">
        <w:t xml:space="preserve">patient </w:t>
      </w:r>
      <w:r w:rsidR="00814698" w:rsidRPr="00C94971">
        <w:t xml:space="preserve">population </w:t>
      </w:r>
      <w:r w:rsidR="00A04611">
        <w:t xml:space="preserve">currently eligible for treatment (the ‘baseline population’ in the model) </w:t>
      </w:r>
      <w:r w:rsidR="00814698" w:rsidRPr="00C94971">
        <w:t>closer to estimates using PHE’s categorisation (conservative) or the clinical advis</w:t>
      </w:r>
      <w:r w:rsidR="00926704">
        <w:t>o</w:t>
      </w:r>
      <w:r w:rsidR="00814698" w:rsidRPr="00C94971">
        <w:t>rs’ categorisation (</w:t>
      </w:r>
      <w:r w:rsidR="007C304D" w:rsidRPr="00C94971">
        <w:t>which results in higher estimates of population size</w:t>
      </w:r>
      <w:r w:rsidR="00814698" w:rsidRPr="00C94971">
        <w:t>)?</w:t>
      </w:r>
    </w:p>
    <w:p w14:paraId="38323C15" w14:textId="5E37857C" w:rsidR="00DD118B" w:rsidRPr="00C94971" w:rsidRDefault="007F28CB" w:rsidP="00DD118B">
      <w:pPr>
        <w:pStyle w:val="Paragraph"/>
        <w:numPr>
          <w:ilvl w:val="1"/>
          <w:numId w:val="3"/>
        </w:numPr>
      </w:pPr>
      <w:r w:rsidRPr="00C94971">
        <w:rPr>
          <w:b/>
          <w:bCs/>
        </w:rPr>
        <w:lastRenderedPageBreak/>
        <w:t xml:space="preserve">Context: </w:t>
      </w:r>
      <w:r w:rsidR="00DE0DC7">
        <w:t>EEPRU used</w:t>
      </w:r>
      <w:r w:rsidR="007C5C96">
        <w:t xml:space="preserve"> 2 </w:t>
      </w:r>
      <w:r w:rsidR="007C5C96" w:rsidRPr="003E5977">
        <w:t>different approaches to estimating current infection numbers</w:t>
      </w:r>
      <w:r w:rsidR="007C5C96">
        <w:t xml:space="preserve">, </w:t>
      </w:r>
      <w:r w:rsidR="007C5C96" w:rsidRPr="003E5977">
        <w:t>based on different methods to classify infections from clinical specimen site</w:t>
      </w:r>
      <w:r w:rsidR="007C5C96">
        <w:t>: a more conservative definition provided by PHE and a broader definition provided by EEPRU’s clinical advisors.</w:t>
      </w:r>
      <w:r w:rsidR="007C5C96" w:rsidRPr="007C5C96">
        <w:t xml:space="preserve"> </w:t>
      </w:r>
      <w:r w:rsidR="00B110A6">
        <w:t>EEPRU’s c</w:t>
      </w:r>
      <w:r w:rsidR="00926704" w:rsidRPr="00926704">
        <w:t>linical</w:t>
      </w:r>
      <w:r w:rsidR="00926704">
        <w:t xml:space="preserve"> advisors </w:t>
      </w:r>
      <w:r w:rsidR="00A04611">
        <w:t xml:space="preserve">consider </w:t>
      </w:r>
      <w:r w:rsidRPr="00C94971">
        <w:t xml:space="preserve">PHE’s classification </w:t>
      </w:r>
      <w:r w:rsidR="00A04611">
        <w:t xml:space="preserve">to </w:t>
      </w:r>
      <w:r w:rsidRPr="00C94971">
        <w:t>underestimate</w:t>
      </w:r>
      <w:r w:rsidR="00290240">
        <w:t xml:space="preserve"> the </w:t>
      </w:r>
      <w:r w:rsidR="00B110A6">
        <w:t xml:space="preserve">size of the </w:t>
      </w:r>
      <w:r w:rsidR="00290240">
        <w:t xml:space="preserve">eligible patient </w:t>
      </w:r>
      <w:r w:rsidR="00290240" w:rsidRPr="00195A62">
        <w:t>population</w:t>
      </w:r>
      <w:r w:rsidR="00926704" w:rsidRPr="00195A62">
        <w:t xml:space="preserve">, </w:t>
      </w:r>
      <w:r w:rsidR="007C304D" w:rsidRPr="00195A62">
        <w:t xml:space="preserve">because </w:t>
      </w:r>
      <w:r w:rsidR="007C5C96" w:rsidRPr="00195A62">
        <w:t xml:space="preserve">it </w:t>
      </w:r>
      <w:r w:rsidRPr="00195A62">
        <w:t>use</w:t>
      </w:r>
      <w:r w:rsidR="007C5C96" w:rsidRPr="00195A62">
        <w:t>s</w:t>
      </w:r>
      <w:r w:rsidRPr="00195A62">
        <w:t xml:space="preserve"> a narrow range of samples and relie</w:t>
      </w:r>
      <w:r w:rsidR="007C5C96" w:rsidRPr="00195A62">
        <w:t>s</w:t>
      </w:r>
      <w:r w:rsidRPr="00195A62">
        <w:t xml:space="preserve"> on SGSS data which may not include patients who would be expected to benefit</w:t>
      </w:r>
      <w:r w:rsidR="007C5C96" w:rsidRPr="00195A62">
        <w:t xml:space="preserve"> from treatment</w:t>
      </w:r>
      <w:r w:rsidRPr="00195A62">
        <w:t>.</w:t>
      </w:r>
      <w:r w:rsidR="00DE0DC7" w:rsidRPr="00195A62">
        <w:t xml:space="preserve"> For example, clinical advisers have indicated that certain units (eg cystic fibrosis units) may not always submit data to SGSS.</w:t>
      </w:r>
      <w:r w:rsidR="00875178" w:rsidRPr="00195A62">
        <w:t xml:space="preserve"> Additionally, consultees have indicated that SGSS data may underestimate infection numbers for a range of reasons (not all hospitals have microbiology labs,</w:t>
      </w:r>
      <w:r w:rsidR="00195A62" w:rsidRPr="00195A62">
        <w:t xml:space="preserve"> and some provide incomplete</w:t>
      </w:r>
      <w:r w:rsidR="00875178" w:rsidRPr="00195A62">
        <w:t xml:space="preserve"> data</w:t>
      </w:r>
      <w:r w:rsidR="00726651" w:rsidRPr="00195A62">
        <w:t>).</w:t>
      </w:r>
      <w:r w:rsidR="007E357A">
        <w:t xml:space="preserve"> </w:t>
      </w:r>
      <w:r w:rsidR="007C5C96" w:rsidRPr="00195A62">
        <w:t>The c</w:t>
      </w:r>
      <w:r w:rsidR="00D42261" w:rsidRPr="00195A62">
        <w:t xml:space="preserve">linical </w:t>
      </w:r>
      <w:r w:rsidR="007C5C96" w:rsidRPr="00195A62">
        <w:t>advisors</w:t>
      </w:r>
      <w:r w:rsidR="0073032E" w:rsidRPr="00195A62">
        <w:t>’</w:t>
      </w:r>
      <w:r w:rsidR="007C5C96" w:rsidRPr="00195A62">
        <w:t xml:space="preserve"> </w:t>
      </w:r>
      <w:r w:rsidR="00D42261" w:rsidRPr="00195A62">
        <w:t xml:space="preserve">classification may result in overestimates, for example by including sputum samples, which may not be evidence of clinical infection. </w:t>
      </w:r>
      <w:r w:rsidR="00DE0DC7" w:rsidRPr="00195A62">
        <w:t xml:space="preserve">Both classifications </w:t>
      </w:r>
      <w:r w:rsidR="00B02528" w:rsidRPr="00195A62">
        <w:t>cover a subset of the full population allowed in the marketing authorisation.</w:t>
      </w:r>
    </w:p>
    <w:p w14:paraId="385B6AA2" w14:textId="7AC2DCCC" w:rsidR="00D42261" w:rsidRDefault="00D42261" w:rsidP="00FE4100">
      <w:pPr>
        <w:pStyle w:val="Paragraph"/>
        <w:numPr>
          <w:ilvl w:val="1"/>
          <w:numId w:val="3"/>
        </w:numPr>
      </w:pPr>
      <w:r w:rsidRPr="00C94971">
        <w:rPr>
          <w:b/>
          <w:bCs/>
        </w:rPr>
        <w:t>Why it matters</w:t>
      </w:r>
      <w:r w:rsidRPr="00C94971">
        <w:t xml:space="preserve">: </w:t>
      </w:r>
      <w:r w:rsidR="00CB41CD">
        <w:t>P</w:t>
      </w:r>
      <w:r w:rsidRPr="00C94971">
        <w:t xml:space="preserve">opulation </w:t>
      </w:r>
      <w:r w:rsidR="00CB41CD">
        <w:t xml:space="preserve">size </w:t>
      </w:r>
      <w:r w:rsidRPr="00C94971">
        <w:t>is</w:t>
      </w:r>
      <w:r w:rsidR="00CB41CD">
        <w:t xml:space="preserve"> key</w:t>
      </w:r>
      <w:r w:rsidRPr="00C94971">
        <w:t xml:space="preserve"> a driver of QALY gain in the model</w:t>
      </w:r>
      <w:r w:rsidR="00CB41CD">
        <w:t>,</w:t>
      </w:r>
      <w:r w:rsidRPr="00C94971">
        <w:t xml:space="preserve"> and differences are compounded as population grows over time. For </w:t>
      </w:r>
      <w:r w:rsidR="007E357A" w:rsidRPr="007E357A">
        <w:t>cefiderocol</w:t>
      </w:r>
      <w:r w:rsidRPr="00C94971">
        <w:t xml:space="preserve"> the estimated baseline population size is </w:t>
      </w:r>
      <w:r w:rsidR="007E357A">
        <w:t>606</w:t>
      </w:r>
      <w:r w:rsidR="007E357A" w:rsidRPr="00C94971">
        <w:t xml:space="preserve"> </w:t>
      </w:r>
      <w:r w:rsidRPr="00C94971">
        <w:t xml:space="preserve">using the PHE classification and </w:t>
      </w:r>
      <w:r w:rsidR="007E357A">
        <w:t>1,280</w:t>
      </w:r>
      <w:r w:rsidR="007E357A" w:rsidRPr="00C94971">
        <w:t xml:space="preserve"> </w:t>
      </w:r>
      <w:r w:rsidRPr="00C94971">
        <w:t xml:space="preserve">using the </w:t>
      </w:r>
      <w:r w:rsidR="00CB41CD">
        <w:t>clinical advisor</w:t>
      </w:r>
      <w:r w:rsidR="00CB41CD" w:rsidRPr="00C94971">
        <w:t xml:space="preserve"> </w:t>
      </w:r>
      <w:r w:rsidRPr="00C94971">
        <w:t xml:space="preserve">classification. </w:t>
      </w:r>
      <w:r w:rsidR="00D14FFD">
        <w:t xml:space="preserve">When applying EEPRU’s most optimistic base case assumptions </w:t>
      </w:r>
      <w:r w:rsidR="00CB41CD">
        <w:t>in relation to QALY gains</w:t>
      </w:r>
      <w:r w:rsidR="00D14FFD">
        <w:t xml:space="preserve"> (</w:t>
      </w:r>
      <w:r w:rsidR="00BD5FCC">
        <w:t xml:space="preserve">that is, assuming persistent population growth </w:t>
      </w:r>
      <w:r w:rsidR="00D14FFD">
        <w:t xml:space="preserve">and </w:t>
      </w:r>
      <w:r w:rsidR="00CB41CD">
        <w:t>only a</w:t>
      </w:r>
      <w:r w:rsidR="00D14FFD">
        <w:t xml:space="preserve"> 1% increase in resistance </w:t>
      </w:r>
      <w:r w:rsidR="00CB41CD">
        <w:t xml:space="preserve">to </w:t>
      </w:r>
      <w:r w:rsidR="007E357A" w:rsidRPr="007E357A">
        <w:t>cefiderocol</w:t>
      </w:r>
      <w:r w:rsidR="00CB41CD">
        <w:t xml:space="preserve"> </w:t>
      </w:r>
      <w:r w:rsidR="00D14FFD">
        <w:t>over 20 years)</w:t>
      </w:r>
      <w:r w:rsidR="006E1C6F">
        <w:t xml:space="preserve"> the</w:t>
      </w:r>
      <w:r w:rsidR="00830A46" w:rsidRPr="00C94971">
        <w:t xml:space="preserve"> total</w:t>
      </w:r>
      <w:r w:rsidR="007C480A">
        <w:t xml:space="preserve"> incremental</w:t>
      </w:r>
      <w:r w:rsidR="00830A46" w:rsidRPr="00C94971">
        <w:t xml:space="preserve"> QALYs</w:t>
      </w:r>
      <w:r w:rsidR="006E1C6F">
        <w:t xml:space="preserve"> with </w:t>
      </w:r>
      <w:r w:rsidR="007E357A" w:rsidRPr="007E357A">
        <w:t>cefiderocol</w:t>
      </w:r>
      <w:r w:rsidR="006E1C6F">
        <w:t xml:space="preserve"> are</w:t>
      </w:r>
      <w:r w:rsidR="00830A46" w:rsidRPr="00C94971">
        <w:t xml:space="preserve"> </w:t>
      </w:r>
      <w:r w:rsidR="002545CB" w:rsidRPr="002545CB">
        <w:t>1,625</w:t>
      </w:r>
      <w:r w:rsidR="006E1C6F" w:rsidRPr="00C94971">
        <w:t xml:space="preserve"> </w:t>
      </w:r>
      <w:r w:rsidR="006E1C6F">
        <w:t xml:space="preserve">using the </w:t>
      </w:r>
      <w:r w:rsidR="00BC67A7" w:rsidRPr="00C94971">
        <w:t xml:space="preserve">PHE classification and </w:t>
      </w:r>
      <w:r w:rsidR="002545CB">
        <w:t>3,559</w:t>
      </w:r>
      <w:r w:rsidR="006E1C6F" w:rsidRPr="00C94971">
        <w:t xml:space="preserve"> </w:t>
      </w:r>
      <w:r w:rsidR="006E1C6F">
        <w:t xml:space="preserve">using the </w:t>
      </w:r>
      <w:r w:rsidR="00BC67A7" w:rsidRPr="00C94971">
        <w:t>clinical advis</w:t>
      </w:r>
      <w:r w:rsidR="00926704">
        <w:t>o</w:t>
      </w:r>
      <w:r w:rsidR="00BC67A7" w:rsidRPr="00C94971">
        <w:t>r classification</w:t>
      </w:r>
      <w:r w:rsidR="00830A46" w:rsidRPr="00C94971">
        <w:t xml:space="preserve">. </w:t>
      </w:r>
    </w:p>
    <w:p w14:paraId="554B1457" w14:textId="2EC15C2B" w:rsidR="00D32043" w:rsidRPr="00C94971" w:rsidRDefault="0028235B" w:rsidP="00FE4100">
      <w:pPr>
        <w:pStyle w:val="Paragraph"/>
        <w:numPr>
          <w:ilvl w:val="1"/>
          <w:numId w:val="3"/>
        </w:numPr>
      </w:pPr>
      <w:r>
        <w:rPr>
          <w:b/>
          <w:bCs/>
        </w:rPr>
        <w:t xml:space="preserve">Cross-references to committee papers for </w:t>
      </w:r>
      <w:r w:rsidR="002545CB" w:rsidRPr="002545CB">
        <w:rPr>
          <w:b/>
          <w:bCs/>
        </w:rPr>
        <w:t>cefiderocol</w:t>
      </w:r>
      <w:r w:rsidR="00D32043">
        <w:rPr>
          <w:b/>
          <w:bCs/>
        </w:rPr>
        <w:t xml:space="preserve">: </w:t>
      </w:r>
      <w:r w:rsidR="00D32043">
        <w:t xml:space="preserve">Estimation of current population size discussed in the Assessment Report, Section </w:t>
      </w:r>
      <w:r w:rsidR="00D8794B">
        <w:t>8.2.6.3</w:t>
      </w:r>
      <w:r w:rsidR="00D32043">
        <w:t>.</w:t>
      </w:r>
      <w:r w:rsidR="00A04423">
        <w:t xml:space="preserve"> The impact of choice of baseline population on net health effects is illustrated in table </w:t>
      </w:r>
      <w:r w:rsidR="001E7A1E">
        <w:t>11 in Addendum 2 to the EEPRU report</w:t>
      </w:r>
      <w:r w:rsidR="00A04423">
        <w:t>.</w:t>
      </w:r>
      <w:r w:rsidR="002F4FDC">
        <w:t xml:space="preserve"> See Shionogi’s consultation comments on the Assessment report: number 51.</w:t>
      </w:r>
    </w:p>
    <w:p w14:paraId="7B0E41EE" w14:textId="4F7240C6" w:rsidR="00111039" w:rsidRPr="00C94971" w:rsidRDefault="001C169B" w:rsidP="00914F7F">
      <w:pPr>
        <w:pStyle w:val="Paragraph"/>
      </w:pPr>
      <w:r>
        <w:rPr>
          <w:b/>
          <w:bCs/>
        </w:rPr>
        <w:t xml:space="preserve">High priority: </w:t>
      </w:r>
      <w:r w:rsidR="00A7708F" w:rsidRPr="00C94971">
        <w:t>Is growth in the eligible popu</w:t>
      </w:r>
      <w:r w:rsidR="00AA4181" w:rsidRPr="00C94971">
        <w:t>lation mostly in the short</w:t>
      </w:r>
      <w:r w:rsidR="009E5432">
        <w:t xml:space="preserve"> </w:t>
      </w:r>
      <w:r w:rsidR="00AA4181" w:rsidRPr="00C94971">
        <w:t>term (‘damped trend’) or will it persist over time?</w:t>
      </w:r>
    </w:p>
    <w:p w14:paraId="0F9792DE" w14:textId="74983BF6" w:rsidR="0032162E" w:rsidRDefault="00830A46" w:rsidP="00830A46">
      <w:pPr>
        <w:pStyle w:val="Paragraphnonumbers"/>
        <w:numPr>
          <w:ilvl w:val="1"/>
          <w:numId w:val="37"/>
        </w:numPr>
      </w:pPr>
      <w:r w:rsidRPr="00C94971">
        <w:rPr>
          <w:b/>
          <w:bCs/>
        </w:rPr>
        <w:t xml:space="preserve">Context: </w:t>
      </w:r>
      <w:r w:rsidR="00530EA6" w:rsidRPr="00814AF0">
        <w:t xml:space="preserve">For </w:t>
      </w:r>
      <w:r w:rsidR="000A2ECA">
        <w:t>1</w:t>
      </w:r>
      <w:r w:rsidR="00530EA6" w:rsidRPr="00814AF0">
        <w:t xml:space="preserve"> of the pathogens </w:t>
      </w:r>
      <w:r w:rsidR="000A2ECA">
        <w:t xml:space="preserve">modelled </w:t>
      </w:r>
      <w:r w:rsidR="00530EA6" w:rsidRPr="00814AF0">
        <w:t>(</w:t>
      </w:r>
      <w:r w:rsidR="00530EA6" w:rsidRPr="00814AF0">
        <w:rPr>
          <w:rFonts w:cs="Arial"/>
          <w:i/>
          <w:iCs/>
        </w:rPr>
        <w:t>Enterobacterales</w:t>
      </w:r>
      <w:r w:rsidR="00530EA6" w:rsidRPr="00814AF0">
        <w:rPr>
          <w:rFonts w:cs="Arial"/>
        </w:rPr>
        <w:t xml:space="preserve">) EEPRU </w:t>
      </w:r>
      <w:r w:rsidR="00250DC9">
        <w:rPr>
          <w:rFonts w:cs="Arial"/>
        </w:rPr>
        <w:t xml:space="preserve">explored the impact of </w:t>
      </w:r>
      <w:r w:rsidR="00201F44">
        <w:t xml:space="preserve">2 </w:t>
      </w:r>
      <w:r w:rsidR="00201F44" w:rsidRPr="003E5977">
        <w:t>alternative approaches to forecasting increases in infections over time</w:t>
      </w:r>
      <w:r w:rsidR="00201F44">
        <w:t xml:space="preserve">, </w:t>
      </w:r>
      <w:r w:rsidR="00201F44" w:rsidRPr="003E5977">
        <w:t xml:space="preserve">based on whether trends </w:t>
      </w:r>
      <w:r w:rsidR="00201F44">
        <w:t xml:space="preserve">observed in historical data continue </w:t>
      </w:r>
      <w:r w:rsidR="00201F44" w:rsidRPr="003E5977">
        <w:t xml:space="preserve">indefinitely </w:t>
      </w:r>
      <w:r w:rsidR="00201F44">
        <w:t xml:space="preserve">into the future (‘persistent growth’) </w:t>
      </w:r>
      <w:r w:rsidR="00201F44" w:rsidRPr="003E5977">
        <w:t>or not</w:t>
      </w:r>
      <w:r w:rsidR="00201F44">
        <w:t xml:space="preserve"> (‘damped trend’). This </w:t>
      </w:r>
      <w:r w:rsidR="00743818" w:rsidRPr="00C94971">
        <w:t>ha</w:t>
      </w:r>
      <w:r w:rsidR="00201F44">
        <w:t>s</w:t>
      </w:r>
      <w:r w:rsidR="00743818" w:rsidRPr="00C94971">
        <w:t xml:space="preserve"> a substantial effect on the population size over the model</w:t>
      </w:r>
      <w:r w:rsidR="00076FDB">
        <w:t>led</w:t>
      </w:r>
      <w:r w:rsidR="00743818" w:rsidRPr="00C94971">
        <w:t xml:space="preserve"> time horizon</w:t>
      </w:r>
      <w:r w:rsidR="00076FDB">
        <w:t>:</w:t>
      </w:r>
      <w:r w:rsidR="00076FDB" w:rsidRPr="00076FDB">
        <w:t xml:space="preserve"> </w:t>
      </w:r>
      <w:r w:rsidR="00076FDB">
        <w:t>w</w:t>
      </w:r>
      <w:r w:rsidR="00076FDB" w:rsidRPr="00C94971">
        <w:t xml:space="preserve">hen </w:t>
      </w:r>
      <w:r w:rsidR="00076FDB">
        <w:t>applying</w:t>
      </w:r>
      <w:r w:rsidR="00076FDB" w:rsidRPr="00C94971">
        <w:t xml:space="preserve"> a damped trend</w:t>
      </w:r>
      <w:r w:rsidR="00076FDB">
        <w:t xml:space="preserve"> model</w:t>
      </w:r>
      <w:r w:rsidR="00076FDB" w:rsidRPr="00C94971">
        <w:t xml:space="preserve">, the </w:t>
      </w:r>
      <w:r w:rsidR="000A2ECA">
        <w:t xml:space="preserve">total </w:t>
      </w:r>
      <w:r w:rsidR="00076FDB" w:rsidRPr="00C94971">
        <w:t xml:space="preserve">population </w:t>
      </w:r>
      <w:r w:rsidR="00076FDB">
        <w:t xml:space="preserve">eligible for </w:t>
      </w:r>
      <w:r w:rsidR="0046358D" w:rsidRPr="0046358D">
        <w:t>cefiderocol</w:t>
      </w:r>
      <w:r w:rsidR="000A2ECA">
        <w:t xml:space="preserve"> (across all 3 pathogens in the analys</w:t>
      </w:r>
      <w:r w:rsidR="00250DC9">
        <w:t>i</w:t>
      </w:r>
      <w:r w:rsidR="000A2ECA">
        <w:t xml:space="preserve">s) </w:t>
      </w:r>
      <w:r w:rsidR="00076FDB">
        <w:t xml:space="preserve"> </w:t>
      </w:r>
      <w:r w:rsidR="00076FDB" w:rsidRPr="00C94971">
        <w:t xml:space="preserve">increased from </w:t>
      </w:r>
      <w:r w:rsidR="00B93569">
        <w:t>605-1,280</w:t>
      </w:r>
      <w:r w:rsidR="00076FDB" w:rsidRPr="00C94971">
        <w:t xml:space="preserve"> in year 1 to </w:t>
      </w:r>
      <w:r w:rsidR="00B93569">
        <w:t>1,175-2,269</w:t>
      </w:r>
      <w:r w:rsidR="00076FDB" w:rsidRPr="00C94971">
        <w:t xml:space="preserve"> in year 20. </w:t>
      </w:r>
      <w:r w:rsidR="00076FDB">
        <w:t>Using the</w:t>
      </w:r>
      <w:r w:rsidR="00076FDB" w:rsidRPr="00C94971">
        <w:t xml:space="preserve"> </w:t>
      </w:r>
      <w:r w:rsidR="00076FDB">
        <w:t xml:space="preserve">persistent growth model resulted in a </w:t>
      </w:r>
      <w:r w:rsidR="00076FDB" w:rsidRPr="00C94971">
        <w:t>substantially</w:t>
      </w:r>
      <w:r w:rsidR="00076FDB">
        <w:t xml:space="preserve"> greater increase in population size by year 20, to </w:t>
      </w:r>
      <w:r w:rsidR="00B93569">
        <w:t>2,553-4,508</w:t>
      </w:r>
      <w:r w:rsidR="00076FDB">
        <w:t xml:space="preserve"> patients</w:t>
      </w:r>
      <w:r w:rsidR="000A2ECA">
        <w:t xml:space="preserve"> (across all 3 pathogens in the analysis)</w:t>
      </w:r>
      <w:r w:rsidR="00743818" w:rsidRPr="00C94971">
        <w:t xml:space="preserve">. </w:t>
      </w:r>
      <w:r w:rsidR="00A624E7" w:rsidRPr="00C94971">
        <w:t xml:space="preserve">EEPRU note that while there is little statistical or visual reason to choose one particular </w:t>
      </w:r>
      <w:r w:rsidR="0032162E">
        <w:t xml:space="preserve">forecasting approach, </w:t>
      </w:r>
      <w:r w:rsidR="00A624E7" w:rsidRPr="00C94971">
        <w:t>there are reasons to favour the damped-trend model</w:t>
      </w:r>
      <w:r w:rsidR="0032162E">
        <w:t>:</w:t>
      </w:r>
    </w:p>
    <w:p w14:paraId="456854CF" w14:textId="3F6971C9" w:rsidR="0032162E" w:rsidRPr="0032162E" w:rsidRDefault="0032162E" w:rsidP="00040DAC">
      <w:pPr>
        <w:pStyle w:val="Paragraphnonumbers"/>
        <w:numPr>
          <w:ilvl w:val="2"/>
          <w:numId w:val="37"/>
        </w:numPr>
      </w:pPr>
      <w:r w:rsidRPr="0032162E">
        <w:lastRenderedPageBreak/>
        <w:t>empirical evidence from literature shows that long-term forecasts from models with damped trend generally outperform similar models without damped trend</w:t>
      </w:r>
    </w:p>
    <w:p w14:paraId="4E8A68A8" w14:textId="4884B043" w:rsidR="0032162E" w:rsidRPr="0032162E" w:rsidRDefault="0032162E" w:rsidP="00040DAC">
      <w:pPr>
        <w:pStyle w:val="Paragraphnonumbers"/>
        <w:numPr>
          <w:ilvl w:val="2"/>
          <w:numId w:val="37"/>
        </w:numPr>
      </w:pPr>
      <w:r w:rsidRPr="0032162E">
        <w:t>continual improvements to antimicrobial stewardship strategies may lead to reduced rate of resistance gain</w:t>
      </w:r>
      <w:r w:rsidR="00076FDB">
        <w:t>.</w:t>
      </w:r>
    </w:p>
    <w:p w14:paraId="3579ADFF" w14:textId="0E8FF34E" w:rsidR="00830A46" w:rsidRDefault="00830A46" w:rsidP="00040DAC">
      <w:pPr>
        <w:pStyle w:val="Paragraphnonumbers"/>
        <w:numPr>
          <w:ilvl w:val="1"/>
          <w:numId w:val="37"/>
        </w:numPr>
      </w:pPr>
      <w:r w:rsidRPr="00C94971">
        <w:rPr>
          <w:b/>
          <w:bCs/>
        </w:rPr>
        <w:t>Why it matters</w:t>
      </w:r>
      <w:r w:rsidRPr="00C94971">
        <w:t xml:space="preserve">: </w:t>
      </w:r>
      <w:r w:rsidR="0089635F">
        <w:t>P</w:t>
      </w:r>
      <w:r w:rsidRPr="00C94971">
        <w:t xml:space="preserve">opulation size is a </w:t>
      </w:r>
      <w:r w:rsidR="0089635F">
        <w:t xml:space="preserve">key </w:t>
      </w:r>
      <w:r w:rsidRPr="00C94971">
        <w:t>driver of QALY gain</w:t>
      </w:r>
      <w:r w:rsidR="0089635F">
        <w:t>s</w:t>
      </w:r>
      <w:r w:rsidR="005505C1" w:rsidRPr="00C94971">
        <w:t>.</w:t>
      </w:r>
      <w:r w:rsidR="00BB4C9B">
        <w:t xml:space="preserve"> When assuming persistent growth, the incremental QALY gains with </w:t>
      </w:r>
      <w:r w:rsidR="00B93569">
        <w:t>cefiderocol</w:t>
      </w:r>
      <w:r w:rsidR="00BB4C9B">
        <w:t xml:space="preserve"> double compared to </w:t>
      </w:r>
      <w:r w:rsidR="00D14FFD">
        <w:t xml:space="preserve">QALY gains using </w:t>
      </w:r>
      <w:r w:rsidR="00BB4C9B">
        <w:t xml:space="preserve">the damped trend model. For example, when applying EEPRU’s most optimistic base case assumptions </w:t>
      </w:r>
      <w:r w:rsidR="00CB41CD">
        <w:t xml:space="preserve">in relation to QALY gains </w:t>
      </w:r>
      <w:r w:rsidR="00BB4C9B">
        <w:t>(</w:t>
      </w:r>
      <w:r w:rsidR="00BD5FCC">
        <w:t xml:space="preserve">that is, </w:t>
      </w:r>
      <w:r w:rsidR="005505C1" w:rsidRPr="00C94971">
        <w:t xml:space="preserve">using the </w:t>
      </w:r>
      <w:r w:rsidR="00BB4C9B">
        <w:t xml:space="preserve">clinical advisor </w:t>
      </w:r>
      <w:r w:rsidR="005505C1" w:rsidRPr="00C94971">
        <w:t>classification of infection sites</w:t>
      </w:r>
      <w:r w:rsidR="00BB4C9B">
        <w:t xml:space="preserve"> and assuming </w:t>
      </w:r>
      <w:r w:rsidR="00CB41CD">
        <w:t xml:space="preserve">only a </w:t>
      </w:r>
      <w:r w:rsidR="00BB4C9B">
        <w:t>1% increase in resistance</w:t>
      </w:r>
      <w:r w:rsidR="00FD5039">
        <w:t xml:space="preserve"> to </w:t>
      </w:r>
      <w:r w:rsidR="00B93569" w:rsidRPr="00B93569">
        <w:t>cefiderocol</w:t>
      </w:r>
      <w:r w:rsidR="00E47FB1">
        <w:t xml:space="preserve"> over 20 years</w:t>
      </w:r>
      <w:r w:rsidR="00BB4C9B">
        <w:t xml:space="preserve">) </w:t>
      </w:r>
      <w:r w:rsidR="005505C1" w:rsidRPr="00C94971">
        <w:t xml:space="preserve">the </w:t>
      </w:r>
      <w:r w:rsidR="0089635F">
        <w:t xml:space="preserve">incremental </w:t>
      </w:r>
      <w:r w:rsidR="005505C1" w:rsidRPr="00C94971">
        <w:t xml:space="preserve">QALY </w:t>
      </w:r>
      <w:r w:rsidR="0089635F">
        <w:t xml:space="preserve">gain with </w:t>
      </w:r>
      <w:r w:rsidR="00B93569" w:rsidRPr="00B93569">
        <w:t>cefiderocol</w:t>
      </w:r>
      <w:r w:rsidR="0089635F" w:rsidRPr="00C94971">
        <w:t xml:space="preserve"> </w:t>
      </w:r>
      <w:r w:rsidR="005505C1" w:rsidRPr="00C94971">
        <w:t xml:space="preserve">increases from </w:t>
      </w:r>
      <w:r w:rsidR="006563AE">
        <w:t>2,499</w:t>
      </w:r>
      <w:r w:rsidR="00BB4C9B">
        <w:t xml:space="preserve"> </w:t>
      </w:r>
      <w:r w:rsidR="0089635F">
        <w:t>when assuming a damped trend model,</w:t>
      </w:r>
      <w:r w:rsidR="005505C1" w:rsidRPr="00C94971">
        <w:t xml:space="preserve"> to </w:t>
      </w:r>
      <w:r w:rsidR="006563AE">
        <w:t>3,559</w:t>
      </w:r>
      <w:r w:rsidR="00BB4C9B" w:rsidRPr="00C94971">
        <w:t xml:space="preserve"> </w:t>
      </w:r>
      <w:r w:rsidR="005505C1" w:rsidRPr="00C94971">
        <w:t>when persistent growth is assumed.</w:t>
      </w:r>
    </w:p>
    <w:p w14:paraId="10EE7C7A" w14:textId="701FB03B" w:rsidR="001C24E3" w:rsidRPr="00C94971" w:rsidRDefault="0028235B" w:rsidP="00040DAC">
      <w:pPr>
        <w:pStyle w:val="Paragraphnonumbers"/>
        <w:numPr>
          <w:ilvl w:val="1"/>
          <w:numId w:val="37"/>
        </w:numPr>
      </w:pPr>
      <w:r>
        <w:rPr>
          <w:b/>
          <w:bCs/>
        </w:rPr>
        <w:t xml:space="preserve">Cross-references to committee papers for </w:t>
      </w:r>
      <w:bookmarkStart w:id="3" w:name="_Hlk94556177"/>
      <w:r w:rsidR="006563AE" w:rsidRPr="006563AE">
        <w:rPr>
          <w:b/>
          <w:bCs/>
        </w:rPr>
        <w:t>cefiderocol</w:t>
      </w:r>
      <w:bookmarkEnd w:id="3"/>
      <w:r w:rsidR="001C24E3">
        <w:rPr>
          <w:b/>
          <w:bCs/>
        </w:rPr>
        <w:t xml:space="preserve">: </w:t>
      </w:r>
      <w:r w:rsidR="00E62E0D">
        <w:t xml:space="preserve">This issue is primarily discussed in the Assessment Report, Section </w:t>
      </w:r>
      <w:r w:rsidR="008D34F9">
        <w:t>8.2.5.1</w:t>
      </w:r>
      <w:r w:rsidR="00E62E0D">
        <w:t xml:space="preserve">. </w:t>
      </w:r>
      <w:r w:rsidR="00B340B8">
        <w:t>The impact o</w:t>
      </w:r>
      <w:r w:rsidR="00A04423">
        <w:t>f</w:t>
      </w:r>
      <w:r w:rsidR="00B340B8">
        <w:t xml:space="preserve"> quantitative extrapolation o</w:t>
      </w:r>
      <w:r w:rsidR="00A04423">
        <w:t>n</w:t>
      </w:r>
      <w:r w:rsidR="00B340B8">
        <w:t xml:space="preserve"> population size is illustrated in Figure </w:t>
      </w:r>
      <w:r w:rsidR="008D34F9">
        <w:t>1</w:t>
      </w:r>
      <w:r w:rsidR="005F221A">
        <w:t>5</w:t>
      </w:r>
      <w:r w:rsidR="008D34F9">
        <w:t xml:space="preserve"> </w:t>
      </w:r>
      <w:r w:rsidR="00B340B8">
        <w:t xml:space="preserve">and Table </w:t>
      </w:r>
      <w:r w:rsidR="005F221A">
        <w:t>33</w:t>
      </w:r>
      <w:r w:rsidR="009E7011">
        <w:t xml:space="preserve">, and on net health effects in Figure </w:t>
      </w:r>
      <w:r w:rsidR="001E7A1E">
        <w:t xml:space="preserve">6 </w:t>
      </w:r>
      <w:r w:rsidR="009E7011">
        <w:t xml:space="preserve">and Table </w:t>
      </w:r>
      <w:r w:rsidR="001E7A1E">
        <w:t>11 in Addendum 2 to the EEPRU report</w:t>
      </w:r>
      <w:r w:rsidR="009E7011">
        <w:t xml:space="preserve">. </w:t>
      </w:r>
      <w:r w:rsidR="00E62E0D">
        <w:t>Supporting notes and citations to literature references are provided in Appendix 15.</w:t>
      </w:r>
    </w:p>
    <w:p w14:paraId="7C2352E5" w14:textId="644F1800" w:rsidR="00530EA6" w:rsidRDefault="00530EA6" w:rsidP="00914F7F">
      <w:pPr>
        <w:pStyle w:val="Paragraph"/>
      </w:pPr>
      <w:r>
        <w:t xml:space="preserve">Is it reasonable to assume no growth </w:t>
      </w:r>
      <w:r w:rsidR="001164FB">
        <w:t>i</w:t>
      </w:r>
      <w:r w:rsidR="005B216D" w:rsidRPr="005B216D">
        <w:t xml:space="preserve">n the eligible </w:t>
      </w:r>
      <w:r w:rsidR="005B216D" w:rsidRPr="005B216D">
        <w:rPr>
          <w:i/>
          <w:iCs/>
        </w:rPr>
        <w:t>Pseudomonas</w:t>
      </w:r>
      <w:r w:rsidR="00250DC9">
        <w:rPr>
          <w:i/>
          <w:iCs/>
        </w:rPr>
        <w:t xml:space="preserve"> </w:t>
      </w:r>
      <w:r w:rsidR="00250DC9">
        <w:rPr>
          <w:i/>
          <w:iCs/>
        </w:rPr>
        <w:t>aeruginosa</w:t>
      </w:r>
      <w:r w:rsidR="005B216D" w:rsidRPr="005B216D">
        <w:rPr>
          <w:i/>
          <w:iCs/>
        </w:rPr>
        <w:t xml:space="preserve"> </w:t>
      </w:r>
      <w:r w:rsidR="005B216D" w:rsidRPr="005B216D">
        <w:t xml:space="preserve">population over time? </w:t>
      </w:r>
    </w:p>
    <w:p w14:paraId="663E94AD" w14:textId="3BF894FD" w:rsidR="005B216D" w:rsidRPr="00D1152F" w:rsidRDefault="005B216D" w:rsidP="005B216D">
      <w:pPr>
        <w:pStyle w:val="Paragraph"/>
        <w:numPr>
          <w:ilvl w:val="1"/>
          <w:numId w:val="3"/>
        </w:numPr>
      </w:pPr>
      <w:r w:rsidRPr="00C94971">
        <w:rPr>
          <w:b/>
          <w:bCs/>
        </w:rPr>
        <w:t xml:space="preserve">Context: </w:t>
      </w:r>
      <w:r>
        <w:t xml:space="preserve">As </w:t>
      </w:r>
      <w:r w:rsidR="00D1152F">
        <w:t>explained</w:t>
      </w:r>
      <w:r>
        <w:t xml:space="preserve"> in key issue 11, </w:t>
      </w:r>
      <w:r w:rsidRPr="00DE4DC1">
        <w:rPr>
          <w:rFonts w:cs="Arial"/>
        </w:rPr>
        <w:t xml:space="preserve">EEPRU </w:t>
      </w:r>
      <w:r w:rsidR="00250DC9">
        <w:rPr>
          <w:rFonts w:cs="Arial"/>
        </w:rPr>
        <w:t>explored the impact of</w:t>
      </w:r>
      <w:r>
        <w:rPr>
          <w:rFonts w:cs="Arial"/>
          <w:b/>
          <w:bCs/>
        </w:rPr>
        <w:t xml:space="preserve"> </w:t>
      </w:r>
      <w:r>
        <w:t xml:space="preserve">2 </w:t>
      </w:r>
      <w:r w:rsidRPr="003E5977">
        <w:t>alternative approaches to forecasting increases in infections</w:t>
      </w:r>
      <w:r>
        <w:t xml:space="preserve"> for </w:t>
      </w:r>
      <w:r w:rsidRPr="00DE4DC1">
        <w:rPr>
          <w:rFonts w:cs="Arial"/>
          <w:i/>
          <w:iCs/>
        </w:rPr>
        <w:t>Enterobacterales</w:t>
      </w:r>
      <w:r>
        <w:rPr>
          <w:rFonts w:cs="Arial"/>
          <w:i/>
          <w:iCs/>
        </w:rPr>
        <w:t xml:space="preserve"> </w:t>
      </w:r>
      <w:r w:rsidRPr="00D1152F">
        <w:rPr>
          <w:rFonts w:cs="Arial"/>
        </w:rPr>
        <w:t>(damped trend and persistent growth)</w:t>
      </w:r>
      <w:r>
        <w:rPr>
          <w:rFonts w:cs="Arial"/>
        </w:rPr>
        <w:t xml:space="preserve">. For </w:t>
      </w:r>
      <w:r w:rsidRPr="005B216D">
        <w:rPr>
          <w:i/>
          <w:iCs/>
        </w:rPr>
        <w:t>Pseudomonas</w:t>
      </w:r>
      <w:r w:rsidR="00D1152F">
        <w:rPr>
          <w:i/>
          <w:iCs/>
        </w:rPr>
        <w:t xml:space="preserve">, </w:t>
      </w:r>
      <w:r w:rsidR="00D1152F" w:rsidRPr="00D1152F">
        <w:t>EEPRU</w:t>
      </w:r>
      <w:r w:rsidR="00D1152F">
        <w:t xml:space="preserve"> assumed the population size remained constant over the 20-year modelled time horizon. This is because the model with </w:t>
      </w:r>
      <w:r w:rsidR="00D1152F" w:rsidRPr="00D1152F">
        <w:t xml:space="preserve">no trend gave </w:t>
      </w:r>
      <w:r w:rsidR="00D1152F">
        <w:t xml:space="preserve">the </w:t>
      </w:r>
      <w:r w:rsidR="00D1152F" w:rsidRPr="00D1152F">
        <w:t>best statistical fit</w:t>
      </w:r>
      <w:r w:rsidR="00D1152F">
        <w:t xml:space="preserve">, compared with the </w:t>
      </w:r>
      <w:r w:rsidR="00D1152F" w:rsidRPr="00DE4DC1">
        <w:rPr>
          <w:rFonts w:cs="Arial"/>
        </w:rPr>
        <w:t>damped trend and persistent growth</w:t>
      </w:r>
      <w:r w:rsidR="00D1152F">
        <w:rPr>
          <w:rFonts w:cs="Arial"/>
        </w:rPr>
        <w:t xml:space="preserve"> models. </w:t>
      </w:r>
    </w:p>
    <w:p w14:paraId="59D7C2F0" w14:textId="6643D4C5" w:rsidR="00D1152F" w:rsidRDefault="00D1152F" w:rsidP="00D1152F">
      <w:pPr>
        <w:pStyle w:val="Paragraphnonumbers"/>
        <w:numPr>
          <w:ilvl w:val="1"/>
          <w:numId w:val="3"/>
        </w:numPr>
      </w:pPr>
      <w:r w:rsidRPr="00C94971">
        <w:rPr>
          <w:b/>
          <w:bCs/>
        </w:rPr>
        <w:t>Why it matters</w:t>
      </w:r>
      <w:r w:rsidRPr="00C94971">
        <w:t xml:space="preserve">: </w:t>
      </w:r>
      <w:r>
        <w:t>P</w:t>
      </w:r>
      <w:r w:rsidRPr="00C94971">
        <w:t xml:space="preserve">opulation size is a </w:t>
      </w:r>
      <w:r>
        <w:t xml:space="preserve">key </w:t>
      </w:r>
      <w:r w:rsidRPr="00C94971">
        <w:t>driver of QALY gain</w:t>
      </w:r>
      <w:r>
        <w:t>s</w:t>
      </w:r>
      <w:r w:rsidRPr="00C94971">
        <w:t>.</w:t>
      </w:r>
      <w:r>
        <w:t xml:space="preserve"> </w:t>
      </w:r>
      <w:r>
        <w:t xml:space="preserve">EEPRU did not present the </w:t>
      </w:r>
      <w:r>
        <w:t xml:space="preserve">incremental QALY gains with cefiderocol </w:t>
      </w:r>
      <w:r>
        <w:t xml:space="preserve">when applying the damped trend or resistant growth models to </w:t>
      </w:r>
      <w:r w:rsidRPr="00D1152F">
        <w:rPr>
          <w:i/>
          <w:iCs/>
        </w:rPr>
        <w:t>Pseudomonas</w:t>
      </w:r>
      <w:r w:rsidRPr="00D1152F">
        <w:t xml:space="preserve"> </w:t>
      </w:r>
      <w:r>
        <w:rPr>
          <w:i/>
          <w:iCs/>
        </w:rPr>
        <w:t>aeruginosa</w:t>
      </w:r>
      <w:r w:rsidRPr="00C94971">
        <w:t>.</w:t>
      </w:r>
    </w:p>
    <w:p w14:paraId="322CF4D3" w14:textId="0C4EE30A" w:rsidR="00D1152F" w:rsidRPr="00D1152F" w:rsidRDefault="00D1152F" w:rsidP="00D1152F">
      <w:pPr>
        <w:pStyle w:val="Paragraphnonumbers"/>
        <w:numPr>
          <w:ilvl w:val="1"/>
          <w:numId w:val="3"/>
        </w:numPr>
      </w:pPr>
      <w:r w:rsidRPr="00D1152F">
        <w:rPr>
          <w:b/>
          <w:bCs/>
        </w:rPr>
        <w:t xml:space="preserve">Cross-references to committee papers for cefiderocol: </w:t>
      </w:r>
      <w:r>
        <w:t>Assessment Report, Section 8.2.5.1.</w:t>
      </w:r>
    </w:p>
    <w:p w14:paraId="70D88C31" w14:textId="5642C19F" w:rsidR="00B92289" w:rsidRPr="00C94971" w:rsidRDefault="001C169B" w:rsidP="00914F7F">
      <w:pPr>
        <w:pStyle w:val="Paragraph"/>
      </w:pPr>
      <w:r w:rsidRPr="001C169B">
        <w:rPr>
          <w:b/>
          <w:bCs/>
        </w:rPr>
        <w:t>H</w:t>
      </w:r>
      <w:r>
        <w:rPr>
          <w:b/>
          <w:bCs/>
        </w:rPr>
        <w:t xml:space="preserve">igh priority: </w:t>
      </w:r>
      <w:r w:rsidR="00796B16" w:rsidRPr="001C169B">
        <w:t>What</w:t>
      </w:r>
      <w:r w:rsidR="00796B16" w:rsidRPr="00C94971">
        <w:t xml:space="preserve"> is the likely increase in resistance </w:t>
      </w:r>
      <w:r w:rsidR="00796B16" w:rsidRPr="001602D2">
        <w:t xml:space="preserve">to </w:t>
      </w:r>
      <w:r w:rsidR="005F221A" w:rsidRPr="005F221A">
        <w:t>cefiderocol</w:t>
      </w:r>
      <w:r w:rsidR="00AE7CDE" w:rsidRPr="001602D2">
        <w:t xml:space="preserve"> due to </w:t>
      </w:r>
      <w:r w:rsidR="00784CFD">
        <w:t>the modelled resistance mechanisms</w:t>
      </w:r>
      <w:r w:rsidR="007741F8" w:rsidRPr="001602D2">
        <w:t xml:space="preserve"> </w:t>
      </w:r>
      <w:r w:rsidR="00796B16" w:rsidRPr="001602D2">
        <w:t>over the</w:t>
      </w:r>
      <w:r w:rsidR="00796B16" w:rsidRPr="00C94971">
        <w:t xml:space="preserve"> 20</w:t>
      </w:r>
      <w:r w:rsidR="00BC15DE" w:rsidRPr="00C94971">
        <w:t>-</w:t>
      </w:r>
      <w:r w:rsidR="00796B16" w:rsidRPr="00C94971">
        <w:t xml:space="preserve">year time horizon? </w:t>
      </w:r>
      <w:r w:rsidR="00B92289" w:rsidRPr="00C94971">
        <w:t>1</w:t>
      </w:r>
      <w:r w:rsidR="00D60246">
        <w:t xml:space="preserve">%, </w:t>
      </w:r>
      <w:r w:rsidR="00B92289" w:rsidRPr="00C94971">
        <w:t>5</w:t>
      </w:r>
      <w:r w:rsidR="00D60246">
        <w:t xml:space="preserve">%, </w:t>
      </w:r>
      <w:r w:rsidR="00B92289" w:rsidRPr="00C94971">
        <w:t>10</w:t>
      </w:r>
      <w:r w:rsidR="00D60246">
        <w:t xml:space="preserve">% or </w:t>
      </w:r>
      <w:r w:rsidR="00B92289" w:rsidRPr="00C94971">
        <w:t>30%</w:t>
      </w:r>
      <w:r w:rsidR="00796B16" w:rsidRPr="00C94971">
        <w:t>?</w:t>
      </w:r>
      <w:r w:rsidR="004B2E29" w:rsidRPr="00C94971">
        <w:t xml:space="preserve"> </w:t>
      </w:r>
    </w:p>
    <w:p w14:paraId="1395FDAD" w14:textId="5A0AD1CB" w:rsidR="00743818" w:rsidRPr="00C94971" w:rsidRDefault="00743818" w:rsidP="00743818">
      <w:pPr>
        <w:pStyle w:val="Paragraphnonumbers"/>
        <w:numPr>
          <w:ilvl w:val="1"/>
          <w:numId w:val="3"/>
        </w:numPr>
      </w:pPr>
      <w:r w:rsidRPr="00C94971">
        <w:rPr>
          <w:b/>
          <w:bCs/>
        </w:rPr>
        <w:t xml:space="preserve">Context: </w:t>
      </w:r>
      <w:r w:rsidRPr="00C94971">
        <w:t xml:space="preserve">It is challenging to predict how resistance to </w:t>
      </w:r>
      <w:r w:rsidR="00784CFD" w:rsidRPr="00784CFD">
        <w:t>cefiderocol</w:t>
      </w:r>
      <w:r w:rsidRPr="00C94971">
        <w:t xml:space="preserve"> might change over the time horizon of the evaluation because of the wide variety of factors which may </w:t>
      </w:r>
      <w:r w:rsidR="003A6924">
        <w:t>a</w:t>
      </w:r>
      <w:r w:rsidRPr="00C94971">
        <w:t>ffect resistance rates. Therefore, the resistance rate used is a substantial source of uncertainty.</w:t>
      </w:r>
    </w:p>
    <w:p w14:paraId="54DE04A1" w14:textId="78379425" w:rsidR="00664498" w:rsidRDefault="00743818" w:rsidP="003A7A06">
      <w:pPr>
        <w:pStyle w:val="Paragraph"/>
        <w:numPr>
          <w:ilvl w:val="1"/>
          <w:numId w:val="3"/>
        </w:numPr>
      </w:pPr>
      <w:r w:rsidRPr="00C94971">
        <w:rPr>
          <w:b/>
          <w:bCs/>
        </w:rPr>
        <w:lastRenderedPageBreak/>
        <w:t>Why it matters</w:t>
      </w:r>
      <w:r w:rsidRPr="00C94971">
        <w:t>: Increases in resistance will reduce the clinical effectiveness of the new antimicrobial, therefore reduce the population level QALY gain. For example</w:t>
      </w:r>
      <w:r w:rsidR="004B5E90">
        <w:t>,</w:t>
      </w:r>
      <w:r w:rsidRPr="00C94971">
        <w:t xml:space="preserve"> in one of the base case scenarios for </w:t>
      </w:r>
      <w:r w:rsidR="00784CFD" w:rsidRPr="00784CFD">
        <w:t>cefiderocol</w:t>
      </w:r>
      <w:r w:rsidRPr="00C94971">
        <w:t xml:space="preserve"> the QALY gains range from </w:t>
      </w:r>
      <w:r w:rsidR="001E7A1E">
        <w:t>1,291</w:t>
      </w:r>
      <w:r w:rsidR="001E7A1E" w:rsidRPr="00C94971">
        <w:t xml:space="preserve"> </w:t>
      </w:r>
      <w:r w:rsidR="003A6924">
        <w:t xml:space="preserve">when assuming the </w:t>
      </w:r>
      <w:r w:rsidRPr="00C94971">
        <w:t xml:space="preserve">highest </w:t>
      </w:r>
      <w:r w:rsidR="003A6924">
        <w:t xml:space="preserve">increase in resistance (30%), to </w:t>
      </w:r>
      <w:r w:rsidR="001E7A1E">
        <w:t xml:space="preserve">1,625 </w:t>
      </w:r>
      <w:r w:rsidR="003A6924">
        <w:t xml:space="preserve">when assuming the </w:t>
      </w:r>
      <w:r w:rsidRPr="00C94971">
        <w:t xml:space="preserve">lowest increase in resistance </w:t>
      </w:r>
      <w:r w:rsidR="003A6924">
        <w:t>(1%)</w:t>
      </w:r>
      <w:r w:rsidRPr="00C94971">
        <w:t xml:space="preserve">. </w:t>
      </w:r>
    </w:p>
    <w:p w14:paraId="1B3A19A0" w14:textId="2A8C8EC7" w:rsidR="00A04423" w:rsidRPr="00C94971" w:rsidRDefault="0028235B" w:rsidP="00A04423">
      <w:pPr>
        <w:pStyle w:val="Paragraphnonumbers"/>
        <w:numPr>
          <w:ilvl w:val="1"/>
          <w:numId w:val="3"/>
        </w:numPr>
      </w:pPr>
      <w:r>
        <w:rPr>
          <w:b/>
          <w:bCs/>
        </w:rPr>
        <w:t xml:space="preserve">Cross-references to committee papers for </w:t>
      </w:r>
      <w:r w:rsidR="00784CFD" w:rsidRPr="00784CFD">
        <w:rPr>
          <w:b/>
          <w:bCs/>
        </w:rPr>
        <w:t>cefiderocol</w:t>
      </w:r>
      <w:r w:rsidR="00A04423">
        <w:rPr>
          <w:b/>
          <w:bCs/>
        </w:rPr>
        <w:t xml:space="preserve">: </w:t>
      </w:r>
      <w:r w:rsidR="00A04423">
        <w:t xml:space="preserve">This issue is primarily discussed in the Assessment Report, Section </w:t>
      </w:r>
      <w:r w:rsidR="00A56960">
        <w:t>8</w:t>
      </w:r>
      <w:r w:rsidR="00A04423" w:rsidRPr="00E62E0D">
        <w:t>.2.5.</w:t>
      </w:r>
      <w:r w:rsidR="00A04423">
        <w:t xml:space="preserve">3. The impact of choice of resistance rate on net health effects in Figure </w:t>
      </w:r>
      <w:r w:rsidR="001E7A1E">
        <w:t xml:space="preserve">5 </w:t>
      </w:r>
      <w:r w:rsidR="00A04423">
        <w:t>and Table</w:t>
      </w:r>
      <w:r w:rsidR="001E7A1E">
        <w:t xml:space="preserve"> 11 in Addendum 2 to the EEPRU report</w:t>
      </w:r>
      <w:r w:rsidR="00A04423">
        <w:t>. Supporting notes and citations to literature references are provided inand A15.3.</w:t>
      </w:r>
    </w:p>
    <w:p w14:paraId="6BB5BA51" w14:textId="1EA6560A" w:rsidR="006D5A16" w:rsidRPr="00C94971" w:rsidRDefault="006D5A16" w:rsidP="001F2929">
      <w:pPr>
        <w:pStyle w:val="Heading1"/>
      </w:pPr>
      <w:r w:rsidRPr="00C94971">
        <w:t xml:space="preserve">Relative effectiveness: susceptibility data </w:t>
      </w:r>
    </w:p>
    <w:p w14:paraId="5FA9DAEE" w14:textId="60FB5588" w:rsidR="00F44004" w:rsidRPr="00B47374" w:rsidRDefault="00F44004" w:rsidP="00F44004">
      <w:pPr>
        <w:pStyle w:val="Paragraph"/>
      </w:pPr>
      <w:r w:rsidRPr="00B47374">
        <w:t>Which network of susceptibility evidence should be used to estimate relative effectiveness</w:t>
      </w:r>
      <w:r w:rsidR="00081069" w:rsidRPr="00B47374">
        <w:t xml:space="preserve"> (EUCAST, CLSI or both)</w:t>
      </w:r>
      <w:r w:rsidRPr="00B47374">
        <w:t>?</w:t>
      </w:r>
    </w:p>
    <w:p w14:paraId="25085A9C" w14:textId="49F14E03" w:rsidR="004C6F27" w:rsidRPr="00237E81" w:rsidRDefault="009B7B2B" w:rsidP="009B7B2B">
      <w:pPr>
        <w:pStyle w:val="Paragraph"/>
        <w:numPr>
          <w:ilvl w:val="1"/>
          <w:numId w:val="3"/>
        </w:numPr>
        <w:rPr>
          <w:i/>
          <w:iCs/>
        </w:rPr>
      </w:pPr>
      <w:r w:rsidRPr="00B47374">
        <w:rPr>
          <w:b/>
          <w:bCs/>
        </w:rPr>
        <w:t>Context</w:t>
      </w:r>
      <w:r w:rsidR="00B47374">
        <w:rPr>
          <w:b/>
          <w:bCs/>
        </w:rPr>
        <w:t>:</w:t>
      </w:r>
      <w:r w:rsidR="004C6F27" w:rsidRPr="00B47374">
        <w:rPr>
          <w:b/>
          <w:bCs/>
        </w:rPr>
        <w:t xml:space="preserve"> </w:t>
      </w:r>
      <w:r w:rsidR="00264852">
        <w:t>There are several sources of susceptibility evidence that can be used to inform the network meta</w:t>
      </w:r>
      <w:r w:rsidR="003940BE">
        <w:t>-</w:t>
      </w:r>
      <w:r w:rsidR="00264852">
        <w:t>analysis</w:t>
      </w:r>
      <w:r w:rsidR="00F24324">
        <w:t xml:space="preserve"> (NMA)</w:t>
      </w:r>
      <w:r w:rsidR="00264852">
        <w:t xml:space="preserve"> </w:t>
      </w:r>
      <w:r w:rsidR="003940BE">
        <w:t xml:space="preserve">that EEPRU </w:t>
      </w:r>
      <w:r w:rsidR="00264852">
        <w:t xml:space="preserve">used to estimate </w:t>
      </w:r>
      <w:r w:rsidR="003940BE">
        <w:t xml:space="preserve">the </w:t>
      </w:r>
      <w:r w:rsidR="00264852">
        <w:t>relative effectiveness</w:t>
      </w:r>
      <w:r w:rsidR="003940BE">
        <w:t xml:space="preserve"> of CAZ-AVI and cefiderocol</w:t>
      </w:r>
      <w:r w:rsidR="00264852">
        <w:t xml:space="preserve">. These sources use different methods to assess </w:t>
      </w:r>
      <w:r w:rsidR="00A01F43">
        <w:t xml:space="preserve">a pathogen’s </w:t>
      </w:r>
      <w:r w:rsidR="00264852">
        <w:t>susceptibility</w:t>
      </w:r>
      <w:r w:rsidR="00A01F43">
        <w:t xml:space="preserve"> to antimicrobials</w:t>
      </w:r>
      <w:r w:rsidR="00843202">
        <w:t xml:space="preserve">, for example using </w:t>
      </w:r>
      <w:r w:rsidR="00320BCC">
        <w:t xml:space="preserve">either the </w:t>
      </w:r>
      <w:r w:rsidR="00843202">
        <w:t xml:space="preserve">clinical breakpoints set by EUCAST (Europe) </w:t>
      </w:r>
      <w:r w:rsidR="00320BCC">
        <w:t xml:space="preserve">or those set by </w:t>
      </w:r>
      <w:r w:rsidR="00843202">
        <w:t>CLSI (US). EEPRU</w:t>
      </w:r>
      <w:r w:rsidR="00130499">
        <w:t>’s base case economic model included only the</w:t>
      </w:r>
      <w:r w:rsidR="00843202">
        <w:t xml:space="preserve"> data sources using EUCAST breakpoints</w:t>
      </w:r>
      <w:r w:rsidR="00130499">
        <w:t>,</w:t>
      </w:r>
      <w:r w:rsidR="009E001D">
        <w:t xml:space="preserve"> </w:t>
      </w:r>
      <w:r w:rsidR="00843202">
        <w:t xml:space="preserve">because </w:t>
      </w:r>
      <w:r w:rsidR="00F24324">
        <w:t xml:space="preserve">EEPRU </w:t>
      </w:r>
      <w:r w:rsidR="00130499">
        <w:t>considered</w:t>
      </w:r>
      <w:r w:rsidR="00843202">
        <w:t xml:space="preserve"> EUCAST methodology </w:t>
      </w:r>
      <w:r w:rsidR="00130499">
        <w:t xml:space="preserve">to be </w:t>
      </w:r>
      <w:r w:rsidR="00843202">
        <w:t>most relevant to UK clinical practice</w:t>
      </w:r>
      <w:r w:rsidR="00711163">
        <w:t xml:space="preserve"> and they </w:t>
      </w:r>
      <w:r w:rsidR="00B32C51">
        <w:t>considered it inappropriate to combine EUCAST and CLSI data</w:t>
      </w:r>
      <w:r w:rsidR="00843202">
        <w:t>.</w:t>
      </w:r>
      <w:r w:rsidR="00B32C51">
        <w:t xml:space="preserve"> Shionogi’s consultation comments suggest that </w:t>
      </w:r>
      <w:r w:rsidR="00B32C51" w:rsidRPr="6599DB3E">
        <w:rPr>
          <w:rFonts w:eastAsiaTheme="minorEastAsia" w:cs="Arial"/>
        </w:rPr>
        <w:t xml:space="preserve">even though </w:t>
      </w:r>
      <w:r w:rsidR="00B32C51">
        <w:rPr>
          <w:rFonts w:eastAsiaTheme="minorEastAsia" w:cs="Arial"/>
        </w:rPr>
        <w:t xml:space="preserve">EUCAST and CLSI have different </w:t>
      </w:r>
      <w:r w:rsidR="00B32C51" w:rsidRPr="6599DB3E">
        <w:rPr>
          <w:rFonts w:eastAsiaTheme="minorEastAsia" w:cs="Arial"/>
        </w:rPr>
        <w:t>breakpoints</w:t>
      </w:r>
      <w:r w:rsidR="00B32C51">
        <w:rPr>
          <w:rFonts w:eastAsiaTheme="minorEastAsia" w:cs="Arial"/>
        </w:rPr>
        <w:t xml:space="preserve">, </w:t>
      </w:r>
      <w:r w:rsidR="00B32C51" w:rsidRPr="6599DB3E">
        <w:rPr>
          <w:rFonts w:eastAsiaTheme="minorEastAsia" w:cs="Arial"/>
        </w:rPr>
        <w:t>the</w:t>
      </w:r>
      <w:r w:rsidR="00B32C51">
        <w:rPr>
          <w:rFonts w:eastAsiaTheme="minorEastAsia" w:cs="Arial"/>
        </w:rPr>
        <w:t>ir</w:t>
      </w:r>
      <w:r w:rsidR="00B32C51" w:rsidRPr="6599DB3E">
        <w:rPr>
          <w:rFonts w:eastAsiaTheme="minorEastAsia" w:cs="Arial"/>
        </w:rPr>
        <w:t xml:space="preserve"> </w:t>
      </w:r>
      <w:r w:rsidR="00A417D1">
        <w:rPr>
          <w:rFonts w:eastAsiaTheme="minorEastAsia" w:cs="Arial"/>
        </w:rPr>
        <w:t xml:space="preserve">laboratory </w:t>
      </w:r>
      <w:r w:rsidR="00B32C51" w:rsidRPr="6599DB3E">
        <w:rPr>
          <w:rFonts w:eastAsiaTheme="minorEastAsia" w:cs="Arial"/>
        </w:rPr>
        <w:t xml:space="preserve">methods are comparable which means EUCAST breakpoints can be applied to data generated by CLSI </w:t>
      </w:r>
      <w:r w:rsidR="00A417D1">
        <w:rPr>
          <w:rFonts w:eastAsiaTheme="minorEastAsia" w:cs="Arial"/>
        </w:rPr>
        <w:t>laboratory</w:t>
      </w:r>
      <w:r w:rsidR="00A417D1" w:rsidRPr="6599DB3E">
        <w:rPr>
          <w:rFonts w:eastAsiaTheme="minorEastAsia" w:cs="Arial"/>
        </w:rPr>
        <w:t xml:space="preserve"> </w:t>
      </w:r>
      <w:r w:rsidR="00B32C51" w:rsidRPr="6599DB3E">
        <w:rPr>
          <w:rFonts w:eastAsiaTheme="minorEastAsia" w:cs="Arial"/>
        </w:rPr>
        <w:t>method</w:t>
      </w:r>
      <w:r w:rsidR="00A417D1">
        <w:rPr>
          <w:rFonts w:eastAsiaTheme="minorEastAsia" w:cs="Arial"/>
        </w:rPr>
        <w:t>s</w:t>
      </w:r>
      <w:r w:rsidR="00B32C51" w:rsidRPr="6599DB3E">
        <w:rPr>
          <w:rFonts w:eastAsiaTheme="minorEastAsia" w:cs="Arial"/>
        </w:rPr>
        <w:t xml:space="preserve"> and vice versa.</w:t>
      </w:r>
      <w:r w:rsidR="00A417D1">
        <w:rPr>
          <w:rFonts w:eastAsiaTheme="minorEastAsia" w:cs="Arial"/>
        </w:rPr>
        <w:t xml:space="preserve"> </w:t>
      </w:r>
      <w:r w:rsidR="00FB3911">
        <w:rPr>
          <w:rFonts w:eastAsiaTheme="minorEastAsia" w:cs="Arial"/>
        </w:rPr>
        <w:t>By contrast, c</w:t>
      </w:r>
      <w:r w:rsidR="00A417D1">
        <w:rPr>
          <w:rFonts w:eastAsiaTheme="minorEastAsia" w:cs="Arial"/>
        </w:rPr>
        <w:t xml:space="preserve">onsultation comments from </w:t>
      </w:r>
      <w:r w:rsidR="00A417D1" w:rsidRPr="00A417D1">
        <w:rPr>
          <w:rFonts w:eastAsiaTheme="minorEastAsia" w:cs="Arial"/>
        </w:rPr>
        <w:t xml:space="preserve">BSAC/RCPath </w:t>
      </w:r>
      <w:r w:rsidR="00FB3911">
        <w:rPr>
          <w:rFonts w:eastAsiaTheme="minorEastAsia" w:cs="Arial"/>
        </w:rPr>
        <w:t xml:space="preserve">suggest </w:t>
      </w:r>
      <w:r w:rsidR="00A417D1">
        <w:rPr>
          <w:rFonts w:eastAsiaTheme="minorEastAsia" w:cs="Arial"/>
        </w:rPr>
        <w:t xml:space="preserve">they are </w:t>
      </w:r>
      <w:r w:rsidR="00FB3911">
        <w:rPr>
          <w:rFonts w:eastAsiaTheme="minorEastAsia" w:cs="Arial"/>
        </w:rPr>
        <w:t xml:space="preserve">not </w:t>
      </w:r>
      <w:r w:rsidR="00A417D1">
        <w:rPr>
          <w:rFonts w:eastAsiaTheme="minorEastAsia" w:cs="Arial"/>
        </w:rPr>
        <w:t>comparable, noting that i</w:t>
      </w:r>
      <w:r w:rsidR="00A417D1" w:rsidRPr="00A417D1">
        <w:rPr>
          <w:rFonts w:eastAsiaTheme="minorEastAsia" w:cs="Arial"/>
        </w:rPr>
        <w:t>t is important the laboratories using EUCAST method</w:t>
      </w:r>
      <w:r w:rsidR="00A417D1">
        <w:rPr>
          <w:rFonts w:eastAsiaTheme="minorEastAsia" w:cs="Arial"/>
        </w:rPr>
        <w:t>s</w:t>
      </w:r>
      <w:r w:rsidR="00A417D1" w:rsidRPr="00A417D1">
        <w:rPr>
          <w:rFonts w:eastAsiaTheme="minorEastAsia" w:cs="Arial"/>
        </w:rPr>
        <w:t xml:space="preserve"> interpret results using EUCAST breakpoints and that laboratories using a CLSI method</w:t>
      </w:r>
      <w:r w:rsidR="00A417D1">
        <w:rPr>
          <w:rFonts w:eastAsiaTheme="minorEastAsia" w:cs="Arial"/>
        </w:rPr>
        <w:t>s</w:t>
      </w:r>
      <w:r w:rsidR="00A417D1" w:rsidRPr="00A417D1">
        <w:rPr>
          <w:rFonts w:eastAsiaTheme="minorEastAsia" w:cs="Arial"/>
        </w:rPr>
        <w:t xml:space="preserve"> interpret results using CLSI breakpoints</w:t>
      </w:r>
      <w:r w:rsidR="00A406E7">
        <w:rPr>
          <w:rFonts w:eastAsiaTheme="minorEastAsia" w:cs="Arial"/>
        </w:rPr>
        <w:t>,</w:t>
      </w:r>
      <w:r w:rsidR="00A417D1" w:rsidRPr="00A417D1">
        <w:rPr>
          <w:rFonts w:eastAsiaTheme="minorEastAsia" w:cs="Arial"/>
        </w:rPr>
        <w:t xml:space="preserve"> because breakpoints are calibrated for the method used.</w:t>
      </w:r>
      <w:r w:rsidR="00B32C51">
        <w:rPr>
          <w:rFonts w:eastAsiaTheme="minorEastAsia" w:cs="Arial"/>
        </w:rPr>
        <w:t xml:space="preserve"> </w:t>
      </w:r>
      <w:r w:rsidR="00843202">
        <w:t>Scenario analyses were conducted using different data sources and these result in different susceptibilities</w:t>
      </w:r>
      <w:r w:rsidR="006D64D7">
        <w:t>.</w:t>
      </w:r>
      <w:r w:rsidR="00843202">
        <w:t xml:space="preserve"> </w:t>
      </w:r>
      <w:r w:rsidR="006D64D7">
        <w:t>F</w:t>
      </w:r>
      <w:r w:rsidR="00843202">
        <w:t>or example</w:t>
      </w:r>
      <w:r w:rsidR="006D64D7">
        <w:t>, f</w:t>
      </w:r>
      <w:r w:rsidR="006D64D7" w:rsidRPr="006D64D7">
        <w:t>or cefiderocol in Enterobacterales: using data based on EUCAST breakpoints</w:t>
      </w:r>
      <w:r w:rsidR="00FB3911">
        <w:t xml:space="preserve"> and CLSI laboratory methods</w:t>
      </w:r>
      <w:r w:rsidR="006D64D7" w:rsidRPr="006D64D7">
        <w:t>, cefiderocol was associated with a lower (not statistically significant) susceptibility relative to colistin (OR 0.32, 95% CrI: 0.04 to 2.47). Using data based on CLSI breakpoints</w:t>
      </w:r>
      <w:r w:rsidR="00FB3911">
        <w:t xml:space="preserve"> and CLSI laboratory methods</w:t>
      </w:r>
      <w:r w:rsidR="006D64D7" w:rsidRPr="006D64D7">
        <w:t>, cefiderocol was associated with a higher (not statistically significant) susceptibility relative to colistin (OR 1.38, 95% CrI: 0.16 to 12.05)</w:t>
      </w:r>
      <w:r w:rsidR="006D64D7">
        <w:t xml:space="preserve">. </w:t>
      </w:r>
    </w:p>
    <w:p w14:paraId="2283AD64" w14:textId="35FDA3D1" w:rsidR="0082210A" w:rsidRPr="0082210A" w:rsidRDefault="006D64D7" w:rsidP="00814AF0">
      <w:pPr>
        <w:pStyle w:val="Paragraph"/>
        <w:numPr>
          <w:ilvl w:val="0"/>
          <w:numId w:val="0"/>
        </w:numPr>
        <w:ind w:left="1440" w:hanging="360"/>
        <w:rPr>
          <w:i/>
          <w:iCs/>
        </w:rPr>
      </w:pPr>
      <w:r>
        <w:tab/>
      </w:r>
      <w:r w:rsidR="0082210A">
        <w:t>Shionogi’s consultation comments also suggested that fosfomycin studies should be excluded from the NMA because their methods aren’t relevant, robust or comparable with studies of other drugs, also noting that fosfomycin is not a relevant comparator (expect in urinary tract infections). EEPRU’s scenario analysis using only PHE data excludes fosfomycin, but both EEPRU and Shionogi consider that the limitations of PHE data mean it should not be used in isolation.</w:t>
      </w:r>
    </w:p>
    <w:p w14:paraId="1F44DCD3" w14:textId="6E64BC97" w:rsidR="00F44004" w:rsidRPr="00084DB2" w:rsidRDefault="004C6F27" w:rsidP="009B7B2B">
      <w:pPr>
        <w:pStyle w:val="Paragraph"/>
        <w:numPr>
          <w:ilvl w:val="1"/>
          <w:numId w:val="3"/>
        </w:numPr>
        <w:rPr>
          <w:i/>
          <w:iCs/>
        </w:rPr>
      </w:pPr>
      <w:r w:rsidRPr="00B47374">
        <w:rPr>
          <w:b/>
          <w:bCs/>
        </w:rPr>
        <w:t>W</w:t>
      </w:r>
      <w:r w:rsidR="009B7B2B" w:rsidRPr="00B47374">
        <w:rPr>
          <w:b/>
          <w:bCs/>
        </w:rPr>
        <w:t>hy it matters</w:t>
      </w:r>
      <w:r w:rsidR="00B47374">
        <w:rPr>
          <w:b/>
          <w:bCs/>
        </w:rPr>
        <w:t>:</w:t>
      </w:r>
      <w:r w:rsidR="009B7B2B" w:rsidRPr="00B47374">
        <w:rPr>
          <w:b/>
          <w:bCs/>
        </w:rPr>
        <w:t xml:space="preserve"> </w:t>
      </w:r>
      <w:r w:rsidR="009B7B2B" w:rsidRPr="00B47374">
        <w:t>T</w:t>
      </w:r>
      <w:r w:rsidR="00F44004" w:rsidRPr="00B47374">
        <w:t>he base case NMA showed not much difference</w:t>
      </w:r>
      <w:r w:rsidR="00F24324">
        <w:t xml:space="preserve"> or </w:t>
      </w:r>
      <w:r w:rsidRPr="00B47374">
        <w:t>poorer</w:t>
      </w:r>
      <w:r w:rsidR="00F44004" w:rsidRPr="00B47374">
        <w:t xml:space="preserve"> susceptibility</w:t>
      </w:r>
      <w:r w:rsidRPr="00B47374">
        <w:t xml:space="preserve"> </w:t>
      </w:r>
      <w:r w:rsidR="0042731A">
        <w:t>of pathogens to the new antimicrobials</w:t>
      </w:r>
      <w:r w:rsidRPr="00B47374">
        <w:t xml:space="preserve"> (</w:t>
      </w:r>
      <w:r w:rsidR="00F24324">
        <w:t xml:space="preserve">susceptibility to </w:t>
      </w:r>
      <w:r w:rsidRPr="00B47374">
        <w:lastRenderedPageBreak/>
        <w:t>cefid</w:t>
      </w:r>
      <w:r w:rsidR="0042731A">
        <w:t>erocol</w:t>
      </w:r>
      <w:r w:rsidRPr="00B47374">
        <w:t xml:space="preserve"> </w:t>
      </w:r>
      <w:r w:rsidR="00F24324">
        <w:t xml:space="preserve">is </w:t>
      </w:r>
      <w:r w:rsidR="0042731A">
        <w:t>lower</w:t>
      </w:r>
      <w:r w:rsidRPr="00B47374">
        <w:t xml:space="preserve"> than colistin)</w:t>
      </w:r>
      <w:r w:rsidR="00F44004" w:rsidRPr="00B47374">
        <w:t>, and therefore</w:t>
      </w:r>
      <w:r w:rsidR="0042731A">
        <w:t xml:space="preserve"> </w:t>
      </w:r>
      <w:r w:rsidR="00711163">
        <w:t>the benefit</w:t>
      </w:r>
      <w:r w:rsidR="00920629">
        <w:t>s</w:t>
      </w:r>
      <w:r w:rsidR="00711163">
        <w:t xml:space="preserve"> of cefiderocol </w:t>
      </w:r>
      <w:r w:rsidR="0042731A">
        <w:t xml:space="preserve">in the patient-level model </w:t>
      </w:r>
      <w:r w:rsidR="00711163">
        <w:t xml:space="preserve">is </w:t>
      </w:r>
      <w:r w:rsidR="00F44004" w:rsidRPr="00B47374">
        <w:t xml:space="preserve">driven by </w:t>
      </w:r>
      <w:r w:rsidR="00711163">
        <w:t xml:space="preserve">improved </w:t>
      </w:r>
      <w:r w:rsidR="00F44004" w:rsidRPr="00B47374">
        <w:t xml:space="preserve">safety. </w:t>
      </w:r>
      <w:r w:rsidR="009B7B2B" w:rsidRPr="00B47374">
        <w:t>Using different sources of evidence improve</w:t>
      </w:r>
      <w:r w:rsidR="0042731A">
        <w:t>s</w:t>
      </w:r>
      <w:r w:rsidR="009B7B2B" w:rsidRPr="00B47374">
        <w:t xml:space="preserve"> the relative effectiveness of </w:t>
      </w:r>
      <w:r w:rsidR="0042731A">
        <w:t>the new antimicrobials</w:t>
      </w:r>
      <w:r w:rsidR="009B7B2B" w:rsidRPr="00B47374">
        <w:t xml:space="preserve"> and</w:t>
      </w:r>
      <w:r w:rsidR="0042731A">
        <w:t xml:space="preserve"> therefore</w:t>
      </w:r>
      <w:r w:rsidR="009B7B2B" w:rsidRPr="00B47374">
        <w:t xml:space="preserve"> increase</w:t>
      </w:r>
      <w:r w:rsidR="0042731A">
        <w:t>s</w:t>
      </w:r>
      <w:r w:rsidR="009B7B2B" w:rsidRPr="00B47374">
        <w:t xml:space="preserve"> the </w:t>
      </w:r>
      <w:r w:rsidR="00F24324">
        <w:t xml:space="preserve">incremental net health benefits </w:t>
      </w:r>
      <w:r w:rsidR="00711163">
        <w:t>associated with cefiderocol.</w:t>
      </w:r>
      <w:r w:rsidR="00711163" w:rsidRPr="00B47374" w:rsidDel="00711163">
        <w:t xml:space="preserve"> </w:t>
      </w:r>
    </w:p>
    <w:p w14:paraId="6AD89D95" w14:textId="7F672F16" w:rsidR="00084DB2" w:rsidRPr="00084DB2" w:rsidRDefault="0028235B" w:rsidP="00084DB2">
      <w:pPr>
        <w:pStyle w:val="Paragraphnonumbers"/>
        <w:numPr>
          <w:ilvl w:val="1"/>
          <w:numId w:val="3"/>
        </w:numPr>
      </w:pPr>
      <w:r>
        <w:rPr>
          <w:b/>
          <w:bCs/>
        </w:rPr>
        <w:t xml:space="preserve">Cross-references to committee papers for </w:t>
      </w:r>
      <w:r w:rsidR="00920629">
        <w:rPr>
          <w:b/>
          <w:bCs/>
        </w:rPr>
        <w:t>cefiderocol</w:t>
      </w:r>
      <w:r w:rsidR="00084DB2">
        <w:rPr>
          <w:b/>
          <w:bCs/>
        </w:rPr>
        <w:t xml:space="preserve">: </w:t>
      </w:r>
      <w:r w:rsidR="00084DB2">
        <w:t xml:space="preserve">Susceptibility data is reviewed in the Assessment Report, Section </w:t>
      </w:r>
      <w:r w:rsidR="00920629">
        <w:t>5</w:t>
      </w:r>
      <w:r w:rsidR="00084DB2">
        <w:t xml:space="preserve">.2.3. The </w:t>
      </w:r>
      <w:r w:rsidR="00711163">
        <w:t xml:space="preserve">NMA </w:t>
      </w:r>
      <w:r w:rsidR="00AD1A10">
        <w:t xml:space="preserve">is described in sections </w:t>
      </w:r>
      <w:r w:rsidR="00920629">
        <w:t>5</w:t>
      </w:r>
      <w:r w:rsidR="00AD1A10">
        <w:t xml:space="preserve">.5.2 to </w:t>
      </w:r>
      <w:r w:rsidR="00920629">
        <w:t>5</w:t>
      </w:r>
      <w:r w:rsidR="00AD1A10">
        <w:t xml:space="preserve">.5.4, with further detail in </w:t>
      </w:r>
      <w:r w:rsidR="00920629">
        <w:t xml:space="preserve">Appendix </w:t>
      </w:r>
      <w:r w:rsidR="00AD1A10">
        <w:t>7. The results from the NMA used in the model are described in the Assessment Report, Section</w:t>
      </w:r>
      <w:r w:rsidR="005D43EB">
        <w:t xml:space="preserve"> 5.5.4.1. The absolute susceptibility values derived from the NMAs are detailed in the Assessment Report, Section</w:t>
      </w:r>
      <w:r w:rsidR="00AD1A10">
        <w:t xml:space="preserve"> </w:t>
      </w:r>
      <w:r w:rsidR="005D43EB">
        <w:t>8</w:t>
      </w:r>
      <w:r w:rsidR="00AD1A10">
        <w:t xml:space="preserve">.2.3.2, tables </w:t>
      </w:r>
      <w:r w:rsidR="005D43EB">
        <w:t xml:space="preserve">18 </w:t>
      </w:r>
      <w:r w:rsidR="00AD1A10">
        <w:t xml:space="preserve">and </w:t>
      </w:r>
      <w:r w:rsidR="005D43EB">
        <w:t>20</w:t>
      </w:r>
      <w:r w:rsidR="00AD1A10">
        <w:t xml:space="preserve">. </w:t>
      </w:r>
      <w:r w:rsidR="00711163">
        <w:t>See also Shionogi</w:t>
      </w:r>
      <w:r w:rsidR="00B32C51">
        <w:t>’s</w:t>
      </w:r>
      <w:r w:rsidR="00711163">
        <w:t xml:space="preserve"> consultation comment</w:t>
      </w:r>
      <w:r w:rsidR="00B32C51">
        <w:t>s</w:t>
      </w:r>
      <w:r w:rsidR="00711163">
        <w:t xml:space="preserve"> on the Assessment report: </w:t>
      </w:r>
      <w:r w:rsidR="00B32C51">
        <w:t xml:space="preserve">numbers 5 and </w:t>
      </w:r>
      <w:r w:rsidR="00711163">
        <w:t>9.</w:t>
      </w:r>
    </w:p>
    <w:p w14:paraId="3960A167" w14:textId="34865096" w:rsidR="00D12D9E" w:rsidRPr="00B47374" w:rsidRDefault="00DB4D13" w:rsidP="00F44004">
      <w:pPr>
        <w:pStyle w:val="Paragraph"/>
      </w:pPr>
      <w:r>
        <w:rPr>
          <w:rFonts w:cs="Arial"/>
        </w:rPr>
        <w:t xml:space="preserve">Are the estimates of susceptibility to </w:t>
      </w:r>
      <w:r w:rsidR="005D43EB" w:rsidRPr="005D43EB">
        <w:rPr>
          <w:rFonts w:cs="Arial"/>
        </w:rPr>
        <w:t>cefiderocol</w:t>
      </w:r>
      <w:r>
        <w:rPr>
          <w:rFonts w:cs="Arial"/>
        </w:rPr>
        <w:t xml:space="preserve">, relative to colistin, </w:t>
      </w:r>
      <w:r w:rsidRPr="0044426A">
        <w:rPr>
          <w:rFonts w:cs="Arial"/>
        </w:rPr>
        <w:t>likely to be accurate?</w:t>
      </w:r>
      <w:r>
        <w:rPr>
          <w:rFonts w:cs="Arial"/>
        </w:rPr>
        <w:t xml:space="preserve"> </w:t>
      </w:r>
    </w:p>
    <w:p w14:paraId="1C03065A" w14:textId="085563D8" w:rsidR="00727B7B" w:rsidRPr="00B47374" w:rsidRDefault="00D12D9E" w:rsidP="00727B7B">
      <w:pPr>
        <w:pStyle w:val="Paragraph"/>
        <w:numPr>
          <w:ilvl w:val="1"/>
          <w:numId w:val="3"/>
        </w:numPr>
      </w:pPr>
      <w:r w:rsidRPr="00B47374">
        <w:rPr>
          <w:b/>
          <w:bCs/>
        </w:rPr>
        <w:t>Context:</w:t>
      </w:r>
      <w:r w:rsidRPr="00B47374">
        <w:t xml:space="preserve"> </w:t>
      </w:r>
      <w:r w:rsidR="00121FF9">
        <w:t>Shi</w:t>
      </w:r>
      <w:r w:rsidR="00626700">
        <w:t>o</w:t>
      </w:r>
      <w:r w:rsidR="00121FF9">
        <w:t>nogi</w:t>
      </w:r>
      <w:r w:rsidR="00626700">
        <w:t>’s consultation comments</w:t>
      </w:r>
      <w:r w:rsidR="00121FF9">
        <w:t xml:space="preserve"> </w:t>
      </w:r>
      <w:r w:rsidR="00626700">
        <w:t xml:space="preserve">on the Assessment Report </w:t>
      </w:r>
      <w:r w:rsidR="002D472C">
        <w:t xml:space="preserve">suggest that EEPRU have underestimated the relative effectiveness of CAZ-AVI and cefiderocol, because </w:t>
      </w:r>
      <w:r w:rsidR="00121FF9">
        <w:t xml:space="preserve">the susceptibility data used in </w:t>
      </w:r>
      <w:r w:rsidR="00A01F43">
        <w:t xml:space="preserve">EEPRU’s </w:t>
      </w:r>
      <w:r w:rsidR="00626700">
        <w:t>NMA</w:t>
      </w:r>
      <w:r w:rsidR="005C2700">
        <w:t xml:space="preserve"> may not reflect current </w:t>
      </w:r>
      <w:r w:rsidR="00A01F43">
        <w:t>practice</w:t>
      </w:r>
      <w:r w:rsidR="002D472C">
        <w:t>. Shionogi noted that</w:t>
      </w:r>
      <w:r w:rsidR="005C2700">
        <w:t xml:space="preserve"> </w:t>
      </w:r>
      <w:r w:rsidR="00795824">
        <w:t xml:space="preserve">CLSI have updated their breakpoints to </w:t>
      </w:r>
      <w:r w:rsidR="009B04B8">
        <w:t xml:space="preserve">remove </w:t>
      </w:r>
      <w:r w:rsidR="009B04B8" w:rsidRPr="75C111BF">
        <w:rPr>
          <w:rFonts w:eastAsia="Arial" w:cs="Arial"/>
        </w:rPr>
        <w:t>the ‘susceptible’</w:t>
      </w:r>
      <w:r w:rsidR="00795824">
        <w:t xml:space="preserve"> </w:t>
      </w:r>
      <w:r w:rsidR="009B04B8">
        <w:t xml:space="preserve">category for colistin monotherapy, </w:t>
      </w:r>
      <w:r w:rsidR="00335747">
        <w:t>and EUCAST are consulting on a similar proposal</w:t>
      </w:r>
      <w:r w:rsidR="005C2700">
        <w:t>.</w:t>
      </w:r>
      <w:r w:rsidR="009B04B8">
        <w:t xml:space="preserve"> This reflects recommendations from CLSI and EUCAST that colistin</w:t>
      </w:r>
      <w:r w:rsidR="000B7955">
        <w:t xml:space="preserve"> monotherapy</w:t>
      </w:r>
      <w:r w:rsidR="009B04B8">
        <w:t xml:space="preserve"> should not be used </w:t>
      </w:r>
      <w:r w:rsidR="009B04B8" w:rsidRPr="31B246DD">
        <w:rPr>
          <w:rFonts w:eastAsia="Arial" w:cs="Arial"/>
        </w:rPr>
        <w:t>for systemic infections outside the urinary tract</w:t>
      </w:r>
      <w:r w:rsidR="009B04B8">
        <w:t xml:space="preserve"> because it doesn’t </w:t>
      </w:r>
      <w:r w:rsidR="009B04B8" w:rsidRPr="4994E8A3">
        <w:rPr>
          <w:rFonts w:eastAsia="Arial" w:cs="Arial"/>
        </w:rPr>
        <w:t xml:space="preserve">reach adequate </w:t>
      </w:r>
      <w:r w:rsidR="009B04B8">
        <w:rPr>
          <w:rFonts w:eastAsia="Arial" w:cs="Arial"/>
        </w:rPr>
        <w:t xml:space="preserve">tissue </w:t>
      </w:r>
      <w:r w:rsidR="009B04B8" w:rsidRPr="4994E8A3">
        <w:rPr>
          <w:rFonts w:eastAsia="Arial" w:cs="Arial"/>
        </w:rPr>
        <w:t>concentrations to inhibi</w:t>
      </w:r>
      <w:r w:rsidR="009B04B8">
        <w:rPr>
          <w:rFonts w:eastAsia="Arial" w:cs="Arial"/>
        </w:rPr>
        <w:t>t</w:t>
      </w:r>
      <w:r w:rsidR="009B04B8" w:rsidRPr="4994E8A3">
        <w:rPr>
          <w:rFonts w:eastAsia="Arial" w:cs="Arial"/>
        </w:rPr>
        <w:t xml:space="preserve"> bacterial growth</w:t>
      </w:r>
      <w:r w:rsidR="009B04B8">
        <w:t xml:space="preserve">. </w:t>
      </w:r>
      <w:r w:rsidR="002D472C">
        <w:t xml:space="preserve">Shionogi suggest that all isolates considered as susceptible to colistin in EEPRU’s analysis should be re-grouped with </w:t>
      </w:r>
      <w:r w:rsidR="002D472C" w:rsidRPr="002D472C">
        <w:t>resistant isolates</w:t>
      </w:r>
      <w:r w:rsidR="005C2700">
        <w:t>.</w:t>
      </w:r>
      <w:r w:rsidR="00121FF9">
        <w:t xml:space="preserve"> </w:t>
      </w:r>
      <w:r w:rsidR="005C2700">
        <w:t xml:space="preserve">EEPRU </w:t>
      </w:r>
      <w:r w:rsidR="00780721">
        <w:t xml:space="preserve">responded </w:t>
      </w:r>
      <w:r w:rsidR="005C2700">
        <w:t>that their analysis used historical breakpoints</w:t>
      </w:r>
      <w:r w:rsidR="00504BDB">
        <w:t xml:space="preserve"> on the advice of Public Health England</w:t>
      </w:r>
      <w:r w:rsidR="005C2700">
        <w:t xml:space="preserve">, </w:t>
      </w:r>
      <w:r w:rsidR="00780721">
        <w:t xml:space="preserve">because </w:t>
      </w:r>
      <w:r w:rsidR="00504BDB">
        <w:t xml:space="preserve">it may not be possible to apply 2021 methods to historical studies in all cases. </w:t>
      </w:r>
      <w:r w:rsidR="005C77A1">
        <w:t xml:space="preserve">EEPRU noted that </w:t>
      </w:r>
      <w:r w:rsidR="00780721">
        <w:t>excluding studies using historic colistin breakpoints had little impact on the results for cefiderocol compared with colistin</w:t>
      </w:r>
      <w:r w:rsidR="006105BA">
        <w:t xml:space="preserve">. EEPRU’s clinical advisors </w:t>
      </w:r>
      <w:r w:rsidR="005C77A1">
        <w:t xml:space="preserve">noted </w:t>
      </w:r>
      <w:r w:rsidR="000B7955">
        <w:t xml:space="preserve">that there is very limited </w:t>
      </w:r>
      <w:r w:rsidR="006105BA" w:rsidRPr="006105BA">
        <w:t xml:space="preserve">evidence to </w:t>
      </w:r>
      <w:r w:rsidR="000B7955">
        <w:t xml:space="preserve">support the assumption </w:t>
      </w:r>
      <w:r w:rsidR="005C77A1">
        <w:t xml:space="preserve">that </w:t>
      </w:r>
      <w:r w:rsidR="000B7955">
        <w:t xml:space="preserve">outcomes are better with </w:t>
      </w:r>
      <w:r w:rsidR="006105BA" w:rsidRPr="006105BA">
        <w:t xml:space="preserve">colistin combination </w:t>
      </w:r>
      <w:r w:rsidR="000B7955">
        <w:t>therapy than colistin monotherapy</w:t>
      </w:r>
      <w:r w:rsidR="006105BA" w:rsidRPr="006105BA">
        <w:t>.</w:t>
      </w:r>
    </w:p>
    <w:p w14:paraId="6AE078D5" w14:textId="1B91AA53" w:rsidR="00D12D9E" w:rsidRDefault="00D12D9E" w:rsidP="00D12D9E">
      <w:pPr>
        <w:pStyle w:val="Paragraph"/>
        <w:numPr>
          <w:ilvl w:val="1"/>
          <w:numId w:val="3"/>
        </w:numPr>
      </w:pPr>
      <w:r w:rsidRPr="00B47374">
        <w:rPr>
          <w:b/>
          <w:bCs/>
        </w:rPr>
        <w:t>Why it matters:</w:t>
      </w:r>
      <w:r w:rsidRPr="00B47374">
        <w:t xml:space="preserve"> </w:t>
      </w:r>
      <w:r w:rsidR="00504BDB">
        <w:t xml:space="preserve">If </w:t>
      </w:r>
      <w:r w:rsidR="00A7653E">
        <w:t xml:space="preserve">historical </w:t>
      </w:r>
      <w:r w:rsidR="00504BDB">
        <w:t xml:space="preserve">breakpoints and definitions of susceptibility </w:t>
      </w:r>
      <w:r w:rsidR="00264852">
        <w:t>do not align with current understanding of the efficacy of the comparators</w:t>
      </w:r>
      <w:r w:rsidR="000D3E98">
        <w:t xml:space="preserve">, particularly colistin, </w:t>
      </w:r>
      <w:r w:rsidR="00A7653E">
        <w:t xml:space="preserve">EEPRU’s analyses may </w:t>
      </w:r>
      <w:r w:rsidR="00B67154">
        <w:t>have underestimated</w:t>
      </w:r>
      <w:r w:rsidR="00264852">
        <w:t xml:space="preserve"> the relative eff</w:t>
      </w:r>
      <w:r w:rsidR="00B67154">
        <w:t>ectiveness</w:t>
      </w:r>
      <w:r w:rsidR="00A7653E">
        <w:t xml:space="preserve">, and therefore the incremental net health benefits (QALY gains), associated with </w:t>
      </w:r>
      <w:r w:rsidR="00B67154">
        <w:t>CAZ-AVI and cefiderocol</w:t>
      </w:r>
      <w:r w:rsidR="00264852">
        <w:t xml:space="preserve">. </w:t>
      </w:r>
    </w:p>
    <w:p w14:paraId="4366BD57" w14:textId="1FCE4C0F" w:rsidR="005A7823" w:rsidRDefault="0028235B" w:rsidP="005A7823">
      <w:pPr>
        <w:pStyle w:val="Paragraphnonumbers"/>
        <w:numPr>
          <w:ilvl w:val="1"/>
          <w:numId w:val="3"/>
        </w:numPr>
      </w:pPr>
      <w:r>
        <w:rPr>
          <w:b/>
          <w:bCs/>
        </w:rPr>
        <w:t xml:space="preserve">Cross-references to committee papers for </w:t>
      </w:r>
      <w:r w:rsidR="005D43EB" w:rsidRPr="005D43EB">
        <w:rPr>
          <w:b/>
          <w:bCs/>
        </w:rPr>
        <w:t>cefiderocol</w:t>
      </w:r>
      <w:r w:rsidR="005A7823">
        <w:rPr>
          <w:b/>
          <w:bCs/>
        </w:rPr>
        <w:t xml:space="preserve">: </w:t>
      </w:r>
      <w:r w:rsidR="000D3E98" w:rsidRPr="000D3E98">
        <w:t>This issue is discussed in Shionogi’s consultation comments (number 6) and in EEPRU</w:t>
      </w:r>
      <w:r w:rsidR="000D3E98">
        <w:t>’s</w:t>
      </w:r>
      <w:r w:rsidR="000D3E98" w:rsidRPr="000D3E98">
        <w:t xml:space="preserve"> respon</w:t>
      </w:r>
      <w:r w:rsidR="000D3E98">
        <w:t>se</w:t>
      </w:r>
      <w:r w:rsidR="000D3E98" w:rsidRPr="000D3E98">
        <w:t xml:space="preserve"> to </w:t>
      </w:r>
      <w:r w:rsidR="000D3E98">
        <w:t>consultation comments (issue 1)</w:t>
      </w:r>
    </w:p>
    <w:p w14:paraId="52E9C4EF" w14:textId="77777777" w:rsidR="003940BE" w:rsidRPr="00C94971" w:rsidRDefault="003940BE" w:rsidP="003940BE">
      <w:pPr>
        <w:pStyle w:val="Paragraph"/>
      </w:pPr>
      <w:r w:rsidRPr="00C94971">
        <w:lastRenderedPageBreak/>
        <w:t xml:space="preserve">Is the relationship between susceptibility and outcomes likely to be constant across all </w:t>
      </w:r>
      <w:r>
        <w:t>antimicrobials</w:t>
      </w:r>
      <w:r w:rsidRPr="00C94971">
        <w:t xml:space="preserve">? </w:t>
      </w:r>
    </w:p>
    <w:p w14:paraId="6D34E149" w14:textId="77777777" w:rsidR="003940BE" w:rsidRPr="007C6E4C" w:rsidRDefault="003940BE" w:rsidP="003940BE">
      <w:pPr>
        <w:pStyle w:val="Paragraphnonumbers"/>
        <w:numPr>
          <w:ilvl w:val="1"/>
          <w:numId w:val="3"/>
        </w:numPr>
        <w:rPr>
          <w:strike/>
        </w:rPr>
      </w:pPr>
      <w:r w:rsidRPr="00C94971">
        <w:rPr>
          <w:b/>
          <w:bCs/>
        </w:rPr>
        <w:t xml:space="preserve">Context: </w:t>
      </w:r>
      <w:r w:rsidRPr="007C6E4C">
        <w:t xml:space="preserve">Although widely used in clinical practice, </w:t>
      </w:r>
      <w:r w:rsidRPr="007C6E4C">
        <w:rPr>
          <w:i/>
          <w:iCs/>
        </w:rPr>
        <w:t xml:space="preserve">in vitro </w:t>
      </w:r>
      <w:r w:rsidRPr="007C6E4C">
        <w:t>susceptibility testing it is an imperfect predictor of clinical response to treatment. There are several reasons for this, which may vary between drugs. However, the model assumes that the relationship between susceptibility data and clinical outcomes is the same for all antimicrobials.</w:t>
      </w:r>
    </w:p>
    <w:p w14:paraId="20B38CE8" w14:textId="77777777" w:rsidR="003940BE" w:rsidRDefault="003940BE" w:rsidP="003940BE">
      <w:pPr>
        <w:pStyle w:val="Paragraph"/>
        <w:numPr>
          <w:ilvl w:val="1"/>
          <w:numId w:val="3"/>
        </w:numPr>
      </w:pPr>
      <w:r w:rsidRPr="00C94971">
        <w:rPr>
          <w:b/>
          <w:bCs/>
        </w:rPr>
        <w:t>Why it matters</w:t>
      </w:r>
      <w:r w:rsidRPr="00C94971">
        <w:t xml:space="preserve">: The incremental benefit of the evaluated antimicrobial may be over or underestimated if there are substantial differences in the relationship between susceptibility and outcomes across comparators. </w:t>
      </w:r>
    </w:p>
    <w:p w14:paraId="23315C9A" w14:textId="06769603" w:rsidR="003940BE" w:rsidRDefault="003940BE" w:rsidP="003940BE">
      <w:pPr>
        <w:pStyle w:val="Paragraphnonumbers"/>
        <w:numPr>
          <w:ilvl w:val="1"/>
          <w:numId w:val="3"/>
        </w:numPr>
      </w:pPr>
      <w:r>
        <w:rPr>
          <w:b/>
          <w:bCs/>
        </w:rPr>
        <w:t xml:space="preserve">Cross-references to committee papers for </w:t>
      </w:r>
      <w:r w:rsidR="00E976F6" w:rsidRPr="00E976F6">
        <w:rPr>
          <w:b/>
          <w:bCs/>
        </w:rPr>
        <w:t>cefiderocol</w:t>
      </w:r>
      <w:r>
        <w:rPr>
          <w:b/>
          <w:bCs/>
        </w:rPr>
        <w:t xml:space="preserve">: </w:t>
      </w:r>
      <w:r>
        <w:t xml:space="preserve">The relationship between susceptibility and outcomes is reviewed in the Assessment Report, Section </w:t>
      </w:r>
      <w:r w:rsidR="00E976F6">
        <w:t>5</w:t>
      </w:r>
      <w:r>
        <w:t>.6.</w:t>
      </w:r>
      <w:r w:rsidR="00E976F6">
        <w:t>1</w:t>
      </w:r>
      <w:r>
        <w:t xml:space="preserve">. The assumptions used in the model are detailed in the Assessment Report Sections </w:t>
      </w:r>
      <w:r w:rsidR="00513B10">
        <w:t>8</w:t>
      </w:r>
      <w:r>
        <w:t xml:space="preserve">.2.3.3 and </w:t>
      </w:r>
      <w:r w:rsidR="00513B10">
        <w:t>8</w:t>
      </w:r>
      <w:r>
        <w:t>.2.3.5</w:t>
      </w:r>
    </w:p>
    <w:p w14:paraId="52130087" w14:textId="1AEE3DA8" w:rsidR="006D5A16" w:rsidRPr="00C94971" w:rsidRDefault="00707F08" w:rsidP="001F2929">
      <w:pPr>
        <w:pStyle w:val="Heading1"/>
      </w:pPr>
      <w:r>
        <w:t>M</w:t>
      </w:r>
      <w:r w:rsidR="006D5A16" w:rsidRPr="00C94971">
        <w:t>odel assumptions</w:t>
      </w:r>
    </w:p>
    <w:p w14:paraId="0FE9758D" w14:textId="13C9BDB2" w:rsidR="00B46AEE" w:rsidRPr="00C94971" w:rsidRDefault="00893011" w:rsidP="006D5A16">
      <w:pPr>
        <w:pStyle w:val="Paragraph"/>
      </w:pPr>
      <w:r w:rsidRPr="00C94971">
        <w:t>In the empiric setting, which patients should be classed as being at high risk of having a</w:t>
      </w:r>
      <w:r w:rsidR="0070368E" w:rsidRPr="00C94971">
        <w:t xml:space="preserve"> multi-drug-resistant pathogen</w:t>
      </w:r>
      <w:r w:rsidR="007B0E3E" w:rsidRPr="00C94971">
        <w:t>, and eligible for empiric treatment</w:t>
      </w:r>
      <w:r w:rsidR="006D5A16" w:rsidRPr="00C94971">
        <w:t xml:space="preserve">? </w:t>
      </w:r>
    </w:p>
    <w:p w14:paraId="3E08242B" w14:textId="0D4246B2" w:rsidR="006D5A16" w:rsidRPr="00C94971" w:rsidRDefault="00B46AEE" w:rsidP="00B46AEE">
      <w:pPr>
        <w:pStyle w:val="Paragraphnonumbers"/>
        <w:numPr>
          <w:ilvl w:val="1"/>
          <w:numId w:val="3"/>
        </w:numPr>
      </w:pPr>
      <w:r w:rsidRPr="00C94971">
        <w:rPr>
          <w:b/>
          <w:bCs/>
        </w:rPr>
        <w:t xml:space="preserve">Context: </w:t>
      </w:r>
      <w:r w:rsidR="006D5A16" w:rsidRPr="00C94971">
        <w:t>EEPRU use 3 risk factors,</w:t>
      </w:r>
      <w:r w:rsidR="00FD0A5D">
        <w:t xml:space="preserve"> but</w:t>
      </w:r>
      <w:r w:rsidR="006D5A16" w:rsidRPr="00C94971">
        <w:t xml:space="preserve"> </w:t>
      </w:r>
      <w:r w:rsidR="00FD0A5D">
        <w:t xml:space="preserve">the </w:t>
      </w:r>
      <w:r w:rsidR="006D5A16" w:rsidRPr="00C94971">
        <w:t>compan</w:t>
      </w:r>
      <w:r w:rsidR="00FD0A5D">
        <w:t>y</w:t>
      </w:r>
      <w:r w:rsidR="006D5A16" w:rsidRPr="00C94971">
        <w:t xml:space="preserve"> think</w:t>
      </w:r>
      <w:r w:rsidR="00FD0A5D">
        <w:t>s the</w:t>
      </w:r>
      <w:r w:rsidR="006D5A16" w:rsidRPr="00C94971">
        <w:t xml:space="preserve"> definition should be wide</w:t>
      </w:r>
      <w:r w:rsidR="006D7FA0" w:rsidRPr="00C94971">
        <w:t>r</w:t>
      </w:r>
      <w:r w:rsidR="008B1AB6" w:rsidRPr="00C94971">
        <w:t xml:space="preserve">. </w:t>
      </w:r>
    </w:p>
    <w:p w14:paraId="0F33E439" w14:textId="7849EA6D" w:rsidR="00DF5059" w:rsidRPr="00C94971" w:rsidRDefault="00DF5059" w:rsidP="00A62AF3">
      <w:pPr>
        <w:pStyle w:val="Paragraphnonumbers"/>
        <w:numPr>
          <w:ilvl w:val="2"/>
          <w:numId w:val="3"/>
        </w:numPr>
      </w:pPr>
      <w:r w:rsidRPr="00C94971">
        <w:t>EEPRU definition</w:t>
      </w:r>
      <w:r w:rsidR="00FD0A5D">
        <w:t xml:space="preserve"> (one of the following)</w:t>
      </w:r>
      <w:r w:rsidRPr="00C94971">
        <w:t>:</w:t>
      </w:r>
      <w:r w:rsidR="007B0E3E" w:rsidRPr="00C94971">
        <w:t xml:space="preserve"> </w:t>
      </w:r>
      <w:r w:rsidR="007B0E3E" w:rsidRPr="007B0E3E">
        <w:t>patient previously hospitalised in setting with high prevalence of pathogen of interest</w:t>
      </w:r>
      <w:r w:rsidR="007B0E3E" w:rsidRPr="00C94971">
        <w:t xml:space="preserve">; </w:t>
      </w:r>
      <w:r w:rsidR="000016E4" w:rsidRPr="00C94971">
        <w:t xml:space="preserve">or </w:t>
      </w:r>
      <w:r w:rsidR="007B0E3E" w:rsidRPr="007B0E3E">
        <w:t>ward outbreak</w:t>
      </w:r>
      <w:r w:rsidR="000016E4" w:rsidRPr="00C94971">
        <w:t xml:space="preserve"> </w:t>
      </w:r>
      <w:r w:rsidR="007B0E3E" w:rsidRPr="007B0E3E">
        <w:t>of pathogen of interest</w:t>
      </w:r>
      <w:r w:rsidR="007B0E3E" w:rsidRPr="00C94971">
        <w:t xml:space="preserve">; </w:t>
      </w:r>
      <w:r w:rsidR="000016E4" w:rsidRPr="00C94971">
        <w:t xml:space="preserve">or </w:t>
      </w:r>
      <w:r w:rsidR="007B0E3E" w:rsidRPr="00C94971">
        <w:t>previous cultures (during current/previous hospital stay) show</w:t>
      </w:r>
      <w:r w:rsidR="000016E4" w:rsidRPr="00C94971">
        <w:t>ing</w:t>
      </w:r>
      <w:r w:rsidR="007B0E3E" w:rsidRPr="00C94971">
        <w:t xml:space="preserve"> infection/colonisation</w:t>
      </w:r>
      <w:r w:rsidR="000016E4" w:rsidRPr="00C94971">
        <w:t xml:space="preserve"> with </w:t>
      </w:r>
      <w:r w:rsidR="007B0E3E" w:rsidRPr="007B0E3E">
        <w:t>pathogen of interest</w:t>
      </w:r>
    </w:p>
    <w:p w14:paraId="3D8FD96E" w14:textId="2BB61ED4" w:rsidR="00DF5059" w:rsidRDefault="00DF5059" w:rsidP="00DF5059">
      <w:pPr>
        <w:pStyle w:val="Paragraphnonumbers"/>
        <w:numPr>
          <w:ilvl w:val="2"/>
          <w:numId w:val="3"/>
        </w:numPr>
      </w:pPr>
      <w:r w:rsidRPr="00C94971">
        <w:t xml:space="preserve">Pfizer definition: </w:t>
      </w:r>
      <w:r w:rsidR="007B0E3E" w:rsidRPr="00C94971">
        <w:t>patients at risk of resistance due</w:t>
      </w:r>
      <w:r w:rsidR="00855B66">
        <w:t xml:space="preserve"> </w:t>
      </w:r>
      <w:r w:rsidR="004B5E90">
        <w:t>to one o</w:t>
      </w:r>
      <w:r w:rsidR="00855B66">
        <w:t>f the following:</w:t>
      </w:r>
      <w:r w:rsidR="007B0E3E" w:rsidRPr="00C94971">
        <w:t xml:space="preserve"> previous admission to ICU</w:t>
      </w:r>
      <w:r w:rsidR="00FD0A5D">
        <w:t>;</w:t>
      </w:r>
      <w:r w:rsidR="007B0E3E" w:rsidRPr="00C94971">
        <w:t xml:space="preserve"> longer admission times</w:t>
      </w:r>
      <w:r w:rsidR="00FD0A5D">
        <w:t>;</w:t>
      </w:r>
      <w:r w:rsidR="007B0E3E" w:rsidRPr="00C94971">
        <w:t xml:space="preserve"> critical illness</w:t>
      </w:r>
      <w:r w:rsidR="00FD0A5D">
        <w:t>;</w:t>
      </w:r>
      <w:r w:rsidR="007B0E3E" w:rsidRPr="00C94971">
        <w:t xml:space="preserve"> use of invasive devices and prior antibiotic therapy including cephalosporin, carbapenem or fluoroquinolone</w:t>
      </w:r>
      <w:r w:rsidR="00FD0A5D">
        <w:t>;</w:t>
      </w:r>
      <w:r w:rsidR="007B0E3E" w:rsidRPr="00C94971">
        <w:t xml:space="preserve"> symptoms or signs starting more than 5 days after hospital admission</w:t>
      </w:r>
      <w:r w:rsidR="00FD0A5D">
        <w:t>;</w:t>
      </w:r>
      <w:r w:rsidR="007B0E3E" w:rsidRPr="00C94971">
        <w:t xml:space="preserve"> relevant comorbidity such as severe lung disease or immunosuppression</w:t>
      </w:r>
      <w:r w:rsidR="00FD0A5D">
        <w:t>;</w:t>
      </w:r>
      <w:r w:rsidR="007B0E3E" w:rsidRPr="00C94971">
        <w:t xml:space="preserve"> recent use of broad-spectrum antibiotics</w:t>
      </w:r>
      <w:r w:rsidR="00FD0A5D">
        <w:t>;</w:t>
      </w:r>
      <w:r w:rsidR="007B0E3E" w:rsidRPr="00C94971">
        <w:t xml:space="preserve"> colonisation with multi-drug-resistant bacteria</w:t>
      </w:r>
      <w:r w:rsidR="00FD0A5D">
        <w:t>;</w:t>
      </w:r>
      <w:r w:rsidR="007B0E3E" w:rsidRPr="00C94971">
        <w:t xml:space="preserve"> recent contact with a health or social care setting before current admission.</w:t>
      </w:r>
    </w:p>
    <w:p w14:paraId="04C970AA" w14:textId="0DF84CE0" w:rsidR="00221E86" w:rsidRPr="00C94971" w:rsidRDefault="00221E86" w:rsidP="00DF5059">
      <w:pPr>
        <w:pStyle w:val="Paragraphnonumbers"/>
        <w:numPr>
          <w:ilvl w:val="2"/>
          <w:numId w:val="3"/>
        </w:numPr>
      </w:pPr>
      <w:r>
        <w:t xml:space="preserve">Shionogi </w:t>
      </w:r>
      <w:r w:rsidR="007E015C">
        <w:t>consultation comments</w:t>
      </w:r>
      <w:r w:rsidR="00195A62">
        <w:t xml:space="preserve"> (number 50)</w:t>
      </w:r>
      <w:r>
        <w:t>:</w:t>
      </w:r>
      <w:r w:rsidR="007E015C">
        <w:t xml:space="preserve"> should include any infection suspected to be multi-drug resistant (not just metallobetalactamases)</w:t>
      </w:r>
      <w:r w:rsidR="00195A62">
        <w:t>,</w:t>
      </w:r>
      <w:r w:rsidR="007E015C">
        <w:t xml:space="preserve"> all relevant infection sites (eg bone</w:t>
      </w:r>
      <w:r w:rsidR="00195A62">
        <w:t>,</w:t>
      </w:r>
      <w:r w:rsidR="007E015C">
        <w:t xml:space="preserve"> joint and skin infections) patients who have returned from a metallobetalactamase “hot spot” abroad</w:t>
      </w:r>
      <w:r w:rsidR="00195A62">
        <w:t xml:space="preserve"> and should not be limited according to any particular species.</w:t>
      </w:r>
    </w:p>
    <w:p w14:paraId="43D3A758" w14:textId="0496102F" w:rsidR="00B46AEE" w:rsidRDefault="00B46AEE" w:rsidP="00FE4100">
      <w:pPr>
        <w:pStyle w:val="Paragraphnonumbers"/>
        <w:numPr>
          <w:ilvl w:val="1"/>
          <w:numId w:val="3"/>
        </w:numPr>
      </w:pPr>
      <w:r w:rsidRPr="00C94971">
        <w:rPr>
          <w:b/>
          <w:bCs/>
        </w:rPr>
        <w:lastRenderedPageBreak/>
        <w:t>Why it matters:</w:t>
      </w:r>
      <w:r w:rsidRPr="00C94971">
        <w:t xml:space="preserve"> Patients at high-risk were included</w:t>
      </w:r>
      <w:r w:rsidR="009C7D37">
        <w:t xml:space="preserve"> EEPRU’s model of</w:t>
      </w:r>
      <w:r w:rsidRPr="00C94971">
        <w:t xml:space="preserve"> the “high value clinical scenarios”</w:t>
      </w:r>
      <w:r w:rsidR="009C7D37">
        <w:t>.</w:t>
      </w:r>
      <w:r w:rsidRPr="00C94971">
        <w:t xml:space="preserve"> Including additional patients may lead to additional QALY gains in the patient-level model (however th</w:t>
      </w:r>
      <w:r w:rsidR="0070368E" w:rsidRPr="00C94971">
        <w:t>ese</w:t>
      </w:r>
      <w:r w:rsidRPr="00C94971">
        <w:t xml:space="preserve"> gain</w:t>
      </w:r>
      <w:r w:rsidR="0070368E" w:rsidRPr="00C94971">
        <w:t>s</w:t>
      </w:r>
      <w:r w:rsidRPr="00C94971">
        <w:t xml:space="preserve"> may be partially offset by extrapolating to a smaller population in the population-level model). </w:t>
      </w:r>
      <w:r w:rsidR="00FD0A5D" w:rsidRPr="00C94971">
        <w:t>EEPRU noted that clinical advisers expressed a concern that a broader definition may lead to stewardship challenges.</w:t>
      </w:r>
      <w:r w:rsidR="007741F8">
        <w:t xml:space="preserve"> Committee’s guidance will need to include recommendations about appropriate use of CAZ-AVI</w:t>
      </w:r>
      <w:r w:rsidR="00B546BA">
        <w:t xml:space="preserve"> and </w:t>
      </w:r>
      <w:r w:rsidR="007741F8">
        <w:t>cefiderocol in the empiric setting.</w:t>
      </w:r>
    </w:p>
    <w:p w14:paraId="481AA97D" w14:textId="6E838808" w:rsidR="000B5E11" w:rsidRPr="00C94971" w:rsidRDefault="0028235B" w:rsidP="000B5E11">
      <w:pPr>
        <w:pStyle w:val="Paragraphnonumbers"/>
        <w:numPr>
          <w:ilvl w:val="1"/>
          <w:numId w:val="3"/>
        </w:numPr>
      </w:pPr>
      <w:r>
        <w:rPr>
          <w:b/>
          <w:bCs/>
        </w:rPr>
        <w:t xml:space="preserve">Cross-references to committee papers for </w:t>
      </w:r>
      <w:r w:rsidR="00E976F6" w:rsidRPr="00E976F6">
        <w:rPr>
          <w:b/>
          <w:bCs/>
        </w:rPr>
        <w:t>cefiderocol</w:t>
      </w:r>
      <w:r w:rsidR="000B5E11">
        <w:rPr>
          <w:b/>
          <w:bCs/>
        </w:rPr>
        <w:t>:</w:t>
      </w:r>
      <w:r w:rsidR="00155DA1">
        <w:t xml:space="preserve"> EEPRU classification of risk factors is discussed in the Assessment Report, Section </w:t>
      </w:r>
      <w:r w:rsidR="00E976F6">
        <w:t>4.2.4</w:t>
      </w:r>
      <w:r w:rsidR="000B5E11">
        <w:t xml:space="preserve">.  </w:t>
      </w:r>
    </w:p>
    <w:p w14:paraId="4373EE15" w14:textId="77777777" w:rsidR="00DD69C4" w:rsidRPr="00C94971" w:rsidRDefault="00DD69C4" w:rsidP="00DD69C4">
      <w:pPr>
        <w:pStyle w:val="Paragraph"/>
      </w:pPr>
      <w:r w:rsidRPr="00C94971">
        <w:t xml:space="preserve">Are the PHE SGSS estimates of the </w:t>
      </w:r>
      <w:r>
        <w:t xml:space="preserve">proportion of patients </w:t>
      </w:r>
      <w:r w:rsidRPr="00C94971">
        <w:t xml:space="preserve">in the empiric setting </w:t>
      </w:r>
      <w:r>
        <w:t xml:space="preserve">that are </w:t>
      </w:r>
      <w:r w:rsidRPr="00C94971">
        <w:t xml:space="preserve">correctly identified as having the suspected resistant pathogen likely to be accurate, or under/over-estimated?  </w:t>
      </w:r>
    </w:p>
    <w:p w14:paraId="51816728" w14:textId="2AA3847A" w:rsidR="00DD69C4" w:rsidRDefault="00DD69C4" w:rsidP="00DD69C4">
      <w:pPr>
        <w:pStyle w:val="Paragraphnonumbers"/>
        <w:numPr>
          <w:ilvl w:val="1"/>
          <w:numId w:val="33"/>
        </w:numPr>
      </w:pPr>
      <w:r w:rsidRPr="00C94971">
        <w:rPr>
          <w:b/>
          <w:bCs/>
        </w:rPr>
        <w:t>Context (CAZ-AVI):</w:t>
      </w:r>
      <w:r w:rsidR="00B23BE1">
        <w:rPr>
          <w:b/>
          <w:bCs/>
        </w:rPr>
        <w:t xml:space="preserve"> </w:t>
      </w:r>
      <w:r w:rsidRPr="00C94971">
        <w:t>For CAZ-AVI the estimates of confirmed cases of OXA-48 Enterobacterales from a survey of clinicians differed from the estimates used in the base case. The base case estimate is 20% (based on SGSS data), whereas the survey estimated 57% (but only had 9 respondents which may be unreliable, therefore several scenarios were presented with different estimates).</w:t>
      </w:r>
      <w:r w:rsidR="00B23BE1">
        <w:t xml:space="preserve"> </w:t>
      </w:r>
      <w:r w:rsidR="00195A62">
        <w:t>There are p</w:t>
      </w:r>
      <w:r w:rsidR="00B23BE1">
        <w:t xml:space="preserve">otential limitations in the SGSS data (see key issue </w:t>
      </w:r>
      <w:r w:rsidR="006C6ED8">
        <w:t>10</w:t>
      </w:r>
      <w:r w:rsidR="00B23BE1">
        <w:t>).</w:t>
      </w:r>
    </w:p>
    <w:p w14:paraId="6C5F46F7" w14:textId="77777777" w:rsidR="00DD69C4" w:rsidRPr="00C94971" w:rsidRDefault="00DD69C4" w:rsidP="00DD69C4">
      <w:pPr>
        <w:pStyle w:val="Paragraphnonumbers"/>
        <w:numPr>
          <w:ilvl w:val="1"/>
          <w:numId w:val="33"/>
        </w:numPr>
      </w:pPr>
      <w:r>
        <w:rPr>
          <w:b/>
          <w:bCs/>
        </w:rPr>
        <w:t>Why it matters (CAZ</w:t>
      </w:r>
      <w:r w:rsidRPr="003D2FEE">
        <w:rPr>
          <w:b/>
          <w:bCs/>
        </w:rPr>
        <w:t>-AVI)</w:t>
      </w:r>
      <w:r>
        <w:rPr>
          <w:b/>
          <w:bCs/>
        </w:rPr>
        <w:t>:</w:t>
      </w:r>
      <w:r w:rsidRPr="000E15C5">
        <w:t xml:space="preserve"> </w:t>
      </w:r>
      <w:r>
        <w:t>T</w:t>
      </w:r>
      <w:r w:rsidRPr="00C94971">
        <w:t xml:space="preserve">he results of the model are sensitive the proportion of patients </w:t>
      </w:r>
      <w:r>
        <w:t xml:space="preserve">correctly suspected as having OXA-48 </w:t>
      </w:r>
      <w:r w:rsidRPr="00C94971">
        <w:t>Enterobacterales.</w:t>
      </w:r>
      <w:r>
        <w:t xml:space="preserve"> If the proportion is lower than the base case assumption, the net health benefits of CAZ-AVI are reduced. If the proportion is higher than the base case assumption, the net health benefits increase.</w:t>
      </w:r>
    </w:p>
    <w:p w14:paraId="1E325EFA" w14:textId="5B043A04" w:rsidR="00DD69C4" w:rsidRPr="00C94971" w:rsidRDefault="00DD69C4" w:rsidP="00DD69C4">
      <w:pPr>
        <w:pStyle w:val="Paragraphnonumbers"/>
        <w:numPr>
          <w:ilvl w:val="1"/>
          <w:numId w:val="33"/>
        </w:numPr>
      </w:pPr>
      <w:r w:rsidRPr="00C94971">
        <w:rPr>
          <w:b/>
          <w:bCs/>
        </w:rPr>
        <w:t xml:space="preserve">Context (cefiderocol): </w:t>
      </w:r>
      <w:r w:rsidRPr="00C94971">
        <w:t>For cefiderocol the estimates of confirmed cases of MBL Enterobacterales from a survey of clinicians differed from the estimates used in the base case. The base case estimate is 15% (based on SGSS data), whereas the survey estimated 71% (but only had 9 respondents which may be unreliable, therefore several scenarios were presented with different estimates).</w:t>
      </w:r>
      <w:r w:rsidR="00B23BE1">
        <w:t xml:space="preserve"> </w:t>
      </w:r>
      <w:r w:rsidR="00195A62">
        <w:t>There are p</w:t>
      </w:r>
      <w:r w:rsidR="00B23BE1">
        <w:t xml:space="preserve">otential limitations in the SGSS data (see key issue </w:t>
      </w:r>
      <w:r w:rsidR="006C6ED8">
        <w:t>10</w:t>
      </w:r>
      <w:r w:rsidR="00B23BE1">
        <w:t>).</w:t>
      </w:r>
    </w:p>
    <w:p w14:paraId="0D72705E" w14:textId="43587108" w:rsidR="00171FF3" w:rsidRDefault="00DD69C4" w:rsidP="00DD69C4">
      <w:pPr>
        <w:pStyle w:val="Paragraphnonumbers"/>
        <w:numPr>
          <w:ilvl w:val="1"/>
          <w:numId w:val="33"/>
        </w:numPr>
      </w:pPr>
      <w:r w:rsidRPr="00E72279">
        <w:rPr>
          <w:b/>
          <w:bCs/>
        </w:rPr>
        <w:t>Why it matters (cefiderocol):</w:t>
      </w:r>
      <w:r w:rsidRPr="00E72279">
        <w:t xml:space="preserve"> The results of the model are sensitive the proportion of patients correctly suspected as having MBL Enterobacterales. When this proportion is 50% or more the preferred treatment pathway is no longer to use cefiderocol empirically, but to reserve it for use in the microbiology directed setting.</w:t>
      </w:r>
      <w:r w:rsidR="00DC2A2B">
        <w:t xml:space="preserve"> </w:t>
      </w:r>
      <w:r w:rsidRPr="00E72279">
        <w:t>This results in a lower patient and population-level net health benefit, because few patients both reach the microbiology-directed setting and require cefiderocol treatment. However, the additional value of what would essentially be a stricter stewardship approach cannot be estimated by the model.</w:t>
      </w:r>
      <w:r w:rsidR="00DC2A2B">
        <w:t xml:space="preserve"> </w:t>
      </w:r>
    </w:p>
    <w:p w14:paraId="32EC62FF" w14:textId="6248A0A0" w:rsidR="00155DA1" w:rsidRPr="00E72279" w:rsidRDefault="0028235B" w:rsidP="00155DA1">
      <w:pPr>
        <w:pStyle w:val="Paragraphnonumbers"/>
        <w:numPr>
          <w:ilvl w:val="1"/>
          <w:numId w:val="33"/>
        </w:numPr>
      </w:pPr>
      <w:r>
        <w:rPr>
          <w:b/>
          <w:bCs/>
        </w:rPr>
        <w:lastRenderedPageBreak/>
        <w:t xml:space="preserve">Cross-references to committee papers for </w:t>
      </w:r>
      <w:r w:rsidR="002D769D" w:rsidRPr="002D769D">
        <w:rPr>
          <w:b/>
          <w:bCs/>
        </w:rPr>
        <w:t>cefiderocol</w:t>
      </w:r>
      <w:r w:rsidR="00155DA1">
        <w:rPr>
          <w:b/>
          <w:bCs/>
        </w:rPr>
        <w:t xml:space="preserve">: </w:t>
      </w:r>
      <w:r w:rsidR="00155DA1">
        <w:t xml:space="preserve">The approach to estimating the proportion of patients correctly identified as having the pathogen of interest is discussed in the Assessment Report, Section </w:t>
      </w:r>
      <w:r w:rsidR="002D769D">
        <w:t>8</w:t>
      </w:r>
      <w:r w:rsidR="000B65C7">
        <w:t>.2.3.5.</w:t>
      </w:r>
      <w:r w:rsidR="00155DA1">
        <w:t xml:space="preserve">  </w:t>
      </w:r>
    </w:p>
    <w:p w14:paraId="2358D60E" w14:textId="10A70575" w:rsidR="008F4AE2" w:rsidRPr="00E72279" w:rsidRDefault="008F4AE2" w:rsidP="008F4AE2">
      <w:pPr>
        <w:pStyle w:val="Heading1"/>
      </w:pPr>
      <w:r w:rsidRPr="00E72279">
        <w:t>Re</w:t>
      </w:r>
      <w:r w:rsidR="003E63EF" w:rsidRPr="00E72279">
        <w:t>search recommendations</w:t>
      </w:r>
    </w:p>
    <w:p w14:paraId="4D0DF75F" w14:textId="6510956F" w:rsidR="003E63EF" w:rsidRPr="00E72279" w:rsidRDefault="003E63EF" w:rsidP="003E63EF">
      <w:pPr>
        <w:pStyle w:val="Paragraph"/>
      </w:pPr>
      <w:r w:rsidRPr="00E72279">
        <w:t>Are there areas of uncertainty</w:t>
      </w:r>
      <w:r w:rsidR="00E11436">
        <w:t>,</w:t>
      </w:r>
      <w:r w:rsidRPr="00E72279">
        <w:t xml:space="preserve"> that are drivers of</w:t>
      </w:r>
      <w:r w:rsidR="00C83625" w:rsidRPr="00E72279">
        <w:t xml:space="preserve"> the QALY estimates</w:t>
      </w:r>
      <w:r w:rsidR="00E11436">
        <w:t>, that</w:t>
      </w:r>
      <w:r w:rsidRPr="00E72279">
        <w:t xml:space="preserve"> could be substantially reduced</w:t>
      </w:r>
      <w:r w:rsidR="00C83625" w:rsidRPr="00E72279">
        <w:t xml:space="preserve"> by further data collection and research?</w:t>
      </w:r>
    </w:p>
    <w:p w14:paraId="743575F3" w14:textId="2054D92A" w:rsidR="00AD6388" w:rsidRPr="00AD6388" w:rsidRDefault="00AD6388" w:rsidP="00C83625">
      <w:pPr>
        <w:pStyle w:val="Paragraph"/>
        <w:numPr>
          <w:ilvl w:val="1"/>
          <w:numId w:val="3"/>
        </w:numPr>
      </w:pPr>
      <w:r>
        <w:rPr>
          <w:b/>
          <w:bCs/>
        </w:rPr>
        <w:t xml:space="preserve">Context: </w:t>
      </w:r>
      <w:r w:rsidRPr="00AD6388">
        <w:t>For example, see</w:t>
      </w:r>
      <w:r>
        <w:t xml:space="preserve"> key issues 4, 5, </w:t>
      </w:r>
      <w:r w:rsidR="006C6ED8">
        <w:t>10</w:t>
      </w:r>
      <w:r>
        <w:t xml:space="preserve"> and 1</w:t>
      </w:r>
      <w:r w:rsidR="006C6ED8">
        <w:t>7</w:t>
      </w:r>
      <w:r>
        <w:t>.</w:t>
      </w:r>
    </w:p>
    <w:p w14:paraId="4BF71436" w14:textId="4DC40660" w:rsidR="00C83625" w:rsidRPr="00E72279" w:rsidRDefault="00C83625" w:rsidP="00C83625">
      <w:pPr>
        <w:pStyle w:val="Paragraph"/>
        <w:numPr>
          <w:ilvl w:val="1"/>
          <w:numId w:val="3"/>
        </w:numPr>
      </w:pPr>
      <w:r w:rsidRPr="00E72279">
        <w:rPr>
          <w:b/>
          <w:bCs/>
        </w:rPr>
        <w:t>Why it matters</w:t>
      </w:r>
      <w:r w:rsidRPr="00E72279">
        <w:t xml:space="preserve">: Recommendations for key areas of data collection and research may help to reduce levels of uncertainty in the evaluation of any future new antimicrobials and may also help to inform </w:t>
      </w:r>
      <w:r w:rsidR="00E16C5F">
        <w:t xml:space="preserve">or improve </w:t>
      </w:r>
      <w:r w:rsidRPr="00E72279">
        <w:t>data collection approaches in</w:t>
      </w:r>
      <w:r w:rsidR="00E16C5F">
        <w:t xml:space="preserve"> the UK and</w:t>
      </w:r>
      <w:r w:rsidRPr="00E72279">
        <w:t xml:space="preserve"> any other countries considering similar approaches to evaluating new antimicrobials.</w:t>
      </w:r>
    </w:p>
    <w:p w14:paraId="6D43AD41" w14:textId="77777777" w:rsidR="00225BE7" w:rsidRDefault="00225BE7" w:rsidP="00225BE7">
      <w:pPr>
        <w:pStyle w:val="Heading1"/>
      </w:pPr>
      <w:r>
        <w:t>Comparators</w:t>
      </w:r>
    </w:p>
    <w:p w14:paraId="585A9551" w14:textId="77777777" w:rsidR="00225BE7" w:rsidRPr="007C6E4C" w:rsidRDefault="00225BE7" w:rsidP="00225BE7">
      <w:pPr>
        <w:pStyle w:val="Paragraph"/>
      </w:pPr>
      <w:r w:rsidRPr="007C6E4C">
        <w:t>Are the chosen comparators reflective of those most used in NHS clinical practice?</w:t>
      </w:r>
    </w:p>
    <w:p w14:paraId="261F2443" w14:textId="77777777" w:rsidR="00225BE7" w:rsidRPr="00C94971" w:rsidRDefault="00225BE7" w:rsidP="00225BE7">
      <w:pPr>
        <w:pStyle w:val="Paragraphnonumbers"/>
        <w:numPr>
          <w:ilvl w:val="1"/>
          <w:numId w:val="3"/>
        </w:numPr>
        <w:rPr>
          <w:b/>
          <w:bCs/>
        </w:rPr>
      </w:pPr>
      <w:r w:rsidRPr="00C94971">
        <w:rPr>
          <w:b/>
          <w:bCs/>
        </w:rPr>
        <w:t xml:space="preserve">Context: </w:t>
      </w:r>
      <w:r w:rsidRPr="00C94971">
        <w:t>Due to the broad range of usage for antimicrobials there are a range of potential comparator treatments.</w:t>
      </w:r>
    </w:p>
    <w:p w14:paraId="13BEDE08" w14:textId="17470952" w:rsidR="00225BE7" w:rsidRPr="00B20447" w:rsidRDefault="00225BE7" w:rsidP="00225BE7">
      <w:pPr>
        <w:pStyle w:val="Paragraphnonumbers"/>
        <w:numPr>
          <w:ilvl w:val="1"/>
          <w:numId w:val="3"/>
        </w:numPr>
        <w:rPr>
          <w:b/>
          <w:bCs/>
        </w:rPr>
      </w:pPr>
      <w:r w:rsidRPr="0042731A">
        <w:rPr>
          <w:b/>
          <w:bCs/>
        </w:rPr>
        <w:t xml:space="preserve">Why it matters: </w:t>
      </w:r>
      <w:r>
        <w:t xml:space="preserve">The confidential hospital invoice price for </w:t>
      </w:r>
      <w:r w:rsidR="00266E9F" w:rsidRPr="00266E9F">
        <w:t>cefiderocol</w:t>
      </w:r>
      <w:r>
        <w:t>, which is set by NHSE, will be informed by the price of the most relevant comparator treatments.</w:t>
      </w:r>
    </w:p>
    <w:p w14:paraId="1C589B85" w14:textId="0DB34137" w:rsidR="00225BE7" w:rsidRPr="00B20447" w:rsidRDefault="00225BE7" w:rsidP="00225BE7">
      <w:pPr>
        <w:pStyle w:val="Paragraphnonumbers"/>
        <w:numPr>
          <w:ilvl w:val="1"/>
          <w:numId w:val="3"/>
        </w:numPr>
      </w:pPr>
      <w:r>
        <w:rPr>
          <w:b/>
          <w:bCs/>
        </w:rPr>
        <w:t xml:space="preserve">Cross-references to committee papers for </w:t>
      </w:r>
      <w:r w:rsidR="002D769D" w:rsidRPr="002D769D">
        <w:rPr>
          <w:b/>
          <w:bCs/>
        </w:rPr>
        <w:t>cefiderocol</w:t>
      </w:r>
      <w:r>
        <w:rPr>
          <w:b/>
          <w:bCs/>
        </w:rPr>
        <w:t xml:space="preserve">: </w:t>
      </w:r>
      <w:r>
        <w:t xml:space="preserve">The comparators chosen are described in the Assessment Report, sections </w:t>
      </w:r>
      <w:r w:rsidR="00266E9F">
        <w:t>4.2.4</w:t>
      </w:r>
      <w:r>
        <w:t xml:space="preserve"> and </w:t>
      </w:r>
      <w:r w:rsidR="00266E9F">
        <w:t>8</w:t>
      </w:r>
      <w:r>
        <w:t>.2.1.3.</w:t>
      </w:r>
    </w:p>
    <w:p w14:paraId="10B76B23" w14:textId="77777777" w:rsidR="00892FF5" w:rsidRDefault="00892FF5" w:rsidP="00892FF5">
      <w:pPr>
        <w:pStyle w:val="Heading1"/>
      </w:pPr>
      <w:r>
        <w:t>Contract value</w:t>
      </w:r>
    </w:p>
    <w:p w14:paraId="6795C87F" w14:textId="77777777" w:rsidR="00892FF5" w:rsidRDefault="00892FF5" w:rsidP="00892FF5">
      <w:pPr>
        <w:pStyle w:val="Paragraph"/>
      </w:pPr>
      <w:r>
        <w:t>What proportion of the value gained over the model time horizon (20 years) should be assigned to the contract period (10 years)?</w:t>
      </w:r>
    </w:p>
    <w:p w14:paraId="7839A579" w14:textId="14C25E91" w:rsidR="00892FF5" w:rsidRDefault="00892FF5" w:rsidP="00892FF5">
      <w:pPr>
        <w:pStyle w:val="Paragraph"/>
        <w:numPr>
          <w:ilvl w:val="1"/>
          <w:numId w:val="3"/>
        </w:numPr>
      </w:pPr>
      <w:r w:rsidRPr="00C94971">
        <w:rPr>
          <w:b/>
          <w:bCs/>
        </w:rPr>
        <w:t xml:space="preserve">Context: </w:t>
      </w:r>
      <w:r>
        <w:t xml:space="preserve">The estimated proportion of value accrued by the antimicrobials over the first 10 years of the 20-year time horizon (41% to 65%) is lower than is typical for other drugs whose usage is stable over time (59%). </w:t>
      </w:r>
      <w:r w:rsidR="00385D9D">
        <w:t>To</w:t>
      </w:r>
      <w:r>
        <w:t xml:space="preserve"> provide a suitable ‘pull’ incentive to </w:t>
      </w:r>
      <w:r w:rsidR="003F10F3">
        <w:t xml:space="preserve">antimicrobial </w:t>
      </w:r>
      <w:r>
        <w:t>manufacture</w:t>
      </w:r>
      <w:r w:rsidR="003F10F3">
        <w:t>r</w:t>
      </w:r>
      <w:r>
        <w:t>s</w:t>
      </w:r>
      <w:r w:rsidR="003F10F3">
        <w:t>,</w:t>
      </w:r>
      <w:r>
        <w:t xml:space="preserve"> committee may wish to assign anywhere between 60 to 100% of the </w:t>
      </w:r>
      <w:r w:rsidR="00C221FE">
        <w:t xml:space="preserve">20-year </w:t>
      </w:r>
      <w:r>
        <w:t>value to the 10-year contract period. The decision of how much value to assign may take into account:</w:t>
      </w:r>
    </w:p>
    <w:p w14:paraId="568DFE07" w14:textId="77777777" w:rsidR="00892FF5" w:rsidRDefault="00892FF5" w:rsidP="00892FF5">
      <w:pPr>
        <w:pStyle w:val="Paragraph"/>
        <w:numPr>
          <w:ilvl w:val="2"/>
          <w:numId w:val="3"/>
        </w:numPr>
      </w:pPr>
      <w:r>
        <w:t>Whether the financial reward for the company is a sufficient pull incentive</w:t>
      </w:r>
    </w:p>
    <w:p w14:paraId="2057421D" w14:textId="77777777" w:rsidR="00892FF5" w:rsidRDefault="00892FF5" w:rsidP="00892FF5">
      <w:pPr>
        <w:pStyle w:val="Paragraph"/>
        <w:numPr>
          <w:ilvl w:val="2"/>
          <w:numId w:val="3"/>
        </w:numPr>
      </w:pPr>
      <w:r>
        <w:t>Whether there is uncaptured value in the analyses</w:t>
      </w:r>
    </w:p>
    <w:p w14:paraId="4E9017C5" w14:textId="5A4E7910" w:rsidR="00892FF5" w:rsidRPr="00C94971" w:rsidRDefault="00892FF5" w:rsidP="00892FF5">
      <w:pPr>
        <w:pStyle w:val="Paragraph"/>
        <w:numPr>
          <w:ilvl w:val="2"/>
          <w:numId w:val="3"/>
        </w:numPr>
      </w:pPr>
      <w:r>
        <w:t xml:space="preserve">Financial risk to the NHS (for example, </w:t>
      </w:r>
      <w:r w:rsidR="00C221FE">
        <w:t xml:space="preserve">assigning a higher proportion to the contract period increases the risk of the NHS </w:t>
      </w:r>
      <w:r>
        <w:t xml:space="preserve">paying </w:t>
      </w:r>
      <w:r w:rsidR="00C221FE">
        <w:t xml:space="preserve">more </w:t>
      </w:r>
      <w:r>
        <w:t xml:space="preserve">than </w:t>
      </w:r>
      <w:r>
        <w:lastRenderedPageBreak/>
        <w:t xml:space="preserve">100% of the </w:t>
      </w:r>
      <w:r w:rsidR="00C221FE">
        <w:t xml:space="preserve">antimicrobial’s </w:t>
      </w:r>
      <w:r>
        <w:t>value</w:t>
      </w:r>
      <w:r w:rsidR="00C221FE">
        <w:t xml:space="preserve"> over the period that it, and future generics, will be on the market, assuming they will be </w:t>
      </w:r>
      <w:r>
        <w:t xml:space="preserve">used </w:t>
      </w:r>
      <w:r w:rsidR="00C221FE">
        <w:t xml:space="preserve">after </w:t>
      </w:r>
      <w:r>
        <w:t xml:space="preserve">the contract period) </w:t>
      </w:r>
    </w:p>
    <w:p w14:paraId="08ECB41D" w14:textId="5C42DEA2" w:rsidR="00892FF5" w:rsidRDefault="00892FF5" w:rsidP="00892FF5">
      <w:pPr>
        <w:pStyle w:val="Paragraph"/>
        <w:numPr>
          <w:ilvl w:val="1"/>
          <w:numId w:val="3"/>
        </w:numPr>
      </w:pPr>
      <w:r w:rsidRPr="00C94971">
        <w:rPr>
          <w:b/>
          <w:bCs/>
        </w:rPr>
        <w:t>Why it matters</w:t>
      </w:r>
      <w:r w:rsidRPr="00C94971">
        <w:t xml:space="preserve">:  </w:t>
      </w:r>
      <w:r>
        <w:t>As one of the policy goal</w:t>
      </w:r>
      <w:r w:rsidR="003F10F3">
        <w:t>s</w:t>
      </w:r>
      <w:r>
        <w:t xml:space="preserve"> of the evaluation framework is to provide ‘pull’ incentives to developers of antimicrobials</w:t>
      </w:r>
      <w:r w:rsidR="003F10F3">
        <w:t>,</w:t>
      </w:r>
      <w:r>
        <w:t xml:space="preserve"> financial rewards should at least be in line with those expected for other drugs.</w:t>
      </w:r>
    </w:p>
    <w:p w14:paraId="7BC68450" w14:textId="31667763" w:rsidR="00892FF5" w:rsidRPr="002B4A00" w:rsidRDefault="0028235B" w:rsidP="00892FF5">
      <w:pPr>
        <w:pStyle w:val="Paragraphnonumbers"/>
        <w:numPr>
          <w:ilvl w:val="1"/>
          <w:numId w:val="3"/>
        </w:numPr>
      </w:pPr>
      <w:r>
        <w:rPr>
          <w:b/>
          <w:bCs/>
        </w:rPr>
        <w:t xml:space="preserve">Cross-references to committee papers for </w:t>
      </w:r>
      <w:r w:rsidR="00266E9F" w:rsidRPr="00266E9F">
        <w:rPr>
          <w:b/>
          <w:bCs/>
        </w:rPr>
        <w:t>cefiderocol</w:t>
      </w:r>
      <w:r w:rsidR="00892FF5">
        <w:rPr>
          <w:b/>
          <w:bCs/>
        </w:rPr>
        <w:t xml:space="preserve">: </w:t>
      </w:r>
      <w:r w:rsidR="00892FF5">
        <w:t xml:space="preserve">Population incremental health benefit over the first 10 years of usage for EEPRU’s base case analyses is reported in the Assessment Report, Appendix 20, Table </w:t>
      </w:r>
      <w:r w:rsidR="00266E9F">
        <w:t>A20.1</w:t>
      </w:r>
      <w:r w:rsidR="00892FF5">
        <w:t>.</w:t>
      </w:r>
      <w:r w:rsidR="00726C01">
        <w:t xml:space="preserve"> Page </w:t>
      </w:r>
      <w:r w:rsidR="00266E9F">
        <w:t xml:space="preserve">188 </w:t>
      </w:r>
      <w:r w:rsidR="00726C01">
        <w:t>of the Assessment Report contains the unreferenced statement: “</w:t>
      </w:r>
      <w:r w:rsidR="00726C01" w:rsidRPr="00726C01">
        <w:t>For a pharmaceutical where population size is expected to be stable over time we would expect 59% of the value to accrue in the first 10 years.</w:t>
      </w:r>
      <w:r w:rsidR="00726C01">
        <w:t xml:space="preserve">” </w:t>
      </w:r>
      <w:r w:rsidR="00726C01" w:rsidRPr="00726C01">
        <w:t>EEPRU have confirmed that this is based on data collected to inform the following publication, although the figure of 59% is not cited in the publication: Woods et al. Estimating the shares of the value of branded pharmaceuticals accruing to manufacturers and to patients served by health systems. Health Econ. 2021 Nov;30(11):2649-2666</w:t>
      </w:r>
      <w:r w:rsidR="00726C01">
        <w:t>.</w:t>
      </w:r>
    </w:p>
    <w:p w14:paraId="5F8DEA63" w14:textId="6CC7B3FD" w:rsidR="00D12D9E" w:rsidRDefault="00D12D9E" w:rsidP="00D12D9E">
      <w:pPr>
        <w:pStyle w:val="Paragraph"/>
        <w:numPr>
          <w:ilvl w:val="0"/>
          <w:numId w:val="0"/>
        </w:numPr>
        <w:ind w:left="720" w:hanging="360"/>
        <w:rPr>
          <w:highlight w:val="yellow"/>
        </w:rPr>
      </w:pPr>
    </w:p>
    <w:p w14:paraId="065E50AD" w14:textId="77777777" w:rsidR="00C83625" w:rsidRPr="003E63EF" w:rsidRDefault="00C83625" w:rsidP="00C83625">
      <w:pPr>
        <w:pStyle w:val="Paragraph"/>
        <w:numPr>
          <w:ilvl w:val="0"/>
          <w:numId w:val="0"/>
        </w:numPr>
        <w:ind w:left="720"/>
        <w:rPr>
          <w:highlight w:val="yellow"/>
        </w:rPr>
      </w:pPr>
    </w:p>
    <w:p w14:paraId="5B85C8C5" w14:textId="77777777" w:rsidR="00892FF5" w:rsidRDefault="00892FF5">
      <w:pPr>
        <w:rPr>
          <w:rFonts w:ascii="Times New Roman" w:eastAsia="Times New Roman" w:hAnsi="Times New Roman"/>
          <w:sz w:val="20"/>
          <w:szCs w:val="20"/>
          <w:lang w:eastAsia="en-GB"/>
        </w:rPr>
      </w:pPr>
    </w:p>
    <w:sectPr w:rsidR="00892FF5" w:rsidSect="001714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C230" w14:textId="77777777" w:rsidR="00DD594C" w:rsidRDefault="00DD594C" w:rsidP="00446BEE">
      <w:r>
        <w:separator/>
      </w:r>
    </w:p>
  </w:endnote>
  <w:endnote w:type="continuationSeparator" w:id="0">
    <w:p w14:paraId="11602395" w14:textId="77777777" w:rsidR="00DD594C" w:rsidRDefault="00DD594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2C66" w14:textId="42FEECC1" w:rsidR="00446BEE" w:rsidRDefault="002362C3">
    <w:pPr>
      <w:pStyle w:val="Footer"/>
    </w:pPr>
    <w:r>
      <w:t>Antimicrobial evaluations (</w:t>
    </w:r>
    <w:r w:rsidR="00530EA6">
      <w:t>cefiderocol</w:t>
    </w:r>
    <w:r>
      <w:t>)</w:t>
    </w:r>
    <w:r w:rsidR="00446BEE">
      <w:tab/>
    </w:r>
    <w:r w:rsidR="00446BEE">
      <w:tab/>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r w:rsidR="00814AF0">
      <w:fldChar w:fldCharType="begin"/>
    </w:r>
    <w:r w:rsidR="00814AF0">
      <w:instrText xml:space="preserve"> NUMPAGES  </w:instrText>
    </w:r>
    <w:r w:rsidR="00814AF0">
      <w:fldChar w:fldCharType="separate"/>
    </w:r>
    <w:r w:rsidR="007F238D">
      <w:rPr>
        <w:noProof/>
      </w:rPr>
      <w:t>1</w:t>
    </w:r>
    <w:r w:rsidR="00814AF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6B097" w14:textId="77777777" w:rsidR="00DD594C" w:rsidRDefault="00DD594C" w:rsidP="00446BEE">
      <w:r>
        <w:separator/>
      </w:r>
    </w:p>
  </w:footnote>
  <w:footnote w:type="continuationSeparator" w:id="0">
    <w:p w14:paraId="3775BCDC" w14:textId="77777777" w:rsidR="00DD594C" w:rsidRDefault="00DD594C"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890"/>
    <w:multiLevelType w:val="hybridMultilevel"/>
    <w:tmpl w:val="5EA0B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87B2C"/>
    <w:multiLevelType w:val="hybridMultilevel"/>
    <w:tmpl w:val="1270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2CEE"/>
    <w:multiLevelType w:val="hybridMultilevel"/>
    <w:tmpl w:val="B9AEE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F9665568"/>
    <w:lvl w:ilvl="0" w:tplc="B6CE81DA">
      <w:start w:val="1"/>
      <w:numFmt w:val="decimal"/>
      <w:pStyle w:val="Paragraph"/>
      <w:lvlText w:val="%1."/>
      <w:lvlJc w:val="left"/>
      <w:pPr>
        <w:ind w:left="720" w:hanging="360"/>
      </w:pPr>
      <w:rPr>
        <w:i w:val="0"/>
        <w:iCs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54219"/>
    <w:multiLevelType w:val="hybridMultilevel"/>
    <w:tmpl w:val="130CF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1E3A8B"/>
    <w:multiLevelType w:val="hybridMultilevel"/>
    <w:tmpl w:val="4680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E3B9F"/>
    <w:multiLevelType w:val="hybridMultilevel"/>
    <w:tmpl w:val="F632647E"/>
    <w:lvl w:ilvl="0" w:tplc="B6C2D60E">
      <w:start w:val="1"/>
      <w:numFmt w:val="decimal"/>
      <w:lvlText w:val="%1."/>
      <w:lvlJc w:val="left"/>
      <w:pPr>
        <w:tabs>
          <w:tab w:val="num" w:pos="720"/>
        </w:tabs>
        <w:ind w:left="720" w:hanging="360"/>
      </w:pPr>
    </w:lvl>
    <w:lvl w:ilvl="1" w:tplc="554CBEDE">
      <w:start w:val="1"/>
      <w:numFmt w:val="decimal"/>
      <w:lvlText w:val="%2."/>
      <w:lvlJc w:val="left"/>
      <w:pPr>
        <w:tabs>
          <w:tab w:val="num" w:pos="1440"/>
        </w:tabs>
        <w:ind w:left="1440" w:hanging="360"/>
      </w:pPr>
    </w:lvl>
    <w:lvl w:ilvl="2" w:tplc="EB9EAC08">
      <w:numFmt w:val="bullet"/>
      <w:lvlText w:val="•"/>
      <w:lvlJc w:val="left"/>
      <w:pPr>
        <w:tabs>
          <w:tab w:val="num" w:pos="2160"/>
        </w:tabs>
        <w:ind w:left="2160" w:hanging="360"/>
      </w:pPr>
      <w:rPr>
        <w:rFonts w:ascii="Arial" w:hAnsi="Arial" w:hint="default"/>
      </w:rPr>
    </w:lvl>
    <w:lvl w:ilvl="3" w:tplc="1C8C6616" w:tentative="1">
      <w:start w:val="1"/>
      <w:numFmt w:val="decimal"/>
      <w:lvlText w:val="%4."/>
      <w:lvlJc w:val="left"/>
      <w:pPr>
        <w:tabs>
          <w:tab w:val="num" w:pos="2880"/>
        </w:tabs>
        <w:ind w:left="2880" w:hanging="360"/>
      </w:pPr>
    </w:lvl>
    <w:lvl w:ilvl="4" w:tplc="F4585854" w:tentative="1">
      <w:start w:val="1"/>
      <w:numFmt w:val="decimal"/>
      <w:lvlText w:val="%5."/>
      <w:lvlJc w:val="left"/>
      <w:pPr>
        <w:tabs>
          <w:tab w:val="num" w:pos="3600"/>
        </w:tabs>
        <w:ind w:left="3600" w:hanging="360"/>
      </w:pPr>
    </w:lvl>
    <w:lvl w:ilvl="5" w:tplc="F4FACC08" w:tentative="1">
      <w:start w:val="1"/>
      <w:numFmt w:val="decimal"/>
      <w:lvlText w:val="%6."/>
      <w:lvlJc w:val="left"/>
      <w:pPr>
        <w:tabs>
          <w:tab w:val="num" w:pos="4320"/>
        </w:tabs>
        <w:ind w:left="4320" w:hanging="360"/>
      </w:pPr>
    </w:lvl>
    <w:lvl w:ilvl="6" w:tplc="F2E49A20" w:tentative="1">
      <w:start w:val="1"/>
      <w:numFmt w:val="decimal"/>
      <w:lvlText w:val="%7."/>
      <w:lvlJc w:val="left"/>
      <w:pPr>
        <w:tabs>
          <w:tab w:val="num" w:pos="5040"/>
        </w:tabs>
        <w:ind w:left="5040" w:hanging="360"/>
      </w:pPr>
    </w:lvl>
    <w:lvl w:ilvl="7" w:tplc="29FAC038" w:tentative="1">
      <w:start w:val="1"/>
      <w:numFmt w:val="decimal"/>
      <w:lvlText w:val="%8."/>
      <w:lvlJc w:val="left"/>
      <w:pPr>
        <w:tabs>
          <w:tab w:val="num" w:pos="5760"/>
        </w:tabs>
        <w:ind w:left="5760" w:hanging="360"/>
      </w:pPr>
    </w:lvl>
    <w:lvl w:ilvl="8" w:tplc="94BC80CA" w:tentative="1">
      <w:start w:val="1"/>
      <w:numFmt w:val="decimal"/>
      <w:lvlText w:val="%9."/>
      <w:lvlJc w:val="left"/>
      <w:pPr>
        <w:tabs>
          <w:tab w:val="num" w:pos="6480"/>
        </w:tabs>
        <w:ind w:left="6480" w:hanging="360"/>
      </w:pPr>
    </w:lvl>
  </w:abstractNum>
  <w:abstractNum w:abstractNumId="7" w15:restartNumberingAfterBreak="0">
    <w:nsid w:val="1D324A17"/>
    <w:multiLevelType w:val="hybridMultilevel"/>
    <w:tmpl w:val="19065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D65D5"/>
    <w:multiLevelType w:val="hybridMultilevel"/>
    <w:tmpl w:val="C724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C0A08"/>
    <w:multiLevelType w:val="hybridMultilevel"/>
    <w:tmpl w:val="0EEA7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C3FF7"/>
    <w:multiLevelType w:val="hybridMultilevel"/>
    <w:tmpl w:val="D57453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AA5296"/>
    <w:multiLevelType w:val="hybridMultilevel"/>
    <w:tmpl w:val="CB8A0922"/>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102092"/>
    <w:multiLevelType w:val="hybridMultilevel"/>
    <w:tmpl w:val="7C7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96F54"/>
    <w:multiLevelType w:val="hybridMultilevel"/>
    <w:tmpl w:val="92008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7790545"/>
    <w:multiLevelType w:val="hybridMultilevel"/>
    <w:tmpl w:val="B9AA2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1E45F2"/>
    <w:multiLevelType w:val="hybridMultilevel"/>
    <w:tmpl w:val="130CF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6209DF"/>
    <w:multiLevelType w:val="hybridMultilevel"/>
    <w:tmpl w:val="B5F6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9D5CD2"/>
    <w:multiLevelType w:val="multilevel"/>
    <w:tmpl w:val="6F08E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E465A"/>
    <w:multiLevelType w:val="hybridMultilevel"/>
    <w:tmpl w:val="B3C64062"/>
    <w:lvl w:ilvl="0" w:tplc="89C613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990ADE"/>
    <w:multiLevelType w:val="multilevel"/>
    <w:tmpl w:val="9064D01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C4280"/>
    <w:multiLevelType w:val="hybridMultilevel"/>
    <w:tmpl w:val="EAFA0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9655B"/>
    <w:multiLevelType w:val="hybridMultilevel"/>
    <w:tmpl w:val="65CA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D0938"/>
    <w:multiLevelType w:val="hybridMultilevel"/>
    <w:tmpl w:val="B28E6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9A7FA1"/>
    <w:multiLevelType w:val="hybridMultilevel"/>
    <w:tmpl w:val="B7607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BF821E8"/>
    <w:multiLevelType w:val="hybridMultilevel"/>
    <w:tmpl w:val="E2CC467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4D8641D5"/>
    <w:multiLevelType w:val="hybridMultilevel"/>
    <w:tmpl w:val="C36C99C4"/>
    <w:lvl w:ilvl="0" w:tplc="B04CD78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4150C"/>
    <w:multiLevelType w:val="hybridMultilevel"/>
    <w:tmpl w:val="6616D052"/>
    <w:lvl w:ilvl="0" w:tplc="7BAE50F6">
      <w:start w:val="1"/>
      <w:numFmt w:val="bullet"/>
      <w:lvlText w:val="•"/>
      <w:lvlJc w:val="left"/>
      <w:pPr>
        <w:tabs>
          <w:tab w:val="num" w:pos="720"/>
        </w:tabs>
        <w:ind w:left="720" w:hanging="360"/>
      </w:pPr>
      <w:rPr>
        <w:rFonts w:ascii="Arial" w:hAnsi="Arial" w:hint="default"/>
      </w:rPr>
    </w:lvl>
    <w:lvl w:ilvl="1" w:tplc="4E86E5DA" w:tentative="1">
      <w:start w:val="1"/>
      <w:numFmt w:val="bullet"/>
      <w:lvlText w:val="•"/>
      <w:lvlJc w:val="left"/>
      <w:pPr>
        <w:tabs>
          <w:tab w:val="num" w:pos="1440"/>
        </w:tabs>
        <w:ind w:left="1440" w:hanging="360"/>
      </w:pPr>
      <w:rPr>
        <w:rFonts w:ascii="Arial" w:hAnsi="Arial" w:hint="default"/>
      </w:rPr>
    </w:lvl>
    <w:lvl w:ilvl="2" w:tplc="79C607C8">
      <w:start w:val="1"/>
      <w:numFmt w:val="bullet"/>
      <w:lvlText w:val="•"/>
      <w:lvlJc w:val="left"/>
      <w:pPr>
        <w:tabs>
          <w:tab w:val="num" w:pos="2160"/>
        </w:tabs>
        <w:ind w:left="2160" w:hanging="360"/>
      </w:pPr>
      <w:rPr>
        <w:rFonts w:ascii="Arial" w:hAnsi="Arial" w:hint="default"/>
      </w:rPr>
    </w:lvl>
    <w:lvl w:ilvl="3" w:tplc="F01ACC64" w:tentative="1">
      <w:start w:val="1"/>
      <w:numFmt w:val="bullet"/>
      <w:lvlText w:val="•"/>
      <w:lvlJc w:val="left"/>
      <w:pPr>
        <w:tabs>
          <w:tab w:val="num" w:pos="2880"/>
        </w:tabs>
        <w:ind w:left="2880" w:hanging="360"/>
      </w:pPr>
      <w:rPr>
        <w:rFonts w:ascii="Arial" w:hAnsi="Arial" w:hint="default"/>
      </w:rPr>
    </w:lvl>
    <w:lvl w:ilvl="4" w:tplc="8D06BC18" w:tentative="1">
      <w:start w:val="1"/>
      <w:numFmt w:val="bullet"/>
      <w:lvlText w:val="•"/>
      <w:lvlJc w:val="left"/>
      <w:pPr>
        <w:tabs>
          <w:tab w:val="num" w:pos="3600"/>
        </w:tabs>
        <w:ind w:left="3600" w:hanging="360"/>
      </w:pPr>
      <w:rPr>
        <w:rFonts w:ascii="Arial" w:hAnsi="Arial" w:hint="default"/>
      </w:rPr>
    </w:lvl>
    <w:lvl w:ilvl="5" w:tplc="845681A0" w:tentative="1">
      <w:start w:val="1"/>
      <w:numFmt w:val="bullet"/>
      <w:lvlText w:val="•"/>
      <w:lvlJc w:val="left"/>
      <w:pPr>
        <w:tabs>
          <w:tab w:val="num" w:pos="4320"/>
        </w:tabs>
        <w:ind w:left="4320" w:hanging="360"/>
      </w:pPr>
      <w:rPr>
        <w:rFonts w:ascii="Arial" w:hAnsi="Arial" w:hint="default"/>
      </w:rPr>
    </w:lvl>
    <w:lvl w:ilvl="6" w:tplc="699C044C" w:tentative="1">
      <w:start w:val="1"/>
      <w:numFmt w:val="bullet"/>
      <w:lvlText w:val="•"/>
      <w:lvlJc w:val="left"/>
      <w:pPr>
        <w:tabs>
          <w:tab w:val="num" w:pos="5040"/>
        </w:tabs>
        <w:ind w:left="5040" w:hanging="360"/>
      </w:pPr>
      <w:rPr>
        <w:rFonts w:ascii="Arial" w:hAnsi="Arial" w:hint="default"/>
      </w:rPr>
    </w:lvl>
    <w:lvl w:ilvl="7" w:tplc="278C81B6" w:tentative="1">
      <w:start w:val="1"/>
      <w:numFmt w:val="bullet"/>
      <w:lvlText w:val="•"/>
      <w:lvlJc w:val="left"/>
      <w:pPr>
        <w:tabs>
          <w:tab w:val="num" w:pos="5760"/>
        </w:tabs>
        <w:ind w:left="5760" w:hanging="360"/>
      </w:pPr>
      <w:rPr>
        <w:rFonts w:ascii="Arial" w:hAnsi="Arial" w:hint="default"/>
      </w:rPr>
    </w:lvl>
    <w:lvl w:ilvl="8" w:tplc="9E0A56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A24300"/>
    <w:multiLevelType w:val="hybridMultilevel"/>
    <w:tmpl w:val="485E9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363E8E"/>
    <w:multiLevelType w:val="hybridMultilevel"/>
    <w:tmpl w:val="1A2E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592F1A"/>
    <w:multiLevelType w:val="hybridMultilevel"/>
    <w:tmpl w:val="691E1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E0FFB"/>
    <w:multiLevelType w:val="hybridMultilevel"/>
    <w:tmpl w:val="62827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C2977"/>
    <w:multiLevelType w:val="hybridMultilevel"/>
    <w:tmpl w:val="CCBE4A5C"/>
    <w:lvl w:ilvl="0" w:tplc="43081EB8">
      <w:start w:val="1"/>
      <w:numFmt w:val="bullet"/>
      <w:lvlText w:val="•"/>
      <w:lvlJc w:val="left"/>
      <w:pPr>
        <w:tabs>
          <w:tab w:val="num" w:pos="720"/>
        </w:tabs>
        <w:ind w:left="720" w:hanging="360"/>
      </w:pPr>
      <w:rPr>
        <w:rFonts w:ascii="Arial" w:hAnsi="Arial" w:hint="default"/>
      </w:rPr>
    </w:lvl>
    <w:lvl w:ilvl="1" w:tplc="EEFA73F2">
      <w:numFmt w:val="bullet"/>
      <w:lvlText w:val="•"/>
      <w:lvlJc w:val="left"/>
      <w:pPr>
        <w:tabs>
          <w:tab w:val="num" w:pos="1440"/>
        </w:tabs>
        <w:ind w:left="1440" w:hanging="360"/>
      </w:pPr>
      <w:rPr>
        <w:rFonts w:ascii="Arial" w:hAnsi="Arial" w:hint="default"/>
      </w:rPr>
    </w:lvl>
    <w:lvl w:ilvl="2" w:tplc="7D0CABE4" w:tentative="1">
      <w:start w:val="1"/>
      <w:numFmt w:val="bullet"/>
      <w:lvlText w:val="•"/>
      <w:lvlJc w:val="left"/>
      <w:pPr>
        <w:tabs>
          <w:tab w:val="num" w:pos="2160"/>
        </w:tabs>
        <w:ind w:left="2160" w:hanging="360"/>
      </w:pPr>
      <w:rPr>
        <w:rFonts w:ascii="Arial" w:hAnsi="Arial" w:hint="default"/>
      </w:rPr>
    </w:lvl>
    <w:lvl w:ilvl="3" w:tplc="FBDA69CE" w:tentative="1">
      <w:start w:val="1"/>
      <w:numFmt w:val="bullet"/>
      <w:lvlText w:val="•"/>
      <w:lvlJc w:val="left"/>
      <w:pPr>
        <w:tabs>
          <w:tab w:val="num" w:pos="2880"/>
        </w:tabs>
        <w:ind w:left="2880" w:hanging="360"/>
      </w:pPr>
      <w:rPr>
        <w:rFonts w:ascii="Arial" w:hAnsi="Arial" w:hint="default"/>
      </w:rPr>
    </w:lvl>
    <w:lvl w:ilvl="4" w:tplc="68DA05AC" w:tentative="1">
      <w:start w:val="1"/>
      <w:numFmt w:val="bullet"/>
      <w:lvlText w:val="•"/>
      <w:lvlJc w:val="left"/>
      <w:pPr>
        <w:tabs>
          <w:tab w:val="num" w:pos="3600"/>
        </w:tabs>
        <w:ind w:left="3600" w:hanging="360"/>
      </w:pPr>
      <w:rPr>
        <w:rFonts w:ascii="Arial" w:hAnsi="Arial" w:hint="default"/>
      </w:rPr>
    </w:lvl>
    <w:lvl w:ilvl="5" w:tplc="EECA7D46" w:tentative="1">
      <w:start w:val="1"/>
      <w:numFmt w:val="bullet"/>
      <w:lvlText w:val="•"/>
      <w:lvlJc w:val="left"/>
      <w:pPr>
        <w:tabs>
          <w:tab w:val="num" w:pos="4320"/>
        </w:tabs>
        <w:ind w:left="4320" w:hanging="360"/>
      </w:pPr>
      <w:rPr>
        <w:rFonts w:ascii="Arial" w:hAnsi="Arial" w:hint="default"/>
      </w:rPr>
    </w:lvl>
    <w:lvl w:ilvl="6" w:tplc="7B82BCF0" w:tentative="1">
      <w:start w:val="1"/>
      <w:numFmt w:val="bullet"/>
      <w:lvlText w:val="•"/>
      <w:lvlJc w:val="left"/>
      <w:pPr>
        <w:tabs>
          <w:tab w:val="num" w:pos="5040"/>
        </w:tabs>
        <w:ind w:left="5040" w:hanging="360"/>
      </w:pPr>
      <w:rPr>
        <w:rFonts w:ascii="Arial" w:hAnsi="Arial" w:hint="default"/>
      </w:rPr>
    </w:lvl>
    <w:lvl w:ilvl="7" w:tplc="CE04E952" w:tentative="1">
      <w:start w:val="1"/>
      <w:numFmt w:val="bullet"/>
      <w:lvlText w:val="•"/>
      <w:lvlJc w:val="left"/>
      <w:pPr>
        <w:tabs>
          <w:tab w:val="num" w:pos="5760"/>
        </w:tabs>
        <w:ind w:left="5760" w:hanging="360"/>
      </w:pPr>
      <w:rPr>
        <w:rFonts w:ascii="Arial" w:hAnsi="Arial" w:hint="default"/>
      </w:rPr>
    </w:lvl>
    <w:lvl w:ilvl="8" w:tplc="6B68DA4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0C2F14"/>
    <w:multiLevelType w:val="hybridMultilevel"/>
    <w:tmpl w:val="CFAA5DD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F55B02"/>
    <w:multiLevelType w:val="hybridMultilevel"/>
    <w:tmpl w:val="41D28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F12C2"/>
    <w:multiLevelType w:val="hybridMultilevel"/>
    <w:tmpl w:val="9306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9607B"/>
    <w:multiLevelType w:val="hybridMultilevel"/>
    <w:tmpl w:val="9D5E8C84"/>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DA2F12"/>
    <w:multiLevelType w:val="hybridMultilevel"/>
    <w:tmpl w:val="130CF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06F1B"/>
    <w:multiLevelType w:val="hybridMultilevel"/>
    <w:tmpl w:val="7894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E78C4"/>
    <w:multiLevelType w:val="hybridMultilevel"/>
    <w:tmpl w:val="130CF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DFB6053"/>
    <w:multiLevelType w:val="hybridMultilevel"/>
    <w:tmpl w:val="42DA3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CE6E0D"/>
    <w:multiLevelType w:val="hybridMultilevel"/>
    <w:tmpl w:val="E190D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EE164D6"/>
    <w:multiLevelType w:val="hybridMultilevel"/>
    <w:tmpl w:val="57584E54"/>
    <w:lvl w:ilvl="0" w:tplc="78DC33BA">
      <w:start w:val="1"/>
      <w:numFmt w:val="bullet"/>
      <w:lvlText w:val="•"/>
      <w:lvlJc w:val="left"/>
      <w:pPr>
        <w:tabs>
          <w:tab w:val="num" w:pos="720"/>
        </w:tabs>
        <w:ind w:left="720" w:hanging="360"/>
      </w:pPr>
      <w:rPr>
        <w:rFonts w:ascii="Arial" w:hAnsi="Arial" w:hint="default"/>
      </w:rPr>
    </w:lvl>
    <w:lvl w:ilvl="1" w:tplc="F3906654" w:tentative="1">
      <w:start w:val="1"/>
      <w:numFmt w:val="bullet"/>
      <w:lvlText w:val="•"/>
      <w:lvlJc w:val="left"/>
      <w:pPr>
        <w:tabs>
          <w:tab w:val="num" w:pos="1440"/>
        </w:tabs>
        <w:ind w:left="1440" w:hanging="360"/>
      </w:pPr>
      <w:rPr>
        <w:rFonts w:ascii="Arial" w:hAnsi="Arial" w:hint="default"/>
      </w:rPr>
    </w:lvl>
    <w:lvl w:ilvl="2" w:tplc="355A0EF8" w:tentative="1">
      <w:start w:val="1"/>
      <w:numFmt w:val="bullet"/>
      <w:lvlText w:val="•"/>
      <w:lvlJc w:val="left"/>
      <w:pPr>
        <w:tabs>
          <w:tab w:val="num" w:pos="2160"/>
        </w:tabs>
        <w:ind w:left="2160" w:hanging="360"/>
      </w:pPr>
      <w:rPr>
        <w:rFonts w:ascii="Arial" w:hAnsi="Arial" w:hint="default"/>
      </w:rPr>
    </w:lvl>
    <w:lvl w:ilvl="3" w:tplc="B2F28C4E" w:tentative="1">
      <w:start w:val="1"/>
      <w:numFmt w:val="bullet"/>
      <w:lvlText w:val="•"/>
      <w:lvlJc w:val="left"/>
      <w:pPr>
        <w:tabs>
          <w:tab w:val="num" w:pos="2880"/>
        </w:tabs>
        <w:ind w:left="2880" w:hanging="360"/>
      </w:pPr>
      <w:rPr>
        <w:rFonts w:ascii="Arial" w:hAnsi="Arial" w:hint="default"/>
      </w:rPr>
    </w:lvl>
    <w:lvl w:ilvl="4" w:tplc="1CC032F4" w:tentative="1">
      <w:start w:val="1"/>
      <w:numFmt w:val="bullet"/>
      <w:lvlText w:val="•"/>
      <w:lvlJc w:val="left"/>
      <w:pPr>
        <w:tabs>
          <w:tab w:val="num" w:pos="3600"/>
        </w:tabs>
        <w:ind w:left="3600" w:hanging="360"/>
      </w:pPr>
      <w:rPr>
        <w:rFonts w:ascii="Arial" w:hAnsi="Arial" w:hint="default"/>
      </w:rPr>
    </w:lvl>
    <w:lvl w:ilvl="5" w:tplc="3280E474" w:tentative="1">
      <w:start w:val="1"/>
      <w:numFmt w:val="bullet"/>
      <w:lvlText w:val="•"/>
      <w:lvlJc w:val="left"/>
      <w:pPr>
        <w:tabs>
          <w:tab w:val="num" w:pos="4320"/>
        </w:tabs>
        <w:ind w:left="4320" w:hanging="360"/>
      </w:pPr>
      <w:rPr>
        <w:rFonts w:ascii="Arial" w:hAnsi="Arial" w:hint="default"/>
      </w:rPr>
    </w:lvl>
    <w:lvl w:ilvl="6" w:tplc="F0E04762" w:tentative="1">
      <w:start w:val="1"/>
      <w:numFmt w:val="bullet"/>
      <w:lvlText w:val="•"/>
      <w:lvlJc w:val="left"/>
      <w:pPr>
        <w:tabs>
          <w:tab w:val="num" w:pos="5040"/>
        </w:tabs>
        <w:ind w:left="5040" w:hanging="360"/>
      </w:pPr>
      <w:rPr>
        <w:rFonts w:ascii="Arial" w:hAnsi="Arial" w:hint="default"/>
      </w:rPr>
    </w:lvl>
    <w:lvl w:ilvl="7" w:tplc="04905154" w:tentative="1">
      <w:start w:val="1"/>
      <w:numFmt w:val="bullet"/>
      <w:lvlText w:val="•"/>
      <w:lvlJc w:val="left"/>
      <w:pPr>
        <w:tabs>
          <w:tab w:val="num" w:pos="5760"/>
        </w:tabs>
        <w:ind w:left="5760" w:hanging="360"/>
      </w:pPr>
      <w:rPr>
        <w:rFonts w:ascii="Arial" w:hAnsi="Arial" w:hint="default"/>
      </w:rPr>
    </w:lvl>
    <w:lvl w:ilvl="8" w:tplc="7B1AFAE0"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9"/>
  </w:num>
  <w:num w:numId="3">
    <w:abstractNumId w:val="3"/>
  </w:num>
  <w:num w:numId="4">
    <w:abstractNumId w:val="24"/>
  </w:num>
  <w:num w:numId="5">
    <w:abstractNumId w:val="14"/>
  </w:num>
  <w:num w:numId="6">
    <w:abstractNumId w:val="10"/>
  </w:num>
  <w:num w:numId="7">
    <w:abstractNumId w:val="30"/>
  </w:num>
  <w:num w:numId="8">
    <w:abstractNumId w:val="4"/>
  </w:num>
  <w:num w:numId="9">
    <w:abstractNumId w:val="0"/>
  </w:num>
  <w:num w:numId="10">
    <w:abstractNumId w:val="17"/>
  </w:num>
  <w:num w:numId="11">
    <w:abstractNumId w:val="23"/>
  </w:num>
  <w:num w:numId="12">
    <w:abstractNumId w:val="41"/>
  </w:num>
  <w:num w:numId="13">
    <w:abstractNumId w:val="28"/>
  </w:num>
  <w:num w:numId="14">
    <w:abstractNumId w:val="1"/>
  </w:num>
  <w:num w:numId="15">
    <w:abstractNumId w:val="2"/>
  </w:num>
  <w:num w:numId="16">
    <w:abstractNumId w:val="39"/>
  </w:num>
  <w:num w:numId="17">
    <w:abstractNumId w:val="33"/>
  </w:num>
  <w:num w:numId="18">
    <w:abstractNumId w:val="18"/>
  </w:num>
  <w:num w:numId="19">
    <w:abstractNumId w:val="29"/>
  </w:num>
  <w:num w:numId="20">
    <w:abstractNumId w:val="21"/>
  </w:num>
  <w:num w:numId="21">
    <w:abstractNumId w:val="42"/>
  </w:num>
  <w:num w:numId="22">
    <w:abstractNumId w:val="13"/>
  </w:num>
  <w:num w:numId="23">
    <w:abstractNumId w:val="15"/>
  </w:num>
  <w:num w:numId="24">
    <w:abstractNumId w:val="8"/>
  </w:num>
  <w:num w:numId="25">
    <w:abstractNumId w:val="22"/>
  </w:num>
  <w:num w:numId="26">
    <w:abstractNumId w:val="35"/>
  </w:num>
  <w:num w:numId="27">
    <w:abstractNumId w:val="20"/>
  </w:num>
  <w:num w:numId="28">
    <w:abstractNumId w:val="31"/>
  </w:num>
  <w:num w:numId="29">
    <w:abstractNumId w:val="25"/>
  </w:num>
  <w:num w:numId="30">
    <w:abstractNumId w:val="7"/>
  </w:num>
  <w:num w:numId="31">
    <w:abstractNumId w:val="32"/>
  </w:num>
  <w:num w:numId="32">
    <w:abstractNumId w:val="34"/>
  </w:num>
  <w:num w:numId="33">
    <w:abstractNumId w:val="36"/>
  </w:num>
  <w:num w:numId="34">
    <w:abstractNumId w:val="16"/>
  </w:num>
  <w:num w:numId="35">
    <w:abstractNumId w:val="37"/>
  </w:num>
  <w:num w:numId="36">
    <w:abstractNumId w:val="40"/>
  </w:num>
  <w:num w:numId="37">
    <w:abstractNumId w:val="12"/>
  </w:num>
  <w:num w:numId="38">
    <w:abstractNumId w:val="3"/>
    <w:lvlOverride w:ilvl="0">
      <w:startOverride w:val="1"/>
    </w:lvlOverride>
  </w:num>
  <w:num w:numId="39">
    <w:abstractNumId w:val="3"/>
  </w:num>
  <w:num w:numId="40">
    <w:abstractNumId w:val="3"/>
    <w:lvlOverride w:ilvl="0">
      <w:startOverride w:val="1"/>
    </w:lvlOverride>
  </w:num>
  <w:num w:numId="41">
    <w:abstractNumId w:val="3"/>
    <w:lvlOverride w:ilvl="0">
      <w:startOverride w:val="1"/>
    </w:lvlOverride>
  </w:num>
  <w:num w:numId="42">
    <w:abstractNumId w:val="43"/>
  </w:num>
  <w:num w:numId="43">
    <w:abstractNumId w:val="19"/>
  </w:num>
  <w:num w:numId="44">
    <w:abstractNumId w:val="26"/>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
    <w:lvlOverride w:ilvl="0">
      <w:startOverride w:val="1"/>
    </w:lvlOverride>
  </w:num>
  <w:num w:numId="49">
    <w:abstractNumId w:val="3"/>
    <w:lvlOverride w:ilvl="0">
      <w:startOverride w:val="1"/>
    </w:lvlOverride>
  </w:num>
  <w:num w:numId="50">
    <w:abstractNumId w:val="3"/>
    <w:lvlOverride w:ilvl="0">
      <w:startOverride w:val="1"/>
    </w:lvlOverride>
  </w:num>
  <w:num w:numId="51">
    <w:abstractNumId w:val="27"/>
  </w:num>
  <w:num w:numId="52">
    <w:abstractNumId w:val="11"/>
  </w:num>
  <w:num w:numId="53">
    <w:abstractNumId w:val="5"/>
  </w:num>
  <w:num w:numId="54">
    <w:abstractNumId w:val="3"/>
    <w:lvlOverride w:ilvl="0">
      <w:startOverride w:val="1"/>
    </w:lvlOverride>
  </w:num>
  <w:num w:numId="55">
    <w:abstractNumId w:val="3"/>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DA"/>
    <w:rsid w:val="000016E4"/>
    <w:rsid w:val="000042DF"/>
    <w:rsid w:val="000053F8"/>
    <w:rsid w:val="000117F9"/>
    <w:rsid w:val="00020E90"/>
    <w:rsid w:val="000219FB"/>
    <w:rsid w:val="00024D0A"/>
    <w:rsid w:val="00025F99"/>
    <w:rsid w:val="00027AE0"/>
    <w:rsid w:val="000316E5"/>
    <w:rsid w:val="000376DF"/>
    <w:rsid w:val="000405F7"/>
    <w:rsid w:val="00040DAC"/>
    <w:rsid w:val="0004370C"/>
    <w:rsid w:val="000445D3"/>
    <w:rsid w:val="000472DC"/>
    <w:rsid w:val="00050661"/>
    <w:rsid w:val="00054275"/>
    <w:rsid w:val="00055832"/>
    <w:rsid w:val="00055EFA"/>
    <w:rsid w:val="0005711B"/>
    <w:rsid w:val="0006061C"/>
    <w:rsid w:val="00070065"/>
    <w:rsid w:val="00070705"/>
    <w:rsid w:val="00070A9C"/>
    <w:rsid w:val="00074481"/>
    <w:rsid w:val="00076FDB"/>
    <w:rsid w:val="000802B0"/>
    <w:rsid w:val="00081069"/>
    <w:rsid w:val="0008373D"/>
    <w:rsid w:val="00084DB2"/>
    <w:rsid w:val="00087ADA"/>
    <w:rsid w:val="0009014C"/>
    <w:rsid w:val="000906C0"/>
    <w:rsid w:val="0009225F"/>
    <w:rsid w:val="00095143"/>
    <w:rsid w:val="00096A20"/>
    <w:rsid w:val="00097203"/>
    <w:rsid w:val="000A2795"/>
    <w:rsid w:val="000A2ECA"/>
    <w:rsid w:val="000A4FEE"/>
    <w:rsid w:val="000A53A3"/>
    <w:rsid w:val="000B1284"/>
    <w:rsid w:val="000B5939"/>
    <w:rsid w:val="000B5E11"/>
    <w:rsid w:val="000B65C7"/>
    <w:rsid w:val="000B7955"/>
    <w:rsid w:val="000C2B7A"/>
    <w:rsid w:val="000C44B1"/>
    <w:rsid w:val="000C6160"/>
    <w:rsid w:val="000C7C99"/>
    <w:rsid w:val="000D00C6"/>
    <w:rsid w:val="000D0D33"/>
    <w:rsid w:val="000D31EB"/>
    <w:rsid w:val="000D3E98"/>
    <w:rsid w:val="000E15C5"/>
    <w:rsid w:val="000F0901"/>
    <w:rsid w:val="000F7504"/>
    <w:rsid w:val="00111039"/>
    <w:rsid w:val="00111CCE"/>
    <w:rsid w:val="001134E7"/>
    <w:rsid w:val="00115D02"/>
    <w:rsid w:val="001164FB"/>
    <w:rsid w:val="0011785A"/>
    <w:rsid w:val="00121FF9"/>
    <w:rsid w:val="0012270D"/>
    <w:rsid w:val="00124975"/>
    <w:rsid w:val="00130499"/>
    <w:rsid w:val="00130B33"/>
    <w:rsid w:val="00145378"/>
    <w:rsid w:val="001529FD"/>
    <w:rsid w:val="00155DA1"/>
    <w:rsid w:val="00156145"/>
    <w:rsid w:val="00156478"/>
    <w:rsid w:val="00156965"/>
    <w:rsid w:val="001602D2"/>
    <w:rsid w:val="00160C0C"/>
    <w:rsid w:val="00167238"/>
    <w:rsid w:val="0017149E"/>
    <w:rsid w:val="0017169E"/>
    <w:rsid w:val="00171FF3"/>
    <w:rsid w:val="00172957"/>
    <w:rsid w:val="00172D5A"/>
    <w:rsid w:val="0017518D"/>
    <w:rsid w:val="00176AA6"/>
    <w:rsid w:val="0017759B"/>
    <w:rsid w:val="00181A4A"/>
    <w:rsid w:val="001823EB"/>
    <w:rsid w:val="00184344"/>
    <w:rsid w:val="001908DF"/>
    <w:rsid w:val="001935FE"/>
    <w:rsid w:val="00194A3E"/>
    <w:rsid w:val="00195A62"/>
    <w:rsid w:val="001A262F"/>
    <w:rsid w:val="001A50DF"/>
    <w:rsid w:val="001A7B67"/>
    <w:rsid w:val="001A7B98"/>
    <w:rsid w:val="001B0EE9"/>
    <w:rsid w:val="001B1B9E"/>
    <w:rsid w:val="001B2DE2"/>
    <w:rsid w:val="001B65B3"/>
    <w:rsid w:val="001C169B"/>
    <w:rsid w:val="001C24E3"/>
    <w:rsid w:val="001C2F80"/>
    <w:rsid w:val="001D1E4A"/>
    <w:rsid w:val="001D5A02"/>
    <w:rsid w:val="001E45A7"/>
    <w:rsid w:val="001E48EA"/>
    <w:rsid w:val="001E7A1E"/>
    <w:rsid w:val="001F2929"/>
    <w:rsid w:val="001F6099"/>
    <w:rsid w:val="00201F44"/>
    <w:rsid w:val="002021CA"/>
    <w:rsid w:val="002029A6"/>
    <w:rsid w:val="00213C27"/>
    <w:rsid w:val="00215B5A"/>
    <w:rsid w:val="00221657"/>
    <w:rsid w:val="00221E86"/>
    <w:rsid w:val="00224DC4"/>
    <w:rsid w:val="00225BE7"/>
    <w:rsid w:val="002301DF"/>
    <w:rsid w:val="002334D0"/>
    <w:rsid w:val="002360E7"/>
    <w:rsid w:val="002362C3"/>
    <w:rsid w:val="00236C48"/>
    <w:rsid w:val="00237E81"/>
    <w:rsid w:val="002408EA"/>
    <w:rsid w:val="00250DC9"/>
    <w:rsid w:val="00254416"/>
    <w:rsid w:val="002545CB"/>
    <w:rsid w:val="00262269"/>
    <w:rsid w:val="00264852"/>
    <w:rsid w:val="00266E9F"/>
    <w:rsid w:val="00267412"/>
    <w:rsid w:val="002819D7"/>
    <w:rsid w:val="0028235B"/>
    <w:rsid w:val="00284546"/>
    <w:rsid w:val="0028654F"/>
    <w:rsid w:val="00290240"/>
    <w:rsid w:val="00290D0E"/>
    <w:rsid w:val="00292953"/>
    <w:rsid w:val="00293746"/>
    <w:rsid w:val="002A0290"/>
    <w:rsid w:val="002A1A09"/>
    <w:rsid w:val="002A1BF9"/>
    <w:rsid w:val="002A734C"/>
    <w:rsid w:val="002B2584"/>
    <w:rsid w:val="002B34DE"/>
    <w:rsid w:val="002B3F2A"/>
    <w:rsid w:val="002B4A00"/>
    <w:rsid w:val="002B51F0"/>
    <w:rsid w:val="002B61F2"/>
    <w:rsid w:val="002C132D"/>
    <w:rsid w:val="002C1A7E"/>
    <w:rsid w:val="002D1C2D"/>
    <w:rsid w:val="002D3376"/>
    <w:rsid w:val="002D3690"/>
    <w:rsid w:val="002D3E9B"/>
    <w:rsid w:val="002D472C"/>
    <w:rsid w:val="002D659B"/>
    <w:rsid w:val="002D6650"/>
    <w:rsid w:val="002D6793"/>
    <w:rsid w:val="002D769D"/>
    <w:rsid w:val="002F15C9"/>
    <w:rsid w:val="002F25A9"/>
    <w:rsid w:val="002F4FDC"/>
    <w:rsid w:val="00303917"/>
    <w:rsid w:val="003069EE"/>
    <w:rsid w:val="003072CB"/>
    <w:rsid w:val="00307964"/>
    <w:rsid w:val="00311ED0"/>
    <w:rsid w:val="0031217B"/>
    <w:rsid w:val="003123F5"/>
    <w:rsid w:val="003151B9"/>
    <w:rsid w:val="00317AC6"/>
    <w:rsid w:val="00317B00"/>
    <w:rsid w:val="00320BCC"/>
    <w:rsid w:val="00320F6F"/>
    <w:rsid w:val="0032162E"/>
    <w:rsid w:val="003311F8"/>
    <w:rsid w:val="0033333E"/>
    <w:rsid w:val="0033408E"/>
    <w:rsid w:val="00335747"/>
    <w:rsid w:val="00337E26"/>
    <w:rsid w:val="00343DE0"/>
    <w:rsid w:val="00356CF1"/>
    <w:rsid w:val="003618B7"/>
    <w:rsid w:val="00363E57"/>
    <w:rsid w:val="003648C5"/>
    <w:rsid w:val="0036656B"/>
    <w:rsid w:val="003722FA"/>
    <w:rsid w:val="003754CA"/>
    <w:rsid w:val="00375D64"/>
    <w:rsid w:val="00376FAD"/>
    <w:rsid w:val="00381DEF"/>
    <w:rsid w:val="0038381D"/>
    <w:rsid w:val="00385D9D"/>
    <w:rsid w:val="00387626"/>
    <w:rsid w:val="003940BE"/>
    <w:rsid w:val="00394220"/>
    <w:rsid w:val="00396269"/>
    <w:rsid w:val="003968BF"/>
    <w:rsid w:val="003A3D3D"/>
    <w:rsid w:val="003A5540"/>
    <w:rsid w:val="003A6924"/>
    <w:rsid w:val="003A7A06"/>
    <w:rsid w:val="003B1B46"/>
    <w:rsid w:val="003B37AC"/>
    <w:rsid w:val="003B38C8"/>
    <w:rsid w:val="003C3126"/>
    <w:rsid w:val="003C37CD"/>
    <w:rsid w:val="003C7234"/>
    <w:rsid w:val="003C7AAF"/>
    <w:rsid w:val="003D2FEE"/>
    <w:rsid w:val="003D4A59"/>
    <w:rsid w:val="003D6B09"/>
    <w:rsid w:val="003D6C4F"/>
    <w:rsid w:val="003D7CE8"/>
    <w:rsid w:val="003E0CC4"/>
    <w:rsid w:val="003E5977"/>
    <w:rsid w:val="003E63EF"/>
    <w:rsid w:val="003F10F3"/>
    <w:rsid w:val="003F1479"/>
    <w:rsid w:val="00401434"/>
    <w:rsid w:val="004075B6"/>
    <w:rsid w:val="00410596"/>
    <w:rsid w:val="0041382C"/>
    <w:rsid w:val="00414AC2"/>
    <w:rsid w:val="00414BED"/>
    <w:rsid w:val="00420952"/>
    <w:rsid w:val="00420B04"/>
    <w:rsid w:val="004218E2"/>
    <w:rsid w:val="00423F86"/>
    <w:rsid w:val="00425A01"/>
    <w:rsid w:val="00426389"/>
    <w:rsid w:val="0042731A"/>
    <w:rsid w:val="004311F8"/>
    <w:rsid w:val="00433713"/>
    <w:rsid w:val="00433EFF"/>
    <w:rsid w:val="0043568B"/>
    <w:rsid w:val="00443081"/>
    <w:rsid w:val="0044426A"/>
    <w:rsid w:val="00446BEE"/>
    <w:rsid w:val="0045029D"/>
    <w:rsid w:val="00450768"/>
    <w:rsid w:val="004507BB"/>
    <w:rsid w:val="0046358D"/>
    <w:rsid w:val="004650AF"/>
    <w:rsid w:val="00466B4C"/>
    <w:rsid w:val="00471507"/>
    <w:rsid w:val="00493ECE"/>
    <w:rsid w:val="00494907"/>
    <w:rsid w:val="004955B9"/>
    <w:rsid w:val="004A7E55"/>
    <w:rsid w:val="004B2974"/>
    <w:rsid w:val="004B2E29"/>
    <w:rsid w:val="004B5E90"/>
    <w:rsid w:val="004C265C"/>
    <w:rsid w:val="004C31CA"/>
    <w:rsid w:val="004C52AF"/>
    <w:rsid w:val="004C6F27"/>
    <w:rsid w:val="004D4784"/>
    <w:rsid w:val="004D4D2C"/>
    <w:rsid w:val="004E5C09"/>
    <w:rsid w:val="004E66CB"/>
    <w:rsid w:val="004F16CB"/>
    <w:rsid w:val="004F391E"/>
    <w:rsid w:val="004F461C"/>
    <w:rsid w:val="004F6E27"/>
    <w:rsid w:val="005025A1"/>
    <w:rsid w:val="00502659"/>
    <w:rsid w:val="00504BDB"/>
    <w:rsid w:val="005051B4"/>
    <w:rsid w:val="00513B10"/>
    <w:rsid w:val="00523856"/>
    <w:rsid w:val="00527BD6"/>
    <w:rsid w:val="005304AB"/>
    <w:rsid w:val="00530EA6"/>
    <w:rsid w:val="005343BF"/>
    <w:rsid w:val="0053510C"/>
    <w:rsid w:val="00537361"/>
    <w:rsid w:val="00537596"/>
    <w:rsid w:val="00537DDF"/>
    <w:rsid w:val="0054120D"/>
    <w:rsid w:val="005434CB"/>
    <w:rsid w:val="005435A2"/>
    <w:rsid w:val="00547D16"/>
    <w:rsid w:val="005505C1"/>
    <w:rsid w:val="005613E3"/>
    <w:rsid w:val="005614BD"/>
    <w:rsid w:val="00562539"/>
    <w:rsid w:val="00563EDF"/>
    <w:rsid w:val="00565510"/>
    <w:rsid w:val="00566846"/>
    <w:rsid w:val="005669CB"/>
    <w:rsid w:val="005721B5"/>
    <w:rsid w:val="005778DB"/>
    <w:rsid w:val="005815C4"/>
    <w:rsid w:val="0058294A"/>
    <w:rsid w:val="005860A4"/>
    <w:rsid w:val="00590F3B"/>
    <w:rsid w:val="00594D5B"/>
    <w:rsid w:val="00597742"/>
    <w:rsid w:val="005A0B6A"/>
    <w:rsid w:val="005A2448"/>
    <w:rsid w:val="005A2D54"/>
    <w:rsid w:val="005A6C36"/>
    <w:rsid w:val="005A7823"/>
    <w:rsid w:val="005A7B5B"/>
    <w:rsid w:val="005B06AB"/>
    <w:rsid w:val="005B216D"/>
    <w:rsid w:val="005B2ECE"/>
    <w:rsid w:val="005B4CC7"/>
    <w:rsid w:val="005B6D19"/>
    <w:rsid w:val="005B79E8"/>
    <w:rsid w:val="005B7A4F"/>
    <w:rsid w:val="005C1E18"/>
    <w:rsid w:val="005C2202"/>
    <w:rsid w:val="005C2663"/>
    <w:rsid w:val="005C2700"/>
    <w:rsid w:val="005C5E1E"/>
    <w:rsid w:val="005C7799"/>
    <w:rsid w:val="005C77A1"/>
    <w:rsid w:val="005D00E5"/>
    <w:rsid w:val="005D0836"/>
    <w:rsid w:val="005D2294"/>
    <w:rsid w:val="005D2635"/>
    <w:rsid w:val="005D43EB"/>
    <w:rsid w:val="005D73C6"/>
    <w:rsid w:val="005E1CE6"/>
    <w:rsid w:val="005E28A8"/>
    <w:rsid w:val="005E314C"/>
    <w:rsid w:val="005E5881"/>
    <w:rsid w:val="005E70B2"/>
    <w:rsid w:val="005F0E27"/>
    <w:rsid w:val="005F221A"/>
    <w:rsid w:val="005F3842"/>
    <w:rsid w:val="005F7EA1"/>
    <w:rsid w:val="00604DF6"/>
    <w:rsid w:val="006077EB"/>
    <w:rsid w:val="006105BA"/>
    <w:rsid w:val="00611242"/>
    <w:rsid w:val="00613A3F"/>
    <w:rsid w:val="00615AE2"/>
    <w:rsid w:val="00617752"/>
    <w:rsid w:val="00617EB9"/>
    <w:rsid w:val="00620B10"/>
    <w:rsid w:val="00626700"/>
    <w:rsid w:val="0063119B"/>
    <w:rsid w:val="006317EF"/>
    <w:rsid w:val="006330E7"/>
    <w:rsid w:val="0063609C"/>
    <w:rsid w:val="00641332"/>
    <w:rsid w:val="0064171C"/>
    <w:rsid w:val="00643EF2"/>
    <w:rsid w:val="00645711"/>
    <w:rsid w:val="00646D02"/>
    <w:rsid w:val="00647E66"/>
    <w:rsid w:val="00647F43"/>
    <w:rsid w:val="00651E70"/>
    <w:rsid w:val="00653E66"/>
    <w:rsid w:val="006544E4"/>
    <w:rsid w:val="006548DB"/>
    <w:rsid w:val="006563AE"/>
    <w:rsid w:val="00660307"/>
    <w:rsid w:val="00660DD2"/>
    <w:rsid w:val="006620E2"/>
    <w:rsid w:val="00664498"/>
    <w:rsid w:val="00665E9D"/>
    <w:rsid w:val="006719C1"/>
    <w:rsid w:val="00674F32"/>
    <w:rsid w:val="00675BAE"/>
    <w:rsid w:val="006855C9"/>
    <w:rsid w:val="006921E1"/>
    <w:rsid w:val="006924A2"/>
    <w:rsid w:val="0069521E"/>
    <w:rsid w:val="00696209"/>
    <w:rsid w:val="006A1EA6"/>
    <w:rsid w:val="006A32D1"/>
    <w:rsid w:val="006A3A92"/>
    <w:rsid w:val="006A3B79"/>
    <w:rsid w:val="006A417D"/>
    <w:rsid w:val="006A4487"/>
    <w:rsid w:val="006A5629"/>
    <w:rsid w:val="006B4A5F"/>
    <w:rsid w:val="006B780B"/>
    <w:rsid w:val="006C020D"/>
    <w:rsid w:val="006C640B"/>
    <w:rsid w:val="006C6EC7"/>
    <w:rsid w:val="006C6ED8"/>
    <w:rsid w:val="006D0C2A"/>
    <w:rsid w:val="006D11B2"/>
    <w:rsid w:val="006D37C2"/>
    <w:rsid w:val="006D4C21"/>
    <w:rsid w:val="006D5003"/>
    <w:rsid w:val="006D53E6"/>
    <w:rsid w:val="006D5A16"/>
    <w:rsid w:val="006D64D7"/>
    <w:rsid w:val="006D79E5"/>
    <w:rsid w:val="006D7B1D"/>
    <w:rsid w:val="006D7FA0"/>
    <w:rsid w:val="006E05F3"/>
    <w:rsid w:val="006E1A5F"/>
    <w:rsid w:val="006E1C6F"/>
    <w:rsid w:val="006F0337"/>
    <w:rsid w:val="006F1BE3"/>
    <w:rsid w:val="006F40F6"/>
    <w:rsid w:val="006F4B25"/>
    <w:rsid w:val="006F5DDC"/>
    <w:rsid w:val="006F6496"/>
    <w:rsid w:val="006F7C48"/>
    <w:rsid w:val="00701642"/>
    <w:rsid w:val="0070368E"/>
    <w:rsid w:val="00705363"/>
    <w:rsid w:val="0070536B"/>
    <w:rsid w:val="00707F08"/>
    <w:rsid w:val="007100A8"/>
    <w:rsid w:val="00711163"/>
    <w:rsid w:val="00713592"/>
    <w:rsid w:val="0071771D"/>
    <w:rsid w:val="007240C8"/>
    <w:rsid w:val="00726651"/>
    <w:rsid w:val="00726C01"/>
    <w:rsid w:val="00727B7B"/>
    <w:rsid w:val="0073032E"/>
    <w:rsid w:val="00734A43"/>
    <w:rsid w:val="00736348"/>
    <w:rsid w:val="007408E6"/>
    <w:rsid w:val="00743818"/>
    <w:rsid w:val="007449DF"/>
    <w:rsid w:val="00745BAD"/>
    <w:rsid w:val="00746B60"/>
    <w:rsid w:val="00753CBF"/>
    <w:rsid w:val="00760908"/>
    <w:rsid w:val="00762F4F"/>
    <w:rsid w:val="00764C1F"/>
    <w:rsid w:val="0076726E"/>
    <w:rsid w:val="00772D4A"/>
    <w:rsid w:val="007734BC"/>
    <w:rsid w:val="007741F8"/>
    <w:rsid w:val="0077553B"/>
    <w:rsid w:val="00776DA9"/>
    <w:rsid w:val="00777769"/>
    <w:rsid w:val="00780721"/>
    <w:rsid w:val="00784CFD"/>
    <w:rsid w:val="0079167F"/>
    <w:rsid w:val="00793E4C"/>
    <w:rsid w:val="00794F86"/>
    <w:rsid w:val="00795824"/>
    <w:rsid w:val="00796B16"/>
    <w:rsid w:val="007A441D"/>
    <w:rsid w:val="007B0966"/>
    <w:rsid w:val="007B0E26"/>
    <w:rsid w:val="007B0E3E"/>
    <w:rsid w:val="007B104D"/>
    <w:rsid w:val="007B17EA"/>
    <w:rsid w:val="007B47C2"/>
    <w:rsid w:val="007C1661"/>
    <w:rsid w:val="007C304D"/>
    <w:rsid w:val="007C480A"/>
    <w:rsid w:val="007C4974"/>
    <w:rsid w:val="007C5C96"/>
    <w:rsid w:val="007C6E4C"/>
    <w:rsid w:val="007D1637"/>
    <w:rsid w:val="007E015C"/>
    <w:rsid w:val="007E0343"/>
    <w:rsid w:val="007E051B"/>
    <w:rsid w:val="007E357A"/>
    <w:rsid w:val="007F0D5F"/>
    <w:rsid w:val="007F0E30"/>
    <w:rsid w:val="007F21D2"/>
    <w:rsid w:val="007F238D"/>
    <w:rsid w:val="007F28CB"/>
    <w:rsid w:val="007F361C"/>
    <w:rsid w:val="00803F3F"/>
    <w:rsid w:val="00805533"/>
    <w:rsid w:val="008103F5"/>
    <w:rsid w:val="00810B1C"/>
    <w:rsid w:val="00812C00"/>
    <w:rsid w:val="00814698"/>
    <w:rsid w:val="0081489D"/>
    <w:rsid w:val="00814AF0"/>
    <w:rsid w:val="0082210A"/>
    <w:rsid w:val="00823FC8"/>
    <w:rsid w:val="00826E70"/>
    <w:rsid w:val="00830A46"/>
    <w:rsid w:val="00843202"/>
    <w:rsid w:val="008466B1"/>
    <w:rsid w:val="008556EC"/>
    <w:rsid w:val="0085584D"/>
    <w:rsid w:val="00855B4F"/>
    <w:rsid w:val="00855B66"/>
    <w:rsid w:val="00861B92"/>
    <w:rsid w:val="0086629D"/>
    <w:rsid w:val="00866893"/>
    <w:rsid w:val="00875178"/>
    <w:rsid w:val="008814FB"/>
    <w:rsid w:val="008840DF"/>
    <w:rsid w:val="008875DA"/>
    <w:rsid w:val="00892FF5"/>
    <w:rsid w:val="00893011"/>
    <w:rsid w:val="00893D8F"/>
    <w:rsid w:val="0089635F"/>
    <w:rsid w:val="00897DBE"/>
    <w:rsid w:val="008A0024"/>
    <w:rsid w:val="008A1FF7"/>
    <w:rsid w:val="008A2F68"/>
    <w:rsid w:val="008B1AB6"/>
    <w:rsid w:val="008B1CD3"/>
    <w:rsid w:val="008B3A4F"/>
    <w:rsid w:val="008B7CDA"/>
    <w:rsid w:val="008C260B"/>
    <w:rsid w:val="008C30BB"/>
    <w:rsid w:val="008C3859"/>
    <w:rsid w:val="008C4A82"/>
    <w:rsid w:val="008D01FB"/>
    <w:rsid w:val="008D2C40"/>
    <w:rsid w:val="008D34F9"/>
    <w:rsid w:val="008D41E4"/>
    <w:rsid w:val="008D6451"/>
    <w:rsid w:val="008D6F23"/>
    <w:rsid w:val="008E250C"/>
    <w:rsid w:val="008E61C8"/>
    <w:rsid w:val="008E72E8"/>
    <w:rsid w:val="008E7FFA"/>
    <w:rsid w:val="008F05B3"/>
    <w:rsid w:val="008F19EE"/>
    <w:rsid w:val="008F1EB9"/>
    <w:rsid w:val="008F331D"/>
    <w:rsid w:val="008F3343"/>
    <w:rsid w:val="008F4AE2"/>
    <w:rsid w:val="008F5E30"/>
    <w:rsid w:val="008F6179"/>
    <w:rsid w:val="008F7CE3"/>
    <w:rsid w:val="0090339C"/>
    <w:rsid w:val="009055D5"/>
    <w:rsid w:val="0091097B"/>
    <w:rsid w:val="00910AD8"/>
    <w:rsid w:val="00912631"/>
    <w:rsid w:val="00914054"/>
    <w:rsid w:val="00914D7F"/>
    <w:rsid w:val="00914F7F"/>
    <w:rsid w:val="00917446"/>
    <w:rsid w:val="00920629"/>
    <w:rsid w:val="00922ABB"/>
    <w:rsid w:val="00926704"/>
    <w:rsid w:val="00926DA2"/>
    <w:rsid w:val="00927457"/>
    <w:rsid w:val="00930AE6"/>
    <w:rsid w:val="009349B8"/>
    <w:rsid w:val="00936BAE"/>
    <w:rsid w:val="00941617"/>
    <w:rsid w:val="00961ABC"/>
    <w:rsid w:val="00963FA9"/>
    <w:rsid w:val="00966EFA"/>
    <w:rsid w:val="00967692"/>
    <w:rsid w:val="00967AD4"/>
    <w:rsid w:val="00974431"/>
    <w:rsid w:val="009776C0"/>
    <w:rsid w:val="009800E9"/>
    <w:rsid w:val="00981016"/>
    <w:rsid w:val="0099103A"/>
    <w:rsid w:val="009A4B9B"/>
    <w:rsid w:val="009A4FF6"/>
    <w:rsid w:val="009A7789"/>
    <w:rsid w:val="009B04B8"/>
    <w:rsid w:val="009B7944"/>
    <w:rsid w:val="009B7B2B"/>
    <w:rsid w:val="009C147D"/>
    <w:rsid w:val="009C7D37"/>
    <w:rsid w:val="009D2810"/>
    <w:rsid w:val="009D2ED8"/>
    <w:rsid w:val="009D53F6"/>
    <w:rsid w:val="009D7D30"/>
    <w:rsid w:val="009E001D"/>
    <w:rsid w:val="009E3D32"/>
    <w:rsid w:val="009E4295"/>
    <w:rsid w:val="009E5432"/>
    <w:rsid w:val="009E680B"/>
    <w:rsid w:val="009E7011"/>
    <w:rsid w:val="009F01D0"/>
    <w:rsid w:val="00A00AF9"/>
    <w:rsid w:val="00A01C87"/>
    <w:rsid w:val="00A01F43"/>
    <w:rsid w:val="00A04423"/>
    <w:rsid w:val="00A04611"/>
    <w:rsid w:val="00A05E0F"/>
    <w:rsid w:val="00A0714B"/>
    <w:rsid w:val="00A15A1F"/>
    <w:rsid w:val="00A22772"/>
    <w:rsid w:val="00A25E10"/>
    <w:rsid w:val="00A26171"/>
    <w:rsid w:val="00A2780F"/>
    <w:rsid w:val="00A3325A"/>
    <w:rsid w:val="00A3516B"/>
    <w:rsid w:val="00A359A3"/>
    <w:rsid w:val="00A36FF6"/>
    <w:rsid w:val="00A372F1"/>
    <w:rsid w:val="00A406E7"/>
    <w:rsid w:val="00A417D1"/>
    <w:rsid w:val="00A43013"/>
    <w:rsid w:val="00A47ACB"/>
    <w:rsid w:val="00A5060E"/>
    <w:rsid w:val="00A535FF"/>
    <w:rsid w:val="00A5588F"/>
    <w:rsid w:val="00A56960"/>
    <w:rsid w:val="00A6000F"/>
    <w:rsid w:val="00A624E7"/>
    <w:rsid w:val="00A62AF3"/>
    <w:rsid w:val="00A639F9"/>
    <w:rsid w:val="00A64C9E"/>
    <w:rsid w:val="00A669AD"/>
    <w:rsid w:val="00A71F67"/>
    <w:rsid w:val="00A7262F"/>
    <w:rsid w:val="00A751B0"/>
    <w:rsid w:val="00A7653E"/>
    <w:rsid w:val="00A7708F"/>
    <w:rsid w:val="00A83096"/>
    <w:rsid w:val="00A85543"/>
    <w:rsid w:val="00A85769"/>
    <w:rsid w:val="00A87EBB"/>
    <w:rsid w:val="00A91800"/>
    <w:rsid w:val="00A950FF"/>
    <w:rsid w:val="00A95A87"/>
    <w:rsid w:val="00AA36D9"/>
    <w:rsid w:val="00AA4181"/>
    <w:rsid w:val="00AA449C"/>
    <w:rsid w:val="00AA7059"/>
    <w:rsid w:val="00AB31AA"/>
    <w:rsid w:val="00AC1784"/>
    <w:rsid w:val="00AC5862"/>
    <w:rsid w:val="00AC7190"/>
    <w:rsid w:val="00AD1A10"/>
    <w:rsid w:val="00AD1D3C"/>
    <w:rsid w:val="00AD322D"/>
    <w:rsid w:val="00AD6388"/>
    <w:rsid w:val="00AD7DD9"/>
    <w:rsid w:val="00AE1039"/>
    <w:rsid w:val="00AE330E"/>
    <w:rsid w:val="00AE5C93"/>
    <w:rsid w:val="00AE7CDE"/>
    <w:rsid w:val="00AF010E"/>
    <w:rsid w:val="00AF108A"/>
    <w:rsid w:val="00AF23CA"/>
    <w:rsid w:val="00AF36BC"/>
    <w:rsid w:val="00AF44BD"/>
    <w:rsid w:val="00B01746"/>
    <w:rsid w:val="00B023F4"/>
    <w:rsid w:val="00B02528"/>
    <w:rsid w:val="00B02E55"/>
    <w:rsid w:val="00B036C1"/>
    <w:rsid w:val="00B05D68"/>
    <w:rsid w:val="00B07D1A"/>
    <w:rsid w:val="00B10DA5"/>
    <w:rsid w:val="00B110A6"/>
    <w:rsid w:val="00B12489"/>
    <w:rsid w:val="00B16C89"/>
    <w:rsid w:val="00B173B0"/>
    <w:rsid w:val="00B20447"/>
    <w:rsid w:val="00B231BB"/>
    <w:rsid w:val="00B23850"/>
    <w:rsid w:val="00B23BE1"/>
    <w:rsid w:val="00B25CCD"/>
    <w:rsid w:val="00B25E76"/>
    <w:rsid w:val="00B32C51"/>
    <w:rsid w:val="00B340B8"/>
    <w:rsid w:val="00B34BC5"/>
    <w:rsid w:val="00B36A8C"/>
    <w:rsid w:val="00B41229"/>
    <w:rsid w:val="00B448E9"/>
    <w:rsid w:val="00B451A9"/>
    <w:rsid w:val="00B466E0"/>
    <w:rsid w:val="00B46AEE"/>
    <w:rsid w:val="00B46EBD"/>
    <w:rsid w:val="00B47374"/>
    <w:rsid w:val="00B47939"/>
    <w:rsid w:val="00B47AB4"/>
    <w:rsid w:val="00B51AD9"/>
    <w:rsid w:val="00B5431F"/>
    <w:rsid w:val="00B546BA"/>
    <w:rsid w:val="00B61A9F"/>
    <w:rsid w:val="00B67154"/>
    <w:rsid w:val="00B67640"/>
    <w:rsid w:val="00B73A43"/>
    <w:rsid w:val="00B740BD"/>
    <w:rsid w:val="00B76F80"/>
    <w:rsid w:val="00B81123"/>
    <w:rsid w:val="00B82480"/>
    <w:rsid w:val="00B87C16"/>
    <w:rsid w:val="00B87C44"/>
    <w:rsid w:val="00B92289"/>
    <w:rsid w:val="00B93569"/>
    <w:rsid w:val="00B940E8"/>
    <w:rsid w:val="00B95137"/>
    <w:rsid w:val="00B96DF1"/>
    <w:rsid w:val="00BA2479"/>
    <w:rsid w:val="00BA2AE9"/>
    <w:rsid w:val="00BA2BC8"/>
    <w:rsid w:val="00BA5D21"/>
    <w:rsid w:val="00BB314D"/>
    <w:rsid w:val="00BB3E38"/>
    <w:rsid w:val="00BB4C9B"/>
    <w:rsid w:val="00BC0A31"/>
    <w:rsid w:val="00BC15DE"/>
    <w:rsid w:val="00BC1F9C"/>
    <w:rsid w:val="00BC4A52"/>
    <w:rsid w:val="00BC5065"/>
    <w:rsid w:val="00BC5612"/>
    <w:rsid w:val="00BC67A7"/>
    <w:rsid w:val="00BC7A3F"/>
    <w:rsid w:val="00BC7CAF"/>
    <w:rsid w:val="00BD5692"/>
    <w:rsid w:val="00BD5FCC"/>
    <w:rsid w:val="00BD6DEC"/>
    <w:rsid w:val="00BD7AAE"/>
    <w:rsid w:val="00BE1B3D"/>
    <w:rsid w:val="00BE332D"/>
    <w:rsid w:val="00BE3DD8"/>
    <w:rsid w:val="00BE51C3"/>
    <w:rsid w:val="00BE78F4"/>
    <w:rsid w:val="00BF1AEE"/>
    <w:rsid w:val="00BF4A62"/>
    <w:rsid w:val="00BF7FE0"/>
    <w:rsid w:val="00C02901"/>
    <w:rsid w:val="00C05463"/>
    <w:rsid w:val="00C05DD9"/>
    <w:rsid w:val="00C0688A"/>
    <w:rsid w:val="00C07120"/>
    <w:rsid w:val="00C1045A"/>
    <w:rsid w:val="00C10B94"/>
    <w:rsid w:val="00C12075"/>
    <w:rsid w:val="00C15035"/>
    <w:rsid w:val="00C159E2"/>
    <w:rsid w:val="00C20DC8"/>
    <w:rsid w:val="00C221FE"/>
    <w:rsid w:val="00C2478E"/>
    <w:rsid w:val="00C24D02"/>
    <w:rsid w:val="00C27916"/>
    <w:rsid w:val="00C27B68"/>
    <w:rsid w:val="00C30D15"/>
    <w:rsid w:val="00C32988"/>
    <w:rsid w:val="00C35962"/>
    <w:rsid w:val="00C43D82"/>
    <w:rsid w:val="00C44B7B"/>
    <w:rsid w:val="00C45EAB"/>
    <w:rsid w:val="00C47A98"/>
    <w:rsid w:val="00C65DA9"/>
    <w:rsid w:val="00C66668"/>
    <w:rsid w:val="00C66E2E"/>
    <w:rsid w:val="00C6773D"/>
    <w:rsid w:val="00C7262E"/>
    <w:rsid w:val="00C749B4"/>
    <w:rsid w:val="00C81104"/>
    <w:rsid w:val="00C835AB"/>
    <w:rsid w:val="00C83625"/>
    <w:rsid w:val="00C83DE9"/>
    <w:rsid w:val="00C87663"/>
    <w:rsid w:val="00C90826"/>
    <w:rsid w:val="00C91386"/>
    <w:rsid w:val="00C92D98"/>
    <w:rsid w:val="00C94971"/>
    <w:rsid w:val="00C96411"/>
    <w:rsid w:val="00CA31A6"/>
    <w:rsid w:val="00CA65D2"/>
    <w:rsid w:val="00CA6E51"/>
    <w:rsid w:val="00CB1295"/>
    <w:rsid w:val="00CB13FC"/>
    <w:rsid w:val="00CB353F"/>
    <w:rsid w:val="00CB41CD"/>
    <w:rsid w:val="00CB5671"/>
    <w:rsid w:val="00CB5DAC"/>
    <w:rsid w:val="00CB7B90"/>
    <w:rsid w:val="00CB7E6F"/>
    <w:rsid w:val="00CC31DD"/>
    <w:rsid w:val="00CC6B81"/>
    <w:rsid w:val="00CD0322"/>
    <w:rsid w:val="00CD0653"/>
    <w:rsid w:val="00CD4131"/>
    <w:rsid w:val="00CD4147"/>
    <w:rsid w:val="00CE7787"/>
    <w:rsid w:val="00CF3541"/>
    <w:rsid w:val="00CF58B7"/>
    <w:rsid w:val="00D049FF"/>
    <w:rsid w:val="00D1152F"/>
    <w:rsid w:val="00D12D9E"/>
    <w:rsid w:val="00D14FFD"/>
    <w:rsid w:val="00D156FF"/>
    <w:rsid w:val="00D158C1"/>
    <w:rsid w:val="00D261B3"/>
    <w:rsid w:val="00D32043"/>
    <w:rsid w:val="00D32434"/>
    <w:rsid w:val="00D33040"/>
    <w:rsid w:val="00D351C1"/>
    <w:rsid w:val="00D35AA1"/>
    <w:rsid w:val="00D35EFB"/>
    <w:rsid w:val="00D36A72"/>
    <w:rsid w:val="00D3715C"/>
    <w:rsid w:val="00D42261"/>
    <w:rsid w:val="00D4302F"/>
    <w:rsid w:val="00D43202"/>
    <w:rsid w:val="00D504A6"/>
    <w:rsid w:val="00D504B3"/>
    <w:rsid w:val="00D53E39"/>
    <w:rsid w:val="00D55E5E"/>
    <w:rsid w:val="00D60246"/>
    <w:rsid w:val="00D63E16"/>
    <w:rsid w:val="00D649E0"/>
    <w:rsid w:val="00D65728"/>
    <w:rsid w:val="00D72C7E"/>
    <w:rsid w:val="00D73BE0"/>
    <w:rsid w:val="00D80CAC"/>
    <w:rsid w:val="00D82E3E"/>
    <w:rsid w:val="00D85175"/>
    <w:rsid w:val="00D86BF0"/>
    <w:rsid w:val="00D873C7"/>
    <w:rsid w:val="00D8794B"/>
    <w:rsid w:val="00D97266"/>
    <w:rsid w:val="00DA0461"/>
    <w:rsid w:val="00DA74E0"/>
    <w:rsid w:val="00DA7CE4"/>
    <w:rsid w:val="00DB2D8F"/>
    <w:rsid w:val="00DB326A"/>
    <w:rsid w:val="00DB4D13"/>
    <w:rsid w:val="00DC2A2B"/>
    <w:rsid w:val="00DC51B9"/>
    <w:rsid w:val="00DC5F05"/>
    <w:rsid w:val="00DD118B"/>
    <w:rsid w:val="00DD27ED"/>
    <w:rsid w:val="00DD29AA"/>
    <w:rsid w:val="00DD594C"/>
    <w:rsid w:val="00DD69C4"/>
    <w:rsid w:val="00DE0DC7"/>
    <w:rsid w:val="00DE7476"/>
    <w:rsid w:val="00DF4589"/>
    <w:rsid w:val="00DF5059"/>
    <w:rsid w:val="00DF5394"/>
    <w:rsid w:val="00DF60FE"/>
    <w:rsid w:val="00E0307E"/>
    <w:rsid w:val="00E04357"/>
    <w:rsid w:val="00E07D2D"/>
    <w:rsid w:val="00E07EA1"/>
    <w:rsid w:val="00E11436"/>
    <w:rsid w:val="00E16C5F"/>
    <w:rsid w:val="00E367BA"/>
    <w:rsid w:val="00E40DE3"/>
    <w:rsid w:val="00E438E7"/>
    <w:rsid w:val="00E4426A"/>
    <w:rsid w:val="00E46098"/>
    <w:rsid w:val="00E46AE1"/>
    <w:rsid w:val="00E47FB1"/>
    <w:rsid w:val="00E51920"/>
    <w:rsid w:val="00E52AF1"/>
    <w:rsid w:val="00E53876"/>
    <w:rsid w:val="00E563AC"/>
    <w:rsid w:val="00E62E0D"/>
    <w:rsid w:val="00E64120"/>
    <w:rsid w:val="00E6590C"/>
    <w:rsid w:val="00E660A1"/>
    <w:rsid w:val="00E72279"/>
    <w:rsid w:val="00E73274"/>
    <w:rsid w:val="00E750FE"/>
    <w:rsid w:val="00E7749E"/>
    <w:rsid w:val="00E82620"/>
    <w:rsid w:val="00E84D6C"/>
    <w:rsid w:val="00E85C6A"/>
    <w:rsid w:val="00E87459"/>
    <w:rsid w:val="00E9751E"/>
    <w:rsid w:val="00E976F6"/>
    <w:rsid w:val="00EA1E89"/>
    <w:rsid w:val="00EA216C"/>
    <w:rsid w:val="00EA2521"/>
    <w:rsid w:val="00EA3CCF"/>
    <w:rsid w:val="00EA602F"/>
    <w:rsid w:val="00EB57E4"/>
    <w:rsid w:val="00EB6EC5"/>
    <w:rsid w:val="00EC017B"/>
    <w:rsid w:val="00EC2037"/>
    <w:rsid w:val="00EC4837"/>
    <w:rsid w:val="00EC62E7"/>
    <w:rsid w:val="00ED08FD"/>
    <w:rsid w:val="00ED3B4F"/>
    <w:rsid w:val="00EF07CB"/>
    <w:rsid w:val="00EF2ACE"/>
    <w:rsid w:val="00EF30CE"/>
    <w:rsid w:val="00EF7049"/>
    <w:rsid w:val="00F00572"/>
    <w:rsid w:val="00F00CFC"/>
    <w:rsid w:val="00F04872"/>
    <w:rsid w:val="00F055F1"/>
    <w:rsid w:val="00F10EAF"/>
    <w:rsid w:val="00F1375C"/>
    <w:rsid w:val="00F14854"/>
    <w:rsid w:val="00F16A12"/>
    <w:rsid w:val="00F21202"/>
    <w:rsid w:val="00F24324"/>
    <w:rsid w:val="00F26C73"/>
    <w:rsid w:val="00F30BBB"/>
    <w:rsid w:val="00F41489"/>
    <w:rsid w:val="00F432ED"/>
    <w:rsid w:val="00F44004"/>
    <w:rsid w:val="00F50225"/>
    <w:rsid w:val="00F50AA2"/>
    <w:rsid w:val="00F5119E"/>
    <w:rsid w:val="00F52044"/>
    <w:rsid w:val="00F5438F"/>
    <w:rsid w:val="00F60215"/>
    <w:rsid w:val="00F610AF"/>
    <w:rsid w:val="00F6458B"/>
    <w:rsid w:val="00F64CFA"/>
    <w:rsid w:val="00F64CFB"/>
    <w:rsid w:val="00F66F0C"/>
    <w:rsid w:val="00F71FE9"/>
    <w:rsid w:val="00F76F05"/>
    <w:rsid w:val="00F81B25"/>
    <w:rsid w:val="00F83414"/>
    <w:rsid w:val="00F939C9"/>
    <w:rsid w:val="00F946B8"/>
    <w:rsid w:val="00FA2C5A"/>
    <w:rsid w:val="00FA47C6"/>
    <w:rsid w:val="00FA49BD"/>
    <w:rsid w:val="00FA4E42"/>
    <w:rsid w:val="00FA6A5C"/>
    <w:rsid w:val="00FB3911"/>
    <w:rsid w:val="00FB60A9"/>
    <w:rsid w:val="00FC0C2B"/>
    <w:rsid w:val="00FC1000"/>
    <w:rsid w:val="00FC1420"/>
    <w:rsid w:val="00FC2D11"/>
    <w:rsid w:val="00FC6230"/>
    <w:rsid w:val="00FC6C0A"/>
    <w:rsid w:val="00FC73B2"/>
    <w:rsid w:val="00FD0A5D"/>
    <w:rsid w:val="00FD26DE"/>
    <w:rsid w:val="00FD2B50"/>
    <w:rsid w:val="00FD4829"/>
    <w:rsid w:val="00FD5039"/>
    <w:rsid w:val="00FD6B3A"/>
    <w:rsid w:val="00FE18E6"/>
    <w:rsid w:val="00FE202D"/>
    <w:rsid w:val="00FE3C46"/>
    <w:rsid w:val="00FE4100"/>
    <w:rsid w:val="00FE4BFC"/>
    <w:rsid w:val="00FF4F40"/>
    <w:rsid w:val="00FF61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958FB"/>
  <w15:chartTrackingRefBased/>
  <w15:docId w15:val="{56205C35-E6ED-4032-BF77-13008A64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8E6"/>
    <w:rPr>
      <w:rFonts w:ascii="Calibri" w:eastAsia="Calibri" w:hAnsi="Calibr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aliases w:val="Table Legend,Normal: Bullets,Bullet1,Bullet 1,Bullet List,Section 5,List Table,HEOR bullet list,Bullets Points,Colorful List - Accent 11"/>
    <w:basedOn w:val="Normal"/>
    <w:link w:val="ListParagraphChar"/>
    <w:uiPriority w:val="34"/>
    <w:qFormat/>
    <w:rsid w:val="00087ADA"/>
    <w:pPr>
      <w:ind w:left="720"/>
    </w:pPr>
  </w:style>
  <w:style w:type="character" w:styleId="CommentReference">
    <w:name w:val="annotation reference"/>
    <w:basedOn w:val="DefaultParagraphFont"/>
    <w:semiHidden/>
    <w:unhideWhenUsed/>
    <w:rsid w:val="00087ADA"/>
    <w:rPr>
      <w:sz w:val="16"/>
      <w:szCs w:val="16"/>
    </w:rPr>
  </w:style>
  <w:style w:type="paragraph" w:styleId="CommentText">
    <w:name w:val="annotation text"/>
    <w:basedOn w:val="Normal"/>
    <w:link w:val="CommentTextChar"/>
    <w:uiPriority w:val="99"/>
    <w:unhideWhenUsed/>
    <w:rsid w:val="00087ADA"/>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rsid w:val="00087ADA"/>
  </w:style>
  <w:style w:type="character" w:customStyle="1" w:styleId="ListParagraphChar">
    <w:name w:val="List Paragraph Char"/>
    <w:aliases w:val="Table Legend Char,Normal: Bullets Char,Bullet1 Char,Bullet 1 Char,Bullet List Char,Section 5 Char,List Table Char,HEOR bullet list Char,Bullets Points Char,Colorful List - Accent 11 Char"/>
    <w:link w:val="ListParagraph"/>
    <w:uiPriority w:val="34"/>
    <w:locked/>
    <w:rsid w:val="00087ADA"/>
    <w:rPr>
      <w:rFonts w:ascii="Calibri" w:eastAsia="Calibri" w:hAnsi="Calibri"/>
      <w:sz w:val="22"/>
      <w:szCs w:val="22"/>
      <w:lang w:eastAsia="en-US"/>
    </w:rPr>
  </w:style>
  <w:style w:type="table" w:styleId="TableGrid">
    <w:name w:val="Table Grid"/>
    <w:aliases w:val="Table Grid nm"/>
    <w:basedOn w:val="TableNormal"/>
    <w:uiPriority w:val="39"/>
    <w:rsid w:val="003E59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PHMR,TabFig title/caption,Caption for Figures and Tables,fig cadre,Caption Char Char,Caption Char Char Char Char,fig cadre Char2,Caption Char2,fig cadre Char Char,- H17,Bayer Caption,IB Caption,Medical Caption,figure,Caption-FUSA"/>
    <w:basedOn w:val="Normal"/>
    <w:next w:val="Normal"/>
    <w:link w:val="CaptionChar"/>
    <w:uiPriority w:val="35"/>
    <w:unhideWhenUsed/>
    <w:qFormat/>
    <w:rsid w:val="003E5977"/>
    <w:pPr>
      <w:spacing w:after="200"/>
    </w:pPr>
    <w:rPr>
      <w:rFonts w:asciiTheme="minorHAnsi" w:eastAsiaTheme="minorHAnsi" w:hAnsiTheme="minorHAnsi" w:cstheme="minorBidi"/>
      <w:i/>
      <w:iCs/>
      <w:color w:val="1F497D" w:themeColor="text2"/>
      <w:sz w:val="18"/>
      <w:szCs w:val="18"/>
    </w:rPr>
  </w:style>
  <w:style w:type="character" w:customStyle="1" w:styleId="CaptionChar">
    <w:name w:val="Caption Char"/>
    <w:aliases w:val="Caption PHMR Char,TabFig title/caption Char,Caption for Figures and Tables Char,fig cadre Char,Caption Char Char Char,Caption Char Char Char Char Char,fig cadre Char2 Char,Caption Char2 Char,fig cadre Char Char Char,- H17 Char,figure Char"/>
    <w:basedOn w:val="DefaultParagraphFont"/>
    <w:link w:val="Caption"/>
    <w:uiPriority w:val="35"/>
    <w:locked/>
    <w:rsid w:val="003E5977"/>
    <w:rPr>
      <w:rFonts w:asciiTheme="minorHAnsi" w:eastAsiaTheme="minorHAnsi" w:hAnsiTheme="minorHAnsi" w:cstheme="minorBidi"/>
      <w:i/>
      <w:iCs/>
      <w:color w:val="1F497D" w:themeColor="text2"/>
      <w:sz w:val="18"/>
      <w:szCs w:val="18"/>
      <w:lang w:eastAsia="en-US"/>
    </w:rPr>
  </w:style>
  <w:style w:type="paragraph" w:styleId="CommentSubject">
    <w:name w:val="annotation subject"/>
    <w:basedOn w:val="CommentText"/>
    <w:next w:val="CommentText"/>
    <w:link w:val="CommentSubjectChar"/>
    <w:semiHidden/>
    <w:unhideWhenUsed/>
    <w:rsid w:val="00BE51C3"/>
    <w:rPr>
      <w:rFonts w:ascii="Calibri" w:eastAsia="Calibri" w:hAnsi="Calibri"/>
      <w:b/>
      <w:bCs/>
      <w:lang w:eastAsia="en-US"/>
    </w:rPr>
  </w:style>
  <w:style w:type="character" w:customStyle="1" w:styleId="CommentSubjectChar">
    <w:name w:val="Comment Subject Char"/>
    <w:basedOn w:val="CommentTextChar"/>
    <w:link w:val="CommentSubject"/>
    <w:semiHidden/>
    <w:rsid w:val="00BE51C3"/>
    <w:rPr>
      <w:rFonts w:ascii="Calibri" w:eastAsia="Calibri" w:hAnsi="Calibri"/>
      <w:b/>
      <w:bCs/>
      <w:lang w:eastAsia="en-US"/>
    </w:rPr>
  </w:style>
  <w:style w:type="table" w:customStyle="1" w:styleId="TableGrid6">
    <w:name w:val="Table Grid6"/>
    <w:basedOn w:val="TableNormal"/>
    <w:next w:val="TableGrid"/>
    <w:uiPriority w:val="39"/>
    <w:rsid w:val="00F946B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4698"/>
    <w:rPr>
      <w:rFonts w:ascii="Calibri" w:eastAsia="Calibri" w:hAnsi="Calibri"/>
      <w:sz w:val="22"/>
      <w:szCs w:val="22"/>
      <w:lang w:eastAsia="en-US"/>
    </w:rPr>
  </w:style>
  <w:style w:type="paragraph" w:styleId="NormalWeb">
    <w:name w:val="Normal (Web)"/>
    <w:basedOn w:val="Normal"/>
    <w:uiPriority w:val="99"/>
    <w:semiHidden/>
    <w:unhideWhenUsed/>
    <w:rsid w:val="00CC31DD"/>
    <w:pPr>
      <w:spacing w:before="100" w:beforeAutospacing="1" w:after="100" w:afterAutospacing="1"/>
    </w:pPr>
    <w:rPr>
      <w:rFonts w:ascii="Times New Roman" w:eastAsia="Times New Roman" w:hAnsi="Times New Roman"/>
      <w:sz w:val="24"/>
      <w:szCs w:val="24"/>
      <w:lang w:eastAsia="en-GB"/>
    </w:rPr>
  </w:style>
  <w:style w:type="character" w:customStyle="1" w:styleId="cf01">
    <w:name w:val="cf01"/>
    <w:basedOn w:val="DefaultParagraphFont"/>
    <w:rsid w:val="00CC31DD"/>
    <w:rPr>
      <w:rFonts w:ascii="Segoe UI" w:hAnsi="Segoe UI" w:cs="Segoe UI" w:hint="default"/>
      <w:sz w:val="18"/>
      <w:szCs w:val="18"/>
    </w:rPr>
  </w:style>
  <w:style w:type="character" w:styleId="Hyperlink">
    <w:name w:val="Hyperlink"/>
    <w:basedOn w:val="DefaultParagraphFont"/>
    <w:unhideWhenUsed/>
    <w:rsid w:val="00FF4F40"/>
    <w:rPr>
      <w:color w:val="0000FF" w:themeColor="hyperlink"/>
      <w:u w:val="single"/>
    </w:rPr>
  </w:style>
  <w:style w:type="character" w:styleId="UnresolvedMention">
    <w:name w:val="Unresolved Mention"/>
    <w:basedOn w:val="DefaultParagraphFont"/>
    <w:uiPriority w:val="99"/>
    <w:semiHidden/>
    <w:unhideWhenUsed/>
    <w:rsid w:val="00FF4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4802">
      <w:bodyDiv w:val="1"/>
      <w:marLeft w:val="0"/>
      <w:marRight w:val="0"/>
      <w:marTop w:val="0"/>
      <w:marBottom w:val="0"/>
      <w:divBdr>
        <w:top w:val="none" w:sz="0" w:space="0" w:color="auto"/>
        <w:left w:val="none" w:sz="0" w:space="0" w:color="auto"/>
        <w:bottom w:val="none" w:sz="0" w:space="0" w:color="auto"/>
        <w:right w:val="none" w:sz="0" w:space="0" w:color="auto"/>
      </w:divBdr>
    </w:div>
    <w:div w:id="56711232">
      <w:bodyDiv w:val="1"/>
      <w:marLeft w:val="0"/>
      <w:marRight w:val="0"/>
      <w:marTop w:val="0"/>
      <w:marBottom w:val="0"/>
      <w:divBdr>
        <w:top w:val="none" w:sz="0" w:space="0" w:color="auto"/>
        <w:left w:val="none" w:sz="0" w:space="0" w:color="auto"/>
        <w:bottom w:val="none" w:sz="0" w:space="0" w:color="auto"/>
        <w:right w:val="none" w:sz="0" w:space="0" w:color="auto"/>
      </w:divBdr>
    </w:div>
    <w:div w:id="86654218">
      <w:bodyDiv w:val="1"/>
      <w:marLeft w:val="0"/>
      <w:marRight w:val="0"/>
      <w:marTop w:val="0"/>
      <w:marBottom w:val="0"/>
      <w:divBdr>
        <w:top w:val="none" w:sz="0" w:space="0" w:color="auto"/>
        <w:left w:val="none" w:sz="0" w:space="0" w:color="auto"/>
        <w:bottom w:val="none" w:sz="0" w:space="0" w:color="auto"/>
        <w:right w:val="none" w:sz="0" w:space="0" w:color="auto"/>
      </w:divBdr>
    </w:div>
    <w:div w:id="150173577">
      <w:bodyDiv w:val="1"/>
      <w:marLeft w:val="0"/>
      <w:marRight w:val="0"/>
      <w:marTop w:val="0"/>
      <w:marBottom w:val="0"/>
      <w:divBdr>
        <w:top w:val="none" w:sz="0" w:space="0" w:color="auto"/>
        <w:left w:val="none" w:sz="0" w:space="0" w:color="auto"/>
        <w:bottom w:val="none" w:sz="0" w:space="0" w:color="auto"/>
        <w:right w:val="none" w:sz="0" w:space="0" w:color="auto"/>
      </w:divBdr>
    </w:div>
    <w:div w:id="282002271">
      <w:bodyDiv w:val="1"/>
      <w:marLeft w:val="0"/>
      <w:marRight w:val="0"/>
      <w:marTop w:val="0"/>
      <w:marBottom w:val="0"/>
      <w:divBdr>
        <w:top w:val="none" w:sz="0" w:space="0" w:color="auto"/>
        <w:left w:val="none" w:sz="0" w:space="0" w:color="auto"/>
        <w:bottom w:val="none" w:sz="0" w:space="0" w:color="auto"/>
        <w:right w:val="none" w:sz="0" w:space="0" w:color="auto"/>
      </w:divBdr>
    </w:div>
    <w:div w:id="372196458">
      <w:bodyDiv w:val="1"/>
      <w:marLeft w:val="0"/>
      <w:marRight w:val="0"/>
      <w:marTop w:val="0"/>
      <w:marBottom w:val="0"/>
      <w:divBdr>
        <w:top w:val="none" w:sz="0" w:space="0" w:color="auto"/>
        <w:left w:val="none" w:sz="0" w:space="0" w:color="auto"/>
        <w:bottom w:val="none" w:sz="0" w:space="0" w:color="auto"/>
        <w:right w:val="none" w:sz="0" w:space="0" w:color="auto"/>
      </w:divBdr>
    </w:div>
    <w:div w:id="408386558">
      <w:bodyDiv w:val="1"/>
      <w:marLeft w:val="0"/>
      <w:marRight w:val="0"/>
      <w:marTop w:val="0"/>
      <w:marBottom w:val="0"/>
      <w:divBdr>
        <w:top w:val="none" w:sz="0" w:space="0" w:color="auto"/>
        <w:left w:val="none" w:sz="0" w:space="0" w:color="auto"/>
        <w:bottom w:val="none" w:sz="0" w:space="0" w:color="auto"/>
        <w:right w:val="none" w:sz="0" w:space="0" w:color="auto"/>
      </w:divBdr>
    </w:div>
    <w:div w:id="441657840">
      <w:bodyDiv w:val="1"/>
      <w:marLeft w:val="0"/>
      <w:marRight w:val="0"/>
      <w:marTop w:val="0"/>
      <w:marBottom w:val="0"/>
      <w:divBdr>
        <w:top w:val="none" w:sz="0" w:space="0" w:color="auto"/>
        <w:left w:val="none" w:sz="0" w:space="0" w:color="auto"/>
        <w:bottom w:val="none" w:sz="0" w:space="0" w:color="auto"/>
        <w:right w:val="none" w:sz="0" w:space="0" w:color="auto"/>
      </w:divBdr>
    </w:div>
    <w:div w:id="446968173">
      <w:bodyDiv w:val="1"/>
      <w:marLeft w:val="0"/>
      <w:marRight w:val="0"/>
      <w:marTop w:val="0"/>
      <w:marBottom w:val="0"/>
      <w:divBdr>
        <w:top w:val="none" w:sz="0" w:space="0" w:color="auto"/>
        <w:left w:val="none" w:sz="0" w:space="0" w:color="auto"/>
        <w:bottom w:val="none" w:sz="0" w:space="0" w:color="auto"/>
        <w:right w:val="none" w:sz="0" w:space="0" w:color="auto"/>
      </w:divBdr>
    </w:div>
    <w:div w:id="449131285">
      <w:bodyDiv w:val="1"/>
      <w:marLeft w:val="0"/>
      <w:marRight w:val="0"/>
      <w:marTop w:val="0"/>
      <w:marBottom w:val="0"/>
      <w:divBdr>
        <w:top w:val="none" w:sz="0" w:space="0" w:color="auto"/>
        <w:left w:val="none" w:sz="0" w:space="0" w:color="auto"/>
        <w:bottom w:val="none" w:sz="0" w:space="0" w:color="auto"/>
        <w:right w:val="none" w:sz="0" w:space="0" w:color="auto"/>
      </w:divBdr>
    </w:div>
    <w:div w:id="506214024">
      <w:bodyDiv w:val="1"/>
      <w:marLeft w:val="0"/>
      <w:marRight w:val="0"/>
      <w:marTop w:val="0"/>
      <w:marBottom w:val="0"/>
      <w:divBdr>
        <w:top w:val="none" w:sz="0" w:space="0" w:color="auto"/>
        <w:left w:val="none" w:sz="0" w:space="0" w:color="auto"/>
        <w:bottom w:val="none" w:sz="0" w:space="0" w:color="auto"/>
        <w:right w:val="none" w:sz="0" w:space="0" w:color="auto"/>
      </w:divBdr>
    </w:div>
    <w:div w:id="558056424">
      <w:bodyDiv w:val="1"/>
      <w:marLeft w:val="0"/>
      <w:marRight w:val="0"/>
      <w:marTop w:val="0"/>
      <w:marBottom w:val="0"/>
      <w:divBdr>
        <w:top w:val="none" w:sz="0" w:space="0" w:color="auto"/>
        <w:left w:val="none" w:sz="0" w:space="0" w:color="auto"/>
        <w:bottom w:val="none" w:sz="0" w:space="0" w:color="auto"/>
        <w:right w:val="none" w:sz="0" w:space="0" w:color="auto"/>
      </w:divBdr>
    </w:div>
    <w:div w:id="565074424">
      <w:bodyDiv w:val="1"/>
      <w:marLeft w:val="0"/>
      <w:marRight w:val="0"/>
      <w:marTop w:val="0"/>
      <w:marBottom w:val="0"/>
      <w:divBdr>
        <w:top w:val="none" w:sz="0" w:space="0" w:color="auto"/>
        <w:left w:val="none" w:sz="0" w:space="0" w:color="auto"/>
        <w:bottom w:val="none" w:sz="0" w:space="0" w:color="auto"/>
        <w:right w:val="none" w:sz="0" w:space="0" w:color="auto"/>
      </w:divBdr>
    </w:div>
    <w:div w:id="631062265">
      <w:bodyDiv w:val="1"/>
      <w:marLeft w:val="0"/>
      <w:marRight w:val="0"/>
      <w:marTop w:val="0"/>
      <w:marBottom w:val="0"/>
      <w:divBdr>
        <w:top w:val="none" w:sz="0" w:space="0" w:color="auto"/>
        <w:left w:val="none" w:sz="0" w:space="0" w:color="auto"/>
        <w:bottom w:val="none" w:sz="0" w:space="0" w:color="auto"/>
        <w:right w:val="none" w:sz="0" w:space="0" w:color="auto"/>
      </w:divBdr>
    </w:div>
    <w:div w:id="638845885">
      <w:bodyDiv w:val="1"/>
      <w:marLeft w:val="0"/>
      <w:marRight w:val="0"/>
      <w:marTop w:val="0"/>
      <w:marBottom w:val="0"/>
      <w:divBdr>
        <w:top w:val="none" w:sz="0" w:space="0" w:color="auto"/>
        <w:left w:val="none" w:sz="0" w:space="0" w:color="auto"/>
        <w:bottom w:val="none" w:sz="0" w:space="0" w:color="auto"/>
        <w:right w:val="none" w:sz="0" w:space="0" w:color="auto"/>
      </w:divBdr>
    </w:div>
    <w:div w:id="641815364">
      <w:bodyDiv w:val="1"/>
      <w:marLeft w:val="0"/>
      <w:marRight w:val="0"/>
      <w:marTop w:val="0"/>
      <w:marBottom w:val="0"/>
      <w:divBdr>
        <w:top w:val="none" w:sz="0" w:space="0" w:color="auto"/>
        <w:left w:val="none" w:sz="0" w:space="0" w:color="auto"/>
        <w:bottom w:val="none" w:sz="0" w:space="0" w:color="auto"/>
        <w:right w:val="none" w:sz="0" w:space="0" w:color="auto"/>
      </w:divBdr>
    </w:div>
    <w:div w:id="659891043">
      <w:bodyDiv w:val="1"/>
      <w:marLeft w:val="0"/>
      <w:marRight w:val="0"/>
      <w:marTop w:val="0"/>
      <w:marBottom w:val="0"/>
      <w:divBdr>
        <w:top w:val="none" w:sz="0" w:space="0" w:color="auto"/>
        <w:left w:val="none" w:sz="0" w:space="0" w:color="auto"/>
        <w:bottom w:val="none" w:sz="0" w:space="0" w:color="auto"/>
        <w:right w:val="none" w:sz="0" w:space="0" w:color="auto"/>
      </w:divBdr>
      <w:divsChild>
        <w:div w:id="312415158">
          <w:marLeft w:val="1526"/>
          <w:marRight w:val="0"/>
          <w:marTop w:val="100"/>
          <w:marBottom w:val="0"/>
          <w:divBdr>
            <w:top w:val="none" w:sz="0" w:space="0" w:color="auto"/>
            <w:left w:val="none" w:sz="0" w:space="0" w:color="auto"/>
            <w:bottom w:val="none" w:sz="0" w:space="0" w:color="auto"/>
            <w:right w:val="none" w:sz="0" w:space="0" w:color="auto"/>
          </w:divBdr>
        </w:div>
        <w:div w:id="1116867168">
          <w:marLeft w:val="1526"/>
          <w:marRight w:val="0"/>
          <w:marTop w:val="100"/>
          <w:marBottom w:val="0"/>
          <w:divBdr>
            <w:top w:val="none" w:sz="0" w:space="0" w:color="auto"/>
            <w:left w:val="none" w:sz="0" w:space="0" w:color="auto"/>
            <w:bottom w:val="none" w:sz="0" w:space="0" w:color="auto"/>
            <w:right w:val="none" w:sz="0" w:space="0" w:color="auto"/>
          </w:divBdr>
        </w:div>
        <w:div w:id="1132207677">
          <w:marLeft w:val="1526"/>
          <w:marRight w:val="0"/>
          <w:marTop w:val="100"/>
          <w:marBottom w:val="0"/>
          <w:divBdr>
            <w:top w:val="none" w:sz="0" w:space="0" w:color="auto"/>
            <w:left w:val="none" w:sz="0" w:space="0" w:color="auto"/>
            <w:bottom w:val="none" w:sz="0" w:space="0" w:color="auto"/>
            <w:right w:val="none" w:sz="0" w:space="0" w:color="auto"/>
          </w:divBdr>
        </w:div>
        <w:div w:id="1851944515">
          <w:marLeft w:val="446"/>
          <w:marRight w:val="0"/>
          <w:marTop w:val="40"/>
          <w:marBottom w:val="0"/>
          <w:divBdr>
            <w:top w:val="none" w:sz="0" w:space="0" w:color="auto"/>
            <w:left w:val="none" w:sz="0" w:space="0" w:color="auto"/>
            <w:bottom w:val="none" w:sz="0" w:space="0" w:color="auto"/>
            <w:right w:val="none" w:sz="0" w:space="0" w:color="auto"/>
          </w:divBdr>
        </w:div>
      </w:divsChild>
    </w:div>
    <w:div w:id="661546945">
      <w:bodyDiv w:val="1"/>
      <w:marLeft w:val="0"/>
      <w:marRight w:val="0"/>
      <w:marTop w:val="0"/>
      <w:marBottom w:val="0"/>
      <w:divBdr>
        <w:top w:val="none" w:sz="0" w:space="0" w:color="auto"/>
        <w:left w:val="none" w:sz="0" w:space="0" w:color="auto"/>
        <w:bottom w:val="none" w:sz="0" w:space="0" w:color="auto"/>
        <w:right w:val="none" w:sz="0" w:space="0" w:color="auto"/>
      </w:divBdr>
      <w:divsChild>
        <w:div w:id="852492546">
          <w:marLeft w:val="446"/>
          <w:marRight w:val="0"/>
          <w:marTop w:val="0"/>
          <w:marBottom w:val="0"/>
          <w:divBdr>
            <w:top w:val="none" w:sz="0" w:space="0" w:color="auto"/>
            <w:left w:val="none" w:sz="0" w:space="0" w:color="auto"/>
            <w:bottom w:val="none" w:sz="0" w:space="0" w:color="auto"/>
            <w:right w:val="none" w:sz="0" w:space="0" w:color="auto"/>
          </w:divBdr>
        </w:div>
        <w:div w:id="1540894047">
          <w:marLeft w:val="446"/>
          <w:marRight w:val="0"/>
          <w:marTop w:val="0"/>
          <w:marBottom w:val="0"/>
          <w:divBdr>
            <w:top w:val="none" w:sz="0" w:space="0" w:color="auto"/>
            <w:left w:val="none" w:sz="0" w:space="0" w:color="auto"/>
            <w:bottom w:val="none" w:sz="0" w:space="0" w:color="auto"/>
            <w:right w:val="none" w:sz="0" w:space="0" w:color="auto"/>
          </w:divBdr>
        </w:div>
      </w:divsChild>
    </w:div>
    <w:div w:id="952783311">
      <w:bodyDiv w:val="1"/>
      <w:marLeft w:val="0"/>
      <w:marRight w:val="0"/>
      <w:marTop w:val="0"/>
      <w:marBottom w:val="0"/>
      <w:divBdr>
        <w:top w:val="none" w:sz="0" w:space="0" w:color="auto"/>
        <w:left w:val="none" w:sz="0" w:space="0" w:color="auto"/>
        <w:bottom w:val="none" w:sz="0" w:space="0" w:color="auto"/>
        <w:right w:val="none" w:sz="0" w:space="0" w:color="auto"/>
      </w:divBdr>
    </w:div>
    <w:div w:id="990449598">
      <w:bodyDiv w:val="1"/>
      <w:marLeft w:val="0"/>
      <w:marRight w:val="0"/>
      <w:marTop w:val="0"/>
      <w:marBottom w:val="0"/>
      <w:divBdr>
        <w:top w:val="none" w:sz="0" w:space="0" w:color="auto"/>
        <w:left w:val="none" w:sz="0" w:space="0" w:color="auto"/>
        <w:bottom w:val="none" w:sz="0" w:space="0" w:color="auto"/>
        <w:right w:val="none" w:sz="0" w:space="0" w:color="auto"/>
      </w:divBdr>
    </w:div>
    <w:div w:id="1024669183">
      <w:bodyDiv w:val="1"/>
      <w:marLeft w:val="0"/>
      <w:marRight w:val="0"/>
      <w:marTop w:val="0"/>
      <w:marBottom w:val="0"/>
      <w:divBdr>
        <w:top w:val="none" w:sz="0" w:space="0" w:color="auto"/>
        <w:left w:val="none" w:sz="0" w:space="0" w:color="auto"/>
        <w:bottom w:val="none" w:sz="0" w:space="0" w:color="auto"/>
        <w:right w:val="none" w:sz="0" w:space="0" w:color="auto"/>
      </w:divBdr>
    </w:div>
    <w:div w:id="1044334126">
      <w:bodyDiv w:val="1"/>
      <w:marLeft w:val="0"/>
      <w:marRight w:val="0"/>
      <w:marTop w:val="0"/>
      <w:marBottom w:val="0"/>
      <w:divBdr>
        <w:top w:val="none" w:sz="0" w:space="0" w:color="auto"/>
        <w:left w:val="none" w:sz="0" w:space="0" w:color="auto"/>
        <w:bottom w:val="none" w:sz="0" w:space="0" w:color="auto"/>
        <w:right w:val="none" w:sz="0" w:space="0" w:color="auto"/>
      </w:divBdr>
    </w:div>
    <w:div w:id="1123499212">
      <w:bodyDiv w:val="1"/>
      <w:marLeft w:val="0"/>
      <w:marRight w:val="0"/>
      <w:marTop w:val="0"/>
      <w:marBottom w:val="0"/>
      <w:divBdr>
        <w:top w:val="none" w:sz="0" w:space="0" w:color="auto"/>
        <w:left w:val="none" w:sz="0" w:space="0" w:color="auto"/>
        <w:bottom w:val="none" w:sz="0" w:space="0" w:color="auto"/>
        <w:right w:val="none" w:sz="0" w:space="0" w:color="auto"/>
      </w:divBdr>
    </w:div>
    <w:div w:id="1143741162">
      <w:bodyDiv w:val="1"/>
      <w:marLeft w:val="0"/>
      <w:marRight w:val="0"/>
      <w:marTop w:val="0"/>
      <w:marBottom w:val="0"/>
      <w:divBdr>
        <w:top w:val="none" w:sz="0" w:space="0" w:color="auto"/>
        <w:left w:val="none" w:sz="0" w:space="0" w:color="auto"/>
        <w:bottom w:val="none" w:sz="0" w:space="0" w:color="auto"/>
        <w:right w:val="none" w:sz="0" w:space="0" w:color="auto"/>
      </w:divBdr>
    </w:div>
    <w:div w:id="1161038781">
      <w:bodyDiv w:val="1"/>
      <w:marLeft w:val="0"/>
      <w:marRight w:val="0"/>
      <w:marTop w:val="0"/>
      <w:marBottom w:val="0"/>
      <w:divBdr>
        <w:top w:val="none" w:sz="0" w:space="0" w:color="auto"/>
        <w:left w:val="none" w:sz="0" w:space="0" w:color="auto"/>
        <w:bottom w:val="none" w:sz="0" w:space="0" w:color="auto"/>
        <w:right w:val="none" w:sz="0" w:space="0" w:color="auto"/>
      </w:divBdr>
    </w:div>
    <w:div w:id="1169641729">
      <w:bodyDiv w:val="1"/>
      <w:marLeft w:val="0"/>
      <w:marRight w:val="0"/>
      <w:marTop w:val="0"/>
      <w:marBottom w:val="0"/>
      <w:divBdr>
        <w:top w:val="none" w:sz="0" w:space="0" w:color="auto"/>
        <w:left w:val="none" w:sz="0" w:space="0" w:color="auto"/>
        <w:bottom w:val="none" w:sz="0" w:space="0" w:color="auto"/>
        <w:right w:val="none" w:sz="0" w:space="0" w:color="auto"/>
      </w:divBdr>
    </w:div>
    <w:div w:id="1176268248">
      <w:bodyDiv w:val="1"/>
      <w:marLeft w:val="0"/>
      <w:marRight w:val="0"/>
      <w:marTop w:val="0"/>
      <w:marBottom w:val="0"/>
      <w:divBdr>
        <w:top w:val="none" w:sz="0" w:space="0" w:color="auto"/>
        <w:left w:val="none" w:sz="0" w:space="0" w:color="auto"/>
        <w:bottom w:val="none" w:sz="0" w:space="0" w:color="auto"/>
        <w:right w:val="none" w:sz="0" w:space="0" w:color="auto"/>
      </w:divBdr>
    </w:div>
    <w:div w:id="1315064006">
      <w:bodyDiv w:val="1"/>
      <w:marLeft w:val="0"/>
      <w:marRight w:val="0"/>
      <w:marTop w:val="0"/>
      <w:marBottom w:val="0"/>
      <w:divBdr>
        <w:top w:val="none" w:sz="0" w:space="0" w:color="auto"/>
        <w:left w:val="none" w:sz="0" w:space="0" w:color="auto"/>
        <w:bottom w:val="none" w:sz="0" w:space="0" w:color="auto"/>
        <w:right w:val="none" w:sz="0" w:space="0" w:color="auto"/>
      </w:divBdr>
    </w:div>
    <w:div w:id="1335567289">
      <w:bodyDiv w:val="1"/>
      <w:marLeft w:val="0"/>
      <w:marRight w:val="0"/>
      <w:marTop w:val="0"/>
      <w:marBottom w:val="0"/>
      <w:divBdr>
        <w:top w:val="none" w:sz="0" w:space="0" w:color="auto"/>
        <w:left w:val="none" w:sz="0" w:space="0" w:color="auto"/>
        <w:bottom w:val="none" w:sz="0" w:space="0" w:color="auto"/>
        <w:right w:val="none" w:sz="0" w:space="0" w:color="auto"/>
      </w:divBdr>
      <w:divsChild>
        <w:div w:id="378863730">
          <w:marLeft w:val="1166"/>
          <w:marRight w:val="0"/>
          <w:marTop w:val="40"/>
          <w:marBottom w:val="120"/>
          <w:divBdr>
            <w:top w:val="none" w:sz="0" w:space="0" w:color="auto"/>
            <w:left w:val="none" w:sz="0" w:space="0" w:color="auto"/>
            <w:bottom w:val="none" w:sz="0" w:space="0" w:color="auto"/>
            <w:right w:val="none" w:sz="0" w:space="0" w:color="auto"/>
          </w:divBdr>
        </w:div>
        <w:div w:id="1371220023">
          <w:marLeft w:val="1166"/>
          <w:marRight w:val="0"/>
          <w:marTop w:val="40"/>
          <w:marBottom w:val="120"/>
          <w:divBdr>
            <w:top w:val="none" w:sz="0" w:space="0" w:color="auto"/>
            <w:left w:val="none" w:sz="0" w:space="0" w:color="auto"/>
            <w:bottom w:val="none" w:sz="0" w:space="0" w:color="auto"/>
            <w:right w:val="none" w:sz="0" w:space="0" w:color="auto"/>
          </w:divBdr>
        </w:div>
      </w:divsChild>
    </w:div>
    <w:div w:id="1351179609">
      <w:bodyDiv w:val="1"/>
      <w:marLeft w:val="0"/>
      <w:marRight w:val="0"/>
      <w:marTop w:val="0"/>
      <w:marBottom w:val="0"/>
      <w:divBdr>
        <w:top w:val="none" w:sz="0" w:space="0" w:color="auto"/>
        <w:left w:val="none" w:sz="0" w:space="0" w:color="auto"/>
        <w:bottom w:val="none" w:sz="0" w:space="0" w:color="auto"/>
        <w:right w:val="none" w:sz="0" w:space="0" w:color="auto"/>
      </w:divBdr>
    </w:div>
    <w:div w:id="1408070009">
      <w:bodyDiv w:val="1"/>
      <w:marLeft w:val="0"/>
      <w:marRight w:val="0"/>
      <w:marTop w:val="0"/>
      <w:marBottom w:val="0"/>
      <w:divBdr>
        <w:top w:val="none" w:sz="0" w:space="0" w:color="auto"/>
        <w:left w:val="none" w:sz="0" w:space="0" w:color="auto"/>
        <w:bottom w:val="none" w:sz="0" w:space="0" w:color="auto"/>
        <w:right w:val="none" w:sz="0" w:space="0" w:color="auto"/>
      </w:divBdr>
    </w:div>
    <w:div w:id="1411392418">
      <w:bodyDiv w:val="1"/>
      <w:marLeft w:val="0"/>
      <w:marRight w:val="0"/>
      <w:marTop w:val="0"/>
      <w:marBottom w:val="0"/>
      <w:divBdr>
        <w:top w:val="none" w:sz="0" w:space="0" w:color="auto"/>
        <w:left w:val="none" w:sz="0" w:space="0" w:color="auto"/>
        <w:bottom w:val="none" w:sz="0" w:space="0" w:color="auto"/>
        <w:right w:val="none" w:sz="0" w:space="0" w:color="auto"/>
      </w:divBdr>
    </w:div>
    <w:div w:id="1503273036">
      <w:bodyDiv w:val="1"/>
      <w:marLeft w:val="0"/>
      <w:marRight w:val="0"/>
      <w:marTop w:val="0"/>
      <w:marBottom w:val="0"/>
      <w:divBdr>
        <w:top w:val="none" w:sz="0" w:space="0" w:color="auto"/>
        <w:left w:val="none" w:sz="0" w:space="0" w:color="auto"/>
        <w:bottom w:val="none" w:sz="0" w:space="0" w:color="auto"/>
        <w:right w:val="none" w:sz="0" w:space="0" w:color="auto"/>
      </w:divBdr>
    </w:div>
    <w:div w:id="1546402521">
      <w:bodyDiv w:val="1"/>
      <w:marLeft w:val="0"/>
      <w:marRight w:val="0"/>
      <w:marTop w:val="0"/>
      <w:marBottom w:val="0"/>
      <w:divBdr>
        <w:top w:val="none" w:sz="0" w:space="0" w:color="auto"/>
        <w:left w:val="none" w:sz="0" w:space="0" w:color="auto"/>
        <w:bottom w:val="none" w:sz="0" w:space="0" w:color="auto"/>
        <w:right w:val="none" w:sz="0" w:space="0" w:color="auto"/>
      </w:divBdr>
    </w:div>
    <w:div w:id="1616257053">
      <w:bodyDiv w:val="1"/>
      <w:marLeft w:val="0"/>
      <w:marRight w:val="0"/>
      <w:marTop w:val="0"/>
      <w:marBottom w:val="0"/>
      <w:divBdr>
        <w:top w:val="none" w:sz="0" w:space="0" w:color="auto"/>
        <w:left w:val="none" w:sz="0" w:space="0" w:color="auto"/>
        <w:bottom w:val="none" w:sz="0" w:space="0" w:color="auto"/>
        <w:right w:val="none" w:sz="0" w:space="0" w:color="auto"/>
      </w:divBdr>
    </w:div>
    <w:div w:id="1617834648">
      <w:bodyDiv w:val="1"/>
      <w:marLeft w:val="0"/>
      <w:marRight w:val="0"/>
      <w:marTop w:val="0"/>
      <w:marBottom w:val="0"/>
      <w:divBdr>
        <w:top w:val="none" w:sz="0" w:space="0" w:color="auto"/>
        <w:left w:val="none" w:sz="0" w:space="0" w:color="auto"/>
        <w:bottom w:val="none" w:sz="0" w:space="0" w:color="auto"/>
        <w:right w:val="none" w:sz="0" w:space="0" w:color="auto"/>
      </w:divBdr>
    </w:div>
    <w:div w:id="1678386707">
      <w:bodyDiv w:val="1"/>
      <w:marLeft w:val="0"/>
      <w:marRight w:val="0"/>
      <w:marTop w:val="0"/>
      <w:marBottom w:val="0"/>
      <w:divBdr>
        <w:top w:val="none" w:sz="0" w:space="0" w:color="auto"/>
        <w:left w:val="none" w:sz="0" w:space="0" w:color="auto"/>
        <w:bottom w:val="none" w:sz="0" w:space="0" w:color="auto"/>
        <w:right w:val="none" w:sz="0" w:space="0" w:color="auto"/>
      </w:divBdr>
      <w:divsChild>
        <w:div w:id="877549047">
          <w:marLeft w:val="1886"/>
          <w:marRight w:val="0"/>
          <w:marTop w:val="100"/>
          <w:marBottom w:val="0"/>
          <w:divBdr>
            <w:top w:val="none" w:sz="0" w:space="0" w:color="auto"/>
            <w:left w:val="none" w:sz="0" w:space="0" w:color="auto"/>
            <w:bottom w:val="none" w:sz="0" w:space="0" w:color="auto"/>
            <w:right w:val="none" w:sz="0" w:space="0" w:color="auto"/>
          </w:divBdr>
        </w:div>
        <w:div w:id="1052193331">
          <w:marLeft w:val="1886"/>
          <w:marRight w:val="0"/>
          <w:marTop w:val="100"/>
          <w:marBottom w:val="0"/>
          <w:divBdr>
            <w:top w:val="none" w:sz="0" w:space="0" w:color="auto"/>
            <w:left w:val="none" w:sz="0" w:space="0" w:color="auto"/>
            <w:bottom w:val="none" w:sz="0" w:space="0" w:color="auto"/>
            <w:right w:val="none" w:sz="0" w:space="0" w:color="auto"/>
          </w:divBdr>
        </w:div>
        <w:div w:id="1306351475">
          <w:marLeft w:val="1627"/>
          <w:marRight w:val="0"/>
          <w:marTop w:val="100"/>
          <w:marBottom w:val="0"/>
          <w:divBdr>
            <w:top w:val="none" w:sz="0" w:space="0" w:color="auto"/>
            <w:left w:val="none" w:sz="0" w:space="0" w:color="auto"/>
            <w:bottom w:val="none" w:sz="0" w:space="0" w:color="auto"/>
            <w:right w:val="none" w:sz="0" w:space="0" w:color="auto"/>
          </w:divBdr>
        </w:div>
      </w:divsChild>
    </w:div>
    <w:div w:id="1696273670">
      <w:bodyDiv w:val="1"/>
      <w:marLeft w:val="0"/>
      <w:marRight w:val="0"/>
      <w:marTop w:val="0"/>
      <w:marBottom w:val="0"/>
      <w:divBdr>
        <w:top w:val="none" w:sz="0" w:space="0" w:color="auto"/>
        <w:left w:val="none" w:sz="0" w:space="0" w:color="auto"/>
        <w:bottom w:val="none" w:sz="0" w:space="0" w:color="auto"/>
        <w:right w:val="none" w:sz="0" w:space="0" w:color="auto"/>
      </w:divBdr>
      <w:divsChild>
        <w:div w:id="64452569">
          <w:marLeft w:val="446"/>
          <w:marRight w:val="0"/>
          <w:marTop w:val="0"/>
          <w:marBottom w:val="0"/>
          <w:divBdr>
            <w:top w:val="none" w:sz="0" w:space="0" w:color="auto"/>
            <w:left w:val="none" w:sz="0" w:space="0" w:color="auto"/>
            <w:bottom w:val="none" w:sz="0" w:space="0" w:color="auto"/>
            <w:right w:val="none" w:sz="0" w:space="0" w:color="auto"/>
          </w:divBdr>
        </w:div>
        <w:div w:id="547189113">
          <w:marLeft w:val="446"/>
          <w:marRight w:val="0"/>
          <w:marTop w:val="0"/>
          <w:marBottom w:val="0"/>
          <w:divBdr>
            <w:top w:val="none" w:sz="0" w:space="0" w:color="auto"/>
            <w:left w:val="none" w:sz="0" w:space="0" w:color="auto"/>
            <w:bottom w:val="none" w:sz="0" w:space="0" w:color="auto"/>
            <w:right w:val="none" w:sz="0" w:space="0" w:color="auto"/>
          </w:divBdr>
        </w:div>
        <w:div w:id="1572617148">
          <w:marLeft w:val="446"/>
          <w:marRight w:val="0"/>
          <w:marTop w:val="0"/>
          <w:marBottom w:val="0"/>
          <w:divBdr>
            <w:top w:val="none" w:sz="0" w:space="0" w:color="auto"/>
            <w:left w:val="none" w:sz="0" w:space="0" w:color="auto"/>
            <w:bottom w:val="none" w:sz="0" w:space="0" w:color="auto"/>
            <w:right w:val="none" w:sz="0" w:space="0" w:color="auto"/>
          </w:divBdr>
        </w:div>
      </w:divsChild>
    </w:div>
    <w:div w:id="1758550050">
      <w:bodyDiv w:val="1"/>
      <w:marLeft w:val="0"/>
      <w:marRight w:val="0"/>
      <w:marTop w:val="0"/>
      <w:marBottom w:val="0"/>
      <w:divBdr>
        <w:top w:val="none" w:sz="0" w:space="0" w:color="auto"/>
        <w:left w:val="none" w:sz="0" w:space="0" w:color="auto"/>
        <w:bottom w:val="none" w:sz="0" w:space="0" w:color="auto"/>
        <w:right w:val="none" w:sz="0" w:space="0" w:color="auto"/>
      </w:divBdr>
    </w:div>
    <w:div w:id="1821313026">
      <w:bodyDiv w:val="1"/>
      <w:marLeft w:val="0"/>
      <w:marRight w:val="0"/>
      <w:marTop w:val="0"/>
      <w:marBottom w:val="0"/>
      <w:divBdr>
        <w:top w:val="none" w:sz="0" w:space="0" w:color="auto"/>
        <w:left w:val="none" w:sz="0" w:space="0" w:color="auto"/>
        <w:bottom w:val="none" w:sz="0" w:space="0" w:color="auto"/>
        <w:right w:val="none" w:sz="0" w:space="0" w:color="auto"/>
      </w:divBdr>
    </w:div>
    <w:div w:id="1843399546">
      <w:bodyDiv w:val="1"/>
      <w:marLeft w:val="0"/>
      <w:marRight w:val="0"/>
      <w:marTop w:val="0"/>
      <w:marBottom w:val="0"/>
      <w:divBdr>
        <w:top w:val="none" w:sz="0" w:space="0" w:color="auto"/>
        <w:left w:val="none" w:sz="0" w:space="0" w:color="auto"/>
        <w:bottom w:val="none" w:sz="0" w:space="0" w:color="auto"/>
        <w:right w:val="none" w:sz="0" w:space="0" w:color="auto"/>
      </w:divBdr>
    </w:div>
    <w:div w:id="1886520772">
      <w:bodyDiv w:val="1"/>
      <w:marLeft w:val="0"/>
      <w:marRight w:val="0"/>
      <w:marTop w:val="0"/>
      <w:marBottom w:val="0"/>
      <w:divBdr>
        <w:top w:val="none" w:sz="0" w:space="0" w:color="auto"/>
        <w:left w:val="none" w:sz="0" w:space="0" w:color="auto"/>
        <w:bottom w:val="none" w:sz="0" w:space="0" w:color="auto"/>
        <w:right w:val="none" w:sz="0" w:space="0" w:color="auto"/>
      </w:divBdr>
    </w:div>
    <w:div w:id="1924994032">
      <w:bodyDiv w:val="1"/>
      <w:marLeft w:val="0"/>
      <w:marRight w:val="0"/>
      <w:marTop w:val="0"/>
      <w:marBottom w:val="0"/>
      <w:divBdr>
        <w:top w:val="none" w:sz="0" w:space="0" w:color="auto"/>
        <w:left w:val="none" w:sz="0" w:space="0" w:color="auto"/>
        <w:bottom w:val="none" w:sz="0" w:space="0" w:color="auto"/>
        <w:right w:val="none" w:sz="0" w:space="0" w:color="auto"/>
      </w:divBdr>
    </w:div>
    <w:div w:id="2053652642">
      <w:bodyDiv w:val="1"/>
      <w:marLeft w:val="0"/>
      <w:marRight w:val="0"/>
      <w:marTop w:val="0"/>
      <w:marBottom w:val="0"/>
      <w:divBdr>
        <w:top w:val="none" w:sz="0" w:space="0" w:color="auto"/>
        <w:left w:val="none" w:sz="0" w:space="0" w:color="auto"/>
        <w:bottom w:val="none" w:sz="0" w:space="0" w:color="auto"/>
        <w:right w:val="none" w:sz="0" w:space="0" w:color="auto"/>
      </w:divBdr>
    </w:div>
    <w:div w:id="2103183531">
      <w:bodyDiv w:val="1"/>
      <w:marLeft w:val="0"/>
      <w:marRight w:val="0"/>
      <w:marTop w:val="0"/>
      <w:marBottom w:val="0"/>
      <w:divBdr>
        <w:top w:val="none" w:sz="0" w:space="0" w:color="auto"/>
        <w:left w:val="none" w:sz="0" w:space="0" w:color="auto"/>
        <w:bottom w:val="none" w:sz="0" w:space="0" w:color="auto"/>
        <w:right w:val="none" w:sz="0" w:space="0" w:color="auto"/>
      </w:divBdr>
    </w:div>
    <w:div w:id="2122450610">
      <w:bodyDiv w:val="1"/>
      <w:marLeft w:val="0"/>
      <w:marRight w:val="0"/>
      <w:marTop w:val="0"/>
      <w:marBottom w:val="0"/>
      <w:divBdr>
        <w:top w:val="none" w:sz="0" w:space="0" w:color="auto"/>
        <w:left w:val="none" w:sz="0" w:space="0" w:color="auto"/>
        <w:bottom w:val="none" w:sz="0" w:space="0" w:color="auto"/>
        <w:right w:val="none" w:sz="0" w:space="0" w:color="auto"/>
      </w:divBdr>
    </w:div>
    <w:div w:id="2123911474">
      <w:bodyDiv w:val="1"/>
      <w:marLeft w:val="0"/>
      <w:marRight w:val="0"/>
      <w:marTop w:val="0"/>
      <w:marBottom w:val="0"/>
      <w:divBdr>
        <w:top w:val="none" w:sz="0" w:space="0" w:color="auto"/>
        <w:left w:val="none" w:sz="0" w:space="0" w:color="auto"/>
        <w:bottom w:val="none" w:sz="0" w:space="0" w:color="auto"/>
        <w:right w:val="none" w:sz="0" w:space="0" w:color="auto"/>
      </w:divBdr>
    </w:div>
    <w:div w:id="21379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92AC3-04D4-4735-AC74-EBAA2981C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6001</Words>
  <Characters>34793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Cooper</dc:creator>
  <cp:keywords/>
  <dc:description/>
  <cp:lastModifiedBy>Sophie Cooper</cp:lastModifiedBy>
  <cp:revision>3</cp:revision>
  <dcterms:created xsi:type="dcterms:W3CDTF">2022-02-02T11:08:00Z</dcterms:created>
  <dcterms:modified xsi:type="dcterms:W3CDTF">2022-02-02T11:09:00Z</dcterms:modified>
</cp:coreProperties>
</file>